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70335" w14:textId="1C77EC3E" w:rsidR="00B22B2B" w:rsidRDefault="00D6683D">
      <w:pPr>
        <w:textAlignment w:val="baseline"/>
        <w:rPr>
          <w:rFonts w:eastAsia="Times New Roman"/>
          <w:color w:val="000000"/>
          <w:sz w:val="24"/>
        </w:rPr>
      </w:pPr>
      <w:r>
        <w:pict w14:anchorId="6013790C">
          <v:shapetype id="_x0000_t202" coordsize="21600,21600" o:spt="202" path="m,l,21600r21600,l21600,xe">
            <v:stroke joinstyle="miter"/>
            <v:path gradientshapeok="t" o:connecttype="rect"/>
          </v:shapetype>
          <v:shape id="_x0000_s1031" type="#_x0000_t202" style="position:absolute;margin-left:0;margin-top:108.55pt;width:595pt;height:181.95pt;z-index:-251659776;mso-wrap-distance-left:0;mso-wrap-distance-right:0;mso-position-horizontal-relative:page;mso-position-vertical-relative:page" filled="f" stroked="f">
            <v:textbox inset="0,0,0,0">
              <w:txbxContent>
                <w:p w14:paraId="51C5C182" w14:textId="77777777" w:rsidR="00B22B2B" w:rsidRDefault="00F32F1D">
                  <w:pPr>
                    <w:spacing w:before="1" w:line="580" w:lineRule="exact"/>
                    <w:ind w:left="1080" w:right="1152"/>
                    <w:textAlignment w:val="baseline"/>
                    <w:rPr>
                      <w:rFonts w:ascii="Arial" w:eastAsia="Arial" w:hAnsi="Arial"/>
                      <w:b/>
                      <w:color w:val="C5511A"/>
                      <w:sz w:val="44"/>
                    </w:rPr>
                  </w:pPr>
                  <w:r>
                    <w:rPr>
                      <w:rFonts w:ascii="Arial" w:eastAsia="Arial" w:hAnsi="Arial"/>
                      <w:b/>
                      <w:color w:val="C5511A"/>
                      <w:sz w:val="44"/>
                    </w:rPr>
                    <w:t xml:space="preserve">Requirements for the treatment of skin cancer using Rhenium-188 unsealed brachytherapy </w:t>
                  </w:r>
                  <w:proofErr w:type="gramStart"/>
                  <w:r>
                    <w:rPr>
                      <w:rFonts w:ascii="Arial" w:eastAsia="Arial" w:hAnsi="Arial"/>
                      <w:b/>
                      <w:color w:val="C5511A"/>
                      <w:sz w:val="44"/>
                    </w:rPr>
                    <w:t>compound</w:t>
                  </w:r>
                  <w:proofErr w:type="gramEnd"/>
                </w:p>
                <w:p w14:paraId="2A9D68C7" w14:textId="77777777" w:rsidR="00B22B2B" w:rsidRDefault="00F32F1D">
                  <w:pPr>
                    <w:spacing w:before="375" w:line="276" w:lineRule="exact"/>
                    <w:ind w:left="1080"/>
                    <w:textAlignment w:val="baseline"/>
                    <w:rPr>
                      <w:rFonts w:ascii="Arial" w:eastAsia="Arial" w:hAnsi="Arial"/>
                      <w:color w:val="52555A"/>
                      <w:sz w:val="24"/>
                    </w:rPr>
                  </w:pPr>
                  <w:r>
                    <w:rPr>
                      <w:rFonts w:ascii="Arial" w:eastAsia="Arial" w:hAnsi="Arial"/>
                      <w:color w:val="52555A"/>
                      <w:sz w:val="24"/>
                    </w:rPr>
                    <w:t>Management licence condition M1768</w:t>
                  </w:r>
                </w:p>
                <w:p w14:paraId="73C957E2" w14:textId="77777777" w:rsidR="00B22B2B" w:rsidRDefault="00F32F1D">
                  <w:pPr>
                    <w:spacing w:before="123" w:line="276" w:lineRule="exact"/>
                    <w:ind w:left="1080"/>
                    <w:textAlignment w:val="baseline"/>
                    <w:rPr>
                      <w:rFonts w:ascii="Arial" w:eastAsia="Arial" w:hAnsi="Arial"/>
                      <w:color w:val="52555A"/>
                      <w:sz w:val="24"/>
                    </w:rPr>
                  </w:pPr>
                  <w:r>
                    <w:rPr>
                      <w:rFonts w:ascii="Arial" w:eastAsia="Arial" w:hAnsi="Arial"/>
                      <w:color w:val="52555A"/>
                      <w:sz w:val="24"/>
                    </w:rPr>
                    <w:t>Document reference no.: HHSD/22/653898</w:t>
                  </w:r>
                </w:p>
                <w:p w14:paraId="0E3D5EC8" w14:textId="77777777" w:rsidR="00B22B2B" w:rsidRDefault="00F32F1D">
                  <w:pPr>
                    <w:spacing w:before="469" w:after="47" w:line="454" w:lineRule="exact"/>
                    <w:ind w:left="1080"/>
                    <w:textAlignment w:val="baseline"/>
                    <w:rPr>
                      <w:rFonts w:ascii="Arial" w:eastAsia="Arial" w:hAnsi="Arial"/>
                      <w:color w:val="C5511A"/>
                      <w:sz w:val="39"/>
                    </w:rPr>
                  </w:pPr>
                  <w:r>
                    <w:rPr>
                      <w:rFonts w:ascii="Arial" w:eastAsia="Arial" w:hAnsi="Arial"/>
                      <w:color w:val="C5511A"/>
                      <w:sz w:val="39"/>
                    </w:rPr>
                    <w:t>Introduction</w:t>
                  </w:r>
                </w:p>
              </w:txbxContent>
            </v:textbox>
            <w10:wrap type="square" anchorx="page" anchory="page"/>
          </v:shape>
        </w:pict>
      </w:r>
      <w:r w:rsidR="00000000">
        <w:pict w14:anchorId="3A0B56F3">
          <v:shape id="_x0000_s0" o:spid="_x0000_s1032" type="#_x0000_t202" style="position:absolute;margin-left:0;margin-top:0;width:595pt;height:108.55pt;z-index:-251661824;mso-wrap-distance-left:0;mso-wrap-distance-right:0;mso-position-horizontal-relative:page;mso-position-vertical-relative:page" filled="f" stroked="f">
            <v:textbox inset="0,0,0,0">
              <w:txbxContent>
                <w:p w14:paraId="2C0959E4" w14:textId="77777777" w:rsidR="00B22B2B" w:rsidRDefault="00F32F1D">
                  <w:pPr>
                    <w:spacing w:after="59"/>
                    <w:ind w:right="1"/>
                    <w:textAlignment w:val="baseline"/>
                  </w:pPr>
                  <w:r>
                    <w:rPr>
                      <w:noProof/>
                    </w:rPr>
                    <w:drawing>
                      <wp:inline distT="0" distB="0" distL="0" distR="0" wp14:anchorId="7BAB658C" wp14:editId="3FAEB581">
                        <wp:extent cx="7555865" cy="1341120"/>
                        <wp:effectExtent l="0" t="0" r="0" b="0"/>
                        <wp:docPr id="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a:extLst>
                                    <a:ext uri="{C183D7F6-B498-43B3-948B-1728B52AA6E4}">
                                      <adec:decorative xmlns:adec="http://schemas.microsoft.com/office/drawing/2017/decorative" val="1"/>
                                    </a:ext>
                                  </a:extLst>
                                </pic:cNvPr>
                                <pic:cNvPicPr preferRelativeResize="0"/>
                              </pic:nvPicPr>
                              <pic:blipFill>
                                <a:blip r:embed="rId7"/>
                                <a:stretch>
                                  <a:fillRect/>
                                </a:stretch>
                              </pic:blipFill>
                              <pic:spPr>
                                <a:xfrm>
                                  <a:off x="0" y="0"/>
                                  <a:ext cx="7555865" cy="1341120"/>
                                </a:xfrm>
                                <a:prstGeom prst="rect">
                                  <a:avLst/>
                                </a:prstGeom>
                              </pic:spPr>
                            </pic:pic>
                          </a:graphicData>
                        </a:graphic>
                      </wp:inline>
                    </w:drawing>
                  </w:r>
                </w:p>
              </w:txbxContent>
            </v:textbox>
            <w10:wrap type="square" anchorx="page" anchory="page"/>
          </v:shape>
        </w:pict>
      </w:r>
      <w:r w:rsidR="00000000">
        <w:pict w14:anchorId="6617BA37">
          <v:shape id="_x0000_s1030" type="#_x0000_t202" style="position:absolute;margin-left:0;margin-top:296.95pt;width:595pt;height:480.9pt;z-index:-251658752;mso-wrap-distance-left:0;mso-wrap-distance-right:0;mso-position-horizontal-relative:page;mso-position-vertical-relative:page" filled="f" stroked="f">
            <v:textbox inset="0,0,0,0">
              <w:txbxContent>
                <w:p w14:paraId="707DD3B0" w14:textId="77777777" w:rsidR="00B22B2B" w:rsidRDefault="00F32F1D">
                  <w:pPr>
                    <w:spacing w:line="288" w:lineRule="exact"/>
                    <w:ind w:left="1080" w:right="1080"/>
                    <w:jc w:val="both"/>
                    <w:textAlignment w:val="baseline"/>
                    <w:rPr>
                      <w:rFonts w:ascii="Arial" w:eastAsia="Arial" w:hAnsi="Arial"/>
                      <w:color w:val="000000"/>
                      <w:sz w:val="20"/>
                    </w:rPr>
                  </w:pPr>
                  <w:r>
                    <w:rPr>
                      <w:rFonts w:ascii="Arial" w:eastAsia="Arial" w:hAnsi="Arial"/>
                      <w:color w:val="000000"/>
                      <w:sz w:val="20"/>
                    </w:rPr>
                    <w:t>The Victorian Radiation Act 2005 (the Act) has the objective of protecting the health and safety of persons and the environment from the harmful effects of radiation. The Department of Health (Department) administers this legislation. The Act seeks to fulfil this objective by establishing a licensing framework to regulate the conduct of radiation practices and the use of radiation sources. Any person who conducts a radiation practice must hold a management licence (unless exempted from that requirement). The management licence holder must comply with every condition of their licence.</w:t>
                  </w:r>
                </w:p>
                <w:p w14:paraId="262F0C3D" w14:textId="77777777" w:rsidR="00B22B2B" w:rsidRDefault="00F32F1D">
                  <w:pPr>
                    <w:spacing w:before="389" w:line="454" w:lineRule="exact"/>
                    <w:ind w:left="1080"/>
                    <w:textAlignment w:val="baseline"/>
                    <w:rPr>
                      <w:rFonts w:ascii="Arial" w:eastAsia="Arial" w:hAnsi="Arial"/>
                      <w:color w:val="C5511A"/>
                      <w:sz w:val="39"/>
                    </w:rPr>
                  </w:pPr>
                  <w:r>
                    <w:rPr>
                      <w:rFonts w:ascii="Arial" w:eastAsia="Arial" w:hAnsi="Arial"/>
                      <w:color w:val="C5511A"/>
                      <w:sz w:val="39"/>
                    </w:rPr>
                    <w:t>Scope</w:t>
                  </w:r>
                </w:p>
                <w:p w14:paraId="75F53907" w14:textId="77777777" w:rsidR="00B22B2B" w:rsidRDefault="00F32F1D">
                  <w:pPr>
                    <w:spacing w:before="54" w:line="288" w:lineRule="exact"/>
                    <w:ind w:left="1080" w:right="1080"/>
                    <w:jc w:val="both"/>
                    <w:textAlignment w:val="baseline"/>
                    <w:rPr>
                      <w:rFonts w:ascii="Arial" w:eastAsia="Arial" w:hAnsi="Arial"/>
                      <w:color w:val="000000"/>
                      <w:sz w:val="20"/>
                    </w:rPr>
                  </w:pPr>
                  <w:r>
                    <w:rPr>
                      <w:rFonts w:ascii="Arial" w:eastAsia="Arial" w:hAnsi="Arial"/>
                      <w:color w:val="000000"/>
                      <w:sz w:val="20"/>
                    </w:rPr>
                    <w:t>This document describes the obligations of management licence holders where condition M1768 has been imposed in respect of an authority to possess Rhenium-188 unsealed brachytherapy compound for the purpose of skin cancer treatment.</w:t>
                  </w:r>
                </w:p>
                <w:p w14:paraId="5B99BC93" w14:textId="77777777" w:rsidR="00B22B2B" w:rsidRDefault="00F32F1D">
                  <w:pPr>
                    <w:spacing w:before="390" w:line="454" w:lineRule="exact"/>
                    <w:ind w:left="1080"/>
                    <w:textAlignment w:val="baseline"/>
                    <w:rPr>
                      <w:rFonts w:ascii="Arial" w:eastAsia="Arial" w:hAnsi="Arial"/>
                      <w:color w:val="C5511A"/>
                      <w:sz w:val="39"/>
                    </w:rPr>
                  </w:pPr>
                  <w:r>
                    <w:rPr>
                      <w:rFonts w:ascii="Arial" w:eastAsia="Arial" w:hAnsi="Arial"/>
                      <w:color w:val="C5511A"/>
                      <w:sz w:val="39"/>
                    </w:rPr>
                    <w:t>Mandatory requirements</w:t>
                  </w:r>
                </w:p>
                <w:p w14:paraId="33E43722" w14:textId="77777777" w:rsidR="00B22B2B" w:rsidRDefault="00F32F1D">
                  <w:pPr>
                    <w:numPr>
                      <w:ilvl w:val="0"/>
                      <w:numId w:val="1"/>
                    </w:numPr>
                    <w:tabs>
                      <w:tab w:val="clear" w:pos="432"/>
                      <w:tab w:val="left" w:pos="1512"/>
                    </w:tabs>
                    <w:spacing w:before="54" w:line="288" w:lineRule="exact"/>
                    <w:ind w:left="1512" w:right="1080" w:hanging="432"/>
                    <w:jc w:val="both"/>
                    <w:textAlignment w:val="baseline"/>
                    <w:rPr>
                      <w:rFonts w:ascii="Arial" w:eastAsia="Arial" w:hAnsi="Arial"/>
                      <w:color w:val="000000"/>
                      <w:sz w:val="20"/>
                    </w:rPr>
                  </w:pPr>
                  <w:r>
                    <w:rPr>
                      <w:rFonts w:ascii="Arial" w:eastAsia="Arial" w:hAnsi="Arial"/>
                      <w:color w:val="000000"/>
                      <w:sz w:val="20"/>
                    </w:rPr>
                    <w:t xml:space="preserve">The management licence holder must ensure that no treatment using Rhenium-188 is performed unless the treatment is approved in accordance with the </w:t>
                  </w:r>
                  <w:r>
                    <w:rPr>
                      <w:rFonts w:ascii="Arial" w:eastAsia="Arial" w:hAnsi="Arial"/>
                      <w:i/>
                      <w:color w:val="000000"/>
                      <w:sz w:val="20"/>
                    </w:rPr>
                    <w:t xml:space="preserve">Code of Practice for Radiation Protection in the Medical Applications of Ionizing Radiation (2008) </w:t>
                  </w:r>
                  <w:r>
                    <w:rPr>
                      <w:rFonts w:ascii="Arial" w:eastAsia="Arial" w:hAnsi="Arial"/>
                      <w:color w:val="000000"/>
                      <w:sz w:val="20"/>
                    </w:rPr>
                    <w:t xml:space="preserve">by a </w:t>
                  </w:r>
                  <w:r>
                    <w:rPr>
                      <w:rFonts w:ascii="Arial" w:eastAsia="Arial" w:hAnsi="Arial"/>
                      <w:b/>
                      <w:color w:val="000000"/>
                      <w:sz w:val="20"/>
                    </w:rPr>
                    <w:t xml:space="preserve">Radiation Medical Practitioner </w:t>
                  </w:r>
                  <w:r>
                    <w:rPr>
                      <w:rFonts w:ascii="Arial" w:eastAsia="Arial" w:hAnsi="Arial"/>
                      <w:color w:val="000000"/>
                      <w:sz w:val="20"/>
                    </w:rPr>
                    <w:t xml:space="preserve">that has successfully completed Rhenium-SCT training provided by </w:t>
                  </w:r>
                  <w:proofErr w:type="spellStart"/>
                  <w:r>
                    <w:rPr>
                      <w:rFonts w:ascii="Arial" w:eastAsia="Arial" w:hAnsi="Arial"/>
                      <w:color w:val="000000"/>
                      <w:sz w:val="20"/>
                    </w:rPr>
                    <w:t>OncoBeta</w:t>
                  </w:r>
                  <w:proofErr w:type="spellEnd"/>
                  <w:r>
                    <w:rPr>
                      <w:rFonts w:ascii="Arial" w:eastAsia="Arial" w:hAnsi="Arial"/>
                      <w:color w:val="000000"/>
                      <w:sz w:val="20"/>
                    </w:rPr>
                    <w:t xml:space="preserve"> GmbH.</w:t>
                  </w:r>
                </w:p>
                <w:p w14:paraId="5523E420" w14:textId="77777777" w:rsidR="00B22B2B" w:rsidRDefault="00F32F1D">
                  <w:pPr>
                    <w:numPr>
                      <w:ilvl w:val="0"/>
                      <w:numId w:val="1"/>
                    </w:numPr>
                    <w:tabs>
                      <w:tab w:val="clear" w:pos="432"/>
                      <w:tab w:val="left" w:pos="1512"/>
                    </w:tabs>
                    <w:spacing w:before="57" w:line="288" w:lineRule="exact"/>
                    <w:ind w:left="1512" w:right="1080" w:hanging="432"/>
                    <w:jc w:val="both"/>
                    <w:textAlignment w:val="baseline"/>
                    <w:rPr>
                      <w:rFonts w:ascii="Arial" w:eastAsia="Arial" w:hAnsi="Arial"/>
                      <w:color w:val="000000"/>
                      <w:sz w:val="20"/>
                    </w:rPr>
                  </w:pPr>
                  <w:r>
                    <w:rPr>
                      <w:rFonts w:ascii="Arial" w:eastAsia="Arial" w:hAnsi="Arial"/>
                      <w:color w:val="000000"/>
                      <w:sz w:val="20"/>
                    </w:rPr>
                    <w:t xml:space="preserve">The management licence holder must ensure that no treatment using Rhenium-188 is approved by the Radiation Medical Practitioner unless the treatment is part of an </w:t>
                  </w:r>
                  <w:r>
                    <w:rPr>
                      <w:rFonts w:ascii="Arial" w:eastAsia="Arial" w:hAnsi="Arial"/>
                      <w:b/>
                      <w:color w:val="000000"/>
                      <w:sz w:val="20"/>
                    </w:rPr>
                    <w:t>approved research project</w:t>
                  </w:r>
                  <w:r>
                    <w:rPr>
                      <w:rFonts w:ascii="Arial" w:eastAsia="Arial" w:hAnsi="Arial"/>
                      <w:color w:val="000000"/>
                      <w:sz w:val="20"/>
                    </w:rPr>
                    <w:t>, or the following requirements are satisfied:</w:t>
                  </w:r>
                </w:p>
                <w:p w14:paraId="5CF3721F" w14:textId="77777777" w:rsidR="00B22B2B" w:rsidRDefault="00F32F1D">
                  <w:pPr>
                    <w:tabs>
                      <w:tab w:val="decimal" w:pos="1656"/>
                      <w:tab w:val="left" w:pos="2088"/>
                    </w:tabs>
                    <w:spacing w:before="117" w:line="229" w:lineRule="exact"/>
                    <w:ind w:left="1512"/>
                    <w:textAlignment w:val="baseline"/>
                    <w:rPr>
                      <w:rFonts w:ascii="Arial" w:eastAsia="Arial" w:hAnsi="Arial"/>
                      <w:color w:val="000000"/>
                      <w:sz w:val="20"/>
                    </w:rPr>
                  </w:pPr>
                  <w:r>
                    <w:rPr>
                      <w:rFonts w:ascii="Arial" w:eastAsia="Arial" w:hAnsi="Arial"/>
                      <w:color w:val="000000"/>
                      <w:sz w:val="20"/>
                    </w:rPr>
                    <w:tab/>
                    <w:t>2.1</w:t>
                  </w:r>
                  <w:r>
                    <w:rPr>
                      <w:rFonts w:ascii="Arial" w:eastAsia="Arial" w:hAnsi="Arial"/>
                      <w:color w:val="000000"/>
                      <w:sz w:val="20"/>
                    </w:rPr>
                    <w:tab/>
                    <w:t>malignancy has been confirmed and melanoma excluded by histological examination; and</w:t>
                  </w:r>
                </w:p>
                <w:p w14:paraId="026DE895" w14:textId="77777777" w:rsidR="00B22B2B" w:rsidRDefault="00F32F1D">
                  <w:pPr>
                    <w:tabs>
                      <w:tab w:val="decimal" w:pos="1656"/>
                      <w:tab w:val="left" w:pos="2088"/>
                    </w:tabs>
                    <w:spacing w:before="121" w:line="229" w:lineRule="exact"/>
                    <w:ind w:left="1512"/>
                    <w:textAlignment w:val="baseline"/>
                    <w:rPr>
                      <w:rFonts w:ascii="Arial" w:eastAsia="Arial" w:hAnsi="Arial"/>
                      <w:color w:val="000000"/>
                      <w:sz w:val="20"/>
                    </w:rPr>
                  </w:pPr>
                  <w:r>
                    <w:rPr>
                      <w:rFonts w:ascii="Arial" w:eastAsia="Arial" w:hAnsi="Arial"/>
                      <w:color w:val="000000"/>
                      <w:sz w:val="20"/>
                    </w:rPr>
                    <w:tab/>
                    <w:t>2.2</w:t>
                  </w:r>
                  <w:r>
                    <w:rPr>
                      <w:rFonts w:ascii="Arial" w:eastAsia="Arial" w:hAnsi="Arial"/>
                      <w:color w:val="000000"/>
                      <w:sz w:val="20"/>
                    </w:rPr>
                    <w:tab/>
                    <w:t>the maximum depth of the lesion is no greater than 3 mm; and</w:t>
                  </w:r>
                </w:p>
                <w:p w14:paraId="4D803D06" w14:textId="77777777" w:rsidR="00B22B2B" w:rsidRDefault="00F32F1D">
                  <w:pPr>
                    <w:tabs>
                      <w:tab w:val="decimal" w:pos="1656"/>
                      <w:tab w:val="left" w:pos="2088"/>
                    </w:tabs>
                    <w:spacing w:before="117" w:line="229" w:lineRule="exact"/>
                    <w:ind w:left="1512"/>
                    <w:textAlignment w:val="baseline"/>
                    <w:rPr>
                      <w:rFonts w:ascii="Arial" w:eastAsia="Arial" w:hAnsi="Arial"/>
                      <w:color w:val="000000"/>
                      <w:sz w:val="20"/>
                    </w:rPr>
                  </w:pPr>
                  <w:r>
                    <w:rPr>
                      <w:rFonts w:ascii="Arial" w:eastAsia="Arial" w:hAnsi="Arial"/>
                      <w:color w:val="000000"/>
                      <w:sz w:val="20"/>
                    </w:rPr>
                    <w:tab/>
                    <w:t>2.3</w:t>
                  </w:r>
                  <w:r>
                    <w:rPr>
                      <w:rFonts w:ascii="Arial" w:eastAsia="Arial" w:hAnsi="Arial"/>
                      <w:color w:val="000000"/>
                      <w:sz w:val="20"/>
                    </w:rPr>
                    <w:tab/>
                    <w:t>the necessary treatment diameter is between 15 mm and 80 mm; and</w:t>
                  </w:r>
                </w:p>
                <w:p w14:paraId="4BB1DF0E" w14:textId="77777777" w:rsidR="00B22B2B" w:rsidRDefault="00F32F1D">
                  <w:pPr>
                    <w:tabs>
                      <w:tab w:val="decimal" w:pos="1656"/>
                      <w:tab w:val="left" w:pos="2088"/>
                    </w:tabs>
                    <w:spacing w:before="121" w:line="229" w:lineRule="exact"/>
                    <w:ind w:left="1512"/>
                    <w:textAlignment w:val="baseline"/>
                    <w:rPr>
                      <w:rFonts w:ascii="Arial" w:eastAsia="Arial" w:hAnsi="Arial"/>
                      <w:color w:val="000000"/>
                      <w:sz w:val="20"/>
                    </w:rPr>
                  </w:pPr>
                  <w:r>
                    <w:rPr>
                      <w:rFonts w:ascii="Arial" w:eastAsia="Arial" w:hAnsi="Arial"/>
                      <w:color w:val="000000"/>
                      <w:sz w:val="20"/>
                    </w:rPr>
                    <w:tab/>
                    <w:t>2.4</w:t>
                  </w:r>
                  <w:r>
                    <w:rPr>
                      <w:rFonts w:ascii="Arial" w:eastAsia="Arial" w:hAnsi="Arial"/>
                      <w:color w:val="000000"/>
                      <w:sz w:val="20"/>
                    </w:rPr>
                    <w:tab/>
                    <w:t>the malignancy to be treated is on the nose, eyebrow, lip, ear, digit, genitalia, shin, or collarbone, or</w:t>
                  </w:r>
                </w:p>
                <w:p w14:paraId="01C6FEB2" w14:textId="77777777" w:rsidR="00B22B2B" w:rsidRDefault="00F32F1D">
                  <w:pPr>
                    <w:spacing w:before="59" w:line="229" w:lineRule="exact"/>
                    <w:ind w:left="2088"/>
                    <w:textAlignment w:val="baseline"/>
                    <w:rPr>
                      <w:rFonts w:ascii="Arial" w:eastAsia="Arial" w:hAnsi="Arial"/>
                      <w:color w:val="000000"/>
                      <w:sz w:val="20"/>
                    </w:rPr>
                  </w:pPr>
                  <w:r>
                    <w:rPr>
                      <w:rFonts w:ascii="Arial" w:eastAsia="Arial" w:hAnsi="Arial"/>
                      <w:color w:val="000000"/>
                      <w:sz w:val="20"/>
                    </w:rPr>
                    <w:t>in a contiguous area; or</w:t>
                  </w:r>
                </w:p>
                <w:p w14:paraId="4A25A7A3" w14:textId="77777777" w:rsidR="00B22B2B" w:rsidRDefault="00F32F1D">
                  <w:pPr>
                    <w:tabs>
                      <w:tab w:val="decimal" w:pos="1656"/>
                      <w:tab w:val="left" w:pos="2088"/>
                    </w:tabs>
                    <w:spacing w:before="117" w:line="229" w:lineRule="exact"/>
                    <w:ind w:left="1512"/>
                    <w:textAlignment w:val="baseline"/>
                    <w:rPr>
                      <w:rFonts w:ascii="Arial" w:eastAsia="Arial" w:hAnsi="Arial"/>
                      <w:color w:val="000000"/>
                      <w:sz w:val="20"/>
                    </w:rPr>
                  </w:pPr>
                  <w:r>
                    <w:rPr>
                      <w:rFonts w:ascii="Arial" w:eastAsia="Arial" w:hAnsi="Arial"/>
                      <w:color w:val="000000"/>
                      <w:sz w:val="20"/>
                    </w:rPr>
                    <w:tab/>
                    <w:t>2.5</w:t>
                  </w:r>
                  <w:r>
                    <w:rPr>
                      <w:rFonts w:ascii="Arial" w:eastAsia="Arial" w:hAnsi="Arial"/>
                      <w:color w:val="000000"/>
                      <w:sz w:val="20"/>
                    </w:rPr>
                    <w:tab/>
                    <w:t>the patient has comorbidities that prevent surgical excision or external beam radiotherapy; and</w:t>
                  </w:r>
                </w:p>
                <w:p w14:paraId="219D022B" w14:textId="77777777" w:rsidR="00B22B2B" w:rsidRDefault="00F32F1D">
                  <w:pPr>
                    <w:tabs>
                      <w:tab w:val="decimal" w:pos="1656"/>
                      <w:tab w:val="left" w:pos="2088"/>
                    </w:tabs>
                    <w:spacing w:before="117" w:after="781" w:line="229" w:lineRule="exact"/>
                    <w:ind w:left="1512"/>
                    <w:textAlignment w:val="baseline"/>
                    <w:rPr>
                      <w:rFonts w:ascii="Arial" w:eastAsia="Arial" w:hAnsi="Arial"/>
                      <w:color w:val="000000"/>
                      <w:sz w:val="20"/>
                    </w:rPr>
                  </w:pPr>
                  <w:r>
                    <w:rPr>
                      <w:rFonts w:ascii="Arial" w:eastAsia="Arial" w:hAnsi="Arial"/>
                      <w:color w:val="000000"/>
                      <w:sz w:val="20"/>
                    </w:rPr>
                    <w:tab/>
                    <w:t>2.6</w:t>
                  </w:r>
                  <w:r>
                    <w:rPr>
                      <w:rFonts w:ascii="Arial" w:eastAsia="Arial" w:hAnsi="Arial"/>
                      <w:color w:val="000000"/>
                      <w:sz w:val="20"/>
                    </w:rPr>
                    <w:tab/>
                    <w:t>there is a written referral for the treatment that:</w:t>
                  </w:r>
                </w:p>
              </w:txbxContent>
            </v:textbox>
            <w10:wrap type="square" anchorx="page" anchory="page"/>
          </v:shape>
        </w:pict>
      </w:r>
      <w:r w:rsidR="00000000">
        <w:pict w14:anchorId="374FCFA9">
          <v:shape id="_x0000_s1029" type="#_x0000_t202" style="position:absolute;margin-left:42.25pt;margin-top:777.85pt;width:281.05pt;height:37.45pt;z-index:-25165772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529"/>
                    <w:gridCol w:w="2007"/>
                  </w:tblGrid>
                  <w:tr w:rsidR="00B22B2B" w14:paraId="55329CB6" w14:textId="77777777" w:rsidTr="00D6683D">
                    <w:trPr>
                      <w:trHeight w:hRule="exact" w:val="749"/>
                    </w:trPr>
                    <w:tc>
                      <w:tcPr>
                        <w:tcW w:w="2529" w:type="dxa"/>
                      </w:tcPr>
                      <w:p w14:paraId="17CA56A9" w14:textId="77777777" w:rsidR="00B22B2B" w:rsidRDefault="00F32F1D">
                        <w:pPr>
                          <w:jc w:val="center"/>
                          <w:textAlignment w:val="baseline"/>
                        </w:pPr>
                        <w:r>
                          <w:rPr>
                            <w:noProof/>
                          </w:rPr>
                          <w:drawing>
                            <wp:inline distT="0" distB="0" distL="0" distR="0" wp14:anchorId="01C0F3FD" wp14:editId="2C75EB6F">
                              <wp:extent cx="1605915" cy="47561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1605915" cy="475615"/>
                                      </a:xfrm>
                                      <a:prstGeom prst="rect">
                                        <a:avLst/>
                                      </a:prstGeom>
                                    </pic:spPr>
                                  </pic:pic>
                                </a:graphicData>
                              </a:graphic>
                            </wp:inline>
                          </w:drawing>
                        </w:r>
                      </w:p>
                    </w:tc>
                    <w:tc>
                      <w:tcPr>
                        <w:tcW w:w="2007" w:type="dxa"/>
                      </w:tcPr>
                      <w:p w14:paraId="486B3DE7" w14:textId="657977E1" w:rsidR="00B22B2B" w:rsidRDefault="00B22B2B">
                        <w:pPr>
                          <w:spacing w:before="93" w:after="419" w:line="231" w:lineRule="exact"/>
                          <w:ind w:right="5"/>
                          <w:jc w:val="right"/>
                          <w:textAlignment w:val="baseline"/>
                          <w:rPr>
                            <w:rFonts w:ascii="Arial" w:eastAsia="Arial" w:hAnsi="Arial"/>
                            <w:color w:val="000000"/>
                            <w:sz w:val="20"/>
                          </w:rPr>
                        </w:pPr>
                      </w:p>
                    </w:tc>
                  </w:tr>
                </w:tbl>
                <w:p w14:paraId="11B2CB23" w14:textId="77777777" w:rsidR="009A2F4C" w:rsidRDefault="009A2F4C"/>
              </w:txbxContent>
            </v:textbox>
            <w10:wrap type="square" anchorx="page" anchory="page"/>
          </v:shape>
        </w:pict>
      </w:r>
      <w:r w:rsidR="00000000">
        <w:pict w14:anchorId="0BDE4DA8">
          <v:shape id="_x0000_s1028" type="#_x0000_t202" style="position:absolute;margin-left:0;margin-top:815.3pt;width:595pt;height:11.7pt;z-index:-251656704;mso-wrap-distance-left:0;mso-wrap-distance-right:0;mso-position-horizontal-relative:page;mso-position-vertical-relative:page" filled="f" stroked="f">
            <v:textbox inset="0,0,0,0">
              <w:txbxContent>
                <w:p w14:paraId="738F0470" w14:textId="17E820B3" w:rsidR="00B22B2B" w:rsidRDefault="00B22B2B">
                  <w:pPr>
                    <w:spacing w:after="8" w:line="217" w:lineRule="exact"/>
                    <w:jc w:val="center"/>
                    <w:textAlignment w:val="baseline"/>
                    <w:rPr>
                      <w:rFonts w:ascii="Arial" w:eastAsia="Arial" w:hAnsi="Arial"/>
                      <w:b/>
                      <w:color w:val="000000"/>
                      <w:sz w:val="20"/>
                    </w:rPr>
                  </w:pPr>
                </w:p>
              </w:txbxContent>
            </v:textbox>
            <w10:wrap type="square" anchorx="page" anchory="page"/>
          </v:shape>
        </w:pict>
      </w:r>
    </w:p>
    <w:p w14:paraId="4B82BE6D" w14:textId="77777777" w:rsidR="00B22B2B" w:rsidRDefault="00B22B2B">
      <w:pPr>
        <w:sectPr w:rsidR="00B22B2B">
          <w:footerReference w:type="even" r:id="rId9"/>
          <w:footerReference w:type="default" r:id="rId10"/>
          <w:footerReference w:type="first" r:id="rId11"/>
          <w:pgSz w:w="11909" w:h="16838"/>
          <w:pgMar w:top="0" w:right="9" w:bottom="3" w:left="0" w:header="720" w:footer="720" w:gutter="0"/>
          <w:cols w:space="720"/>
        </w:sectPr>
      </w:pPr>
    </w:p>
    <w:p w14:paraId="71D041F2" w14:textId="77777777" w:rsidR="00B22B2B" w:rsidRDefault="00F32F1D">
      <w:pPr>
        <w:tabs>
          <w:tab w:val="left" w:pos="1584"/>
        </w:tabs>
        <w:spacing w:before="7" w:line="229" w:lineRule="exact"/>
        <w:ind w:left="1008"/>
        <w:textAlignment w:val="baseline"/>
        <w:rPr>
          <w:rFonts w:ascii="Arial" w:eastAsia="Arial" w:hAnsi="Arial"/>
          <w:color w:val="000000"/>
          <w:sz w:val="20"/>
        </w:rPr>
      </w:pPr>
      <w:r>
        <w:rPr>
          <w:rFonts w:ascii="Arial" w:eastAsia="Arial" w:hAnsi="Arial"/>
          <w:color w:val="000000"/>
          <w:sz w:val="20"/>
        </w:rPr>
        <w:lastRenderedPageBreak/>
        <w:t>a.</w:t>
      </w:r>
      <w:r>
        <w:rPr>
          <w:rFonts w:ascii="Arial" w:eastAsia="Arial" w:hAnsi="Arial"/>
          <w:color w:val="000000"/>
          <w:sz w:val="20"/>
        </w:rPr>
        <w:tab/>
        <w:t>has been issued by:</w:t>
      </w:r>
    </w:p>
    <w:p w14:paraId="5D7EE5C3" w14:textId="77777777" w:rsidR="00B22B2B" w:rsidRDefault="00F32F1D">
      <w:pPr>
        <w:numPr>
          <w:ilvl w:val="0"/>
          <w:numId w:val="2"/>
        </w:numPr>
        <w:tabs>
          <w:tab w:val="clear" w:pos="720"/>
          <w:tab w:val="left" w:pos="2448"/>
        </w:tabs>
        <w:spacing w:before="122" w:line="230" w:lineRule="exact"/>
        <w:ind w:left="2448" w:hanging="720"/>
        <w:textAlignment w:val="baseline"/>
        <w:rPr>
          <w:rFonts w:ascii="Arial" w:eastAsia="Arial" w:hAnsi="Arial"/>
          <w:color w:val="000000"/>
          <w:sz w:val="20"/>
        </w:rPr>
      </w:pPr>
      <w:r>
        <w:rPr>
          <w:rFonts w:ascii="Arial" w:eastAsia="Arial" w:hAnsi="Arial"/>
          <w:color w:val="000000"/>
          <w:sz w:val="20"/>
        </w:rPr>
        <w:t xml:space="preserve">a </w:t>
      </w:r>
      <w:r>
        <w:rPr>
          <w:rFonts w:ascii="Arial" w:eastAsia="Arial" w:hAnsi="Arial"/>
          <w:b/>
          <w:color w:val="000000"/>
          <w:sz w:val="20"/>
        </w:rPr>
        <w:t>Specialist Dermatologist</w:t>
      </w:r>
      <w:r>
        <w:rPr>
          <w:rFonts w:ascii="Arial" w:eastAsia="Arial" w:hAnsi="Arial"/>
          <w:color w:val="000000"/>
          <w:sz w:val="20"/>
        </w:rPr>
        <w:t>; or</w:t>
      </w:r>
    </w:p>
    <w:p w14:paraId="684145A0" w14:textId="77777777" w:rsidR="00B22B2B" w:rsidRDefault="00F32F1D">
      <w:pPr>
        <w:numPr>
          <w:ilvl w:val="0"/>
          <w:numId w:val="2"/>
        </w:numPr>
        <w:tabs>
          <w:tab w:val="clear" w:pos="720"/>
          <w:tab w:val="left" w:pos="2448"/>
        </w:tabs>
        <w:spacing w:before="115" w:line="230" w:lineRule="exact"/>
        <w:ind w:left="2448" w:hanging="720"/>
        <w:textAlignment w:val="baseline"/>
        <w:rPr>
          <w:rFonts w:ascii="Arial" w:eastAsia="Arial" w:hAnsi="Arial"/>
          <w:color w:val="000000"/>
          <w:sz w:val="20"/>
        </w:rPr>
      </w:pPr>
      <w:r>
        <w:rPr>
          <w:rFonts w:ascii="Arial" w:eastAsia="Arial" w:hAnsi="Arial"/>
          <w:color w:val="000000"/>
          <w:sz w:val="20"/>
        </w:rPr>
        <w:t xml:space="preserve">a </w:t>
      </w:r>
      <w:r>
        <w:rPr>
          <w:rFonts w:ascii="Arial" w:eastAsia="Arial" w:hAnsi="Arial"/>
          <w:b/>
          <w:color w:val="000000"/>
          <w:sz w:val="20"/>
        </w:rPr>
        <w:t>Radiation Oncologist</w:t>
      </w:r>
      <w:r>
        <w:rPr>
          <w:rFonts w:ascii="Arial" w:eastAsia="Arial" w:hAnsi="Arial"/>
          <w:color w:val="000000"/>
          <w:sz w:val="20"/>
        </w:rPr>
        <w:t>; or</w:t>
      </w:r>
    </w:p>
    <w:p w14:paraId="2B18F886" w14:textId="77777777" w:rsidR="00B22B2B" w:rsidRDefault="00F32F1D">
      <w:pPr>
        <w:numPr>
          <w:ilvl w:val="0"/>
          <w:numId w:val="2"/>
        </w:numPr>
        <w:tabs>
          <w:tab w:val="clear" w:pos="720"/>
          <w:tab w:val="left" w:pos="2448"/>
        </w:tabs>
        <w:spacing w:before="116" w:line="230" w:lineRule="exact"/>
        <w:ind w:left="2448" w:hanging="720"/>
        <w:textAlignment w:val="baseline"/>
        <w:rPr>
          <w:rFonts w:ascii="Arial" w:eastAsia="Arial" w:hAnsi="Arial"/>
          <w:color w:val="000000"/>
          <w:spacing w:val="-1"/>
          <w:sz w:val="20"/>
        </w:rPr>
      </w:pPr>
      <w:r>
        <w:rPr>
          <w:rFonts w:ascii="Arial" w:eastAsia="Arial" w:hAnsi="Arial"/>
          <w:color w:val="000000"/>
          <w:spacing w:val="-1"/>
          <w:sz w:val="20"/>
        </w:rPr>
        <w:t xml:space="preserve">a </w:t>
      </w:r>
      <w:r>
        <w:rPr>
          <w:rFonts w:ascii="Arial" w:eastAsia="Arial" w:hAnsi="Arial"/>
          <w:b/>
          <w:color w:val="000000"/>
          <w:spacing w:val="-1"/>
          <w:sz w:val="20"/>
        </w:rPr>
        <w:t>Plastic Surgeon</w:t>
      </w:r>
      <w:r>
        <w:rPr>
          <w:rFonts w:ascii="Arial" w:eastAsia="Arial" w:hAnsi="Arial"/>
          <w:color w:val="000000"/>
          <w:spacing w:val="-1"/>
          <w:sz w:val="20"/>
        </w:rPr>
        <w:t>; or</w:t>
      </w:r>
    </w:p>
    <w:p w14:paraId="7802E7A5" w14:textId="77777777" w:rsidR="00B22B2B" w:rsidRDefault="00F32F1D">
      <w:pPr>
        <w:numPr>
          <w:ilvl w:val="0"/>
          <w:numId w:val="2"/>
        </w:numPr>
        <w:tabs>
          <w:tab w:val="clear" w:pos="720"/>
          <w:tab w:val="left" w:pos="2448"/>
        </w:tabs>
        <w:spacing w:before="61" w:line="288" w:lineRule="exact"/>
        <w:ind w:left="2448" w:hanging="720"/>
        <w:textAlignment w:val="baseline"/>
        <w:rPr>
          <w:rFonts w:ascii="Arial" w:eastAsia="Arial" w:hAnsi="Arial"/>
          <w:color w:val="000000"/>
          <w:sz w:val="20"/>
        </w:rPr>
      </w:pPr>
      <w:r>
        <w:rPr>
          <w:rFonts w:ascii="Arial" w:eastAsia="Arial" w:hAnsi="Arial"/>
          <w:color w:val="000000"/>
          <w:sz w:val="20"/>
        </w:rPr>
        <w:t>any other professional specified by the Department for the purpose of this condition; and</w:t>
      </w:r>
    </w:p>
    <w:p w14:paraId="227DA346" w14:textId="77777777" w:rsidR="00B22B2B" w:rsidRDefault="00F32F1D">
      <w:pPr>
        <w:tabs>
          <w:tab w:val="left" w:pos="1584"/>
        </w:tabs>
        <w:spacing w:before="117" w:line="229" w:lineRule="exact"/>
        <w:ind w:left="1008"/>
        <w:textAlignment w:val="baseline"/>
        <w:rPr>
          <w:rFonts w:ascii="Arial" w:eastAsia="Arial" w:hAnsi="Arial"/>
          <w:color w:val="000000"/>
          <w:sz w:val="20"/>
        </w:rPr>
      </w:pPr>
      <w:r>
        <w:rPr>
          <w:rFonts w:ascii="Arial" w:eastAsia="Arial" w:hAnsi="Arial"/>
          <w:color w:val="000000"/>
          <w:sz w:val="20"/>
        </w:rPr>
        <w:t>b.</w:t>
      </w:r>
      <w:r>
        <w:rPr>
          <w:rFonts w:ascii="Arial" w:eastAsia="Arial" w:hAnsi="Arial"/>
          <w:color w:val="000000"/>
          <w:sz w:val="20"/>
        </w:rPr>
        <w:tab/>
        <w:t>contains the clinical condition that the referrer is seeking to treat; and</w:t>
      </w:r>
    </w:p>
    <w:p w14:paraId="48ED717F" w14:textId="77777777" w:rsidR="00B22B2B" w:rsidRDefault="00F32F1D">
      <w:pPr>
        <w:tabs>
          <w:tab w:val="left" w:pos="1584"/>
        </w:tabs>
        <w:spacing w:before="57" w:line="288" w:lineRule="exact"/>
        <w:ind w:left="1584" w:hanging="576"/>
        <w:jc w:val="both"/>
        <w:textAlignment w:val="baseline"/>
        <w:rPr>
          <w:rFonts w:ascii="Arial" w:eastAsia="Arial" w:hAnsi="Arial"/>
          <w:color w:val="000000"/>
          <w:sz w:val="20"/>
        </w:rPr>
      </w:pPr>
      <w:r>
        <w:rPr>
          <w:rFonts w:ascii="Arial" w:eastAsia="Arial" w:hAnsi="Arial"/>
          <w:color w:val="000000"/>
          <w:sz w:val="20"/>
        </w:rPr>
        <w:t>c.</w:t>
      </w:r>
      <w:r>
        <w:rPr>
          <w:rFonts w:ascii="Arial" w:eastAsia="Arial" w:hAnsi="Arial"/>
          <w:color w:val="000000"/>
          <w:sz w:val="20"/>
        </w:rPr>
        <w:tab/>
        <w:t>includes a statement from the referrer confirming that other treatment options have been considered; and</w:t>
      </w:r>
    </w:p>
    <w:p w14:paraId="5827F066" w14:textId="77777777" w:rsidR="00B22B2B" w:rsidRDefault="00F32F1D">
      <w:pPr>
        <w:tabs>
          <w:tab w:val="left" w:pos="1584"/>
        </w:tabs>
        <w:spacing w:before="122" w:line="229" w:lineRule="exact"/>
        <w:ind w:left="1008"/>
        <w:textAlignment w:val="baseline"/>
        <w:rPr>
          <w:rFonts w:ascii="Arial" w:eastAsia="Arial" w:hAnsi="Arial"/>
          <w:color w:val="000000"/>
          <w:sz w:val="20"/>
        </w:rPr>
      </w:pPr>
      <w:r>
        <w:rPr>
          <w:rFonts w:ascii="Arial" w:eastAsia="Arial" w:hAnsi="Arial"/>
          <w:color w:val="000000"/>
          <w:sz w:val="20"/>
        </w:rPr>
        <w:t>d.</w:t>
      </w:r>
      <w:r>
        <w:rPr>
          <w:rFonts w:ascii="Arial" w:eastAsia="Arial" w:hAnsi="Arial"/>
          <w:color w:val="000000"/>
          <w:sz w:val="20"/>
        </w:rPr>
        <w:tab/>
        <w:t>contains patient identification information; and</w:t>
      </w:r>
    </w:p>
    <w:p w14:paraId="0F3E5C0A" w14:textId="77777777" w:rsidR="00B22B2B" w:rsidRDefault="00F32F1D">
      <w:pPr>
        <w:tabs>
          <w:tab w:val="left" w:pos="1584"/>
        </w:tabs>
        <w:spacing w:before="116" w:line="231" w:lineRule="exact"/>
        <w:ind w:left="1008"/>
        <w:textAlignment w:val="baseline"/>
        <w:rPr>
          <w:rFonts w:ascii="Arial" w:eastAsia="Arial" w:hAnsi="Arial"/>
          <w:color w:val="000000"/>
          <w:sz w:val="20"/>
        </w:rPr>
      </w:pPr>
      <w:r>
        <w:rPr>
          <w:rFonts w:ascii="Arial" w:eastAsia="Arial" w:hAnsi="Arial"/>
          <w:color w:val="000000"/>
          <w:sz w:val="20"/>
        </w:rPr>
        <w:t>e.</w:t>
      </w:r>
      <w:r>
        <w:rPr>
          <w:rFonts w:ascii="Arial" w:eastAsia="Arial" w:hAnsi="Arial"/>
          <w:color w:val="000000"/>
          <w:sz w:val="20"/>
        </w:rPr>
        <w:tab/>
        <w:t>provides the referrer’s contact details for consultative purposes.</w:t>
      </w:r>
    </w:p>
    <w:p w14:paraId="665D9D15" w14:textId="77777777" w:rsidR="00B22B2B" w:rsidRDefault="00F32F1D">
      <w:pPr>
        <w:tabs>
          <w:tab w:val="left" w:pos="432"/>
        </w:tabs>
        <w:spacing w:before="65" w:line="285" w:lineRule="exact"/>
        <w:ind w:left="432" w:hanging="432"/>
        <w:jc w:val="both"/>
        <w:textAlignment w:val="baseline"/>
        <w:rPr>
          <w:rFonts w:ascii="Arial" w:eastAsia="Arial" w:hAnsi="Arial"/>
          <w:color w:val="000000"/>
          <w:sz w:val="20"/>
        </w:rPr>
      </w:pPr>
      <w:r>
        <w:rPr>
          <w:rFonts w:ascii="Arial" w:eastAsia="Arial" w:hAnsi="Arial"/>
          <w:color w:val="000000"/>
          <w:sz w:val="20"/>
        </w:rPr>
        <w:t>3.</w:t>
      </w:r>
      <w:r>
        <w:rPr>
          <w:rFonts w:ascii="Arial" w:eastAsia="Arial" w:hAnsi="Arial"/>
          <w:color w:val="000000"/>
          <w:sz w:val="20"/>
        </w:rPr>
        <w:tab/>
        <w:t xml:space="preserve">The management licence holder must ensure that sufficient evidence is retained for each treatment to be able to demonstrate, at any time, compliance with the requirements in this document. The evidence must include referrals, histological </w:t>
      </w:r>
      <w:proofErr w:type="gramStart"/>
      <w:r>
        <w:rPr>
          <w:rFonts w:ascii="Arial" w:eastAsia="Arial" w:hAnsi="Arial"/>
          <w:color w:val="000000"/>
          <w:sz w:val="20"/>
        </w:rPr>
        <w:t>reports</w:t>
      </w:r>
      <w:proofErr w:type="gramEnd"/>
      <w:r>
        <w:rPr>
          <w:rFonts w:ascii="Arial" w:eastAsia="Arial" w:hAnsi="Arial"/>
          <w:color w:val="000000"/>
          <w:sz w:val="20"/>
        </w:rPr>
        <w:t xml:space="preserve"> and sufficiently detailed clinical notes.</w:t>
      </w:r>
    </w:p>
    <w:p w14:paraId="30602A56" w14:textId="77777777" w:rsidR="00B22B2B" w:rsidRDefault="00F32F1D">
      <w:pPr>
        <w:spacing w:before="721" w:line="454" w:lineRule="exact"/>
        <w:textAlignment w:val="baseline"/>
        <w:rPr>
          <w:rFonts w:ascii="Arial" w:eastAsia="Arial" w:hAnsi="Arial"/>
          <w:color w:val="C5511A"/>
          <w:spacing w:val="-6"/>
          <w:w w:val="105"/>
          <w:sz w:val="39"/>
        </w:rPr>
      </w:pPr>
      <w:r>
        <w:rPr>
          <w:rFonts w:ascii="Arial" w:eastAsia="Arial" w:hAnsi="Arial"/>
          <w:color w:val="C5511A"/>
          <w:spacing w:val="-6"/>
          <w:w w:val="105"/>
          <w:sz w:val="39"/>
        </w:rPr>
        <w:t>Definitions</w:t>
      </w:r>
    </w:p>
    <w:p w14:paraId="7444FACF" w14:textId="77777777" w:rsidR="00B22B2B" w:rsidRDefault="00F32F1D">
      <w:pPr>
        <w:spacing w:before="54" w:line="288" w:lineRule="exact"/>
        <w:jc w:val="both"/>
        <w:textAlignment w:val="baseline"/>
        <w:rPr>
          <w:rFonts w:ascii="Arial" w:eastAsia="Arial" w:hAnsi="Arial"/>
          <w:b/>
          <w:color w:val="000000"/>
          <w:sz w:val="20"/>
        </w:rPr>
      </w:pPr>
      <w:r>
        <w:rPr>
          <w:rFonts w:ascii="Arial" w:eastAsia="Arial" w:hAnsi="Arial"/>
          <w:b/>
          <w:color w:val="000000"/>
          <w:sz w:val="20"/>
        </w:rPr>
        <w:t xml:space="preserve">“Approved research project” </w:t>
      </w:r>
      <w:r>
        <w:rPr>
          <w:rFonts w:ascii="Arial" w:eastAsia="Arial" w:hAnsi="Arial"/>
          <w:color w:val="000000"/>
          <w:sz w:val="20"/>
        </w:rPr>
        <w:t>means a research project approved by a Human Research Ethics Committee in accordance with the Code of Practice for the Exposure of Humans to Ionizing Radiation for Research Purposes (2005).</w:t>
      </w:r>
    </w:p>
    <w:p w14:paraId="1556C1AD" w14:textId="77777777" w:rsidR="00B22B2B" w:rsidRDefault="00F32F1D">
      <w:pPr>
        <w:spacing w:before="120" w:line="288" w:lineRule="exact"/>
        <w:jc w:val="both"/>
        <w:textAlignment w:val="baseline"/>
        <w:rPr>
          <w:rFonts w:ascii="Arial" w:eastAsia="Arial" w:hAnsi="Arial"/>
          <w:b/>
          <w:color w:val="000000"/>
          <w:sz w:val="20"/>
        </w:rPr>
      </w:pPr>
      <w:r>
        <w:rPr>
          <w:rFonts w:ascii="Arial" w:eastAsia="Arial" w:hAnsi="Arial"/>
          <w:b/>
          <w:color w:val="000000"/>
          <w:sz w:val="20"/>
        </w:rPr>
        <w:t xml:space="preserve">“Radiation Medical Practitioner” </w:t>
      </w:r>
      <w:r>
        <w:rPr>
          <w:rFonts w:ascii="Arial" w:eastAsia="Arial" w:hAnsi="Arial"/>
          <w:color w:val="000000"/>
          <w:sz w:val="20"/>
        </w:rPr>
        <w:t>means the medical practitioner responsible for the overall conduct of the procedure involving the exposure of the patient to ionizing radiation.</w:t>
      </w:r>
    </w:p>
    <w:p w14:paraId="3C50C1AB" w14:textId="77777777" w:rsidR="00B22B2B" w:rsidRDefault="00F32F1D">
      <w:pPr>
        <w:spacing w:before="120" w:line="288" w:lineRule="exact"/>
        <w:jc w:val="both"/>
        <w:textAlignment w:val="baseline"/>
        <w:rPr>
          <w:rFonts w:ascii="Arial" w:eastAsia="Arial" w:hAnsi="Arial"/>
          <w:b/>
          <w:color w:val="000000"/>
          <w:sz w:val="20"/>
        </w:rPr>
      </w:pPr>
      <w:r>
        <w:rPr>
          <w:rFonts w:ascii="Arial" w:eastAsia="Arial" w:hAnsi="Arial"/>
          <w:b/>
          <w:color w:val="000000"/>
          <w:sz w:val="20"/>
        </w:rPr>
        <w:t xml:space="preserve">“Radiation Oncologist” </w:t>
      </w:r>
      <w:r>
        <w:rPr>
          <w:rFonts w:ascii="Arial" w:eastAsia="Arial" w:hAnsi="Arial"/>
          <w:color w:val="000000"/>
          <w:sz w:val="20"/>
        </w:rPr>
        <w:t>means a person registered as a medical specialist in the field of Radiation Oncology with the Australian Health Practitioner Regulation Agency (AHPRA).</w:t>
      </w:r>
    </w:p>
    <w:p w14:paraId="0122A354" w14:textId="77777777" w:rsidR="00B22B2B" w:rsidRDefault="00F32F1D">
      <w:pPr>
        <w:spacing w:before="115" w:line="288" w:lineRule="exact"/>
        <w:jc w:val="both"/>
        <w:textAlignment w:val="baseline"/>
        <w:rPr>
          <w:rFonts w:ascii="Arial" w:eastAsia="Arial" w:hAnsi="Arial"/>
          <w:b/>
          <w:color w:val="000000"/>
          <w:sz w:val="20"/>
        </w:rPr>
      </w:pPr>
      <w:r>
        <w:rPr>
          <w:rFonts w:ascii="Arial" w:eastAsia="Arial" w:hAnsi="Arial"/>
          <w:b/>
          <w:color w:val="000000"/>
          <w:sz w:val="20"/>
        </w:rPr>
        <w:t xml:space="preserve">“Plastic Surgeon” </w:t>
      </w:r>
      <w:r>
        <w:rPr>
          <w:rFonts w:ascii="Arial" w:eastAsia="Arial" w:hAnsi="Arial"/>
          <w:color w:val="000000"/>
          <w:sz w:val="20"/>
        </w:rPr>
        <w:t>means a person registered as a medical specialist in the field of Plastic Surgery with the Australian Health Practitioner Regulation Agency (AHPRA).</w:t>
      </w:r>
    </w:p>
    <w:p w14:paraId="5A202192" w14:textId="77777777" w:rsidR="00B22B2B" w:rsidRDefault="00F32F1D" w:rsidP="00F32F1D">
      <w:pPr>
        <w:spacing w:before="120" w:after="4813" w:line="288" w:lineRule="exact"/>
        <w:jc w:val="both"/>
        <w:textAlignment w:val="baseline"/>
        <w:rPr>
          <w:rFonts w:ascii="Arial" w:eastAsia="Arial" w:hAnsi="Arial"/>
          <w:color w:val="000000"/>
          <w:sz w:val="20"/>
        </w:rPr>
      </w:pPr>
      <w:r>
        <w:rPr>
          <w:rFonts w:ascii="Arial" w:eastAsia="Arial" w:hAnsi="Arial"/>
          <w:b/>
          <w:color w:val="000000"/>
          <w:sz w:val="20"/>
        </w:rPr>
        <w:t xml:space="preserve">“Specialist Dermatologist” </w:t>
      </w:r>
      <w:r>
        <w:rPr>
          <w:rFonts w:ascii="Arial" w:eastAsia="Arial" w:hAnsi="Arial"/>
          <w:color w:val="000000"/>
          <w:sz w:val="20"/>
        </w:rPr>
        <w:t>means a person registered as a medical specialist in the field of Dermatology with the Australian Health Practitioner Regulation Agency (AHPRA).</w:t>
      </w:r>
    </w:p>
    <w:tbl>
      <w:tblPr>
        <w:tblpPr w:leftFromText="180" w:rightFromText="180" w:vertAnchor="text" w:horzAnchor="margin" w:tblpY="603"/>
        <w:tblW w:w="0" w:type="auto"/>
        <w:tblLook w:val="04A0" w:firstRow="1" w:lastRow="0" w:firstColumn="1" w:lastColumn="0" w:noHBand="0" w:noVBand="1"/>
      </w:tblPr>
      <w:tblGrid>
        <w:gridCol w:w="9760"/>
      </w:tblGrid>
      <w:tr w:rsidR="00D6683D" w14:paraId="6D57BF8E" w14:textId="77777777" w:rsidTr="00D6683D">
        <w:tc>
          <w:tcPr>
            <w:tcW w:w="9760" w:type="dxa"/>
          </w:tcPr>
          <w:p w14:paraId="2BD3A151" w14:textId="3A777F8A" w:rsidR="00D6683D" w:rsidRPr="0055119B" w:rsidRDefault="00D6683D" w:rsidP="00D6683D">
            <w:pPr>
              <w:pStyle w:val="Accessibilitypara"/>
            </w:pPr>
            <w:bookmarkStart w:id="0" w:name="_Hlk37240926"/>
            <w:r w:rsidRPr="0055119B">
              <w:lastRenderedPageBreak/>
              <w:t>To receive this document in another format</w:t>
            </w:r>
            <w:r>
              <w:t>,</w:t>
            </w:r>
            <w:r w:rsidRPr="0055119B">
              <w:t xml:space="preserve"> email </w:t>
            </w:r>
            <w:r>
              <w:t xml:space="preserve">the </w:t>
            </w:r>
            <w:hyperlink r:id="rId12" w:history="1">
              <w:r w:rsidRPr="00065D7E">
                <w:rPr>
                  <w:rStyle w:val="Hyperlink"/>
                </w:rPr>
                <w:t>Radiation</w:t>
              </w:r>
            </w:hyperlink>
            <w:r>
              <w:rPr>
                <w:rStyle w:val="Hyperlink"/>
              </w:rPr>
              <w:t xml:space="preserve"> Team</w:t>
            </w:r>
            <w:r>
              <w:t xml:space="preserve"> </w:t>
            </w:r>
            <w:r w:rsidRPr="0055119B">
              <w:t>&lt;</w:t>
            </w:r>
            <w:r>
              <w:t>radiation.safety</w:t>
            </w:r>
            <w:r w:rsidRPr="00F130F2">
              <w:t>@health.vic.gov.au</w:t>
            </w:r>
            <w:r w:rsidRPr="0055119B">
              <w:t>&gt;.</w:t>
            </w:r>
          </w:p>
          <w:p w14:paraId="70E07A90" w14:textId="77777777" w:rsidR="00D6683D" w:rsidRPr="0055119B" w:rsidRDefault="00D6683D" w:rsidP="00D6683D">
            <w:pPr>
              <w:pStyle w:val="Imprint"/>
            </w:pPr>
            <w:r w:rsidRPr="0055119B">
              <w:t>Authorised and published by the Victorian Government, 1 Treasury Place, Melbourne.</w:t>
            </w:r>
          </w:p>
          <w:p w14:paraId="6ECAD3DB" w14:textId="77777777" w:rsidR="00D6683D" w:rsidRPr="0055119B" w:rsidRDefault="00D6683D" w:rsidP="00D6683D">
            <w:pPr>
              <w:pStyle w:val="Imprint"/>
            </w:pPr>
            <w:r w:rsidRPr="0055119B">
              <w:t xml:space="preserve">© State of Victoria, Australia, </w:t>
            </w:r>
            <w:r w:rsidRPr="001E2A36">
              <w:t>Department of Health</w:t>
            </w:r>
            <w:r w:rsidRPr="0055119B">
              <w:t xml:space="preserve">, </w:t>
            </w:r>
            <w:r>
              <w:t>January 2024</w:t>
            </w:r>
            <w:r w:rsidRPr="0055119B">
              <w:t>.</w:t>
            </w:r>
          </w:p>
          <w:p w14:paraId="762E67F9" w14:textId="4A6EDABC" w:rsidR="00D6683D" w:rsidRDefault="00D6683D" w:rsidP="00D6683D">
            <w:pPr>
              <w:pStyle w:val="Imprint"/>
            </w:pPr>
            <w:r w:rsidRPr="0055119B">
              <w:t xml:space="preserve">Available at </w:t>
            </w:r>
            <w:hyperlink r:id="rId13" w:history="1">
              <w:r w:rsidR="0098327E" w:rsidRPr="0098327E">
                <w:rPr>
                  <w:rStyle w:val="Hyperlink"/>
                </w:rPr>
                <w:t>Requirements for the treatment of skin cancer using Rhenium-188 unsealed brachytherapy</w:t>
              </w:r>
            </w:hyperlink>
            <w:r w:rsidR="0098327E">
              <w:t xml:space="preserve"> </w:t>
            </w:r>
            <w:r w:rsidRPr="0055119B">
              <w:t>&lt;</w:t>
            </w:r>
            <w:r w:rsidR="0098327E" w:rsidRPr="0098327E">
              <w:t>https://www.health.vic.gov.au/radiation/requirements-treatment-of-skin-cancer-rhenium-188-unsealed-brachytherapy-compound</w:t>
            </w:r>
            <w:r w:rsidRPr="0055119B">
              <w:t>&gt;</w:t>
            </w:r>
          </w:p>
        </w:tc>
      </w:tr>
      <w:bookmarkEnd w:id="0"/>
    </w:tbl>
    <w:p w14:paraId="465CF1FC" w14:textId="5342A7BB" w:rsidR="00D6683D" w:rsidRPr="00F32F1D" w:rsidRDefault="00D6683D" w:rsidP="00F32F1D">
      <w:pPr>
        <w:spacing w:before="120" w:after="4813" w:line="288" w:lineRule="exact"/>
        <w:jc w:val="both"/>
        <w:textAlignment w:val="baseline"/>
        <w:rPr>
          <w:rFonts w:ascii="Arial" w:eastAsia="Arial" w:hAnsi="Arial"/>
          <w:b/>
          <w:color w:val="000000"/>
          <w:sz w:val="20"/>
        </w:rPr>
        <w:sectPr w:rsidR="00D6683D" w:rsidRPr="00F32F1D">
          <w:pgSz w:w="11909" w:h="16838"/>
          <w:pgMar w:top="1440" w:right="1074" w:bottom="119" w:left="1075" w:header="720" w:footer="720" w:gutter="0"/>
          <w:cols w:space="720"/>
        </w:sectPr>
      </w:pPr>
    </w:p>
    <w:p w14:paraId="528C30BF" w14:textId="0758EAEA" w:rsidR="00F32F1D" w:rsidRDefault="00F32F1D" w:rsidP="00D6683D">
      <w:pPr>
        <w:spacing w:line="439" w:lineRule="exact"/>
        <w:textAlignment w:val="baseline"/>
        <w:rPr>
          <w:rFonts w:ascii="Arial" w:eastAsia="Arial" w:hAnsi="Arial"/>
          <w:color w:val="000000"/>
          <w:sz w:val="20"/>
        </w:rPr>
      </w:pPr>
    </w:p>
    <w:sectPr w:rsidR="00F32F1D" w:rsidSect="00D6683D">
      <w:type w:val="continuous"/>
      <w:pgSz w:w="11909" w:h="16838"/>
      <w:pgMar w:top="1440" w:right="1074" w:bottom="119" w:left="10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DFDB" w14:textId="77777777" w:rsidR="00582F4C" w:rsidRDefault="00582F4C">
      <w:r>
        <w:separator/>
      </w:r>
    </w:p>
  </w:endnote>
  <w:endnote w:type="continuationSeparator" w:id="0">
    <w:p w14:paraId="29F4C906" w14:textId="77777777" w:rsidR="00582F4C" w:rsidRDefault="0058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auto"/>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78C7" w14:textId="7EFD573F" w:rsidR="00F32F1D" w:rsidRDefault="00F32F1D">
    <w:pPr>
      <w:pStyle w:val="Footer"/>
    </w:pPr>
    <w:r>
      <w:rPr>
        <w:noProof/>
      </w:rPr>
      <mc:AlternateContent>
        <mc:Choice Requires="wps">
          <w:drawing>
            <wp:anchor distT="0" distB="0" distL="0" distR="0" simplePos="0" relativeHeight="251659264" behindDoc="0" locked="0" layoutInCell="1" allowOverlap="1" wp14:anchorId="58090F89" wp14:editId="57A5A02E">
              <wp:simplePos x="635" y="635"/>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BE4345" w14:textId="0E2771BB" w:rsidR="00F32F1D" w:rsidRPr="00F32F1D" w:rsidRDefault="00F32F1D" w:rsidP="00F32F1D">
                          <w:pPr>
                            <w:rPr>
                              <w:rFonts w:ascii="Arial Black" w:eastAsia="Arial Black" w:hAnsi="Arial Black" w:cs="Arial Black"/>
                              <w:noProof/>
                              <w:color w:val="000000"/>
                              <w:sz w:val="20"/>
                              <w:szCs w:val="20"/>
                            </w:rPr>
                          </w:pPr>
                          <w:r w:rsidRPr="00F32F1D">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090F89"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0BE4345" w14:textId="0E2771BB" w:rsidR="00F32F1D" w:rsidRPr="00F32F1D" w:rsidRDefault="00F32F1D" w:rsidP="00F32F1D">
                    <w:pPr>
                      <w:rPr>
                        <w:rFonts w:ascii="Arial Black" w:eastAsia="Arial Black" w:hAnsi="Arial Black" w:cs="Arial Black"/>
                        <w:noProof/>
                        <w:color w:val="000000"/>
                        <w:sz w:val="20"/>
                        <w:szCs w:val="20"/>
                      </w:rPr>
                    </w:pPr>
                    <w:r w:rsidRPr="00F32F1D">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1FB1" w14:textId="5BD1492C" w:rsidR="00F32F1D" w:rsidRDefault="00F32F1D">
    <w:pPr>
      <w:pStyle w:val="Footer"/>
    </w:pPr>
    <w:r>
      <w:rPr>
        <w:noProof/>
      </w:rPr>
      <mc:AlternateContent>
        <mc:Choice Requires="wps">
          <w:drawing>
            <wp:anchor distT="0" distB="0" distL="0" distR="0" simplePos="0" relativeHeight="251660288" behindDoc="0" locked="0" layoutInCell="1" allowOverlap="1" wp14:anchorId="06F1043D" wp14:editId="4195C3CB">
              <wp:simplePos x="0" y="10077450"/>
              <wp:positionH relativeFrom="page">
                <wp:align>center</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FBFA04" w14:textId="6CB34D02" w:rsidR="00F32F1D" w:rsidRPr="00F32F1D" w:rsidRDefault="00F32F1D" w:rsidP="00F32F1D">
                          <w:pPr>
                            <w:rPr>
                              <w:rFonts w:ascii="Arial Black" w:eastAsia="Arial Black" w:hAnsi="Arial Black" w:cs="Arial Black"/>
                              <w:noProof/>
                              <w:color w:val="000000"/>
                              <w:sz w:val="20"/>
                              <w:szCs w:val="20"/>
                            </w:rPr>
                          </w:pPr>
                          <w:r w:rsidRPr="00F32F1D">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F1043D"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BFBFA04" w14:textId="6CB34D02" w:rsidR="00F32F1D" w:rsidRPr="00F32F1D" w:rsidRDefault="00F32F1D" w:rsidP="00F32F1D">
                    <w:pPr>
                      <w:rPr>
                        <w:rFonts w:ascii="Arial Black" w:eastAsia="Arial Black" w:hAnsi="Arial Black" w:cs="Arial Black"/>
                        <w:noProof/>
                        <w:color w:val="000000"/>
                        <w:sz w:val="20"/>
                        <w:szCs w:val="20"/>
                      </w:rPr>
                    </w:pPr>
                    <w:r w:rsidRPr="00F32F1D">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7363" w14:textId="6D6A1C4F" w:rsidR="00F32F1D" w:rsidRDefault="00F32F1D">
    <w:pPr>
      <w:pStyle w:val="Footer"/>
    </w:pPr>
    <w:r>
      <w:rPr>
        <w:noProof/>
      </w:rPr>
      <mc:AlternateContent>
        <mc:Choice Requires="wps">
          <w:drawing>
            <wp:anchor distT="0" distB="0" distL="0" distR="0" simplePos="0" relativeHeight="251658240" behindDoc="0" locked="0" layoutInCell="1" allowOverlap="1" wp14:anchorId="1ACCF963" wp14:editId="62C23935">
              <wp:simplePos x="635" y="635"/>
              <wp:positionH relativeFrom="page">
                <wp:align>center</wp:align>
              </wp:positionH>
              <wp:positionV relativeFrom="page">
                <wp:align>bottom</wp:align>
              </wp:positionV>
              <wp:extent cx="443865" cy="443865"/>
              <wp:effectExtent l="0" t="0" r="1016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BF85D" w14:textId="2C73C66D" w:rsidR="00F32F1D" w:rsidRPr="00F32F1D" w:rsidRDefault="00F32F1D" w:rsidP="00F32F1D">
                          <w:pPr>
                            <w:rPr>
                              <w:rFonts w:ascii="Arial Black" w:eastAsia="Arial Black" w:hAnsi="Arial Black" w:cs="Arial Black"/>
                              <w:noProof/>
                              <w:color w:val="000000"/>
                              <w:sz w:val="20"/>
                              <w:szCs w:val="20"/>
                            </w:rPr>
                          </w:pPr>
                          <w:r w:rsidRPr="00F32F1D">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CCF963"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BFBF85D" w14:textId="2C73C66D" w:rsidR="00F32F1D" w:rsidRPr="00F32F1D" w:rsidRDefault="00F32F1D" w:rsidP="00F32F1D">
                    <w:pPr>
                      <w:rPr>
                        <w:rFonts w:ascii="Arial Black" w:eastAsia="Arial Black" w:hAnsi="Arial Black" w:cs="Arial Black"/>
                        <w:noProof/>
                        <w:color w:val="000000"/>
                        <w:sz w:val="20"/>
                        <w:szCs w:val="20"/>
                      </w:rPr>
                    </w:pPr>
                    <w:r w:rsidRPr="00F32F1D">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A0AD" w14:textId="77777777" w:rsidR="00582F4C" w:rsidRDefault="00582F4C"/>
  </w:footnote>
  <w:footnote w:type="continuationSeparator" w:id="0">
    <w:p w14:paraId="67C4E803" w14:textId="77777777" w:rsidR="00582F4C" w:rsidRDefault="00582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A1EF3"/>
    <w:multiLevelType w:val="multilevel"/>
    <w:tmpl w:val="064CF9C0"/>
    <w:lvl w:ilvl="0">
      <w:start w:val="1"/>
      <w:numFmt w:val="lowerRoman"/>
      <w:lvlText w:val="%1."/>
      <w:lvlJc w:val="left"/>
      <w:pPr>
        <w:tabs>
          <w:tab w:val="left" w:pos="72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59944F1"/>
    <w:multiLevelType w:val="multilevel"/>
    <w:tmpl w:val="309E657E"/>
    <w:lvl w:ilvl="0">
      <w:start w:val="1"/>
      <w:numFmt w:val="decimal"/>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7466354">
    <w:abstractNumId w:val="1"/>
  </w:num>
  <w:num w:numId="2" w16cid:durableId="128137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2B"/>
    <w:rsid w:val="00582F4C"/>
    <w:rsid w:val="006814C4"/>
    <w:rsid w:val="0098327E"/>
    <w:rsid w:val="009A2F4C"/>
    <w:rsid w:val="00B22B2B"/>
    <w:rsid w:val="00D6683D"/>
    <w:rsid w:val="00F32F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30B491C"/>
  <w15:docId w15:val="{99999757-0C64-4DDE-88A8-015B7774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2F1D"/>
    <w:pPr>
      <w:tabs>
        <w:tab w:val="center" w:pos="4513"/>
        <w:tab w:val="right" w:pos="9026"/>
      </w:tabs>
    </w:pPr>
  </w:style>
  <w:style w:type="character" w:customStyle="1" w:styleId="FooterChar">
    <w:name w:val="Footer Char"/>
    <w:basedOn w:val="DefaultParagraphFont"/>
    <w:link w:val="Footer"/>
    <w:uiPriority w:val="99"/>
    <w:rsid w:val="00F32F1D"/>
  </w:style>
  <w:style w:type="paragraph" w:customStyle="1" w:styleId="Body">
    <w:name w:val="Body"/>
    <w:link w:val="BodyChar"/>
    <w:qFormat/>
    <w:rsid w:val="00D6683D"/>
    <w:pPr>
      <w:spacing w:after="120" w:line="280" w:lineRule="atLeast"/>
    </w:pPr>
    <w:rPr>
      <w:rFonts w:ascii="Arial" w:eastAsia="Times" w:hAnsi="Arial"/>
      <w:sz w:val="21"/>
      <w:szCs w:val="20"/>
      <w:lang w:val="en-AU"/>
    </w:rPr>
  </w:style>
  <w:style w:type="paragraph" w:customStyle="1" w:styleId="Accessibilitypara">
    <w:name w:val="Accessibility para"/>
    <w:uiPriority w:val="8"/>
    <w:rsid w:val="00D6683D"/>
    <w:pPr>
      <w:spacing w:before="240" w:after="200" w:line="300" w:lineRule="atLeast"/>
    </w:pPr>
    <w:rPr>
      <w:rFonts w:ascii="Arial" w:eastAsia="Times" w:hAnsi="Arial"/>
      <w:sz w:val="24"/>
      <w:szCs w:val="19"/>
      <w:lang w:val="en-AU"/>
    </w:rPr>
  </w:style>
  <w:style w:type="character" w:styleId="Hyperlink">
    <w:name w:val="Hyperlink"/>
    <w:uiPriority w:val="99"/>
    <w:rsid w:val="00D6683D"/>
    <w:rPr>
      <w:color w:val="004C97"/>
      <w:u w:val="dotted"/>
    </w:rPr>
  </w:style>
  <w:style w:type="character" w:customStyle="1" w:styleId="BodyChar">
    <w:name w:val="Body Char"/>
    <w:basedOn w:val="DefaultParagraphFont"/>
    <w:link w:val="Body"/>
    <w:rsid w:val="00D6683D"/>
    <w:rPr>
      <w:rFonts w:ascii="Arial" w:eastAsia="Times" w:hAnsi="Arial"/>
      <w:sz w:val="21"/>
      <w:szCs w:val="20"/>
      <w:lang w:val="en-AU"/>
    </w:rPr>
  </w:style>
  <w:style w:type="paragraph" w:customStyle="1" w:styleId="Imprint">
    <w:name w:val="Imprint"/>
    <w:basedOn w:val="Body"/>
    <w:uiPriority w:val="11"/>
    <w:rsid w:val="00D6683D"/>
    <w:pPr>
      <w:spacing w:after="60" w:line="270" w:lineRule="atLeast"/>
    </w:pPr>
    <w:rPr>
      <w:color w:val="000000" w:themeColor="text1"/>
      <w:sz w:val="20"/>
    </w:rPr>
  </w:style>
  <w:style w:type="character" w:styleId="UnresolvedMention">
    <w:name w:val="Unresolved Mention"/>
    <w:basedOn w:val="DefaultParagraphFont"/>
    <w:uiPriority w:val="99"/>
    <w:semiHidden/>
    <w:unhideWhenUsed/>
    <w:rsid w:val="00D66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health.vic.gov.au/radiation/requirements-treatment-of-skin-cancer-rhenium-188-unsealed-brachytherapy-compound"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radiation.safety@health.vic.gov.au"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the treatment of skin cancer using Rhenium-188 unsealed brachytherapy compound</dc:title>
  <cp:keywords>rhenium 188, skin cancer, treatment</cp:keywords>
  <cp:revision>5</cp:revision>
  <dcterms:created xsi:type="dcterms:W3CDTF">2024-01-22T23:42:00Z</dcterms:created>
  <dcterms:modified xsi:type="dcterms:W3CDTF">2024-01-24T23:26:00Z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2024-01-22T23:38:54Z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32984234-2882-4e5b-abd3-fce98e8c68fb</vt:lpwstr>
  </property>
  <property fmtid="{D5CDD505-2E9C-101B-9397-08002B2CF9AE}" pid="11" name="MSIP_Label_43e64453-338c-4f93-8a4d-0039a0a41f2a_ContentBits">
    <vt:lpwstr>2</vt:lpwstr>
  </property>
</Properties>
</file>