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7542" w:type="dxa"/>
        <w:tblInd w:w="113" w:type="dxa"/>
        <w:tblCellMar>
          <w:left w:w="0" w:type="dxa"/>
          <w:right w:w="0" w:type="dxa"/>
        </w:tblCellMar>
        <w:tblLook w:val="04A0" w:firstRow="1" w:lastRow="0" w:firstColumn="1" w:lastColumn="0" w:noHBand="0" w:noVBand="1"/>
      </w:tblPr>
      <w:tblGrid>
        <w:gridCol w:w="7542"/>
      </w:tblGrid>
      <w:tr w:rsidR="00722DF4" w:rsidRPr="00722DF4" w14:paraId="1FC2B1E2" w14:textId="77777777" w:rsidTr="007D6BCA">
        <w:trPr>
          <w:trHeight w:val="3988"/>
        </w:trPr>
        <w:tc>
          <w:tcPr>
            <w:tcW w:w="7542" w:type="dxa"/>
            <w:shd w:val="clear" w:color="auto" w:fill="auto"/>
          </w:tcPr>
          <w:p w14:paraId="06C71E64" w14:textId="3C9F7A8D" w:rsidR="00A706B4" w:rsidRPr="00982751" w:rsidRDefault="00E66235" w:rsidP="00E50474">
            <w:pPr>
              <w:pStyle w:val="Reportmaintitle"/>
              <w:rPr>
                <w:bCs/>
              </w:rPr>
            </w:pPr>
            <w:r w:rsidRPr="00982751">
              <w:t xml:space="preserve">Victorian </w:t>
            </w:r>
            <w:r w:rsidR="00722DF4" w:rsidRPr="00982751">
              <w:rPr>
                <w:bCs/>
                <w:noProof/>
              </w:rPr>
              <w:drawing>
                <wp:anchor distT="0" distB="0" distL="114300" distR="114300" simplePos="0" relativeHeight="252315648" behindDoc="1" locked="1" layoutInCell="1" allowOverlap="0" wp14:anchorId="77387035" wp14:editId="1C5CF591">
                  <wp:simplePos x="0" y="0"/>
                  <wp:positionH relativeFrom="page">
                    <wp:posOffset>-909320</wp:posOffset>
                  </wp:positionH>
                  <wp:positionV relativeFrom="page">
                    <wp:posOffset>-2691765</wp:posOffset>
                  </wp:positionV>
                  <wp:extent cx="7635875" cy="10668000"/>
                  <wp:effectExtent l="0" t="0" r="3175" b="0"/>
                  <wp:wrapNone/>
                  <wp:docPr id="265" name="Picture 2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1"/>
                          <a:stretch>
                            <a:fillRect/>
                          </a:stretch>
                        </pic:blipFill>
                        <pic:spPr>
                          <a:xfrm>
                            <a:off x="0" y="0"/>
                            <a:ext cx="7635875" cy="10668000"/>
                          </a:xfrm>
                          <a:prstGeom prst="rect">
                            <a:avLst/>
                          </a:prstGeom>
                        </pic:spPr>
                      </pic:pic>
                    </a:graphicData>
                  </a:graphic>
                  <wp14:sizeRelH relativeFrom="margin">
                    <wp14:pctWidth>0</wp14:pctWidth>
                  </wp14:sizeRelH>
                  <wp14:sizeRelV relativeFrom="margin">
                    <wp14:pctHeight>0</wp14:pctHeight>
                  </wp14:sizeRelV>
                </wp:anchor>
              </w:drawing>
            </w:r>
            <w:r w:rsidRPr="00982751">
              <w:t>cancer plan mon</w:t>
            </w:r>
            <w:r w:rsidR="00E1168E" w:rsidRPr="00982751">
              <w:t xml:space="preserve">itoring and evaluation </w:t>
            </w:r>
            <w:r w:rsidR="00660C83" w:rsidRPr="00982751">
              <w:t>framework</w:t>
            </w:r>
            <w:r w:rsidR="00952FC7" w:rsidRPr="00982751">
              <w:t>:</w:t>
            </w:r>
            <w:r w:rsidR="00F94579">
              <w:t xml:space="preserve"> </w:t>
            </w:r>
            <w:r w:rsidR="00615B85">
              <w:t xml:space="preserve">2023 </w:t>
            </w:r>
            <w:r w:rsidR="004127B3" w:rsidRPr="00982751">
              <w:t xml:space="preserve">progress </w:t>
            </w:r>
            <w:r w:rsidR="00660C83" w:rsidRPr="00982751">
              <w:t>report</w:t>
            </w:r>
          </w:p>
          <w:p w14:paraId="081337B2" w14:textId="03A2347E" w:rsidR="0056220B" w:rsidRPr="00E50474" w:rsidRDefault="00615B85" w:rsidP="00E91933">
            <w:pPr>
              <w:pStyle w:val="Reportsubtitle"/>
              <w:rPr>
                <w:sz w:val="28"/>
                <w:szCs w:val="28"/>
              </w:rPr>
            </w:pPr>
            <w:r>
              <w:rPr>
                <w:sz w:val="28"/>
                <w:szCs w:val="28"/>
              </w:rPr>
              <w:t>A</w:t>
            </w:r>
            <w:r w:rsidR="008A0E90">
              <w:rPr>
                <w:sz w:val="28"/>
                <w:szCs w:val="28"/>
              </w:rPr>
              <w:t xml:space="preserve"> </w:t>
            </w:r>
            <w:r w:rsidR="00952FC7" w:rsidRPr="00E50474">
              <w:rPr>
                <w:sz w:val="28"/>
                <w:szCs w:val="28"/>
              </w:rPr>
              <w:t xml:space="preserve">report </w:t>
            </w:r>
            <w:r w:rsidR="008A0E90">
              <w:rPr>
                <w:sz w:val="28"/>
                <w:szCs w:val="28"/>
              </w:rPr>
              <w:t xml:space="preserve">of progress </w:t>
            </w:r>
            <w:r w:rsidR="00952FC7" w:rsidRPr="00E50474">
              <w:rPr>
                <w:sz w:val="28"/>
                <w:szCs w:val="28"/>
              </w:rPr>
              <w:t xml:space="preserve">against selected measures in the </w:t>
            </w:r>
            <w:r w:rsidR="00952FC7" w:rsidRPr="00E50474">
              <w:rPr>
                <w:i/>
                <w:sz w:val="28"/>
                <w:szCs w:val="28"/>
              </w:rPr>
              <w:t>Victorian cancer plan monitoring and evaluation framework</w:t>
            </w:r>
            <w:r w:rsidR="00952FC7" w:rsidRPr="00E50474" w:rsidDel="00952FC7">
              <w:rPr>
                <w:sz w:val="28"/>
                <w:szCs w:val="28"/>
              </w:rPr>
              <w:t xml:space="preserve"> </w:t>
            </w:r>
          </w:p>
          <w:p w14:paraId="3D953297" w14:textId="268CB66C" w:rsidR="002549DE" w:rsidRPr="00722DF4" w:rsidRDefault="002549DE" w:rsidP="00722DF4">
            <w:pPr>
              <w:pStyle w:val="Reportsubtitle"/>
              <w:rPr>
                <w:color w:val="C00000"/>
              </w:rPr>
            </w:pPr>
          </w:p>
        </w:tc>
      </w:tr>
      <w:tr w:rsidR="00722DF4" w:rsidRPr="00722DF4" w14:paraId="24761364" w14:textId="77777777" w:rsidTr="007D6BCA">
        <w:trPr>
          <w:trHeight w:val="4664"/>
        </w:trPr>
        <w:tc>
          <w:tcPr>
            <w:tcW w:w="7542" w:type="dxa"/>
            <w:shd w:val="clear" w:color="auto" w:fill="auto"/>
          </w:tcPr>
          <w:p w14:paraId="0B2EFB94" w14:textId="66635B9B" w:rsidR="00BC01C1" w:rsidRPr="00722DF4" w:rsidRDefault="00BC01C1" w:rsidP="00A706B4">
            <w:pPr>
              <w:pStyle w:val="Coverinstructions"/>
              <w:rPr>
                <w:color w:val="C00000"/>
              </w:rPr>
            </w:pPr>
          </w:p>
        </w:tc>
      </w:tr>
    </w:tbl>
    <w:p w14:paraId="0C5472F7" w14:textId="0CBE258C" w:rsidR="00C51B1C" w:rsidRDefault="00C51B1C" w:rsidP="00FC4B1F">
      <w:pPr>
        <w:pStyle w:val="Body"/>
        <w:sectPr w:rsidR="00C51B1C" w:rsidSect="00CA0074">
          <w:headerReference w:type="even" r:id="rId12"/>
          <w:headerReference w:type="default" r:id="rId13"/>
          <w:footerReference w:type="even" r:id="rId14"/>
          <w:footerReference w:type="default" r:id="rId15"/>
          <w:headerReference w:type="first" r:id="rId16"/>
          <w:footerReference w:type="first" r:id="rId17"/>
          <w:type w:val="oddPage"/>
          <w:pgSz w:w="11906" w:h="16838"/>
          <w:pgMar w:top="3969" w:right="1304" w:bottom="1134" w:left="1304" w:header="454" w:footer="567" w:gutter="0"/>
          <w:cols w:space="720"/>
          <w:docGrid w:linePitch="360"/>
        </w:sectPr>
      </w:pPr>
    </w:p>
    <w:p w14:paraId="3E228A38" w14:textId="27B8EE4C" w:rsidR="00831BD7" w:rsidRDefault="00831BD7" w:rsidP="00FC4B1F">
      <w:pPr>
        <w:pStyle w:val="Body"/>
      </w:pPr>
      <w:r>
        <w:lastRenderedPageBreak/>
        <w:br w:type="page"/>
      </w:r>
    </w:p>
    <w:tbl>
      <w:tblPr>
        <w:tblStyle w:val="TableGrid"/>
        <w:tblW w:w="7598" w:type="dxa"/>
        <w:tblInd w:w="17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
      <w:tblGrid>
        <w:gridCol w:w="7598"/>
      </w:tblGrid>
      <w:tr w:rsidR="00831BD7" w14:paraId="155B0604" w14:textId="77777777" w:rsidTr="003B391F">
        <w:trPr>
          <w:trHeight w:val="7371"/>
        </w:trPr>
        <w:tc>
          <w:tcPr>
            <w:tcW w:w="7598" w:type="dxa"/>
            <w:vAlign w:val="center"/>
          </w:tcPr>
          <w:p w14:paraId="4E1D4967" w14:textId="1EF40C28" w:rsidR="00831BD7" w:rsidRDefault="00831BD7" w:rsidP="003B391F">
            <w:pPr>
              <w:pStyle w:val="Documenttitle"/>
            </w:pPr>
            <w:r>
              <w:lastRenderedPageBreak/>
              <w:t>Victorian cancer plan monitoring and evaluation framework: progress report</w:t>
            </w:r>
          </w:p>
          <w:p w14:paraId="5495E40F" w14:textId="6AC1D51D" w:rsidR="00831BD7" w:rsidRPr="00831BD7" w:rsidRDefault="00445528" w:rsidP="00831BD7">
            <w:pPr>
              <w:pStyle w:val="Reportsubtitle"/>
              <w:rPr>
                <w:color w:val="auto"/>
                <w:sz w:val="28"/>
                <w:szCs w:val="28"/>
              </w:rPr>
            </w:pPr>
            <w:r>
              <w:rPr>
                <w:sz w:val="28"/>
                <w:szCs w:val="28"/>
              </w:rPr>
              <w:t>A</w:t>
            </w:r>
            <w:r w:rsidR="008A0E90">
              <w:rPr>
                <w:sz w:val="28"/>
                <w:szCs w:val="28"/>
              </w:rPr>
              <w:t xml:space="preserve"> </w:t>
            </w:r>
            <w:r w:rsidR="00831BD7" w:rsidRPr="00E50474">
              <w:rPr>
                <w:sz w:val="28"/>
                <w:szCs w:val="28"/>
              </w:rPr>
              <w:t xml:space="preserve">report </w:t>
            </w:r>
            <w:r w:rsidR="008A0E90">
              <w:rPr>
                <w:sz w:val="28"/>
                <w:szCs w:val="28"/>
              </w:rPr>
              <w:t xml:space="preserve">of progress </w:t>
            </w:r>
            <w:r w:rsidR="00831BD7" w:rsidRPr="00E50474">
              <w:rPr>
                <w:sz w:val="28"/>
                <w:szCs w:val="28"/>
              </w:rPr>
              <w:t xml:space="preserve">against selected measures in the </w:t>
            </w:r>
            <w:r w:rsidR="00831BD7" w:rsidRPr="00E50474">
              <w:rPr>
                <w:i/>
                <w:sz w:val="28"/>
                <w:szCs w:val="28"/>
              </w:rPr>
              <w:t>Victorian cancer plan monitoring and evaluation framework</w:t>
            </w:r>
            <w:r w:rsidR="00831BD7" w:rsidRPr="00E50474" w:rsidDel="00952FC7">
              <w:rPr>
                <w:sz w:val="28"/>
                <w:szCs w:val="28"/>
              </w:rPr>
              <w:t xml:space="preserve"> </w:t>
            </w:r>
          </w:p>
        </w:tc>
      </w:tr>
      <w:tr w:rsidR="00831BD7" w14:paraId="5E62FDE5" w14:textId="77777777" w:rsidTr="003B391F">
        <w:tc>
          <w:tcPr>
            <w:tcW w:w="7598" w:type="dxa"/>
          </w:tcPr>
          <w:p w14:paraId="600296E0" w14:textId="77777777" w:rsidR="00831BD7" w:rsidRDefault="00831BD7" w:rsidP="003B391F">
            <w:pPr>
              <w:pStyle w:val="Body"/>
            </w:pPr>
          </w:p>
        </w:tc>
      </w:tr>
    </w:tbl>
    <w:p w14:paraId="499A6392" w14:textId="62BF3C3C" w:rsidR="006464DE" w:rsidRDefault="006464DE" w:rsidP="00FC4B1F">
      <w:pPr>
        <w:pStyle w:val="Body"/>
      </w:pPr>
    </w:p>
    <w:p w14:paraId="5D76BF95" w14:textId="77777777" w:rsidR="006464DE" w:rsidRDefault="006464DE">
      <w:pPr>
        <w:rPr>
          <w:rFonts w:ascii="Arial" w:eastAsia="Times" w:hAnsi="Arial"/>
          <w:sz w:val="21"/>
          <w:lang w:eastAsia="en-US"/>
        </w:rPr>
      </w:pPr>
      <w:r>
        <w:br w:type="page"/>
      </w:r>
    </w:p>
    <w:tbl>
      <w:tblPr>
        <w:tblW w:w="0" w:type="auto"/>
        <w:tblCellMar>
          <w:top w:w="113" w:type="dxa"/>
          <w:left w:w="0" w:type="dxa"/>
          <w:bottom w:w="57" w:type="dxa"/>
          <w:right w:w="0" w:type="dxa"/>
        </w:tblCellMar>
        <w:tblLook w:val="00A0" w:firstRow="1" w:lastRow="0" w:firstColumn="1" w:lastColumn="0" w:noHBand="0" w:noVBand="0"/>
      </w:tblPr>
      <w:tblGrid>
        <w:gridCol w:w="9286"/>
      </w:tblGrid>
      <w:tr w:rsidR="00564E8F" w:rsidRPr="003072C6" w14:paraId="450FF71F" w14:textId="77777777" w:rsidTr="006464DE">
        <w:trPr>
          <w:trHeight w:val="3015"/>
        </w:trPr>
        <w:tc>
          <w:tcPr>
            <w:tcW w:w="9286" w:type="dxa"/>
          </w:tcPr>
          <w:p w14:paraId="6C9B73A9" w14:textId="127DB9B7" w:rsidR="006F46A3" w:rsidRPr="00E81955" w:rsidRDefault="006F46A3" w:rsidP="00FC4B1F">
            <w:pPr>
              <w:pStyle w:val="Body"/>
              <w:rPr>
                <w:b/>
                <w:bCs/>
                <w:color w:val="AF272F"/>
                <w:sz w:val="32"/>
                <w:szCs w:val="32"/>
              </w:rPr>
            </w:pPr>
            <w:r w:rsidRPr="00E81955">
              <w:rPr>
                <w:b/>
                <w:bCs/>
                <w:color w:val="AF272F"/>
                <w:sz w:val="32"/>
                <w:szCs w:val="32"/>
              </w:rPr>
              <w:lastRenderedPageBreak/>
              <w:t>Disclaimer</w:t>
            </w:r>
          </w:p>
          <w:p w14:paraId="46D3C3EB" w14:textId="76493A77" w:rsidR="00564E8F" w:rsidRPr="0099225F" w:rsidRDefault="006F46A3" w:rsidP="00FC4B1F">
            <w:pPr>
              <w:pStyle w:val="Body"/>
              <w:rPr>
                <w:i/>
                <w:color w:val="008950"/>
                <w:sz w:val="20"/>
              </w:rPr>
            </w:pPr>
            <w:r w:rsidRPr="0099225F">
              <w:rPr>
                <w:sz w:val="20"/>
              </w:rPr>
              <w:t>The information contained in this report has been provided in good faith and reasonable steps have been taken to ensure it is reliable and accurate at the time of publication</w:t>
            </w:r>
            <w:r w:rsidRPr="0099225F">
              <w:rPr>
                <w:b/>
                <w:sz w:val="20"/>
              </w:rPr>
              <w:t xml:space="preserve">. </w:t>
            </w:r>
            <w:r w:rsidRPr="0099225F">
              <w:rPr>
                <w:rStyle w:val="Emphasis"/>
                <w:rFonts w:eastAsia="MS Gothic" w:cs="Arial"/>
                <w:b w:val="0"/>
                <w:sz w:val="20"/>
              </w:rPr>
              <w:t>However, t</w:t>
            </w:r>
            <w:r w:rsidRPr="0099225F">
              <w:rPr>
                <w:sz w:val="20"/>
              </w:rPr>
              <w:t>he</w:t>
            </w:r>
            <w:r w:rsidRPr="0099225F">
              <w:rPr>
                <w:b/>
                <w:sz w:val="20"/>
              </w:rPr>
              <w:t xml:space="preserve"> </w:t>
            </w:r>
            <w:r w:rsidRPr="0099225F">
              <w:rPr>
                <w:rStyle w:val="Emphasis"/>
                <w:rFonts w:eastAsia="MS Gothic" w:cs="Arial"/>
                <w:b w:val="0"/>
                <w:sz w:val="20"/>
              </w:rPr>
              <w:t xml:space="preserve">Department of Health </w:t>
            </w:r>
            <w:r w:rsidRPr="0099225F">
              <w:rPr>
                <w:sz w:val="20"/>
              </w:rPr>
              <w:t>has obtained the data from various data custodians and does not represent or warrant that the content of this report is accurate, authentic</w:t>
            </w:r>
            <w:r w:rsidR="00E533A3" w:rsidRPr="0099225F">
              <w:rPr>
                <w:sz w:val="20"/>
              </w:rPr>
              <w:t>,</w:t>
            </w:r>
            <w:r w:rsidRPr="0099225F">
              <w:rPr>
                <w:sz w:val="20"/>
              </w:rPr>
              <w:t xml:space="preserve"> or complete or that the information contained in this report is suitable for your needs. The information is provided on the basis that the reader will be solely responsible for assessing the information and its veracity and usefulness. To the extent permitted by law, the State of Victoria excludes liability for any loss caused by use or reliance on this report, even if such information is wrong, incomplete, out of date or misleading.</w:t>
            </w:r>
          </w:p>
        </w:tc>
      </w:tr>
      <w:tr w:rsidR="00564E8F" w:rsidRPr="003072C6" w14:paraId="7DF60026" w14:textId="77777777" w:rsidTr="006464DE">
        <w:trPr>
          <w:trHeight w:val="9608"/>
        </w:trPr>
        <w:tc>
          <w:tcPr>
            <w:tcW w:w="9286" w:type="dxa"/>
            <w:vAlign w:val="bottom"/>
          </w:tcPr>
          <w:p w14:paraId="1088378E" w14:textId="1BEE8FE9" w:rsidR="00605B5B" w:rsidRPr="00605B5B" w:rsidRDefault="00605B5B" w:rsidP="00E50474">
            <w:pPr>
              <w:pStyle w:val="Accessibilitypara"/>
            </w:pPr>
            <w:bookmarkStart w:id="0" w:name="_Hlk20983832"/>
            <w:r w:rsidRPr="00605B5B">
              <w:t xml:space="preserve">To receive this publication in an accessible format phone </w:t>
            </w:r>
            <w:r w:rsidR="00A70C46">
              <w:t>1300 650 172</w:t>
            </w:r>
            <w:r w:rsidRPr="00605B5B">
              <w:t xml:space="preserve"> using the National Relay Service 13 36 77 if required, or </w:t>
            </w:r>
            <w:hyperlink r:id="rId18" w:history="1">
              <w:r w:rsidRPr="006B604E">
                <w:rPr>
                  <w:rStyle w:val="Hyperlink"/>
                </w:rPr>
                <w:t>email</w:t>
              </w:r>
              <w:r w:rsidR="00A70C46" w:rsidRPr="006B604E">
                <w:rPr>
                  <w:rStyle w:val="Hyperlink"/>
                </w:rPr>
                <w:t xml:space="preserve"> Cancer Planning</w:t>
              </w:r>
            </w:hyperlink>
            <w:r w:rsidRPr="00605B5B">
              <w:t xml:space="preserve"> </w:t>
            </w:r>
            <w:r w:rsidRPr="001B3060">
              <w:t>&lt;</w:t>
            </w:r>
            <w:r w:rsidR="00097697" w:rsidRPr="006B604E">
              <w:rPr>
                <w:rFonts w:cs="Arial"/>
                <w:szCs w:val="24"/>
              </w:rPr>
              <w:t>cancerplanning@health.vic.gov.au</w:t>
            </w:r>
            <w:r w:rsidRPr="008E5EAE">
              <w:rPr>
                <w:rFonts w:cs="Arial"/>
                <w:szCs w:val="24"/>
              </w:rPr>
              <w:t>&gt;</w:t>
            </w:r>
            <w:r w:rsidR="00CB0C47" w:rsidRPr="008E5EAE">
              <w:rPr>
                <w:rFonts w:cs="Arial"/>
                <w:szCs w:val="24"/>
              </w:rPr>
              <w:t>.</w:t>
            </w:r>
          </w:p>
          <w:bookmarkEnd w:id="0"/>
          <w:p w14:paraId="54C80D83" w14:textId="77777777" w:rsidR="00605B5B" w:rsidRPr="00605B5B" w:rsidRDefault="00605B5B" w:rsidP="00E50474">
            <w:pPr>
              <w:pStyle w:val="Imprint"/>
            </w:pPr>
            <w:r w:rsidRPr="00605B5B">
              <w:t>Authorised and published by the Victorian Governmen</w:t>
            </w:r>
            <w:r>
              <w:t>t, 1 Treasury Place, Melbourne.</w:t>
            </w:r>
          </w:p>
          <w:p w14:paraId="19BB4D02" w14:textId="19D75E2B" w:rsidR="00605B5B" w:rsidRPr="00605B5B" w:rsidRDefault="00605B5B" w:rsidP="00E50474">
            <w:pPr>
              <w:pStyle w:val="Imprint"/>
            </w:pPr>
            <w:r w:rsidRPr="00605B5B">
              <w:t>© State of Victoria, Department of Health</w:t>
            </w:r>
            <w:r w:rsidR="00CB0C47">
              <w:t xml:space="preserve">, </w:t>
            </w:r>
            <w:r w:rsidR="009E4B16">
              <w:t>November</w:t>
            </w:r>
            <w:r w:rsidR="003A740D">
              <w:t xml:space="preserve"> </w:t>
            </w:r>
            <w:r w:rsidR="00A2752B" w:rsidRPr="00A2752B">
              <w:t>20</w:t>
            </w:r>
            <w:r w:rsidR="003A740D">
              <w:t>2</w:t>
            </w:r>
            <w:r w:rsidR="004127B3">
              <w:t>3</w:t>
            </w:r>
          </w:p>
          <w:p w14:paraId="20F69183" w14:textId="1F6D9CD3" w:rsidR="004F7A13" w:rsidRPr="00C32D83" w:rsidRDefault="004F7A13" w:rsidP="00E50474">
            <w:pPr>
              <w:pStyle w:val="Imprint"/>
              <w:rPr>
                <w:rFonts w:cs="Arial"/>
              </w:rPr>
            </w:pPr>
            <w:r>
              <w:rPr>
                <w:noProof/>
              </w:rPr>
              <w:drawing>
                <wp:inline distT="0" distB="0" distL="0" distR="0" wp14:anchorId="7367354F" wp14:editId="383442BD">
                  <wp:extent cx="168965" cy="260801"/>
                  <wp:effectExtent l="0" t="0" r="2540" b="6350"/>
                  <wp:docPr id="237" name="Picture 237" descr="Nordpfeil.pn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Nordpfeil.png"/>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180038" cy="277893"/>
                          </a:xfrm>
                          <a:prstGeom prst="rect">
                            <a:avLst/>
                          </a:prstGeom>
                          <a:noFill/>
                          <a:ln>
                            <a:noFill/>
                          </a:ln>
                        </pic:spPr>
                      </pic:pic>
                    </a:graphicData>
                  </a:graphic>
                </wp:inline>
              </w:drawing>
            </w:r>
            <w:r>
              <w:t xml:space="preserve"> </w:t>
            </w:r>
            <w:r w:rsidRPr="00C32D83">
              <w:t>North s</w:t>
            </w:r>
            <w:r w:rsidR="00C32D83" w:rsidRPr="00C32D83">
              <w:t xml:space="preserve">ymbol from clipart </w:t>
            </w:r>
            <w:r w:rsidR="00C32D83" w:rsidRPr="00C32D83">
              <w:rPr>
                <w:rFonts w:cs="Arial"/>
              </w:rPr>
              <w:t>library &lt;http://clipart-library.com/north.html</w:t>
            </w:r>
            <w:r w:rsidR="00C32D83">
              <w:rPr>
                <w:rFonts w:cs="Arial"/>
              </w:rPr>
              <w:t>&gt;</w:t>
            </w:r>
            <w:r w:rsidR="00C32D83" w:rsidRPr="00C32D83">
              <w:rPr>
                <w:rFonts w:cs="Arial"/>
              </w:rPr>
              <w:t>.</w:t>
            </w:r>
          </w:p>
          <w:p w14:paraId="4DCF9961" w14:textId="6C70E6AF" w:rsidR="00605B5B" w:rsidRPr="00605B5B" w:rsidRDefault="00827012" w:rsidP="00E50474">
            <w:pPr>
              <w:pStyle w:val="Imprint"/>
            </w:pPr>
            <w:r>
              <w:rPr>
                <w:rFonts w:cs="Arial"/>
                <w:b/>
                <w:bCs/>
                <w:color w:val="000000"/>
              </w:rPr>
              <w:t xml:space="preserve">ISBN </w:t>
            </w:r>
            <w:r>
              <w:rPr>
                <w:rFonts w:cs="Arial"/>
                <w:color w:val="000000"/>
              </w:rPr>
              <w:t xml:space="preserve">978-1-76131-123-9 </w:t>
            </w:r>
            <w:r>
              <w:rPr>
                <w:rFonts w:cs="Arial"/>
                <w:b/>
                <w:bCs/>
                <w:color w:val="000000"/>
              </w:rPr>
              <w:t>(pdf/online/MS word)</w:t>
            </w:r>
            <w:r>
              <w:rPr>
                <w:rFonts w:cs="Arial"/>
                <w:color w:val="000000"/>
              </w:rPr>
              <w:t xml:space="preserve"> </w:t>
            </w:r>
          </w:p>
          <w:p w14:paraId="303BF442" w14:textId="7A1FE432" w:rsidR="00605B5B" w:rsidRPr="00605B5B" w:rsidRDefault="00605B5B" w:rsidP="00E50474">
            <w:pPr>
              <w:pStyle w:val="Imprint"/>
              <w:rPr>
                <w:szCs w:val="19"/>
              </w:rPr>
            </w:pPr>
            <w:bookmarkStart w:id="1" w:name="_Hlk20983950"/>
            <w:r w:rsidRPr="00605B5B">
              <w:rPr>
                <w:szCs w:val="19"/>
              </w:rPr>
              <w:t xml:space="preserve">Available </w:t>
            </w:r>
            <w:r w:rsidR="00D20D63">
              <w:rPr>
                <w:szCs w:val="19"/>
              </w:rPr>
              <w:t>online from</w:t>
            </w:r>
            <w:r w:rsidR="00952FC7">
              <w:rPr>
                <w:szCs w:val="19"/>
              </w:rPr>
              <w:t xml:space="preserve"> </w:t>
            </w:r>
            <w:hyperlink r:id="rId22" w:history="1">
              <w:r w:rsidR="00AB3635" w:rsidRPr="00445528">
                <w:rPr>
                  <w:rStyle w:val="Hyperlink"/>
                  <w:szCs w:val="19"/>
                </w:rPr>
                <w:t>Cancer care</w:t>
              </w:r>
            </w:hyperlink>
            <w:r w:rsidR="00AB3635">
              <w:rPr>
                <w:szCs w:val="19"/>
              </w:rPr>
              <w:t xml:space="preserve"> &lt;</w:t>
            </w:r>
            <w:r w:rsidR="008E5EAE" w:rsidRPr="008E5EAE">
              <w:rPr>
                <w:szCs w:val="19"/>
              </w:rPr>
              <w:t>https://www.health.vic.gov.au/health-strategies/victorian-cancer-plan</w:t>
            </w:r>
            <w:r w:rsidR="00AB3635">
              <w:rPr>
                <w:szCs w:val="19"/>
              </w:rPr>
              <w:t>&gt;</w:t>
            </w:r>
            <w:r w:rsidR="00AB3635" w:rsidRPr="00605B5B">
              <w:rPr>
                <w:szCs w:val="19"/>
              </w:rPr>
              <w:t xml:space="preserve"> </w:t>
            </w:r>
          </w:p>
          <w:bookmarkEnd w:id="1"/>
          <w:p w14:paraId="07164F89" w14:textId="0D06DECE" w:rsidR="00564E8F" w:rsidRPr="003072C6" w:rsidRDefault="00250729" w:rsidP="00E50474">
            <w:pPr>
              <w:pStyle w:val="Imprint"/>
            </w:pPr>
            <w:r>
              <w:t>(</w:t>
            </w:r>
            <w:r w:rsidRPr="00250729">
              <w:t>1904241</w:t>
            </w:r>
            <w:r>
              <w:t xml:space="preserve"> figures)</w:t>
            </w:r>
          </w:p>
        </w:tc>
      </w:tr>
      <w:tr w:rsidR="009906C7" w:rsidRPr="003072C6" w14:paraId="3C8EFB48" w14:textId="77777777" w:rsidTr="006464DE">
        <w:tc>
          <w:tcPr>
            <w:tcW w:w="9286" w:type="dxa"/>
            <w:vAlign w:val="bottom"/>
          </w:tcPr>
          <w:p w14:paraId="6170B9A6" w14:textId="38C80603" w:rsidR="009906C7" w:rsidRPr="00006F11" w:rsidRDefault="009906C7" w:rsidP="006F46A3">
            <w:pPr>
              <w:pStyle w:val="DHHSbody"/>
            </w:pPr>
          </w:p>
        </w:tc>
      </w:tr>
    </w:tbl>
    <w:p w14:paraId="434FB022" w14:textId="77777777" w:rsidR="00D97C47" w:rsidRDefault="00D97C47">
      <w:pPr>
        <w:rPr>
          <w:rFonts w:ascii="Arial" w:hAnsi="Arial"/>
          <w:bCs/>
          <w:color w:val="AF272F"/>
          <w:sz w:val="44"/>
          <w:szCs w:val="44"/>
        </w:rPr>
      </w:pPr>
      <w:bookmarkStart w:id="2" w:name="_Toc107562375"/>
      <w:bookmarkStart w:id="3" w:name="_Hlk129683968"/>
      <w:r>
        <w:br w:type="page"/>
      </w:r>
    </w:p>
    <w:p w14:paraId="44D3D816" w14:textId="54545BB9" w:rsidR="00DB67E0" w:rsidRDefault="00DB67E0" w:rsidP="00DB67E0">
      <w:pPr>
        <w:pStyle w:val="Heading1"/>
        <w:rPr>
          <w:lang w:eastAsia="en-AU"/>
        </w:rPr>
      </w:pPr>
      <w:bookmarkStart w:id="4" w:name="_Toc140843401"/>
      <w:r>
        <w:rPr>
          <w:lang w:eastAsia="en-AU"/>
        </w:rPr>
        <w:lastRenderedPageBreak/>
        <w:t>Acknowledgement of Aboriginal Victorians</w:t>
      </w:r>
      <w:bookmarkEnd w:id="2"/>
      <w:bookmarkEnd w:id="4"/>
    </w:p>
    <w:p w14:paraId="464044FA" w14:textId="682A1772" w:rsidR="004E393C" w:rsidRPr="0099225F" w:rsidRDefault="00DB67E0" w:rsidP="00FC4B1F">
      <w:pPr>
        <w:pStyle w:val="Body"/>
        <w:rPr>
          <w:sz w:val="20"/>
        </w:rPr>
      </w:pPr>
      <w:bookmarkStart w:id="5" w:name="_Hlk106287682"/>
      <w:r w:rsidRPr="0099225F">
        <w:rPr>
          <w:sz w:val="20"/>
        </w:rPr>
        <w:t>We recognise the diversity of Aboriginal people living throughout Victoria.</w:t>
      </w:r>
      <w:r w:rsidR="00980285" w:rsidRPr="0099225F">
        <w:rPr>
          <w:rStyle w:val="FootnoteReference"/>
          <w:rFonts w:cs="Arial"/>
          <w:sz w:val="20"/>
        </w:rPr>
        <w:footnoteReference w:id="1"/>
      </w:r>
      <w:r w:rsidRPr="0099225F">
        <w:rPr>
          <w:sz w:val="20"/>
        </w:rPr>
        <w:t xml:space="preserve"> </w:t>
      </w:r>
    </w:p>
    <w:p w14:paraId="4C1EABBF" w14:textId="54C43676" w:rsidR="004E393C" w:rsidRPr="0099225F" w:rsidRDefault="00DB67E0" w:rsidP="00FC4B1F">
      <w:pPr>
        <w:pStyle w:val="Body"/>
        <w:rPr>
          <w:sz w:val="20"/>
        </w:rPr>
      </w:pPr>
      <w:r w:rsidRPr="0099225F">
        <w:rPr>
          <w:sz w:val="20"/>
        </w:rPr>
        <w:t>The Victorian Government proudly acknowledges Victoria’s Aboriginal communities</w:t>
      </w:r>
      <w:r w:rsidR="008A5C10">
        <w:rPr>
          <w:sz w:val="20"/>
        </w:rPr>
        <w:t>/peoples</w:t>
      </w:r>
      <w:r w:rsidRPr="0099225F">
        <w:rPr>
          <w:sz w:val="20"/>
        </w:rPr>
        <w:t xml:space="preserve"> and the richness and depth of the world’s oldest living culture and pays respect to Elders past and present. We acknowledge Aboriginal people as Australia’s first peoples and as the Traditional Owners and custodians of the land and water on which we live, work and play. We recognise and value the ongoing contribution of Aboriginal people and communities</w:t>
      </w:r>
      <w:r w:rsidR="008A5C10">
        <w:rPr>
          <w:sz w:val="20"/>
        </w:rPr>
        <w:t>/peoples</w:t>
      </w:r>
      <w:r w:rsidRPr="0099225F">
        <w:rPr>
          <w:sz w:val="20"/>
        </w:rPr>
        <w:t xml:space="preserve"> to Victorian life and how this enriches our society more broadly. We embrace self-determination and reconciliation, working towards equality of outcomes and ensuring an equitable voice.</w:t>
      </w:r>
    </w:p>
    <w:p w14:paraId="675ADA47" w14:textId="0082643A" w:rsidR="0036313A" w:rsidRPr="0099225F" w:rsidRDefault="0036313A" w:rsidP="00FC4B1F">
      <w:pPr>
        <w:pStyle w:val="Body"/>
        <w:rPr>
          <w:sz w:val="20"/>
          <w:shd w:val="clear" w:color="auto" w:fill="FFFFFF"/>
        </w:rPr>
      </w:pPr>
      <w:r w:rsidRPr="0099225F">
        <w:rPr>
          <w:sz w:val="20"/>
          <w:shd w:val="clear" w:color="auto" w:fill="FFFFFF"/>
        </w:rPr>
        <w:t>For many Aboriginal and Torres Strait Islander people, cancer is associated with death and holds negative connotations due to stigma and fear surrounding the disease. As such, it is important to offer culturally safe and responsive health care to ensure a more positive experience and better health outcomes.</w:t>
      </w:r>
    </w:p>
    <w:p w14:paraId="7B386860" w14:textId="5966DDE0" w:rsidR="006F705D" w:rsidRPr="0099225F" w:rsidRDefault="006F705D" w:rsidP="5B852602">
      <w:pPr>
        <w:pStyle w:val="Body"/>
        <w:rPr>
          <w:sz w:val="20"/>
        </w:rPr>
      </w:pPr>
      <w:r w:rsidRPr="5B852602">
        <w:rPr>
          <w:color w:val="212529"/>
          <w:sz w:val="20"/>
          <w:shd w:val="clear" w:color="auto" w:fill="FFFFFF"/>
        </w:rPr>
        <w:t xml:space="preserve">The Victorian Government recognises that cancer care for Aboriginal and Torres Strait Islander people should be multidisciplinary, flexible and </w:t>
      </w:r>
      <w:r w:rsidR="00F26516" w:rsidRPr="5B852602">
        <w:rPr>
          <w:color w:val="212529"/>
          <w:sz w:val="20"/>
          <w:shd w:val="clear" w:color="auto" w:fill="FFFFFF"/>
        </w:rPr>
        <w:t>strengths based</w:t>
      </w:r>
      <w:r w:rsidRPr="5B852602">
        <w:rPr>
          <w:color w:val="212529"/>
          <w:sz w:val="20"/>
          <w:shd w:val="clear" w:color="auto" w:fill="FFFFFF"/>
        </w:rPr>
        <w:t xml:space="preserve">. Central to this approach is the need to understand and respect Aboriginal and Torres Strait Islander philosophies of health and wellbeing as holistic concepts and ensure </w:t>
      </w:r>
      <w:r w:rsidR="008A5C10" w:rsidRPr="5B852602">
        <w:rPr>
          <w:color w:val="212529"/>
          <w:sz w:val="20"/>
          <w:shd w:val="clear" w:color="auto" w:fill="FFFFFF"/>
        </w:rPr>
        <w:t xml:space="preserve">cultural </w:t>
      </w:r>
      <w:r w:rsidRPr="5B852602">
        <w:rPr>
          <w:color w:val="212529"/>
          <w:sz w:val="20"/>
          <w:shd w:val="clear" w:color="auto" w:fill="FFFFFF"/>
        </w:rPr>
        <w:t xml:space="preserve">knowledge, values and beliefs are at the core of </w:t>
      </w:r>
      <w:r w:rsidR="00A73473" w:rsidRPr="5B852602">
        <w:rPr>
          <w:color w:val="212529"/>
          <w:sz w:val="20"/>
          <w:shd w:val="clear" w:color="auto" w:fill="FFFFFF"/>
        </w:rPr>
        <w:t xml:space="preserve">care </w:t>
      </w:r>
      <w:r w:rsidRPr="5B852602">
        <w:rPr>
          <w:color w:val="212529"/>
          <w:sz w:val="20"/>
          <w:shd w:val="clear" w:color="auto" w:fill="FFFFFF"/>
        </w:rPr>
        <w:t>delivery</w:t>
      </w:r>
      <w:r w:rsidR="000A522B" w:rsidRPr="5B852602">
        <w:rPr>
          <w:color w:val="212529"/>
          <w:sz w:val="20"/>
          <w:shd w:val="clear" w:color="auto" w:fill="FFFFFF"/>
        </w:rPr>
        <w:t>.</w:t>
      </w:r>
      <w:r w:rsidRPr="5B852602">
        <w:rPr>
          <w:color w:val="212529"/>
          <w:sz w:val="20"/>
          <w:shd w:val="clear" w:color="auto" w:fill="FFFFFF"/>
        </w:rPr>
        <w:t> </w:t>
      </w:r>
      <w:r w:rsidR="008A5C10" w:rsidRPr="5B852602">
        <w:rPr>
          <w:color w:val="212529"/>
          <w:sz w:val="20"/>
          <w:shd w:val="clear" w:color="auto" w:fill="FFFFFF"/>
        </w:rPr>
        <w:t>We acknowledge this cannot be undertaken safely and effectively without an understanding of the social, political, cultural and historical determinants of health, allowing for culture, Community and kinship to be embedded in care.</w:t>
      </w:r>
    </w:p>
    <w:p w14:paraId="5F1D30E2" w14:textId="2E8023FD" w:rsidR="006F705D" w:rsidRPr="0099225F" w:rsidRDefault="00464AEF" w:rsidP="00FC4B1F">
      <w:pPr>
        <w:pStyle w:val="Body"/>
        <w:rPr>
          <w:sz w:val="20"/>
        </w:rPr>
      </w:pPr>
      <w:r w:rsidRPr="0099225F">
        <w:rPr>
          <w:sz w:val="20"/>
        </w:rPr>
        <w:t>Throughout this report the Victorian Department of Health present</w:t>
      </w:r>
      <w:r w:rsidR="00A73473" w:rsidRPr="0099225F">
        <w:rPr>
          <w:sz w:val="20"/>
        </w:rPr>
        <w:t>s</w:t>
      </w:r>
      <w:r w:rsidRPr="0099225F">
        <w:rPr>
          <w:sz w:val="20"/>
        </w:rPr>
        <w:t xml:space="preserve"> cancer statistics for Aboriginal people living in Victoria. Together we are working with the Victorian Aboriginal Community Controlled Health Organisation Inc. (VACCHO) within a framework of self-determination, where the Aboriginal </w:t>
      </w:r>
      <w:r w:rsidR="008A5C10">
        <w:rPr>
          <w:sz w:val="20"/>
        </w:rPr>
        <w:t>C</w:t>
      </w:r>
      <w:r w:rsidRPr="0099225F">
        <w:rPr>
          <w:sz w:val="20"/>
        </w:rPr>
        <w:t xml:space="preserve">ommunity leads the development and implementation of services and programs that are culturally safe in order to improve the cancer outcomes for Aboriginal people living in </w:t>
      </w:r>
      <w:r w:rsidR="0036313A" w:rsidRPr="0099225F">
        <w:rPr>
          <w:sz w:val="20"/>
        </w:rPr>
        <w:t>Victoria.</w:t>
      </w:r>
    </w:p>
    <w:p w14:paraId="0B32AD24" w14:textId="72C506F2" w:rsidR="00DB67E0" w:rsidRPr="0099225F" w:rsidRDefault="00DB67E0" w:rsidP="00FC4B1F">
      <w:pPr>
        <w:pStyle w:val="Body"/>
        <w:rPr>
          <w:sz w:val="20"/>
        </w:rPr>
      </w:pPr>
      <w:r w:rsidRPr="0099225F">
        <w:rPr>
          <w:sz w:val="20"/>
        </w:rPr>
        <w:t xml:space="preserve">The Victorian Government notes that, in partnership with the First Peoples’ Assembly of Victoria, Victoria is currently establishing a framework to begin treaty negotiations with Traditional Owners and Aboriginal Victorians. </w:t>
      </w:r>
      <w:r w:rsidR="00A73473" w:rsidRPr="0099225F">
        <w:rPr>
          <w:sz w:val="20"/>
        </w:rPr>
        <w:t>The g</w:t>
      </w:r>
      <w:r w:rsidRPr="0099225F">
        <w:rPr>
          <w:sz w:val="20"/>
        </w:rPr>
        <w:t>overnment will work to ensure relevant actions outlined in this strategy align with treaty negotiations and delivering future treaties in Victoria. This includes corresponding funding, implementation of actions and governance mechanisms. We are deeply committed to Aboriginal self-determination and to supporting Victoria’s treaty process. We acknowledge that treaty will have wide-ranging impacts for the way we work with Traditional Owners and Aboriginal Victorians. We seek to create respectful and collaborative partnerships. We will develop policies and programs that respect Aboriginal self-determination and align with treaty aspirations.</w:t>
      </w:r>
    </w:p>
    <w:p w14:paraId="3228E3D8" w14:textId="0B9B19F3" w:rsidR="00DB67E0" w:rsidRPr="0099225F" w:rsidRDefault="00DB67E0" w:rsidP="004E393C">
      <w:pPr>
        <w:pStyle w:val="Body"/>
        <w:spacing w:line="270" w:lineRule="atLeast"/>
        <w:rPr>
          <w:rFonts w:cs="Arial"/>
          <w:sz w:val="20"/>
          <w:lang w:eastAsia="en-AU"/>
        </w:rPr>
      </w:pPr>
      <w:r w:rsidRPr="0099225F">
        <w:rPr>
          <w:rFonts w:cs="Arial"/>
          <w:sz w:val="20"/>
        </w:rPr>
        <w:t xml:space="preserve">We acknowledge that Victoria’s treaty process will establish a framework for transferring decision-making power and resources to support self-determining Aboriginal </w:t>
      </w:r>
      <w:r w:rsidR="00710671">
        <w:rPr>
          <w:rFonts w:cs="Arial"/>
          <w:sz w:val="20"/>
        </w:rPr>
        <w:t>c</w:t>
      </w:r>
      <w:r w:rsidRPr="0099225F">
        <w:rPr>
          <w:rFonts w:cs="Arial"/>
          <w:sz w:val="20"/>
        </w:rPr>
        <w:t>ommunities</w:t>
      </w:r>
      <w:r w:rsidR="00710671">
        <w:rPr>
          <w:rFonts w:cs="Arial"/>
          <w:sz w:val="20"/>
        </w:rPr>
        <w:t>/peoples</w:t>
      </w:r>
      <w:r w:rsidRPr="0099225F">
        <w:rPr>
          <w:rFonts w:cs="Arial"/>
          <w:sz w:val="20"/>
        </w:rPr>
        <w:t xml:space="preserve"> to take control of matters that affect their lives. We commit to working proactively to support this work in line with the aspirations of Traditional Owners and Aboriginal Victorians.</w:t>
      </w:r>
    </w:p>
    <w:p w14:paraId="329772D3" w14:textId="5731DF63" w:rsidR="00DB67E0" w:rsidRPr="004E393C" w:rsidRDefault="00DB67E0" w:rsidP="00FC4B1F">
      <w:pPr>
        <w:pStyle w:val="Body"/>
      </w:pPr>
      <w:r w:rsidRPr="0099225F">
        <w:rPr>
          <w:sz w:val="20"/>
        </w:rPr>
        <w:t xml:space="preserve">As we work together to ensure Victorian Aboriginal </w:t>
      </w:r>
      <w:r w:rsidR="00710671">
        <w:rPr>
          <w:sz w:val="20"/>
        </w:rPr>
        <w:t>c</w:t>
      </w:r>
      <w:r w:rsidRPr="0099225F">
        <w:rPr>
          <w:sz w:val="20"/>
        </w:rPr>
        <w:t>ommunities</w:t>
      </w:r>
      <w:r w:rsidR="00710671">
        <w:rPr>
          <w:sz w:val="20"/>
        </w:rPr>
        <w:t>/peoples</w:t>
      </w:r>
      <w:r w:rsidRPr="0099225F">
        <w:rPr>
          <w:sz w:val="20"/>
        </w:rPr>
        <w:t xml:space="preserve"> continue to thrive, the government acknowledges the invaluable contributions of generations of Aboriginal warriors and matriarchs that have come before us, who have fought tirelessly for the rights of their people and </w:t>
      </w:r>
      <w:r w:rsidR="008A5C10">
        <w:rPr>
          <w:sz w:val="20"/>
        </w:rPr>
        <w:t>C</w:t>
      </w:r>
      <w:r w:rsidRPr="0099225F">
        <w:rPr>
          <w:sz w:val="20"/>
        </w:rPr>
        <w:t>ommunities towards Aboriginal self-determination. We are now honoured to be part of that vision.</w:t>
      </w:r>
      <w:bookmarkEnd w:id="3"/>
      <w:bookmarkEnd w:id="5"/>
      <w:r w:rsidRPr="004E393C">
        <w:br w:type="page"/>
      </w:r>
    </w:p>
    <w:p w14:paraId="56C6A436" w14:textId="771CC9E9" w:rsidR="00AC0C3B" w:rsidRPr="00DB4F90" w:rsidRDefault="00AC0C3B" w:rsidP="001A7758">
      <w:pPr>
        <w:pStyle w:val="TOCheadingreport"/>
        <w:spacing w:after="220"/>
      </w:pPr>
      <w:r w:rsidRPr="00DB4F90">
        <w:lastRenderedPageBreak/>
        <w:t>Contents</w:t>
      </w:r>
    </w:p>
    <w:p w14:paraId="56918549" w14:textId="30E75F67" w:rsidR="00850AA4" w:rsidRDefault="00E15DA9">
      <w:pPr>
        <w:pStyle w:val="TOC1"/>
        <w:rPr>
          <w:rFonts w:asciiTheme="minorHAnsi" w:eastAsiaTheme="minorEastAsia" w:hAnsiTheme="minorHAnsi" w:cstheme="minorBidi"/>
          <w:sz w:val="22"/>
          <w:szCs w:val="22"/>
        </w:rPr>
      </w:pPr>
      <w:r w:rsidRPr="003072C6">
        <w:rPr>
          <w:rFonts w:ascii="Arial Bold" w:hAnsi="Arial Bold"/>
          <w:b/>
          <w:noProof w:val="0"/>
          <w:sz w:val="20"/>
        </w:rPr>
        <w:fldChar w:fldCharType="begin"/>
      </w:r>
      <w:r w:rsidRPr="003072C6">
        <w:rPr>
          <w:noProof w:val="0"/>
        </w:rPr>
        <w:instrText xml:space="preserve"> TOC \h \z \t "Heading 1,1,Heading 2,2" </w:instrText>
      </w:r>
      <w:r w:rsidRPr="003072C6">
        <w:rPr>
          <w:rFonts w:ascii="Arial Bold" w:hAnsi="Arial Bold"/>
          <w:b/>
          <w:noProof w:val="0"/>
          <w:sz w:val="20"/>
        </w:rPr>
        <w:fldChar w:fldCharType="separate"/>
      </w:r>
      <w:hyperlink w:anchor="_Toc140843401" w:history="1">
        <w:r w:rsidR="00850AA4" w:rsidRPr="0040445F">
          <w:rPr>
            <w:rStyle w:val="Hyperlink"/>
          </w:rPr>
          <w:t>Acknowledgement of Aboriginal Victorians</w:t>
        </w:r>
        <w:r w:rsidR="00850AA4">
          <w:rPr>
            <w:webHidden/>
          </w:rPr>
          <w:tab/>
        </w:r>
        <w:r w:rsidR="00850AA4">
          <w:rPr>
            <w:webHidden/>
          </w:rPr>
          <w:fldChar w:fldCharType="begin"/>
        </w:r>
        <w:r w:rsidR="00850AA4">
          <w:rPr>
            <w:webHidden/>
          </w:rPr>
          <w:instrText xml:space="preserve"> PAGEREF _Toc140843401 \h </w:instrText>
        </w:r>
        <w:r w:rsidR="00850AA4">
          <w:rPr>
            <w:webHidden/>
          </w:rPr>
        </w:r>
        <w:r w:rsidR="00850AA4">
          <w:rPr>
            <w:webHidden/>
          </w:rPr>
          <w:fldChar w:fldCharType="separate"/>
        </w:r>
        <w:r w:rsidR="00850AA4">
          <w:rPr>
            <w:webHidden/>
          </w:rPr>
          <w:t>5</w:t>
        </w:r>
        <w:r w:rsidR="00850AA4">
          <w:rPr>
            <w:webHidden/>
          </w:rPr>
          <w:fldChar w:fldCharType="end"/>
        </w:r>
      </w:hyperlink>
    </w:p>
    <w:p w14:paraId="27B32866" w14:textId="353CCCD7" w:rsidR="00850AA4" w:rsidRDefault="00000000">
      <w:pPr>
        <w:pStyle w:val="TOC1"/>
        <w:rPr>
          <w:rFonts w:asciiTheme="minorHAnsi" w:eastAsiaTheme="minorEastAsia" w:hAnsiTheme="minorHAnsi" w:cstheme="minorBidi"/>
          <w:sz w:val="22"/>
          <w:szCs w:val="22"/>
        </w:rPr>
      </w:pPr>
      <w:hyperlink w:anchor="_Toc140843402" w:history="1">
        <w:r w:rsidR="00850AA4" w:rsidRPr="0040445F">
          <w:rPr>
            <w:rStyle w:val="Hyperlink"/>
          </w:rPr>
          <w:t>Executive summary</w:t>
        </w:r>
        <w:r w:rsidR="00850AA4">
          <w:rPr>
            <w:webHidden/>
          </w:rPr>
          <w:tab/>
        </w:r>
        <w:r w:rsidR="00850AA4">
          <w:rPr>
            <w:webHidden/>
          </w:rPr>
          <w:fldChar w:fldCharType="begin"/>
        </w:r>
        <w:r w:rsidR="00850AA4">
          <w:rPr>
            <w:webHidden/>
          </w:rPr>
          <w:instrText xml:space="preserve"> PAGEREF _Toc140843402 \h </w:instrText>
        </w:r>
        <w:r w:rsidR="00850AA4">
          <w:rPr>
            <w:webHidden/>
          </w:rPr>
        </w:r>
        <w:r w:rsidR="00850AA4">
          <w:rPr>
            <w:webHidden/>
          </w:rPr>
          <w:fldChar w:fldCharType="separate"/>
        </w:r>
        <w:r w:rsidR="00850AA4">
          <w:rPr>
            <w:webHidden/>
          </w:rPr>
          <w:t>8</w:t>
        </w:r>
        <w:r w:rsidR="00850AA4">
          <w:rPr>
            <w:webHidden/>
          </w:rPr>
          <w:fldChar w:fldCharType="end"/>
        </w:r>
      </w:hyperlink>
    </w:p>
    <w:p w14:paraId="1F21AA99" w14:textId="2E68C5BB" w:rsidR="00850AA4" w:rsidRDefault="00000000">
      <w:pPr>
        <w:pStyle w:val="TOC1"/>
        <w:rPr>
          <w:rFonts w:asciiTheme="minorHAnsi" w:eastAsiaTheme="minorEastAsia" w:hAnsiTheme="minorHAnsi" w:cstheme="minorBidi"/>
          <w:sz w:val="22"/>
          <w:szCs w:val="22"/>
        </w:rPr>
      </w:pPr>
      <w:hyperlink w:anchor="_Toc140843403" w:history="1">
        <w:r w:rsidR="00850AA4" w:rsidRPr="0040445F">
          <w:rPr>
            <w:rStyle w:val="Hyperlink"/>
          </w:rPr>
          <w:t>Introduction</w:t>
        </w:r>
        <w:r w:rsidR="00850AA4">
          <w:rPr>
            <w:webHidden/>
          </w:rPr>
          <w:tab/>
        </w:r>
        <w:r w:rsidR="00850AA4">
          <w:rPr>
            <w:webHidden/>
          </w:rPr>
          <w:fldChar w:fldCharType="begin"/>
        </w:r>
        <w:r w:rsidR="00850AA4">
          <w:rPr>
            <w:webHidden/>
          </w:rPr>
          <w:instrText xml:space="preserve"> PAGEREF _Toc140843403 \h </w:instrText>
        </w:r>
        <w:r w:rsidR="00850AA4">
          <w:rPr>
            <w:webHidden/>
          </w:rPr>
        </w:r>
        <w:r w:rsidR="00850AA4">
          <w:rPr>
            <w:webHidden/>
          </w:rPr>
          <w:fldChar w:fldCharType="separate"/>
        </w:r>
        <w:r w:rsidR="00850AA4">
          <w:rPr>
            <w:webHidden/>
          </w:rPr>
          <w:t>9</w:t>
        </w:r>
        <w:r w:rsidR="00850AA4">
          <w:rPr>
            <w:webHidden/>
          </w:rPr>
          <w:fldChar w:fldCharType="end"/>
        </w:r>
      </w:hyperlink>
    </w:p>
    <w:p w14:paraId="699A6561" w14:textId="1CFC2B27" w:rsidR="00850AA4" w:rsidRDefault="00000000">
      <w:pPr>
        <w:pStyle w:val="TOC2"/>
        <w:rPr>
          <w:rFonts w:asciiTheme="minorHAnsi" w:eastAsiaTheme="minorEastAsia" w:hAnsiTheme="minorHAnsi" w:cstheme="minorBidi"/>
          <w:sz w:val="22"/>
          <w:szCs w:val="22"/>
        </w:rPr>
      </w:pPr>
      <w:hyperlink w:anchor="_Toc140843404" w:history="1">
        <w:r w:rsidR="00850AA4" w:rsidRPr="0040445F">
          <w:rPr>
            <w:rStyle w:val="Hyperlink"/>
          </w:rPr>
          <w:t>The Victorian monitoring and evaluation framework: measuring our success</w:t>
        </w:r>
        <w:r w:rsidR="00850AA4">
          <w:rPr>
            <w:webHidden/>
          </w:rPr>
          <w:tab/>
        </w:r>
        <w:r w:rsidR="00850AA4">
          <w:rPr>
            <w:webHidden/>
          </w:rPr>
          <w:fldChar w:fldCharType="begin"/>
        </w:r>
        <w:r w:rsidR="00850AA4">
          <w:rPr>
            <w:webHidden/>
          </w:rPr>
          <w:instrText xml:space="preserve"> PAGEREF _Toc140843404 \h </w:instrText>
        </w:r>
        <w:r w:rsidR="00850AA4">
          <w:rPr>
            <w:webHidden/>
          </w:rPr>
        </w:r>
        <w:r w:rsidR="00850AA4">
          <w:rPr>
            <w:webHidden/>
          </w:rPr>
          <w:fldChar w:fldCharType="separate"/>
        </w:r>
        <w:r w:rsidR="00850AA4">
          <w:rPr>
            <w:webHidden/>
          </w:rPr>
          <w:t>9</w:t>
        </w:r>
        <w:r w:rsidR="00850AA4">
          <w:rPr>
            <w:webHidden/>
          </w:rPr>
          <w:fldChar w:fldCharType="end"/>
        </w:r>
      </w:hyperlink>
    </w:p>
    <w:p w14:paraId="6330241C" w14:textId="72B724AE" w:rsidR="00850AA4" w:rsidRDefault="00000000">
      <w:pPr>
        <w:pStyle w:val="TOC2"/>
        <w:rPr>
          <w:rFonts w:asciiTheme="minorHAnsi" w:eastAsiaTheme="minorEastAsia" w:hAnsiTheme="minorHAnsi" w:cstheme="minorBidi"/>
          <w:sz w:val="22"/>
          <w:szCs w:val="22"/>
        </w:rPr>
      </w:pPr>
      <w:hyperlink w:anchor="_Toc140843405" w:history="1">
        <w:r w:rsidR="00850AA4" w:rsidRPr="0040445F">
          <w:rPr>
            <w:rStyle w:val="Hyperlink"/>
          </w:rPr>
          <w:t>Purpose of the progress report</w:t>
        </w:r>
        <w:r w:rsidR="00850AA4">
          <w:rPr>
            <w:webHidden/>
          </w:rPr>
          <w:tab/>
        </w:r>
        <w:r w:rsidR="00850AA4">
          <w:rPr>
            <w:webHidden/>
          </w:rPr>
          <w:fldChar w:fldCharType="begin"/>
        </w:r>
        <w:r w:rsidR="00850AA4">
          <w:rPr>
            <w:webHidden/>
          </w:rPr>
          <w:instrText xml:space="preserve"> PAGEREF _Toc140843405 \h </w:instrText>
        </w:r>
        <w:r w:rsidR="00850AA4">
          <w:rPr>
            <w:webHidden/>
          </w:rPr>
        </w:r>
        <w:r w:rsidR="00850AA4">
          <w:rPr>
            <w:webHidden/>
          </w:rPr>
          <w:fldChar w:fldCharType="separate"/>
        </w:r>
        <w:r w:rsidR="00850AA4">
          <w:rPr>
            <w:webHidden/>
          </w:rPr>
          <w:t>10</w:t>
        </w:r>
        <w:r w:rsidR="00850AA4">
          <w:rPr>
            <w:webHidden/>
          </w:rPr>
          <w:fldChar w:fldCharType="end"/>
        </w:r>
      </w:hyperlink>
    </w:p>
    <w:p w14:paraId="48E63943" w14:textId="3938557C" w:rsidR="00850AA4" w:rsidRDefault="00000000">
      <w:pPr>
        <w:pStyle w:val="TOC1"/>
        <w:rPr>
          <w:rFonts w:asciiTheme="minorHAnsi" w:eastAsiaTheme="minorEastAsia" w:hAnsiTheme="minorHAnsi" w:cstheme="minorBidi"/>
          <w:sz w:val="22"/>
          <w:szCs w:val="22"/>
        </w:rPr>
      </w:pPr>
      <w:hyperlink w:anchor="_Toc140843406" w:history="1">
        <w:r w:rsidR="00850AA4" w:rsidRPr="0040445F">
          <w:rPr>
            <w:rStyle w:val="Hyperlink"/>
          </w:rPr>
          <w:t>How to read this report</w:t>
        </w:r>
        <w:r w:rsidR="00850AA4">
          <w:rPr>
            <w:webHidden/>
          </w:rPr>
          <w:tab/>
        </w:r>
        <w:r w:rsidR="00850AA4">
          <w:rPr>
            <w:webHidden/>
          </w:rPr>
          <w:fldChar w:fldCharType="begin"/>
        </w:r>
        <w:r w:rsidR="00850AA4">
          <w:rPr>
            <w:webHidden/>
          </w:rPr>
          <w:instrText xml:space="preserve"> PAGEREF _Toc140843406 \h </w:instrText>
        </w:r>
        <w:r w:rsidR="00850AA4">
          <w:rPr>
            <w:webHidden/>
          </w:rPr>
        </w:r>
        <w:r w:rsidR="00850AA4">
          <w:rPr>
            <w:webHidden/>
          </w:rPr>
          <w:fldChar w:fldCharType="separate"/>
        </w:r>
        <w:r w:rsidR="00850AA4">
          <w:rPr>
            <w:webHidden/>
          </w:rPr>
          <w:t>11</w:t>
        </w:r>
        <w:r w:rsidR="00850AA4">
          <w:rPr>
            <w:webHidden/>
          </w:rPr>
          <w:fldChar w:fldCharType="end"/>
        </w:r>
      </w:hyperlink>
    </w:p>
    <w:p w14:paraId="432F992E" w14:textId="65A4BAF3" w:rsidR="00850AA4" w:rsidRDefault="00000000">
      <w:pPr>
        <w:pStyle w:val="TOC2"/>
        <w:rPr>
          <w:rFonts w:asciiTheme="minorHAnsi" w:eastAsiaTheme="minorEastAsia" w:hAnsiTheme="minorHAnsi" w:cstheme="minorBidi"/>
          <w:sz w:val="22"/>
          <w:szCs w:val="22"/>
        </w:rPr>
      </w:pPr>
      <w:hyperlink w:anchor="_Toc140843407" w:history="1">
        <w:r w:rsidR="00850AA4" w:rsidRPr="0040445F">
          <w:rPr>
            <w:rStyle w:val="Hyperlink"/>
          </w:rPr>
          <w:t>Structure of the report</w:t>
        </w:r>
        <w:r w:rsidR="00850AA4">
          <w:rPr>
            <w:webHidden/>
          </w:rPr>
          <w:tab/>
        </w:r>
        <w:r w:rsidR="00850AA4">
          <w:rPr>
            <w:webHidden/>
          </w:rPr>
          <w:fldChar w:fldCharType="begin"/>
        </w:r>
        <w:r w:rsidR="00850AA4">
          <w:rPr>
            <w:webHidden/>
          </w:rPr>
          <w:instrText xml:space="preserve"> PAGEREF _Toc140843407 \h </w:instrText>
        </w:r>
        <w:r w:rsidR="00850AA4">
          <w:rPr>
            <w:webHidden/>
          </w:rPr>
        </w:r>
        <w:r w:rsidR="00850AA4">
          <w:rPr>
            <w:webHidden/>
          </w:rPr>
          <w:fldChar w:fldCharType="separate"/>
        </w:r>
        <w:r w:rsidR="00850AA4">
          <w:rPr>
            <w:webHidden/>
          </w:rPr>
          <w:t>11</w:t>
        </w:r>
        <w:r w:rsidR="00850AA4">
          <w:rPr>
            <w:webHidden/>
          </w:rPr>
          <w:fldChar w:fldCharType="end"/>
        </w:r>
      </w:hyperlink>
    </w:p>
    <w:p w14:paraId="14144B63" w14:textId="59D579B1" w:rsidR="00850AA4" w:rsidRDefault="00000000">
      <w:pPr>
        <w:pStyle w:val="TOC2"/>
        <w:rPr>
          <w:rFonts w:asciiTheme="minorHAnsi" w:eastAsiaTheme="minorEastAsia" w:hAnsiTheme="minorHAnsi" w:cstheme="minorBidi"/>
          <w:sz w:val="22"/>
          <w:szCs w:val="22"/>
        </w:rPr>
      </w:pPr>
      <w:hyperlink w:anchor="_Toc140843408" w:history="1">
        <w:r w:rsidR="00850AA4" w:rsidRPr="0040445F">
          <w:rPr>
            <w:rStyle w:val="Hyperlink"/>
          </w:rPr>
          <w:t>About the measures</w:t>
        </w:r>
        <w:r w:rsidR="00850AA4">
          <w:rPr>
            <w:webHidden/>
          </w:rPr>
          <w:tab/>
        </w:r>
        <w:r w:rsidR="00850AA4">
          <w:rPr>
            <w:webHidden/>
          </w:rPr>
          <w:fldChar w:fldCharType="begin"/>
        </w:r>
        <w:r w:rsidR="00850AA4">
          <w:rPr>
            <w:webHidden/>
          </w:rPr>
          <w:instrText xml:space="preserve"> PAGEREF _Toc140843408 \h </w:instrText>
        </w:r>
        <w:r w:rsidR="00850AA4">
          <w:rPr>
            <w:webHidden/>
          </w:rPr>
        </w:r>
        <w:r w:rsidR="00850AA4">
          <w:rPr>
            <w:webHidden/>
          </w:rPr>
          <w:fldChar w:fldCharType="separate"/>
        </w:r>
        <w:r w:rsidR="00850AA4">
          <w:rPr>
            <w:webHidden/>
          </w:rPr>
          <w:t>12</w:t>
        </w:r>
        <w:r w:rsidR="00850AA4">
          <w:rPr>
            <w:webHidden/>
          </w:rPr>
          <w:fldChar w:fldCharType="end"/>
        </w:r>
      </w:hyperlink>
    </w:p>
    <w:p w14:paraId="699CC7FD" w14:textId="23F11468" w:rsidR="00850AA4" w:rsidRDefault="00000000">
      <w:pPr>
        <w:pStyle w:val="TOC1"/>
        <w:rPr>
          <w:rFonts w:asciiTheme="minorHAnsi" w:eastAsiaTheme="minorEastAsia" w:hAnsiTheme="minorHAnsi" w:cstheme="minorBidi"/>
          <w:sz w:val="22"/>
          <w:szCs w:val="22"/>
        </w:rPr>
      </w:pPr>
      <w:hyperlink w:anchor="_Toc140843409" w:history="1">
        <w:r w:rsidR="00850AA4" w:rsidRPr="0040445F">
          <w:rPr>
            <w:rStyle w:val="Hyperlink"/>
          </w:rPr>
          <w:t>Dashboard: September 2023</w:t>
        </w:r>
        <w:r w:rsidR="00850AA4">
          <w:rPr>
            <w:webHidden/>
          </w:rPr>
          <w:tab/>
        </w:r>
        <w:r w:rsidR="00850AA4">
          <w:rPr>
            <w:webHidden/>
          </w:rPr>
          <w:fldChar w:fldCharType="begin"/>
        </w:r>
        <w:r w:rsidR="00850AA4">
          <w:rPr>
            <w:webHidden/>
          </w:rPr>
          <w:instrText xml:space="preserve"> PAGEREF _Toc140843409 \h </w:instrText>
        </w:r>
        <w:r w:rsidR="00850AA4">
          <w:rPr>
            <w:webHidden/>
          </w:rPr>
        </w:r>
        <w:r w:rsidR="00850AA4">
          <w:rPr>
            <w:webHidden/>
          </w:rPr>
          <w:fldChar w:fldCharType="separate"/>
        </w:r>
        <w:r w:rsidR="00850AA4">
          <w:rPr>
            <w:webHidden/>
          </w:rPr>
          <w:t>14</w:t>
        </w:r>
        <w:r w:rsidR="00850AA4">
          <w:rPr>
            <w:webHidden/>
          </w:rPr>
          <w:fldChar w:fldCharType="end"/>
        </w:r>
      </w:hyperlink>
    </w:p>
    <w:p w14:paraId="3EB12980" w14:textId="597B659D" w:rsidR="00850AA4" w:rsidRDefault="00000000">
      <w:pPr>
        <w:pStyle w:val="TOC1"/>
        <w:rPr>
          <w:rFonts w:asciiTheme="minorHAnsi" w:eastAsiaTheme="minorEastAsia" w:hAnsiTheme="minorHAnsi" w:cstheme="minorBidi"/>
          <w:sz w:val="22"/>
          <w:szCs w:val="22"/>
        </w:rPr>
      </w:pPr>
      <w:hyperlink w:anchor="_Toc140843410" w:history="1">
        <w:r w:rsidR="00850AA4" w:rsidRPr="0040445F">
          <w:rPr>
            <w:rStyle w:val="Hyperlink"/>
          </w:rPr>
          <w:t>Progress report: summary of results</w:t>
        </w:r>
        <w:r w:rsidR="00850AA4">
          <w:rPr>
            <w:webHidden/>
          </w:rPr>
          <w:tab/>
        </w:r>
        <w:r w:rsidR="00850AA4">
          <w:rPr>
            <w:webHidden/>
          </w:rPr>
          <w:fldChar w:fldCharType="begin"/>
        </w:r>
        <w:r w:rsidR="00850AA4">
          <w:rPr>
            <w:webHidden/>
          </w:rPr>
          <w:instrText xml:space="preserve"> PAGEREF _Toc140843410 \h </w:instrText>
        </w:r>
        <w:r w:rsidR="00850AA4">
          <w:rPr>
            <w:webHidden/>
          </w:rPr>
        </w:r>
        <w:r w:rsidR="00850AA4">
          <w:rPr>
            <w:webHidden/>
          </w:rPr>
          <w:fldChar w:fldCharType="separate"/>
        </w:r>
        <w:r w:rsidR="00850AA4">
          <w:rPr>
            <w:webHidden/>
          </w:rPr>
          <w:t>15</w:t>
        </w:r>
        <w:r w:rsidR="00850AA4">
          <w:rPr>
            <w:webHidden/>
          </w:rPr>
          <w:fldChar w:fldCharType="end"/>
        </w:r>
      </w:hyperlink>
    </w:p>
    <w:p w14:paraId="2D91DF41" w14:textId="3AF01F67" w:rsidR="00850AA4" w:rsidRDefault="00000000">
      <w:pPr>
        <w:pStyle w:val="TOC2"/>
        <w:rPr>
          <w:rFonts w:asciiTheme="minorHAnsi" w:eastAsiaTheme="minorEastAsia" w:hAnsiTheme="minorHAnsi" w:cstheme="minorBidi"/>
          <w:sz w:val="22"/>
          <w:szCs w:val="22"/>
        </w:rPr>
      </w:pPr>
      <w:hyperlink w:anchor="_Toc140843411" w:history="1">
        <w:r w:rsidR="00850AA4" w:rsidRPr="0040445F">
          <w:rPr>
            <w:rStyle w:val="Hyperlink"/>
          </w:rPr>
          <w:t>Victorian cancer plan monitoring and evaluation framework: measures</w:t>
        </w:r>
        <w:r w:rsidR="00850AA4">
          <w:rPr>
            <w:webHidden/>
          </w:rPr>
          <w:tab/>
        </w:r>
        <w:r w:rsidR="00850AA4">
          <w:rPr>
            <w:webHidden/>
          </w:rPr>
          <w:fldChar w:fldCharType="begin"/>
        </w:r>
        <w:r w:rsidR="00850AA4">
          <w:rPr>
            <w:webHidden/>
          </w:rPr>
          <w:instrText xml:space="preserve"> PAGEREF _Toc140843411 \h </w:instrText>
        </w:r>
        <w:r w:rsidR="00850AA4">
          <w:rPr>
            <w:webHidden/>
          </w:rPr>
        </w:r>
        <w:r w:rsidR="00850AA4">
          <w:rPr>
            <w:webHidden/>
          </w:rPr>
          <w:fldChar w:fldCharType="separate"/>
        </w:r>
        <w:r w:rsidR="00850AA4">
          <w:rPr>
            <w:webHidden/>
          </w:rPr>
          <w:t>16</w:t>
        </w:r>
        <w:r w:rsidR="00850AA4">
          <w:rPr>
            <w:webHidden/>
          </w:rPr>
          <w:fldChar w:fldCharType="end"/>
        </w:r>
      </w:hyperlink>
    </w:p>
    <w:p w14:paraId="502E8C97" w14:textId="7DC30517" w:rsidR="00850AA4" w:rsidRDefault="00000000">
      <w:pPr>
        <w:pStyle w:val="TOC1"/>
        <w:rPr>
          <w:rFonts w:asciiTheme="minorHAnsi" w:eastAsiaTheme="minorEastAsia" w:hAnsiTheme="minorHAnsi" w:cstheme="minorBidi"/>
          <w:sz w:val="22"/>
          <w:szCs w:val="22"/>
        </w:rPr>
      </w:pPr>
      <w:hyperlink w:anchor="_Toc140843412" w:history="1">
        <w:r w:rsidR="00850AA4" w:rsidRPr="0040445F">
          <w:rPr>
            <w:rStyle w:val="Hyperlink"/>
          </w:rPr>
          <w:t>More about the results of the measures</w:t>
        </w:r>
        <w:r w:rsidR="00850AA4">
          <w:rPr>
            <w:webHidden/>
          </w:rPr>
          <w:tab/>
        </w:r>
        <w:r w:rsidR="00850AA4">
          <w:rPr>
            <w:webHidden/>
          </w:rPr>
          <w:fldChar w:fldCharType="begin"/>
        </w:r>
        <w:r w:rsidR="00850AA4">
          <w:rPr>
            <w:webHidden/>
          </w:rPr>
          <w:instrText xml:space="preserve"> PAGEREF _Toc140843412 \h </w:instrText>
        </w:r>
        <w:r w:rsidR="00850AA4">
          <w:rPr>
            <w:webHidden/>
          </w:rPr>
        </w:r>
        <w:r w:rsidR="00850AA4">
          <w:rPr>
            <w:webHidden/>
          </w:rPr>
          <w:fldChar w:fldCharType="separate"/>
        </w:r>
        <w:r w:rsidR="00850AA4">
          <w:rPr>
            <w:webHidden/>
          </w:rPr>
          <w:t>30</w:t>
        </w:r>
        <w:r w:rsidR="00850AA4">
          <w:rPr>
            <w:webHidden/>
          </w:rPr>
          <w:fldChar w:fldCharType="end"/>
        </w:r>
      </w:hyperlink>
    </w:p>
    <w:p w14:paraId="24D45DBD" w14:textId="4C39F22C" w:rsidR="00850AA4" w:rsidRDefault="00000000">
      <w:pPr>
        <w:pStyle w:val="TOC2"/>
        <w:rPr>
          <w:rFonts w:asciiTheme="minorHAnsi" w:eastAsiaTheme="minorEastAsia" w:hAnsiTheme="minorHAnsi" w:cstheme="minorBidi"/>
          <w:sz w:val="22"/>
          <w:szCs w:val="22"/>
        </w:rPr>
      </w:pPr>
      <w:hyperlink w:anchor="_Toc140843413" w:history="1">
        <w:r w:rsidR="00850AA4" w:rsidRPr="0040445F">
          <w:rPr>
            <w:rStyle w:val="Hyperlink"/>
          </w:rPr>
          <w:t>Understanding the data</w:t>
        </w:r>
        <w:r w:rsidR="00850AA4">
          <w:rPr>
            <w:webHidden/>
          </w:rPr>
          <w:tab/>
        </w:r>
        <w:r w:rsidR="00850AA4">
          <w:rPr>
            <w:webHidden/>
          </w:rPr>
          <w:fldChar w:fldCharType="begin"/>
        </w:r>
        <w:r w:rsidR="00850AA4">
          <w:rPr>
            <w:webHidden/>
          </w:rPr>
          <w:instrText xml:space="preserve"> PAGEREF _Toc140843413 \h </w:instrText>
        </w:r>
        <w:r w:rsidR="00850AA4">
          <w:rPr>
            <w:webHidden/>
          </w:rPr>
        </w:r>
        <w:r w:rsidR="00850AA4">
          <w:rPr>
            <w:webHidden/>
          </w:rPr>
          <w:fldChar w:fldCharType="separate"/>
        </w:r>
        <w:r w:rsidR="00850AA4">
          <w:rPr>
            <w:webHidden/>
          </w:rPr>
          <w:t>30</w:t>
        </w:r>
        <w:r w:rsidR="00850AA4">
          <w:rPr>
            <w:webHidden/>
          </w:rPr>
          <w:fldChar w:fldCharType="end"/>
        </w:r>
      </w:hyperlink>
    </w:p>
    <w:p w14:paraId="021CF02F" w14:textId="0B39F8E6" w:rsidR="00850AA4" w:rsidRDefault="00000000">
      <w:pPr>
        <w:pStyle w:val="TOC1"/>
        <w:rPr>
          <w:rFonts w:asciiTheme="minorHAnsi" w:eastAsiaTheme="minorEastAsia" w:hAnsiTheme="minorHAnsi" w:cstheme="minorBidi"/>
          <w:sz w:val="22"/>
          <w:szCs w:val="22"/>
        </w:rPr>
      </w:pPr>
      <w:hyperlink w:anchor="_Toc140843414" w:history="1">
        <w:r w:rsidR="00850AA4" w:rsidRPr="0040445F">
          <w:rPr>
            <w:rStyle w:val="Hyperlink"/>
          </w:rPr>
          <w:t>Outcome: Improve cancer outcomes</w:t>
        </w:r>
        <w:r w:rsidR="00850AA4">
          <w:rPr>
            <w:webHidden/>
          </w:rPr>
          <w:tab/>
        </w:r>
        <w:r w:rsidR="00850AA4">
          <w:rPr>
            <w:webHidden/>
          </w:rPr>
          <w:fldChar w:fldCharType="begin"/>
        </w:r>
        <w:r w:rsidR="00850AA4">
          <w:rPr>
            <w:webHidden/>
          </w:rPr>
          <w:instrText xml:space="preserve"> PAGEREF _Toc140843414 \h </w:instrText>
        </w:r>
        <w:r w:rsidR="00850AA4">
          <w:rPr>
            <w:webHidden/>
          </w:rPr>
        </w:r>
        <w:r w:rsidR="00850AA4">
          <w:rPr>
            <w:webHidden/>
          </w:rPr>
          <w:fldChar w:fldCharType="separate"/>
        </w:r>
        <w:r w:rsidR="00850AA4">
          <w:rPr>
            <w:webHidden/>
          </w:rPr>
          <w:t>32</w:t>
        </w:r>
        <w:r w:rsidR="00850AA4">
          <w:rPr>
            <w:webHidden/>
          </w:rPr>
          <w:fldChar w:fldCharType="end"/>
        </w:r>
      </w:hyperlink>
    </w:p>
    <w:p w14:paraId="2B36EA5B" w14:textId="2AD33A6E" w:rsidR="00850AA4" w:rsidRDefault="00000000">
      <w:pPr>
        <w:pStyle w:val="TOC2"/>
        <w:rPr>
          <w:rFonts w:asciiTheme="minorHAnsi" w:eastAsiaTheme="minorEastAsia" w:hAnsiTheme="minorHAnsi" w:cstheme="minorBidi"/>
          <w:sz w:val="22"/>
          <w:szCs w:val="22"/>
        </w:rPr>
      </w:pPr>
      <w:hyperlink w:anchor="_Toc140843415" w:history="1">
        <w:r w:rsidR="00850AA4" w:rsidRPr="0040445F">
          <w:rPr>
            <w:rStyle w:val="Hyperlink"/>
          </w:rPr>
          <w:t>Key result: Decrease incidence of preventable cancers</w:t>
        </w:r>
        <w:r w:rsidR="00850AA4">
          <w:rPr>
            <w:webHidden/>
          </w:rPr>
          <w:tab/>
        </w:r>
        <w:r w:rsidR="00850AA4">
          <w:rPr>
            <w:webHidden/>
          </w:rPr>
          <w:fldChar w:fldCharType="begin"/>
        </w:r>
        <w:r w:rsidR="00850AA4">
          <w:rPr>
            <w:webHidden/>
          </w:rPr>
          <w:instrText xml:space="preserve"> PAGEREF _Toc140843415 \h </w:instrText>
        </w:r>
        <w:r w:rsidR="00850AA4">
          <w:rPr>
            <w:webHidden/>
          </w:rPr>
        </w:r>
        <w:r w:rsidR="00850AA4">
          <w:rPr>
            <w:webHidden/>
          </w:rPr>
          <w:fldChar w:fldCharType="separate"/>
        </w:r>
        <w:r w:rsidR="00850AA4">
          <w:rPr>
            <w:webHidden/>
          </w:rPr>
          <w:t>32</w:t>
        </w:r>
        <w:r w:rsidR="00850AA4">
          <w:rPr>
            <w:webHidden/>
          </w:rPr>
          <w:fldChar w:fldCharType="end"/>
        </w:r>
      </w:hyperlink>
    </w:p>
    <w:p w14:paraId="74C97023" w14:textId="682AD516" w:rsidR="00850AA4" w:rsidRDefault="00000000">
      <w:pPr>
        <w:pStyle w:val="TOC1"/>
        <w:rPr>
          <w:rFonts w:asciiTheme="minorHAnsi" w:eastAsiaTheme="minorEastAsia" w:hAnsiTheme="minorHAnsi" w:cstheme="minorBidi"/>
          <w:sz w:val="22"/>
          <w:szCs w:val="22"/>
        </w:rPr>
      </w:pPr>
      <w:hyperlink w:anchor="_Toc140843416" w:history="1">
        <w:r w:rsidR="00850AA4" w:rsidRPr="0040445F">
          <w:rPr>
            <w:rStyle w:val="Hyperlink"/>
          </w:rPr>
          <w:t>Outcome: Equitable outcomes for all Victorians</w:t>
        </w:r>
        <w:r w:rsidR="00850AA4">
          <w:rPr>
            <w:webHidden/>
          </w:rPr>
          <w:tab/>
        </w:r>
        <w:r w:rsidR="00850AA4">
          <w:rPr>
            <w:webHidden/>
          </w:rPr>
          <w:fldChar w:fldCharType="begin"/>
        </w:r>
        <w:r w:rsidR="00850AA4">
          <w:rPr>
            <w:webHidden/>
          </w:rPr>
          <w:instrText xml:space="preserve"> PAGEREF _Toc140843416 \h </w:instrText>
        </w:r>
        <w:r w:rsidR="00850AA4">
          <w:rPr>
            <w:webHidden/>
          </w:rPr>
        </w:r>
        <w:r w:rsidR="00850AA4">
          <w:rPr>
            <w:webHidden/>
          </w:rPr>
          <w:fldChar w:fldCharType="separate"/>
        </w:r>
        <w:r w:rsidR="00850AA4">
          <w:rPr>
            <w:webHidden/>
          </w:rPr>
          <w:t>71</w:t>
        </w:r>
        <w:r w:rsidR="00850AA4">
          <w:rPr>
            <w:webHidden/>
          </w:rPr>
          <w:fldChar w:fldCharType="end"/>
        </w:r>
      </w:hyperlink>
    </w:p>
    <w:p w14:paraId="6EDFDFB4" w14:textId="1423FDE8" w:rsidR="00850AA4" w:rsidRDefault="00000000">
      <w:pPr>
        <w:pStyle w:val="TOC2"/>
        <w:rPr>
          <w:rFonts w:asciiTheme="minorHAnsi" w:eastAsiaTheme="minorEastAsia" w:hAnsiTheme="minorHAnsi" w:cstheme="minorBidi"/>
          <w:sz w:val="22"/>
          <w:szCs w:val="22"/>
        </w:rPr>
      </w:pPr>
      <w:hyperlink w:anchor="_Toc140843417" w:history="1">
        <w:r w:rsidR="00850AA4" w:rsidRPr="0040445F">
          <w:rPr>
            <w:rStyle w:val="Hyperlink"/>
          </w:rPr>
          <w:t>Key result: Equitably reduce cancer incidence</w:t>
        </w:r>
        <w:r w:rsidR="00850AA4">
          <w:rPr>
            <w:webHidden/>
          </w:rPr>
          <w:tab/>
        </w:r>
        <w:r w:rsidR="00850AA4">
          <w:rPr>
            <w:webHidden/>
          </w:rPr>
          <w:fldChar w:fldCharType="begin"/>
        </w:r>
        <w:r w:rsidR="00850AA4">
          <w:rPr>
            <w:webHidden/>
          </w:rPr>
          <w:instrText xml:space="preserve"> PAGEREF _Toc140843417 \h </w:instrText>
        </w:r>
        <w:r w:rsidR="00850AA4">
          <w:rPr>
            <w:webHidden/>
          </w:rPr>
        </w:r>
        <w:r w:rsidR="00850AA4">
          <w:rPr>
            <w:webHidden/>
          </w:rPr>
          <w:fldChar w:fldCharType="separate"/>
        </w:r>
        <w:r w:rsidR="00850AA4">
          <w:rPr>
            <w:webHidden/>
          </w:rPr>
          <w:t>71</w:t>
        </w:r>
        <w:r w:rsidR="00850AA4">
          <w:rPr>
            <w:webHidden/>
          </w:rPr>
          <w:fldChar w:fldCharType="end"/>
        </w:r>
      </w:hyperlink>
    </w:p>
    <w:p w14:paraId="1D95F94C" w14:textId="0D1702D5" w:rsidR="00850AA4" w:rsidRDefault="00000000">
      <w:pPr>
        <w:pStyle w:val="TOC2"/>
        <w:rPr>
          <w:rFonts w:asciiTheme="minorHAnsi" w:eastAsiaTheme="minorEastAsia" w:hAnsiTheme="minorHAnsi" w:cstheme="minorBidi"/>
          <w:sz w:val="22"/>
          <w:szCs w:val="22"/>
        </w:rPr>
      </w:pPr>
      <w:hyperlink w:anchor="_Toc140843418" w:history="1">
        <w:r w:rsidR="00850AA4" w:rsidRPr="0040445F">
          <w:rPr>
            <w:rStyle w:val="Hyperlink"/>
          </w:rPr>
          <w:t>Key result: Equitably reduce cancer deaths</w:t>
        </w:r>
        <w:r w:rsidR="00850AA4">
          <w:rPr>
            <w:webHidden/>
          </w:rPr>
          <w:tab/>
        </w:r>
        <w:r w:rsidR="00850AA4">
          <w:rPr>
            <w:webHidden/>
          </w:rPr>
          <w:fldChar w:fldCharType="begin"/>
        </w:r>
        <w:r w:rsidR="00850AA4">
          <w:rPr>
            <w:webHidden/>
          </w:rPr>
          <w:instrText xml:space="preserve"> PAGEREF _Toc140843418 \h </w:instrText>
        </w:r>
        <w:r w:rsidR="00850AA4">
          <w:rPr>
            <w:webHidden/>
          </w:rPr>
        </w:r>
        <w:r w:rsidR="00850AA4">
          <w:rPr>
            <w:webHidden/>
          </w:rPr>
          <w:fldChar w:fldCharType="separate"/>
        </w:r>
        <w:r w:rsidR="00850AA4">
          <w:rPr>
            <w:webHidden/>
          </w:rPr>
          <w:t>77</w:t>
        </w:r>
        <w:r w:rsidR="00850AA4">
          <w:rPr>
            <w:webHidden/>
          </w:rPr>
          <w:fldChar w:fldCharType="end"/>
        </w:r>
      </w:hyperlink>
    </w:p>
    <w:p w14:paraId="1D89AAA9" w14:textId="56DBFE39" w:rsidR="00850AA4" w:rsidRDefault="00000000">
      <w:pPr>
        <w:pStyle w:val="TOC2"/>
        <w:rPr>
          <w:rFonts w:asciiTheme="minorHAnsi" w:eastAsiaTheme="minorEastAsia" w:hAnsiTheme="minorHAnsi" w:cstheme="minorBidi"/>
          <w:sz w:val="22"/>
          <w:szCs w:val="22"/>
        </w:rPr>
      </w:pPr>
      <w:hyperlink w:anchor="_Toc140843419" w:history="1">
        <w:r w:rsidR="00850AA4" w:rsidRPr="0040445F">
          <w:rPr>
            <w:rStyle w:val="Hyperlink"/>
          </w:rPr>
          <w:t>Key result: Decrease smoking and harmful alcohol consumption</w:t>
        </w:r>
        <w:r w:rsidR="00850AA4">
          <w:rPr>
            <w:webHidden/>
          </w:rPr>
          <w:tab/>
        </w:r>
        <w:r w:rsidR="00850AA4">
          <w:rPr>
            <w:webHidden/>
          </w:rPr>
          <w:fldChar w:fldCharType="begin"/>
        </w:r>
        <w:r w:rsidR="00850AA4">
          <w:rPr>
            <w:webHidden/>
          </w:rPr>
          <w:instrText xml:space="preserve"> PAGEREF _Toc140843419 \h </w:instrText>
        </w:r>
        <w:r w:rsidR="00850AA4">
          <w:rPr>
            <w:webHidden/>
          </w:rPr>
        </w:r>
        <w:r w:rsidR="00850AA4">
          <w:rPr>
            <w:webHidden/>
          </w:rPr>
          <w:fldChar w:fldCharType="separate"/>
        </w:r>
        <w:r w:rsidR="00850AA4">
          <w:rPr>
            <w:webHidden/>
          </w:rPr>
          <w:t>83</w:t>
        </w:r>
        <w:r w:rsidR="00850AA4">
          <w:rPr>
            <w:webHidden/>
          </w:rPr>
          <w:fldChar w:fldCharType="end"/>
        </w:r>
      </w:hyperlink>
    </w:p>
    <w:p w14:paraId="4564C4E6" w14:textId="6B811397" w:rsidR="00850AA4" w:rsidRDefault="00000000">
      <w:pPr>
        <w:pStyle w:val="TOC2"/>
        <w:rPr>
          <w:rFonts w:asciiTheme="minorHAnsi" w:eastAsiaTheme="minorEastAsia" w:hAnsiTheme="minorHAnsi" w:cstheme="minorBidi"/>
          <w:sz w:val="22"/>
          <w:szCs w:val="22"/>
        </w:rPr>
      </w:pPr>
      <w:hyperlink w:anchor="_Toc140843420" w:history="1">
        <w:r w:rsidR="00850AA4" w:rsidRPr="0040445F">
          <w:rPr>
            <w:rStyle w:val="Hyperlink"/>
          </w:rPr>
          <w:t>Key result: Decrease HPV and viral hepatitis impact</w:t>
        </w:r>
        <w:r w:rsidR="00850AA4">
          <w:rPr>
            <w:webHidden/>
          </w:rPr>
          <w:tab/>
        </w:r>
        <w:r w:rsidR="00850AA4">
          <w:rPr>
            <w:webHidden/>
          </w:rPr>
          <w:fldChar w:fldCharType="begin"/>
        </w:r>
        <w:r w:rsidR="00850AA4">
          <w:rPr>
            <w:webHidden/>
          </w:rPr>
          <w:instrText xml:space="preserve"> PAGEREF _Toc140843420 \h </w:instrText>
        </w:r>
        <w:r w:rsidR="00850AA4">
          <w:rPr>
            <w:webHidden/>
          </w:rPr>
        </w:r>
        <w:r w:rsidR="00850AA4">
          <w:rPr>
            <w:webHidden/>
          </w:rPr>
          <w:fldChar w:fldCharType="separate"/>
        </w:r>
        <w:r w:rsidR="00850AA4">
          <w:rPr>
            <w:webHidden/>
          </w:rPr>
          <w:t>120</w:t>
        </w:r>
        <w:r w:rsidR="00850AA4">
          <w:rPr>
            <w:webHidden/>
          </w:rPr>
          <w:fldChar w:fldCharType="end"/>
        </w:r>
      </w:hyperlink>
    </w:p>
    <w:p w14:paraId="45E28B8A" w14:textId="2EBD8F09" w:rsidR="00850AA4" w:rsidRDefault="00000000">
      <w:pPr>
        <w:pStyle w:val="TOC1"/>
        <w:rPr>
          <w:rFonts w:asciiTheme="minorHAnsi" w:eastAsiaTheme="minorEastAsia" w:hAnsiTheme="minorHAnsi" w:cstheme="minorBidi"/>
          <w:sz w:val="22"/>
          <w:szCs w:val="22"/>
        </w:rPr>
      </w:pPr>
      <w:hyperlink w:anchor="_Toc140843421" w:history="1">
        <w:r w:rsidR="00850AA4" w:rsidRPr="0040445F">
          <w:rPr>
            <w:rStyle w:val="Hyperlink"/>
          </w:rPr>
          <w:t>Outcome: Detect cancers early</w:t>
        </w:r>
        <w:r w:rsidR="00850AA4">
          <w:rPr>
            <w:webHidden/>
          </w:rPr>
          <w:tab/>
        </w:r>
        <w:r w:rsidR="00850AA4">
          <w:rPr>
            <w:webHidden/>
          </w:rPr>
          <w:fldChar w:fldCharType="begin"/>
        </w:r>
        <w:r w:rsidR="00850AA4">
          <w:rPr>
            <w:webHidden/>
          </w:rPr>
          <w:instrText xml:space="preserve"> PAGEREF _Toc140843421 \h </w:instrText>
        </w:r>
        <w:r w:rsidR="00850AA4">
          <w:rPr>
            <w:webHidden/>
          </w:rPr>
        </w:r>
        <w:r w:rsidR="00850AA4">
          <w:rPr>
            <w:webHidden/>
          </w:rPr>
          <w:fldChar w:fldCharType="separate"/>
        </w:r>
        <w:r w:rsidR="00850AA4">
          <w:rPr>
            <w:webHidden/>
          </w:rPr>
          <w:t>131</w:t>
        </w:r>
        <w:r w:rsidR="00850AA4">
          <w:rPr>
            <w:webHidden/>
          </w:rPr>
          <w:fldChar w:fldCharType="end"/>
        </w:r>
      </w:hyperlink>
    </w:p>
    <w:p w14:paraId="1F0FFAC3" w14:textId="485DE767" w:rsidR="00850AA4" w:rsidRDefault="00000000">
      <w:pPr>
        <w:pStyle w:val="TOC2"/>
        <w:rPr>
          <w:rFonts w:asciiTheme="minorHAnsi" w:eastAsiaTheme="minorEastAsia" w:hAnsiTheme="minorHAnsi" w:cstheme="minorBidi"/>
          <w:sz w:val="22"/>
          <w:szCs w:val="22"/>
        </w:rPr>
      </w:pPr>
      <w:hyperlink w:anchor="_Toc140843422" w:history="1">
        <w:r w:rsidR="00850AA4" w:rsidRPr="0040445F">
          <w:rPr>
            <w:rStyle w:val="Hyperlink"/>
          </w:rPr>
          <w:t>Key result: Increase early-stage diagnosis</w:t>
        </w:r>
        <w:r w:rsidR="00850AA4">
          <w:rPr>
            <w:webHidden/>
          </w:rPr>
          <w:tab/>
        </w:r>
        <w:r w:rsidR="00850AA4">
          <w:rPr>
            <w:webHidden/>
          </w:rPr>
          <w:fldChar w:fldCharType="begin"/>
        </w:r>
        <w:r w:rsidR="00850AA4">
          <w:rPr>
            <w:webHidden/>
          </w:rPr>
          <w:instrText xml:space="preserve"> PAGEREF _Toc140843422 \h </w:instrText>
        </w:r>
        <w:r w:rsidR="00850AA4">
          <w:rPr>
            <w:webHidden/>
          </w:rPr>
        </w:r>
        <w:r w:rsidR="00850AA4">
          <w:rPr>
            <w:webHidden/>
          </w:rPr>
          <w:fldChar w:fldCharType="separate"/>
        </w:r>
        <w:r w:rsidR="00850AA4">
          <w:rPr>
            <w:webHidden/>
          </w:rPr>
          <w:t>131</w:t>
        </w:r>
        <w:r w:rsidR="00850AA4">
          <w:rPr>
            <w:webHidden/>
          </w:rPr>
          <w:fldChar w:fldCharType="end"/>
        </w:r>
      </w:hyperlink>
    </w:p>
    <w:p w14:paraId="4313C536" w14:textId="55B419E3" w:rsidR="00850AA4" w:rsidRDefault="00000000">
      <w:pPr>
        <w:pStyle w:val="TOC2"/>
        <w:rPr>
          <w:rFonts w:asciiTheme="minorHAnsi" w:eastAsiaTheme="minorEastAsia" w:hAnsiTheme="minorHAnsi" w:cstheme="minorBidi"/>
          <w:sz w:val="22"/>
          <w:szCs w:val="22"/>
        </w:rPr>
      </w:pPr>
      <w:hyperlink w:anchor="_Toc140843423" w:history="1">
        <w:r w:rsidR="00850AA4" w:rsidRPr="0040445F">
          <w:rPr>
            <w:rStyle w:val="Hyperlink"/>
          </w:rPr>
          <w:t>Key result: Increase adherence to Optimal Care Pathways</w:t>
        </w:r>
        <w:r w:rsidR="00850AA4">
          <w:rPr>
            <w:webHidden/>
          </w:rPr>
          <w:tab/>
        </w:r>
        <w:r w:rsidR="00850AA4">
          <w:rPr>
            <w:webHidden/>
          </w:rPr>
          <w:fldChar w:fldCharType="begin"/>
        </w:r>
        <w:r w:rsidR="00850AA4">
          <w:rPr>
            <w:webHidden/>
          </w:rPr>
          <w:instrText xml:space="preserve"> PAGEREF _Toc140843423 \h </w:instrText>
        </w:r>
        <w:r w:rsidR="00850AA4">
          <w:rPr>
            <w:webHidden/>
          </w:rPr>
        </w:r>
        <w:r w:rsidR="00850AA4">
          <w:rPr>
            <w:webHidden/>
          </w:rPr>
          <w:fldChar w:fldCharType="separate"/>
        </w:r>
        <w:r w:rsidR="00850AA4">
          <w:rPr>
            <w:webHidden/>
          </w:rPr>
          <w:t>143</w:t>
        </w:r>
        <w:r w:rsidR="00850AA4">
          <w:rPr>
            <w:webHidden/>
          </w:rPr>
          <w:fldChar w:fldCharType="end"/>
        </w:r>
      </w:hyperlink>
    </w:p>
    <w:p w14:paraId="68816F33" w14:textId="643054C4" w:rsidR="00850AA4" w:rsidRDefault="00000000">
      <w:pPr>
        <w:pStyle w:val="TOC2"/>
        <w:rPr>
          <w:rFonts w:asciiTheme="minorHAnsi" w:eastAsiaTheme="minorEastAsia" w:hAnsiTheme="minorHAnsi" w:cstheme="minorBidi"/>
          <w:sz w:val="22"/>
          <w:szCs w:val="22"/>
        </w:rPr>
      </w:pPr>
      <w:hyperlink w:anchor="_Toc140843424" w:history="1">
        <w:r w:rsidR="00850AA4" w:rsidRPr="0040445F">
          <w:rPr>
            <w:rStyle w:val="Hyperlink"/>
          </w:rPr>
          <w:t>Key result: Improving quality of life</w:t>
        </w:r>
        <w:r w:rsidR="00850AA4">
          <w:rPr>
            <w:webHidden/>
          </w:rPr>
          <w:tab/>
        </w:r>
        <w:r w:rsidR="00850AA4">
          <w:rPr>
            <w:webHidden/>
          </w:rPr>
          <w:fldChar w:fldCharType="begin"/>
        </w:r>
        <w:r w:rsidR="00850AA4">
          <w:rPr>
            <w:webHidden/>
          </w:rPr>
          <w:instrText xml:space="preserve"> PAGEREF _Toc140843424 \h </w:instrText>
        </w:r>
        <w:r w:rsidR="00850AA4">
          <w:rPr>
            <w:webHidden/>
          </w:rPr>
        </w:r>
        <w:r w:rsidR="00850AA4">
          <w:rPr>
            <w:webHidden/>
          </w:rPr>
          <w:fldChar w:fldCharType="separate"/>
        </w:r>
        <w:r w:rsidR="00850AA4">
          <w:rPr>
            <w:webHidden/>
          </w:rPr>
          <w:t>225</w:t>
        </w:r>
        <w:r w:rsidR="00850AA4">
          <w:rPr>
            <w:webHidden/>
          </w:rPr>
          <w:fldChar w:fldCharType="end"/>
        </w:r>
      </w:hyperlink>
    </w:p>
    <w:p w14:paraId="4893D56A" w14:textId="75C319E6" w:rsidR="00850AA4" w:rsidRDefault="00000000">
      <w:pPr>
        <w:pStyle w:val="TOC1"/>
        <w:rPr>
          <w:rFonts w:asciiTheme="minorHAnsi" w:eastAsiaTheme="minorEastAsia" w:hAnsiTheme="minorHAnsi" w:cstheme="minorBidi"/>
          <w:sz w:val="22"/>
          <w:szCs w:val="22"/>
        </w:rPr>
      </w:pPr>
      <w:hyperlink w:anchor="_Toc140843425" w:history="1">
        <w:r w:rsidR="00850AA4" w:rsidRPr="0040445F">
          <w:rPr>
            <w:rStyle w:val="Hyperlink"/>
          </w:rPr>
          <w:t>Outcome: Best possible experience of care systems</w:t>
        </w:r>
        <w:r w:rsidR="00850AA4">
          <w:rPr>
            <w:webHidden/>
          </w:rPr>
          <w:tab/>
        </w:r>
        <w:r w:rsidR="00850AA4">
          <w:rPr>
            <w:webHidden/>
          </w:rPr>
          <w:fldChar w:fldCharType="begin"/>
        </w:r>
        <w:r w:rsidR="00850AA4">
          <w:rPr>
            <w:webHidden/>
          </w:rPr>
          <w:instrText xml:space="preserve"> PAGEREF _Toc140843425 \h </w:instrText>
        </w:r>
        <w:r w:rsidR="00850AA4">
          <w:rPr>
            <w:webHidden/>
          </w:rPr>
        </w:r>
        <w:r w:rsidR="00850AA4">
          <w:rPr>
            <w:webHidden/>
          </w:rPr>
          <w:fldChar w:fldCharType="separate"/>
        </w:r>
        <w:r w:rsidR="00850AA4">
          <w:rPr>
            <w:webHidden/>
          </w:rPr>
          <w:t>226</w:t>
        </w:r>
        <w:r w:rsidR="00850AA4">
          <w:rPr>
            <w:webHidden/>
          </w:rPr>
          <w:fldChar w:fldCharType="end"/>
        </w:r>
      </w:hyperlink>
    </w:p>
    <w:p w14:paraId="6A6F0DD6" w14:textId="0DA57323" w:rsidR="00850AA4" w:rsidRDefault="00000000">
      <w:pPr>
        <w:pStyle w:val="TOC2"/>
        <w:rPr>
          <w:rFonts w:asciiTheme="minorHAnsi" w:eastAsiaTheme="minorEastAsia" w:hAnsiTheme="minorHAnsi" w:cstheme="minorBidi"/>
          <w:sz w:val="22"/>
          <w:szCs w:val="22"/>
        </w:rPr>
      </w:pPr>
      <w:hyperlink w:anchor="_Toc140843426" w:history="1">
        <w:r w:rsidR="00850AA4" w:rsidRPr="0040445F">
          <w:rPr>
            <w:rStyle w:val="Hyperlink"/>
          </w:rPr>
          <w:t>Key result: Improve patient experience of health care</w:t>
        </w:r>
        <w:r w:rsidR="00850AA4">
          <w:rPr>
            <w:webHidden/>
          </w:rPr>
          <w:tab/>
        </w:r>
        <w:r w:rsidR="00850AA4">
          <w:rPr>
            <w:webHidden/>
          </w:rPr>
          <w:fldChar w:fldCharType="begin"/>
        </w:r>
        <w:r w:rsidR="00850AA4">
          <w:rPr>
            <w:webHidden/>
          </w:rPr>
          <w:instrText xml:space="preserve"> PAGEREF _Toc140843426 \h </w:instrText>
        </w:r>
        <w:r w:rsidR="00850AA4">
          <w:rPr>
            <w:webHidden/>
          </w:rPr>
        </w:r>
        <w:r w:rsidR="00850AA4">
          <w:rPr>
            <w:webHidden/>
          </w:rPr>
          <w:fldChar w:fldCharType="separate"/>
        </w:r>
        <w:r w:rsidR="00850AA4">
          <w:rPr>
            <w:webHidden/>
          </w:rPr>
          <w:t>226</w:t>
        </w:r>
        <w:r w:rsidR="00850AA4">
          <w:rPr>
            <w:webHidden/>
          </w:rPr>
          <w:fldChar w:fldCharType="end"/>
        </w:r>
      </w:hyperlink>
    </w:p>
    <w:p w14:paraId="4172ABC6" w14:textId="5B14688B" w:rsidR="00850AA4" w:rsidRDefault="00000000">
      <w:pPr>
        <w:pStyle w:val="TOC2"/>
        <w:rPr>
          <w:rFonts w:asciiTheme="minorHAnsi" w:eastAsiaTheme="minorEastAsia" w:hAnsiTheme="minorHAnsi" w:cstheme="minorBidi"/>
          <w:sz w:val="22"/>
          <w:szCs w:val="22"/>
        </w:rPr>
      </w:pPr>
      <w:hyperlink w:anchor="_Toc140843427" w:history="1">
        <w:r w:rsidR="00850AA4" w:rsidRPr="0040445F">
          <w:rPr>
            <w:rStyle w:val="Hyperlink"/>
          </w:rPr>
          <w:t>Key result: Improve patient experience of screening</w:t>
        </w:r>
        <w:r w:rsidR="00850AA4">
          <w:rPr>
            <w:webHidden/>
          </w:rPr>
          <w:tab/>
        </w:r>
        <w:r w:rsidR="00850AA4">
          <w:rPr>
            <w:webHidden/>
          </w:rPr>
          <w:fldChar w:fldCharType="begin"/>
        </w:r>
        <w:r w:rsidR="00850AA4">
          <w:rPr>
            <w:webHidden/>
          </w:rPr>
          <w:instrText xml:space="preserve"> PAGEREF _Toc140843427 \h </w:instrText>
        </w:r>
        <w:r w:rsidR="00850AA4">
          <w:rPr>
            <w:webHidden/>
          </w:rPr>
        </w:r>
        <w:r w:rsidR="00850AA4">
          <w:rPr>
            <w:webHidden/>
          </w:rPr>
          <w:fldChar w:fldCharType="separate"/>
        </w:r>
        <w:r w:rsidR="00850AA4">
          <w:rPr>
            <w:webHidden/>
          </w:rPr>
          <w:t>233</w:t>
        </w:r>
        <w:r w:rsidR="00850AA4">
          <w:rPr>
            <w:webHidden/>
          </w:rPr>
          <w:fldChar w:fldCharType="end"/>
        </w:r>
      </w:hyperlink>
    </w:p>
    <w:p w14:paraId="6734AD62" w14:textId="20282430" w:rsidR="00850AA4" w:rsidRDefault="00000000">
      <w:pPr>
        <w:pStyle w:val="TOC1"/>
        <w:rPr>
          <w:rFonts w:asciiTheme="minorHAnsi" w:eastAsiaTheme="minorEastAsia" w:hAnsiTheme="minorHAnsi" w:cstheme="minorBidi"/>
          <w:sz w:val="22"/>
          <w:szCs w:val="22"/>
        </w:rPr>
      </w:pPr>
      <w:hyperlink w:anchor="_Toc140843428" w:history="1">
        <w:r w:rsidR="00850AA4" w:rsidRPr="0040445F">
          <w:rPr>
            <w:rStyle w:val="Hyperlink"/>
          </w:rPr>
          <w:t>Outcome: Integrated research systems</w:t>
        </w:r>
        <w:r w:rsidR="00850AA4">
          <w:rPr>
            <w:webHidden/>
          </w:rPr>
          <w:tab/>
        </w:r>
        <w:r w:rsidR="00850AA4">
          <w:rPr>
            <w:webHidden/>
          </w:rPr>
          <w:fldChar w:fldCharType="begin"/>
        </w:r>
        <w:r w:rsidR="00850AA4">
          <w:rPr>
            <w:webHidden/>
          </w:rPr>
          <w:instrText xml:space="preserve"> PAGEREF _Toc140843428 \h </w:instrText>
        </w:r>
        <w:r w:rsidR="00850AA4">
          <w:rPr>
            <w:webHidden/>
          </w:rPr>
        </w:r>
        <w:r w:rsidR="00850AA4">
          <w:rPr>
            <w:webHidden/>
          </w:rPr>
          <w:fldChar w:fldCharType="separate"/>
        </w:r>
        <w:r w:rsidR="00850AA4">
          <w:rPr>
            <w:webHidden/>
          </w:rPr>
          <w:t>240</w:t>
        </w:r>
        <w:r w:rsidR="00850AA4">
          <w:rPr>
            <w:webHidden/>
          </w:rPr>
          <w:fldChar w:fldCharType="end"/>
        </w:r>
      </w:hyperlink>
    </w:p>
    <w:p w14:paraId="6AEC7C5D" w14:textId="5E831DA6" w:rsidR="00850AA4" w:rsidRDefault="00000000">
      <w:pPr>
        <w:pStyle w:val="TOC2"/>
        <w:rPr>
          <w:rFonts w:asciiTheme="minorHAnsi" w:eastAsiaTheme="minorEastAsia" w:hAnsiTheme="minorHAnsi" w:cstheme="minorBidi"/>
          <w:sz w:val="22"/>
          <w:szCs w:val="22"/>
        </w:rPr>
      </w:pPr>
      <w:hyperlink w:anchor="_Toc140843429" w:history="1">
        <w:r w:rsidR="00850AA4" w:rsidRPr="0040445F">
          <w:rPr>
            <w:rStyle w:val="Hyperlink"/>
          </w:rPr>
          <w:t>Key result: Innovations and improved evidence of best practice</w:t>
        </w:r>
        <w:r w:rsidR="00850AA4">
          <w:rPr>
            <w:webHidden/>
          </w:rPr>
          <w:tab/>
        </w:r>
        <w:r w:rsidR="00850AA4">
          <w:rPr>
            <w:webHidden/>
          </w:rPr>
          <w:fldChar w:fldCharType="begin"/>
        </w:r>
        <w:r w:rsidR="00850AA4">
          <w:rPr>
            <w:webHidden/>
          </w:rPr>
          <w:instrText xml:space="preserve"> PAGEREF _Toc140843429 \h </w:instrText>
        </w:r>
        <w:r w:rsidR="00850AA4">
          <w:rPr>
            <w:webHidden/>
          </w:rPr>
        </w:r>
        <w:r w:rsidR="00850AA4">
          <w:rPr>
            <w:webHidden/>
          </w:rPr>
          <w:fldChar w:fldCharType="separate"/>
        </w:r>
        <w:r w:rsidR="00850AA4">
          <w:rPr>
            <w:webHidden/>
          </w:rPr>
          <w:t>240</w:t>
        </w:r>
        <w:r w:rsidR="00850AA4">
          <w:rPr>
            <w:webHidden/>
          </w:rPr>
          <w:fldChar w:fldCharType="end"/>
        </w:r>
      </w:hyperlink>
    </w:p>
    <w:p w14:paraId="0D6BEDFB" w14:textId="67FDC392" w:rsidR="00850AA4" w:rsidRDefault="00000000">
      <w:pPr>
        <w:pStyle w:val="TOC1"/>
        <w:rPr>
          <w:rFonts w:asciiTheme="minorHAnsi" w:eastAsiaTheme="minorEastAsia" w:hAnsiTheme="minorHAnsi" w:cstheme="minorBidi"/>
          <w:sz w:val="22"/>
          <w:szCs w:val="22"/>
        </w:rPr>
      </w:pPr>
      <w:hyperlink w:anchor="_Toc140843430" w:history="1">
        <w:r w:rsidR="00850AA4" w:rsidRPr="0040445F">
          <w:rPr>
            <w:rStyle w:val="Hyperlink"/>
          </w:rPr>
          <w:t>Progress towards achieving cancer plan 2020–2024 goals</w:t>
        </w:r>
        <w:r w:rsidR="00850AA4">
          <w:rPr>
            <w:webHidden/>
          </w:rPr>
          <w:tab/>
        </w:r>
        <w:r w:rsidR="00850AA4">
          <w:rPr>
            <w:webHidden/>
          </w:rPr>
          <w:fldChar w:fldCharType="begin"/>
        </w:r>
        <w:r w:rsidR="00850AA4">
          <w:rPr>
            <w:webHidden/>
          </w:rPr>
          <w:instrText xml:space="preserve"> PAGEREF _Toc140843430 \h </w:instrText>
        </w:r>
        <w:r w:rsidR="00850AA4">
          <w:rPr>
            <w:webHidden/>
          </w:rPr>
        </w:r>
        <w:r w:rsidR="00850AA4">
          <w:rPr>
            <w:webHidden/>
          </w:rPr>
          <w:fldChar w:fldCharType="separate"/>
        </w:r>
        <w:r w:rsidR="00850AA4">
          <w:rPr>
            <w:webHidden/>
          </w:rPr>
          <w:t>249</w:t>
        </w:r>
        <w:r w:rsidR="00850AA4">
          <w:rPr>
            <w:webHidden/>
          </w:rPr>
          <w:fldChar w:fldCharType="end"/>
        </w:r>
      </w:hyperlink>
    </w:p>
    <w:p w14:paraId="009562C5" w14:textId="59E68A3E" w:rsidR="00850AA4" w:rsidRDefault="00000000">
      <w:pPr>
        <w:pStyle w:val="TOC2"/>
        <w:rPr>
          <w:rFonts w:asciiTheme="minorHAnsi" w:eastAsiaTheme="minorEastAsia" w:hAnsiTheme="minorHAnsi" w:cstheme="minorBidi"/>
          <w:sz w:val="22"/>
          <w:szCs w:val="22"/>
        </w:rPr>
      </w:pPr>
      <w:hyperlink w:anchor="_Toc140843431" w:history="1">
        <w:r w:rsidR="00850AA4" w:rsidRPr="0040445F">
          <w:rPr>
            <w:rStyle w:val="Hyperlink"/>
          </w:rPr>
          <w:t>Short-term goals</w:t>
        </w:r>
        <w:r w:rsidR="00850AA4">
          <w:rPr>
            <w:webHidden/>
          </w:rPr>
          <w:tab/>
        </w:r>
        <w:r w:rsidR="00850AA4">
          <w:rPr>
            <w:webHidden/>
          </w:rPr>
          <w:fldChar w:fldCharType="begin"/>
        </w:r>
        <w:r w:rsidR="00850AA4">
          <w:rPr>
            <w:webHidden/>
          </w:rPr>
          <w:instrText xml:space="preserve"> PAGEREF _Toc140843431 \h </w:instrText>
        </w:r>
        <w:r w:rsidR="00850AA4">
          <w:rPr>
            <w:webHidden/>
          </w:rPr>
        </w:r>
        <w:r w:rsidR="00850AA4">
          <w:rPr>
            <w:webHidden/>
          </w:rPr>
          <w:fldChar w:fldCharType="separate"/>
        </w:r>
        <w:r w:rsidR="00850AA4">
          <w:rPr>
            <w:webHidden/>
          </w:rPr>
          <w:t>249</w:t>
        </w:r>
        <w:r w:rsidR="00850AA4">
          <w:rPr>
            <w:webHidden/>
          </w:rPr>
          <w:fldChar w:fldCharType="end"/>
        </w:r>
      </w:hyperlink>
    </w:p>
    <w:p w14:paraId="7DFAD5F6" w14:textId="5751E39A" w:rsidR="00850AA4" w:rsidRDefault="00000000">
      <w:pPr>
        <w:pStyle w:val="TOC2"/>
        <w:rPr>
          <w:rFonts w:asciiTheme="minorHAnsi" w:eastAsiaTheme="minorEastAsia" w:hAnsiTheme="minorHAnsi" w:cstheme="minorBidi"/>
          <w:sz w:val="22"/>
          <w:szCs w:val="22"/>
        </w:rPr>
      </w:pPr>
      <w:hyperlink w:anchor="_Toc140843432" w:history="1">
        <w:r w:rsidR="00850AA4" w:rsidRPr="0040445F">
          <w:rPr>
            <w:rStyle w:val="Hyperlink"/>
          </w:rPr>
          <w:t>Medium-term goals</w:t>
        </w:r>
        <w:r w:rsidR="00850AA4">
          <w:rPr>
            <w:webHidden/>
          </w:rPr>
          <w:tab/>
        </w:r>
        <w:r w:rsidR="00850AA4">
          <w:rPr>
            <w:webHidden/>
          </w:rPr>
          <w:fldChar w:fldCharType="begin"/>
        </w:r>
        <w:r w:rsidR="00850AA4">
          <w:rPr>
            <w:webHidden/>
          </w:rPr>
          <w:instrText xml:space="preserve"> PAGEREF _Toc140843432 \h </w:instrText>
        </w:r>
        <w:r w:rsidR="00850AA4">
          <w:rPr>
            <w:webHidden/>
          </w:rPr>
        </w:r>
        <w:r w:rsidR="00850AA4">
          <w:rPr>
            <w:webHidden/>
          </w:rPr>
          <w:fldChar w:fldCharType="separate"/>
        </w:r>
        <w:r w:rsidR="00850AA4">
          <w:rPr>
            <w:webHidden/>
          </w:rPr>
          <w:t>254</w:t>
        </w:r>
        <w:r w:rsidR="00850AA4">
          <w:rPr>
            <w:webHidden/>
          </w:rPr>
          <w:fldChar w:fldCharType="end"/>
        </w:r>
      </w:hyperlink>
    </w:p>
    <w:p w14:paraId="1AEF39A1" w14:textId="55076A91" w:rsidR="00850AA4" w:rsidRDefault="00000000">
      <w:pPr>
        <w:pStyle w:val="TOC2"/>
        <w:rPr>
          <w:rFonts w:asciiTheme="minorHAnsi" w:eastAsiaTheme="minorEastAsia" w:hAnsiTheme="minorHAnsi" w:cstheme="minorBidi"/>
          <w:sz w:val="22"/>
          <w:szCs w:val="22"/>
        </w:rPr>
      </w:pPr>
      <w:hyperlink w:anchor="_Toc140843433" w:history="1">
        <w:r w:rsidR="00850AA4" w:rsidRPr="0040445F">
          <w:rPr>
            <w:rStyle w:val="Hyperlink"/>
          </w:rPr>
          <w:t>Long-term goals</w:t>
        </w:r>
        <w:r w:rsidR="00850AA4">
          <w:rPr>
            <w:webHidden/>
          </w:rPr>
          <w:tab/>
        </w:r>
        <w:r w:rsidR="00850AA4">
          <w:rPr>
            <w:webHidden/>
          </w:rPr>
          <w:fldChar w:fldCharType="begin"/>
        </w:r>
        <w:r w:rsidR="00850AA4">
          <w:rPr>
            <w:webHidden/>
          </w:rPr>
          <w:instrText xml:space="preserve"> PAGEREF _Toc140843433 \h </w:instrText>
        </w:r>
        <w:r w:rsidR="00850AA4">
          <w:rPr>
            <w:webHidden/>
          </w:rPr>
        </w:r>
        <w:r w:rsidR="00850AA4">
          <w:rPr>
            <w:webHidden/>
          </w:rPr>
          <w:fldChar w:fldCharType="separate"/>
        </w:r>
        <w:r w:rsidR="00850AA4">
          <w:rPr>
            <w:webHidden/>
          </w:rPr>
          <w:t>258</w:t>
        </w:r>
        <w:r w:rsidR="00850AA4">
          <w:rPr>
            <w:webHidden/>
          </w:rPr>
          <w:fldChar w:fldCharType="end"/>
        </w:r>
      </w:hyperlink>
    </w:p>
    <w:p w14:paraId="66828CDC" w14:textId="5B871F83" w:rsidR="00850AA4" w:rsidRDefault="00000000">
      <w:pPr>
        <w:pStyle w:val="TOC1"/>
        <w:rPr>
          <w:rFonts w:asciiTheme="minorHAnsi" w:eastAsiaTheme="minorEastAsia" w:hAnsiTheme="minorHAnsi" w:cstheme="minorBidi"/>
          <w:sz w:val="22"/>
          <w:szCs w:val="22"/>
        </w:rPr>
      </w:pPr>
      <w:hyperlink w:anchor="_Toc140843434" w:history="1">
        <w:r w:rsidR="00850AA4" w:rsidRPr="0040445F">
          <w:rPr>
            <w:rStyle w:val="Hyperlink"/>
          </w:rPr>
          <w:t>Appendix 1: Measures identified for future reporting</w:t>
        </w:r>
        <w:r w:rsidR="00850AA4">
          <w:rPr>
            <w:webHidden/>
          </w:rPr>
          <w:tab/>
        </w:r>
        <w:r w:rsidR="00850AA4">
          <w:rPr>
            <w:webHidden/>
          </w:rPr>
          <w:fldChar w:fldCharType="begin"/>
        </w:r>
        <w:r w:rsidR="00850AA4">
          <w:rPr>
            <w:webHidden/>
          </w:rPr>
          <w:instrText xml:space="preserve"> PAGEREF _Toc140843434 \h </w:instrText>
        </w:r>
        <w:r w:rsidR="00850AA4">
          <w:rPr>
            <w:webHidden/>
          </w:rPr>
        </w:r>
        <w:r w:rsidR="00850AA4">
          <w:rPr>
            <w:webHidden/>
          </w:rPr>
          <w:fldChar w:fldCharType="separate"/>
        </w:r>
        <w:r w:rsidR="00850AA4">
          <w:rPr>
            <w:webHidden/>
          </w:rPr>
          <w:t>261</w:t>
        </w:r>
        <w:r w:rsidR="00850AA4">
          <w:rPr>
            <w:webHidden/>
          </w:rPr>
          <w:fldChar w:fldCharType="end"/>
        </w:r>
      </w:hyperlink>
    </w:p>
    <w:p w14:paraId="3962B6AE" w14:textId="0B065A43" w:rsidR="00850AA4" w:rsidRDefault="00000000">
      <w:pPr>
        <w:pStyle w:val="TOC1"/>
        <w:rPr>
          <w:rFonts w:asciiTheme="minorHAnsi" w:eastAsiaTheme="minorEastAsia" w:hAnsiTheme="minorHAnsi" w:cstheme="minorBidi"/>
          <w:sz w:val="22"/>
          <w:szCs w:val="22"/>
        </w:rPr>
      </w:pPr>
      <w:hyperlink w:anchor="_Toc140843435" w:history="1">
        <w:r w:rsidR="00850AA4" w:rsidRPr="0040445F">
          <w:rPr>
            <w:rStyle w:val="Hyperlink"/>
          </w:rPr>
          <w:t>Abbreviations</w:t>
        </w:r>
        <w:r w:rsidR="00850AA4">
          <w:rPr>
            <w:webHidden/>
          </w:rPr>
          <w:tab/>
        </w:r>
        <w:r w:rsidR="00850AA4">
          <w:rPr>
            <w:webHidden/>
          </w:rPr>
          <w:fldChar w:fldCharType="begin"/>
        </w:r>
        <w:r w:rsidR="00850AA4">
          <w:rPr>
            <w:webHidden/>
          </w:rPr>
          <w:instrText xml:space="preserve"> PAGEREF _Toc140843435 \h </w:instrText>
        </w:r>
        <w:r w:rsidR="00850AA4">
          <w:rPr>
            <w:webHidden/>
          </w:rPr>
        </w:r>
        <w:r w:rsidR="00850AA4">
          <w:rPr>
            <w:webHidden/>
          </w:rPr>
          <w:fldChar w:fldCharType="separate"/>
        </w:r>
        <w:r w:rsidR="00850AA4">
          <w:rPr>
            <w:webHidden/>
          </w:rPr>
          <w:t>265</w:t>
        </w:r>
        <w:r w:rsidR="00850AA4">
          <w:rPr>
            <w:webHidden/>
          </w:rPr>
          <w:fldChar w:fldCharType="end"/>
        </w:r>
      </w:hyperlink>
    </w:p>
    <w:p w14:paraId="1B06F420" w14:textId="27CDAB57" w:rsidR="00850AA4" w:rsidRDefault="00000000">
      <w:pPr>
        <w:pStyle w:val="TOC1"/>
        <w:rPr>
          <w:rFonts w:asciiTheme="minorHAnsi" w:eastAsiaTheme="minorEastAsia" w:hAnsiTheme="minorHAnsi" w:cstheme="minorBidi"/>
          <w:sz w:val="22"/>
          <w:szCs w:val="22"/>
        </w:rPr>
      </w:pPr>
      <w:hyperlink w:anchor="_Toc140843436" w:history="1">
        <w:r w:rsidR="00850AA4" w:rsidRPr="0040445F">
          <w:rPr>
            <w:rStyle w:val="Hyperlink"/>
          </w:rPr>
          <w:t>List of figures</w:t>
        </w:r>
        <w:r w:rsidR="00850AA4">
          <w:rPr>
            <w:webHidden/>
          </w:rPr>
          <w:tab/>
        </w:r>
        <w:r w:rsidR="00850AA4">
          <w:rPr>
            <w:webHidden/>
          </w:rPr>
          <w:fldChar w:fldCharType="begin"/>
        </w:r>
        <w:r w:rsidR="00850AA4">
          <w:rPr>
            <w:webHidden/>
          </w:rPr>
          <w:instrText xml:space="preserve"> PAGEREF _Toc140843436 \h </w:instrText>
        </w:r>
        <w:r w:rsidR="00850AA4">
          <w:rPr>
            <w:webHidden/>
          </w:rPr>
        </w:r>
        <w:r w:rsidR="00850AA4">
          <w:rPr>
            <w:webHidden/>
          </w:rPr>
          <w:fldChar w:fldCharType="separate"/>
        </w:r>
        <w:r w:rsidR="00850AA4">
          <w:rPr>
            <w:webHidden/>
          </w:rPr>
          <w:t>267</w:t>
        </w:r>
        <w:r w:rsidR="00850AA4">
          <w:rPr>
            <w:webHidden/>
          </w:rPr>
          <w:fldChar w:fldCharType="end"/>
        </w:r>
      </w:hyperlink>
    </w:p>
    <w:p w14:paraId="74D02AF7" w14:textId="175584E0" w:rsidR="00850AA4" w:rsidRDefault="00000000">
      <w:pPr>
        <w:pStyle w:val="TOC1"/>
        <w:rPr>
          <w:rFonts w:asciiTheme="minorHAnsi" w:eastAsiaTheme="minorEastAsia" w:hAnsiTheme="minorHAnsi" w:cstheme="minorBidi"/>
          <w:sz w:val="22"/>
          <w:szCs w:val="22"/>
        </w:rPr>
      </w:pPr>
      <w:hyperlink w:anchor="_Toc140843437" w:history="1">
        <w:r w:rsidR="00850AA4" w:rsidRPr="0040445F">
          <w:rPr>
            <w:rStyle w:val="Hyperlink"/>
          </w:rPr>
          <w:t>List of tables</w:t>
        </w:r>
        <w:r w:rsidR="00850AA4">
          <w:rPr>
            <w:webHidden/>
          </w:rPr>
          <w:tab/>
        </w:r>
        <w:r w:rsidR="00850AA4">
          <w:rPr>
            <w:webHidden/>
          </w:rPr>
          <w:fldChar w:fldCharType="begin"/>
        </w:r>
        <w:r w:rsidR="00850AA4">
          <w:rPr>
            <w:webHidden/>
          </w:rPr>
          <w:instrText xml:space="preserve"> PAGEREF _Toc140843437 \h </w:instrText>
        </w:r>
        <w:r w:rsidR="00850AA4">
          <w:rPr>
            <w:webHidden/>
          </w:rPr>
        </w:r>
        <w:r w:rsidR="00850AA4">
          <w:rPr>
            <w:webHidden/>
          </w:rPr>
          <w:fldChar w:fldCharType="separate"/>
        </w:r>
        <w:r w:rsidR="00850AA4">
          <w:rPr>
            <w:webHidden/>
          </w:rPr>
          <w:t>275</w:t>
        </w:r>
        <w:r w:rsidR="00850AA4">
          <w:rPr>
            <w:webHidden/>
          </w:rPr>
          <w:fldChar w:fldCharType="end"/>
        </w:r>
      </w:hyperlink>
    </w:p>
    <w:p w14:paraId="6FF9D0DD" w14:textId="710D4089" w:rsidR="00D25909" w:rsidRDefault="00E15DA9" w:rsidP="009B23F8">
      <w:pPr>
        <w:pStyle w:val="Body"/>
      </w:pPr>
      <w:r w:rsidRPr="003072C6">
        <w:fldChar w:fldCharType="end"/>
      </w:r>
      <w:bookmarkStart w:id="6" w:name="_Toc19007960"/>
    </w:p>
    <w:p w14:paraId="5C596B1F" w14:textId="77777777" w:rsidR="00D25909" w:rsidRDefault="00D25909">
      <w:pPr>
        <w:rPr>
          <w:rFonts w:ascii="Arial" w:hAnsi="Arial"/>
          <w:bCs/>
          <w:color w:val="AF272F"/>
          <w:sz w:val="44"/>
          <w:szCs w:val="44"/>
          <w:lang w:eastAsia="en-US"/>
        </w:rPr>
      </w:pPr>
      <w:r>
        <w:br w:type="page"/>
      </w:r>
    </w:p>
    <w:p w14:paraId="0A1E7686" w14:textId="218BF541" w:rsidR="00AC0C3B" w:rsidRPr="00DB4F90" w:rsidRDefault="00D36BC9" w:rsidP="001A7758">
      <w:pPr>
        <w:pStyle w:val="Heading1"/>
      </w:pPr>
      <w:bookmarkStart w:id="7" w:name="_Toc140843402"/>
      <w:r w:rsidRPr="00DB4F90">
        <w:lastRenderedPageBreak/>
        <w:t>Executive summary</w:t>
      </w:r>
      <w:bookmarkEnd w:id="6"/>
      <w:bookmarkEnd w:id="7"/>
    </w:p>
    <w:p w14:paraId="4DB59DFD" w14:textId="09BB0304" w:rsidR="00D36BC9" w:rsidRPr="0099225F" w:rsidRDefault="00DE53AD" w:rsidP="00E87AAA">
      <w:pPr>
        <w:pStyle w:val="Body"/>
        <w:rPr>
          <w:sz w:val="20"/>
        </w:rPr>
      </w:pPr>
      <w:r w:rsidRPr="0099225F">
        <w:rPr>
          <w:sz w:val="20"/>
        </w:rPr>
        <w:t>T</w:t>
      </w:r>
      <w:r w:rsidR="00674F25" w:rsidRPr="0099225F">
        <w:rPr>
          <w:sz w:val="20"/>
        </w:rPr>
        <w:t>his</w:t>
      </w:r>
      <w:r w:rsidR="00D36BC9" w:rsidRPr="0099225F">
        <w:rPr>
          <w:sz w:val="20"/>
        </w:rPr>
        <w:t xml:space="preserve"> </w:t>
      </w:r>
      <w:r w:rsidRPr="0099225F">
        <w:rPr>
          <w:sz w:val="20"/>
        </w:rPr>
        <w:t xml:space="preserve">progress </w:t>
      </w:r>
      <w:r w:rsidR="00D36BC9" w:rsidRPr="0099225F">
        <w:rPr>
          <w:sz w:val="20"/>
        </w:rPr>
        <w:t>report</w:t>
      </w:r>
      <w:r w:rsidRPr="0099225F">
        <w:rPr>
          <w:sz w:val="20"/>
        </w:rPr>
        <w:t xml:space="preserve"> has been prepared</w:t>
      </w:r>
      <w:r w:rsidR="00D36BC9" w:rsidRPr="0099225F">
        <w:rPr>
          <w:sz w:val="20"/>
        </w:rPr>
        <w:t xml:space="preserve"> against a set of measures articulated in the </w:t>
      </w:r>
      <w:r w:rsidR="00D36BC9" w:rsidRPr="0099225F">
        <w:rPr>
          <w:i/>
          <w:sz w:val="20"/>
        </w:rPr>
        <w:t>Victorian cancer plan monitoring and evaluation framework</w:t>
      </w:r>
      <w:r w:rsidR="0039799D" w:rsidRPr="0099225F">
        <w:rPr>
          <w:sz w:val="20"/>
        </w:rPr>
        <w:t xml:space="preserve"> (2018)</w:t>
      </w:r>
      <w:r w:rsidR="00D36BC9" w:rsidRPr="0099225F">
        <w:rPr>
          <w:sz w:val="20"/>
        </w:rPr>
        <w:t xml:space="preserve">. This report synthesises key findings to inform development of the </w:t>
      </w:r>
      <w:r w:rsidR="0051621D" w:rsidRPr="0099225F">
        <w:rPr>
          <w:i/>
          <w:iCs/>
          <w:sz w:val="20"/>
        </w:rPr>
        <w:t xml:space="preserve">Victorian </w:t>
      </w:r>
      <w:r w:rsidR="002963FB" w:rsidRPr="0099225F">
        <w:rPr>
          <w:i/>
          <w:iCs/>
          <w:sz w:val="20"/>
        </w:rPr>
        <w:t>c</w:t>
      </w:r>
      <w:r w:rsidR="0051621D" w:rsidRPr="0013232B">
        <w:rPr>
          <w:i/>
          <w:iCs/>
          <w:sz w:val="20"/>
        </w:rPr>
        <w:t xml:space="preserve">ancer </w:t>
      </w:r>
      <w:r w:rsidR="002963FB" w:rsidRPr="0099225F">
        <w:rPr>
          <w:i/>
          <w:iCs/>
          <w:sz w:val="20"/>
        </w:rPr>
        <w:t>p</w:t>
      </w:r>
      <w:r w:rsidR="0051621D" w:rsidRPr="0099225F">
        <w:rPr>
          <w:i/>
          <w:iCs/>
          <w:sz w:val="20"/>
        </w:rPr>
        <w:t xml:space="preserve">lan </w:t>
      </w:r>
      <w:r w:rsidR="00D36BC9" w:rsidRPr="0099225F">
        <w:rPr>
          <w:i/>
          <w:iCs/>
          <w:sz w:val="20"/>
        </w:rPr>
        <w:t>202</w:t>
      </w:r>
      <w:r w:rsidR="004127B3" w:rsidRPr="0099225F">
        <w:rPr>
          <w:i/>
          <w:iCs/>
          <w:sz w:val="20"/>
        </w:rPr>
        <w:t>4</w:t>
      </w:r>
      <w:r w:rsidR="00CB0C47" w:rsidRPr="0099225F">
        <w:rPr>
          <w:i/>
          <w:iCs/>
          <w:sz w:val="20"/>
        </w:rPr>
        <w:t>–</w:t>
      </w:r>
      <w:r w:rsidR="00D36BC9" w:rsidRPr="0099225F">
        <w:rPr>
          <w:i/>
          <w:iCs/>
          <w:sz w:val="20"/>
        </w:rPr>
        <w:t>202</w:t>
      </w:r>
      <w:r w:rsidR="004127B3" w:rsidRPr="0099225F">
        <w:rPr>
          <w:i/>
          <w:iCs/>
          <w:sz w:val="20"/>
        </w:rPr>
        <w:t>8</w:t>
      </w:r>
      <w:r w:rsidR="00D36BC9" w:rsidRPr="0099225F">
        <w:rPr>
          <w:sz w:val="20"/>
        </w:rPr>
        <w:t xml:space="preserve"> and successive plans to improve cancer outcomes. The report has </w:t>
      </w:r>
      <w:r w:rsidR="00001DB4" w:rsidRPr="0099225F">
        <w:rPr>
          <w:sz w:val="20"/>
        </w:rPr>
        <w:t xml:space="preserve">assessed </w:t>
      </w:r>
      <w:r w:rsidR="00D36BC9" w:rsidRPr="0099225F">
        <w:rPr>
          <w:sz w:val="20"/>
        </w:rPr>
        <w:t xml:space="preserve">specific outcomes of the framework across a cancer continuum of prevention, early detection, treatment, </w:t>
      </w:r>
      <w:r w:rsidR="00E533A3" w:rsidRPr="0099225F">
        <w:rPr>
          <w:sz w:val="20"/>
        </w:rPr>
        <w:t>wellbeing</w:t>
      </w:r>
      <w:r w:rsidR="00D36BC9" w:rsidRPr="0099225F">
        <w:rPr>
          <w:sz w:val="20"/>
        </w:rPr>
        <w:t xml:space="preserve"> and support for people affected by cancer, and research.</w:t>
      </w:r>
    </w:p>
    <w:p w14:paraId="40FC7433" w14:textId="0D475D7B" w:rsidR="0039799D" w:rsidRPr="0099225F" w:rsidRDefault="0039799D" w:rsidP="00E87AAA">
      <w:pPr>
        <w:pStyle w:val="Body"/>
        <w:rPr>
          <w:sz w:val="20"/>
        </w:rPr>
      </w:pPr>
      <w:r w:rsidRPr="0099225F">
        <w:rPr>
          <w:sz w:val="20"/>
        </w:rPr>
        <w:t xml:space="preserve">The department acknowledges the assistance of data custodians who were approached for their data to be included in this </w:t>
      </w:r>
      <w:r w:rsidR="005925F7" w:rsidRPr="0099225F">
        <w:rPr>
          <w:sz w:val="20"/>
        </w:rPr>
        <w:t xml:space="preserve">progress </w:t>
      </w:r>
      <w:r w:rsidRPr="0099225F">
        <w:rPr>
          <w:sz w:val="20"/>
        </w:rPr>
        <w:t>report.</w:t>
      </w:r>
    </w:p>
    <w:p w14:paraId="0252C49D" w14:textId="1883EECB" w:rsidR="00FC4B1F" w:rsidRDefault="00FC4B1F" w:rsidP="00FC4B1F">
      <w:pPr>
        <w:pStyle w:val="Body"/>
      </w:pPr>
      <w:r>
        <w:br w:type="page"/>
      </w:r>
    </w:p>
    <w:p w14:paraId="2482F165" w14:textId="35738601" w:rsidR="00E30414" w:rsidRPr="00DB4F90" w:rsidRDefault="00945A28" w:rsidP="00A63984">
      <w:pPr>
        <w:pStyle w:val="Heading1"/>
      </w:pPr>
      <w:bookmarkStart w:id="8" w:name="_Toc19007961"/>
      <w:bookmarkStart w:id="9" w:name="_Toc140843403"/>
      <w:r w:rsidRPr="00DB4F90">
        <w:lastRenderedPageBreak/>
        <w:t>Introduction</w:t>
      </w:r>
      <w:bookmarkEnd w:id="8"/>
      <w:bookmarkEnd w:id="9"/>
    </w:p>
    <w:p w14:paraId="4E736604" w14:textId="5697D6BB" w:rsidR="00A732AD" w:rsidRPr="0099225F" w:rsidRDefault="00FF2B85" w:rsidP="76BE792E">
      <w:pPr>
        <w:pStyle w:val="Body"/>
        <w:rPr>
          <w:sz w:val="20"/>
        </w:rPr>
      </w:pPr>
      <w:r w:rsidRPr="76BE792E">
        <w:rPr>
          <w:sz w:val="20"/>
        </w:rPr>
        <w:t>Cancer imposes a considerable burden on the Victorian community.</w:t>
      </w:r>
      <w:r w:rsidR="00952FC7" w:rsidRPr="76BE792E">
        <w:rPr>
          <w:sz w:val="20"/>
        </w:rPr>
        <w:t xml:space="preserve"> </w:t>
      </w:r>
      <w:r w:rsidRPr="76BE792E">
        <w:rPr>
          <w:sz w:val="20"/>
        </w:rPr>
        <w:t xml:space="preserve">In </w:t>
      </w:r>
      <w:r w:rsidR="003E214B" w:rsidRPr="76BE792E">
        <w:rPr>
          <w:sz w:val="20"/>
        </w:rPr>
        <w:t>202</w:t>
      </w:r>
      <w:r w:rsidR="00910AF9" w:rsidRPr="76BE792E">
        <w:rPr>
          <w:sz w:val="20"/>
        </w:rPr>
        <w:t>1</w:t>
      </w:r>
      <w:r w:rsidR="00D50D56" w:rsidRPr="76BE792E">
        <w:rPr>
          <w:sz w:val="20"/>
        </w:rPr>
        <w:t>, 3</w:t>
      </w:r>
      <w:r w:rsidR="00640C73" w:rsidRPr="76BE792E">
        <w:rPr>
          <w:sz w:val="20"/>
        </w:rPr>
        <w:t>4</w:t>
      </w:r>
      <w:r w:rsidR="00D50D56" w:rsidRPr="76BE792E">
        <w:rPr>
          <w:sz w:val="20"/>
        </w:rPr>
        <w:t>,</w:t>
      </w:r>
      <w:r w:rsidR="001E7221" w:rsidRPr="76BE792E">
        <w:rPr>
          <w:sz w:val="20"/>
        </w:rPr>
        <w:t>974</w:t>
      </w:r>
      <w:r w:rsidR="00D50D56" w:rsidRPr="76BE792E">
        <w:rPr>
          <w:sz w:val="20"/>
        </w:rPr>
        <w:t xml:space="preserve"> Victorians w</w:t>
      </w:r>
      <w:r w:rsidR="00640C73" w:rsidRPr="76BE792E">
        <w:rPr>
          <w:sz w:val="20"/>
        </w:rPr>
        <w:t xml:space="preserve">ere </w:t>
      </w:r>
      <w:r w:rsidR="00D50D56" w:rsidRPr="76BE792E">
        <w:rPr>
          <w:sz w:val="20"/>
        </w:rPr>
        <w:t>diagnosed with cancer</w:t>
      </w:r>
      <w:r w:rsidR="00D20D63" w:rsidRPr="76BE792E">
        <w:rPr>
          <w:sz w:val="20"/>
        </w:rPr>
        <w:t>,</w:t>
      </w:r>
      <w:r w:rsidR="00D50D56" w:rsidRPr="76BE792E">
        <w:rPr>
          <w:sz w:val="20"/>
        </w:rPr>
        <w:t xml:space="preserve"> and </w:t>
      </w:r>
      <w:r w:rsidR="00876DF5" w:rsidRPr="76BE792E">
        <w:rPr>
          <w:sz w:val="20"/>
        </w:rPr>
        <w:t>1</w:t>
      </w:r>
      <w:r w:rsidR="003E214B" w:rsidRPr="76BE792E">
        <w:rPr>
          <w:sz w:val="20"/>
        </w:rPr>
        <w:t>1</w:t>
      </w:r>
      <w:r w:rsidR="00876DF5" w:rsidRPr="76BE792E">
        <w:rPr>
          <w:sz w:val="20"/>
        </w:rPr>
        <w:t>,</w:t>
      </w:r>
      <w:r w:rsidR="001E7221" w:rsidRPr="76BE792E">
        <w:rPr>
          <w:sz w:val="20"/>
        </w:rPr>
        <w:t>581</w:t>
      </w:r>
      <w:r w:rsidR="00876DF5" w:rsidRPr="76BE792E">
        <w:rPr>
          <w:sz w:val="20"/>
        </w:rPr>
        <w:t xml:space="preserve"> died</w:t>
      </w:r>
      <w:r w:rsidR="00AA3A85" w:rsidRPr="76BE792E">
        <w:rPr>
          <w:sz w:val="20"/>
        </w:rPr>
        <w:t xml:space="preserve"> from the disease.</w:t>
      </w:r>
      <w:r w:rsidR="00D53F20" w:rsidRPr="76BE792E">
        <w:rPr>
          <w:rStyle w:val="FootnoteReference"/>
          <w:sz w:val="20"/>
        </w:rPr>
        <w:footnoteReference w:id="2"/>
      </w:r>
      <w:r w:rsidR="00D50D56" w:rsidRPr="76BE792E">
        <w:rPr>
          <w:rStyle w:val="FootnoteReference"/>
          <w:sz w:val="20"/>
          <w:vertAlign w:val="baseline"/>
        </w:rPr>
        <w:t xml:space="preserve"> </w:t>
      </w:r>
      <w:r w:rsidR="00D50D56" w:rsidRPr="76BE792E">
        <w:rPr>
          <w:sz w:val="20"/>
        </w:rPr>
        <w:t xml:space="preserve">While significant progress has been made, the number of people being diagnosed continues to increase, with </w:t>
      </w:r>
      <w:r w:rsidR="009B414F" w:rsidRPr="76BE792E">
        <w:rPr>
          <w:sz w:val="20"/>
        </w:rPr>
        <w:t xml:space="preserve">the number of new </w:t>
      </w:r>
      <w:r w:rsidR="0051621D" w:rsidRPr="76BE792E">
        <w:rPr>
          <w:sz w:val="20"/>
        </w:rPr>
        <w:t xml:space="preserve">yearly </w:t>
      </w:r>
      <w:r w:rsidR="009B414F" w:rsidRPr="76BE792E">
        <w:rPr>
          <w:sz w:val="20"/>
        </w:rPr>
        <w:t>cancer diagnoses anticipated to be over 5</w:t>
      </w:r>
      <w:r w:rsidR="001E7221" w:rsidRPr="76BE792E">
        <w:rPr>
          <w:sz w:val="20"/>
        </w:rPr>
        <w:t>1</w:t>
      </w:r>
      <w:r w:rsidR="009B414F" w:rsidRPr="76BE792E">
        <w:rPr>
          <w:sz w:val="20"/>
        </w:rPr>
        <w:t>,000 by 203</w:t>
      </w:r>
      <w:r w:rsidR="001E7221" w:rsidRPr="76BE792E">
        <w:rPr>
          <w:sz w:val="20"/>
        </w:rPr>
        <w:t>6</w:t>
      </w:r>
      <w:r w:rsidR="00D50D56" w:rsidRPr="76BE792E">
        <w:rPr>
          <w:sz w:val="20"/>
        </w:rPr>
        <w:t>.</w:t>
      </w:r>
      <w:r w:rsidR="00CA34E1" w:rsidRPr="76BE792E">
        <w:rPr>
          <w:rStyle w:val="FootnoteReference"/>
          <w:sz w:val="20"/>
        </w:rPr>
        <w:footnoteReference w:id="3"/>
      </w:r>
      <w:r w:rsidR="00D50D56" w:rsidRPr="76BE792E">
        <w:rPr>
          <w:rStyle w:val="FootnoteReference"/>
          <w:sz w:val="20"/>
        </w:rPr>
        <w:t xml:space="preserve"> </w:t>
      </w:r>
      <w:r w:rsidR="00772929" w:rsidRPr="76BE792E">
        <w:rPr>
          <w:sz w:val="20"/>
        </w:rPr>
        <w:t xml:space="preserve">As </w:t>
      </w:r>
      <w:r w:rsidR="00A732AD" w:rsidRPr="76BE792E">
        <w:rPr>
          <w:sz w:val="20"/>
        </w:rPr>
        <w:t>the Victorian</w:t>
      </w:r>
      <w:r w:rsidR="00772929" w:rsidRPr="76BE792E">
        <w:rPr>
          <w:sz w:val="20"/>
        </w:rPr>
        <w:t xml:space="preserve"> population ages the incidence of cancer will continue to grow – in fact</w:t>
      </w:r>
      <w:r w:rsidR="00A14570" w:rsidRPr="76BE792E">
        <w:rPr>
          <w:sz w:val="20"/>
        </w:rPr>
        <w:t>,</w:t>
      </w:r>
      <w:r w:rsidR="00772929" w:rsidRPr="76BE792E">
        <w:rPr>
          <w:sz w:val="20"/>
        </w:rPr>
        <w:t xml:space="preserve"> </w:t>
      </w:r>
      <w:r w:rsidR="000B3ADF" w:rsidRPr="76BE792E">
        <w:rPr>
          <w:sz w:val="20"/>
        </w:rPr>
        <w:t>two</w:t>
      </w:r>
      <w:r w:rsidR="00772929" w:rsidRPr="76BE792E">
        <w:rPr>
          <w:sz w:val="20"/>
        </w:rPr>
        <w:t xml:space="preserve"> in </w:t>
      </w:r>
      <w:r w:rsidR="000B3ADF" w:rsidRPr="76BE792E">
        <w:rPr>
          <w:sz w:val="20"/>
        </w:rPr>
        <w:t>five</w:t>
      </w:r>
      <w:r w:rsidR="00772929" w:rsidRPr="76BE792E">
        <w:rPr>
          <w:sz w:val="20"/>
        </w:rPr>
        <w:t xml:space="preserve"> m</w:t>
      </w:r>
      <w:r w:rsidR="001E7221" w:rsidRPr="76BE792E">
        <w:rPr>
          <w:sz w:val="20"/>
        </w:rPr>
        <w:t>ales</w:t>
      </w:r>
      <w:r w:rsidR="00772929" w:rsidRPr="76BE792E">
        <w:rPr>
          <w:sz w:val="20"/>
        </w:rPr>
        <w:t xml:space="preserve"> and one </w:t>
      </w:r>
      <w:r w:rsidR="001E7221" w:rsidRPr="76BE792E">
        <w:rPr>
          <w:sz w:val="20"/>
        </w:rPr>
        <w:t>out of</w:t>
      </w:r>
      <w:r w:rsidR="00772929" w:rsidRPr="76BE792E">
        <w:rPr>
          <w:sz w:val="20"/>
        </w:rPr>
        <w:t xml:space="preserve"> </w:t>
      </w:r>
      <w:r w:rsidR="000B3ADF" w:rsidRPr="76BE792E">
        <w:rPr>
          <w:sz w:val="20"/>
        </w:rPr>
        <w:t>three</w:t>
      </w:r>
      <w:r w:rsidR="001E7221" w:rsidRPr="76BE792E">
        <w:rPr>
          <w:sz w:val="20"/>
        </w:rPr>
        <w:t xml:space="preserve"> females</w:t>
      </w:r>
      <w:r w:rsidR="00772929" w:rsidRPr="76BE792E">
        <w:rPr>
          <w:sz w:val="20"/>
        </w:rPr>
        <w:t xml:space="preserve"> will </w:t>
      </w:r>
      <w:r w:rsidR="00940C1F" w:rsidRPr="76BE792E">
        <w:rPr>
          <w:sz w:val="20"/>
        </w:rPr>
        <w:t xml:space="preserve">develop </w:t>
      </w:r>
      <w:r w:rsidR="00772929" w:rsidRPr="76BE792E">
        <w:rPr>
          <w:sz w:val="20"/>
        </w:rPr>
        <w:t>cancer by the age of 75.</w:t>
      </w:r>
      <w:r w:rsidR="002C2B8E" w:rsidRPr="76BE792E">
        <w:rPr>
          <w:rStyle w:val="FootnoteReference"/>
          <w:sz w:val="20"/>
        </w:rPr>
        <w:footnoteReference w:id="4"/>
      </w:r>
    </w:p>
    <w:p w14:paraId="5414C654" w14:textId="203AED3E" w:rsidR="000B3ADF" w:rsidRPr="0099225F" w:rsidRDefault="001E7221" w:rsidP="76BE792E">
      <w:pPr>
        <w:pStyle w:val="Body"/>
        <w:rPr>
          <w:sz w:val="20"/>
        </w:rPr>
      </w:pPr>
      <w:r w:rsidRPr="76BE792E">
        <w:rPr>
          <w:sz w:val="20"/>
        </w:rPr>
        <w:t xml:space="preserve">The five-year survival rate for Victorians diagnosed with cancer has increased </w:t>
      </w:r>
      <w:r w:rsidR="00344B17" w:rsidRPr="76BE792E">
        <w:rPr>
          <w:sz w:val="20"/>
        </w:rPr>
        <w:t xml:space="preserve">by </w:t>
      </w:r>
      <w:r w:rsidRPr="76BE792E">
        <w:rPr>
          <w:sz w:val="20"/>
        </w:rPr>
        <w:t>22</w:t>
      </w:r>
      <w:r w:rsidR="0054537F">
        <w:rPr>
          <w:sz w:val="20"/>
        </w:rPr>
        <w:t>%</w:t>
      </w:r>
      <w:r w:rsidRPr="76BE792E">
        <w:rPr>
          <w:sz w:val="20"/>
        </w:rPr>
        <w:t xml:space="preserve"> over the past two decades.</w:t>
      </w:r>
      <w:r w:rsidRPr="76BE792E">
        <w:rPr>
          <w:rStyle w:val="FootnoteReference"/>
          <w:sz w:val="20"/>
        </w:rPr>
        <w:footnoteReference w:id="5"/>
      </w:r>
      <w:r w:rsidRPr="76BE792E">
        <w:rPr>
          <w:sz w:val="20"/>
        </w:rPr>
        <w:t xml:space="preserve"> </w:t>
      </w:r>
      <w:r w:rsidR="00772929" w:rsidRPr="76BE792E">
        <w:rPr>
          <w:sz w:val="20"/>
        </w:rPr>
        <w:t>However, these outcomes are not the same for all. Poorer outcomes have persisted for some cancer types and for people living in some regional areas.</w:t>
      </w:r>
      <w:r w:rsidR="00E13AAF" w:rsidRPr="76BE792E">
        <w:rPr>
          <w:rStyle w:val="FootnoteReference"/>
          <w:sz w:val="20"/>
        </w:rPr>
        <w:footnoteReference w:id="6"/>
      </w:r>
      <w:r w:rsidR="00772929" w:rsidRPr="76BE792E">
        <w:rPr>
          <w:rStyle w:val="FootnoteReference"/>
          <w:sz w:val="20"/>
        </w:rPr>
        <w:t xml:space="preserve"> </w:t>
      </w:r>
      <w:r w:rsidR="00772929" w:rsidRPr="76BE792E">
        <w:rPr>
          <w:sz w:val="20"/>
        </w:rPr>
        <w:t xml:space="preserve">Aboriginal Victorians have significantly higher cancer mortality rates than non-Aboriginal Victorians. Reducing the burden of cancer requires a comprehensive approach with a focus on reducing these </w:t>
      </w:r>
      <w:r w:rsidR="00505127" w:rsidRPr="76BE792E">
        <w:rPr>
          <w:sz w:val="20"/>
        </w:rPr>
        <w:t>disparities.</w:t>
      </w:r>
    </w:p>
    <w:p w14:paraId="512CE07B" w14:textId="2053E154" w:rsidR="00590DA0" w:rsidRPr="0099225F" w:rsidRDefault="00406D6B" w:rsidP="00E87AAA">
      <w:pPr>
        <w:pStyle w:val="Body"/>
        <w:rPr>
          <w:sz w:val="20"/>
        </w:rPr>
      </w:pPr>
      <w:bookmarkStart w:id="10" w:name="_Hlk129684976"/>
      <w:r w:rsidRPr="0099225F">
        <w:rPr>
          <w:sz w:val="20"/>
        </w:rPr>
        <w:t xml:space="preserve">Through the </w:t>
      </w:r>
      <w:r w:rsidRPr="0099225F">
        <w:rPr>
          <w:i/>
          <w:sz w:val="20"/>
        </w:rPr>
        <w:t>Improving Cancer Outcomes Act 2014</w:t>
      </w:r>
      <w:r w:rsidRPr="0099225F">
        <w:rPr>
          <w:sz w:val="20"/>
        </w:rPr>
        <w:t>, the Victorian Government is committed to preparing a cancer plan for Victoria every four years</w:t>
      </w:r>
      <w:r w:rsidR="00FB0708" w:rsidRPr="0099225F">
        <w:rPr>
          <w:sz w:val="20"/>
        </w:rPr>
        <w:t xml:space="preserve"> </w:t>
      </w:r>
      <w:r w:rsidR="00D2579A" w:rsidRPr="0099225F">
        <w:rPr>
          <w:sz w:val="20"/>
        </w:rPr>
        <w:t xml:space="preserve">that outlines </w:t>
      </w:r>
      <w:r w:rsidR="00FB0708" w:rsidRPr="0099225F">
        <w:rPr>
          <w:sz w:val="20"/>
        </w:rPr>
        <w:t>the status</w:t>
      </w:r>
      <w:r w:rsidR="00492ACB" w:rsidRPr="0099225F">
        <w:rPr>
          <w:sz w:val="20"/>
        </w:rPr>
        <w:t xml:space="preserve"> </w:t>
      </w:r>
      <w:r w:rsidR="00907667" w:rsidRPr="0099225F">
        <w:rPr>
          <w:sz w:val="20"/>
        </w:rPr>
        <w:t>and</w:t>
      </w:r>
      <w:r w:rsidR="00492ACB" w:rsidRPr="0099225F">
        <w:rPr>
          <w:sz w:val="20"/>
        </w:rPr>
        <w:t xml:space="preserve"> burden of cancer in Victoria</w:t>
      </w:r>
      <w:r w:rsidRPr="0099225F">
        <w:rPr>
          <w:sz w:val="20"/>
        </w:rPr>
        <w:t>.</w:t>
      </w:r>
      <w:r w:rsidR="00952FC7" w:rsidRPr="0099225F">
        <w:rPr>
          <w:sz w:val="20"/>
        </w:rPr>
        <w:t xml:space="preserve"> </w:t>
      </w:r>
      <w:bookmarkEnd w:id="10"/>
      <w:r w:rsidR="00590DA0" w:rsidRPr="0099225F">
        <w:rPr>
          <w:sz w:val="20"/>
        </w:rPr>
        <w:t xml:space="preserve">The </w:t>
      </w:r>
      <w:r w:rsidR="00590DA0" w:rsidRPr="0099225F">
        <w:rPr>
          <w:i/>
          <w:iCs/>
          <w:sz w:val="20"/>
        </w:rPr>
        <w:t>Victorian cancer plan 2016</w:t>
      </w:r>
      <w:r w:rsidR="00A14570" w:rsidRPr="0099225F">
        <w:rPr>
          <w:i/>
          <w:iCs/>
          <w:sz w:val="20"/>
        </w:rPr>
        <w:t>–</w:t>
      </w:r>
      <w:r w:rsidR="00590DA0" w:rsidRPr="0099225F">
        <w:rPr>
          <w:i/>
          <w:iCs/>
          <w:sz w:val="20"/>
        </w:rPr>
        <w:t>2020</w:t>
      </w:r>
      <w:r w:rsidR="00D2579A" w:rsidRPr="0099225F">
        <w:rPr>
          <w:sz w:val="20"/>
        </w:rPr>
        <w:t>,</w:t>
      </w:r>
      <w:r w:rsidR="00590DA0" w:rsidRPr="0099225F">
        <w:rPr>
          <w:sz w:val="20"/>
        </w:rPr>
        <w:t xml:space="preserve"> released </w:t>
      </w:r>
      <w:r w:rsidR="00D2579A" w:rsidRPr="0099225F">
        <w:rPr>
          <w:sz w:val="20"/>
        </w:rPr>
        <w:t>in</w:t>
      </w:r>
      <w:r w:rsidR="00590DA0" w:rsidRPr="0099225F">
        <w:rPr>
          <w:sz w:val="20"/>
        </w:rPr>
        <w:t xml:space="preserve"> July 2016, </w:t>
      </w:r>
      <w:r w:rsidR="001E7221" w:rsidRPr="0099225F">
        <w:rPr>
          <w:sz w:val="20"/>
        </w:rPr>
        <w:t>was the</w:t>
      </w:r>
      <w:r w:rsidR="00590DA0" w:rsidRPr="0099225F">
        <w:rPr>
          <w:sz w:val="20"/>
        </w:rPr>
        <w:t xml:space="preserve"> first cancer plan developed under the Act. </w:t>
      </w:r>
      <w:r w:rsidR="00526B04" w:rsidRPr="0099225F">
        <w:rPr>
          <w:sz w:val="20"/>
        </w:rPr>
        <w:t xml:space="preserve">A second plan, </w:t>
      </w:r>
      <w:r w:rsidR="00344B17" w:rsidRPr="0099225F">
        <w:rPr>
          <w:sz w:val="20"/>
        </w:rPr>
        <w:t xml:space="preserve">the </w:t>
      </w:r>
      <w:r w:rsidR="00526B04" w:rsidRPr="0099225F">
        <w:rPr>
          <w:i/>
          <w:iCs/>
          <w:sz w:val="20"/>
        </w:rPr>
        <w:t>Victorian cancer plan 2020</w:t>
      </w:r>
      <w:r w:rsidR="006B604E" w:rsidRPr="0099225F">
        <w:rPr>
          <w:i/>
          <w:iCs/>
          <w:sz w:val="20"/>
        </w:rPr>
        <w:t>–</w:t>
      </w:r>
      <w:r w:rsidR="00526B04" w:rsidRPr="0099225F">
        <w:rPr>
          <w:i/>
          <w:iCs/>
          <w:sz w:val="20"/>
        </w:rPr>
        <w:t>2024</w:t>
      </w:r>
      <w:r w:rsidR="00344B17" w:rsidRPr="0099225F">
        <w:rPr>
          <w:sz w:val="20"/>
        </w:rPr>
        <w:t xml:space="preserve">, </w:t>
      </w:r>
      <w:r w:rsidR="00526B04" w:rsidRPr="0099225F">
        <w:rPr>
          <w:sz w:val="20"/>
        </w:rPr>
        <w:t xml:space="preserve">was released in September 2020. This </w:t>
      </w:r>
      <w:r w:rsidR="001E7221" w:rsidRPr="0099225F">
        <w:rPr>
          <w:sz w:val="20"/>
        </w:rPr>
        <w:t>progress report</w:t>
      </w:r>
      <w:r w:rsidR="00526B04" w:rsidRPr="0099225F">
        <w:rPr>
          <w:sz w:val="20"/>
        </w:rPr>
        <w:t xml:space="preserve"> continues the momentum towards </w:t>
      </w:r>
      <w:r w:rsidR="002264F4" w:rsidRPr="0099225F">
        <w:rPr>
          <w:sz w:val="20"/>
        </w:rPr>
        <w:t>supporting</w:t>
      </w:r>
      <w:r w:rsidR="00526B04" w:rsidRPr="0099225F">
        <w:rPr>
          <w:sz w:val="20"/>
        </w:rPr>
        <w:t xml:space="preserve"> </w:t>
      </w:r>
      <w:r w:rsidR="00590DA0" w:rsidRPr="0099225F">
        <w:rPr>
          <w:sz w:val="20"/>
        </w:rPr>
        <w:t>short</w:t>
      </w:r>
      <w:r w:rsidR="00F73316" w:rsidRPr="0099225F">
        <w:rPr>
          <w:sz w:val="20"/>
        </w:rPr>
        <w:noBreakHyphen/>
      </w:r>
      <w:r w:rsidR="00590DA0" w:rsidRPr="0099225F">
        <w:rPr>
          <w:sz w:val="20"/>
        </w:rPr>
        <w:t xml:space="preserve">, medium- and long-term targets </w:t>
      </w:r>
      <w:r w:rsidR="00D67BDE" w:rsidRPr="0099225F">
        <w:rPr>
          <w:sz w:val="20"/>
        </w:rPr>
        <w:t xml:space="preserve">(goals) </w:t>
      </w:r>
      <w:r w:rsidR="002264F4" w:rsidRPr="0099225F">
        <w:rPr>
          <w:sz w:val="20"/>
        </w:rPr>
        <w:t xml:space="preserve">articulated in the first and second </w:t>
      </w:r>
      <w:r w:rsidR="0082459D" w:rsidRPr="0099225F">
        <w:rPr>
          <w:sz w:val="20"/>
        </w:rPr>
        <w:t xml:space="preserve">Victorian cancer plans </w:t>
      </w:r>
      <w:r w:rsidR="00590DA0" w:rsidRPr="0099225F">
        <w:rPr>
          <w:sz w:val="20"/>
        </w:rPr>
        <w:t>and monitor</w:t>
      </w:r>
      <w:r w:rsidR="00344B17" w:rsidRPr="0099225F">
        <w:rPr>
          <w:sz w:val="20"/>
        </w:rPr>
        <w:t>ing</w:t>
      </w:r>
      <w:r w:rsidR="00590DA0" w:rsidRPr="0099225F">
        <w:rPr>
          <w:sz w:val="20"/>
        </w:rPr>
        <w:t xml:space="preserve"> the impacts of efforts to improve cancer outcomes</w:t>
      </w:r>
      <w:r w:rsidR="00D12C33" w:rsidRPr="0099225F">
        <w:rPr>
          <w:sz w:val="20"/>
        </w:rPr>
        <w:t>.</w:t>
      </w:r>
    </w:p>
    <w:p w14:paraId="0F99E3B5" w14:textId="0FAC23E4" w:rsidR="004A5E24" w:rsidRPr="0099225F" w:rsidRDefault="000F5082" w:rsidP="76BE792E">
      <w:pPr>
        <w:pStyle w:val="Body"/>
        <w:rPr>
          <w:rFonts w:ascii="Helvetica" w:hAnsi="Helvetica" w:cs="Helvetica"/>
          <w:color w:val="333333"/>
          <w:sz w:val="20"/>
          <w:shd w:val="clear" w:color="auto" w:fill="FFFFFF"/>
        </w:rPr>
      </w:pPr>
      <w:r w:rsidRPr="76BE792E">
        <w:rPr>
          <w:sz w:val="20"/>
        </w:rPr>
        <w:t>Restrictions on movement including stay-at-home orders during 2020 and 2021 were enacted across Australia in response to the global COVID-19 pandemic. Victoria experienced a greater number of lockdowns which endured for extended periods</w:t>
      </w:r>
      <w:r w:rsidR="004A5E24" w:rsidRPr="76BE792E">
        <w:rPr>
          <w:sz w:val="20"/>
        </w:rPr>
        <w:t>. During the</w:t>
      </w:r>
      <w:r w:rsidRPr="76BE792E">
        <w:rPr>
          <w:sz w:val="20"/>
        </w:rPr>
        <w:t>se</w:t>
      </w:r>
      <w:r w:rsidR="004A5E24" w:rsidRPr="76BE792E">
        <w:rPr>
          <w:sz w:val="20"/>
        </w:rPr>
        <w:t xml:space="preserve"> restrictions there were changes in care delivery including the suspension of </w:t>
      </w:r>
      <w:r w:rsidR="004A5E24" w:rsidRPr="76BE792E">
        <w:rPr>
          <w:rFonts w:ascii="Helvetica" w:hAnsi="Helvetica" w:cs="Helvetica"/>
          <w:color w:val="333333"/>
          <w:sz w:val="20"/>
          <w:shd w:val="clear" w:color="auto" w:fill="FFFFFF"/>
        </w:rPr>
        <w:t>screening services and outpatient clinics</w:t>
      </w:r>
      <w:r w:rsidR="00344B17" w:rsidRPr="76BE792E">
        <w:rPr>
          <w:rFonts w:ascii="Helvetica" w:hAnsi="Helvetica" w:cs="Helvetica"/>
          <w:color w:val="333333"/>
          <w:sz w:val="20"/>
          <w:shd w:val="clear" w:color="auto" w:fill="FFFFFF"/>
        </w:rPr>
        <w:t>,</w:t>
      </w:r>
      <w:r w:rsidR="004A5E24" w:rsidRPr="76BE792E">
        <w:rPr>
          <w:rFonts w:ascii="Helvetica" w:hAnsi="Helvetica" w:cs="Helvetica"/>
          <w:color w:val="333333"/>
          <w:sz w:val="20"/>
          <w:shd w:val="clear" w:color="auto" w:fill="FFFFFF"/>
        </w:rPr>
        <w:t xml:space="preserve"> and surveillance of existing cancers was postponed.</w:t>
      </w:r>
      <w:r w:rsidR="004A5E24" w:rsidRPr="76BE792E">
        <w:rPr>
          <w:rStyle w:val="FootnoteReference"/>
          <w:rFonts w:cs="Helvetica"/>
          <w:color w:val="333333"/>
          <w:sz w:val="20"/>
          <w:shd w:val="clear" w:color="auto" w:fill="FFFFFF"/>
        </w:rPr>
        <w:footnoteReference w:id="7"/>
      </w:r>
      <w:r w:rsidR="004A5E24" w:rsidRPr="76BE792E">
        <w:rPr>
          <w:rFonts w:ascii="Helvetica" w:hAnsi="Helvetica" w:cs="Helvetica"/>
          <w:color w:val="333333"/>
          <w:sz w:val="20"/>
          <w:shd w:val="clear" w:color="auto" w:fill="FFFFFF"/>
        </w:rPr>
        <w:t xml:space="preserve"> </w:t>
      </w:r>
      <w:r w:rsidR="00DE572B" w:rsidRPr="76BE792E">
        <w:rPr>
          <w:rFonts w:ascii="Helvetica" w:hAnsi="Helvetica" w:cs="Helvetica"/>
          <w:color w:val="333333"/>
          <w:sz w:val="20"/>
          <w:shd w:val="clear" w:color="auto" w:fill="FFFFFF"/>
        </w:rPr>
        <w:t xml:space="preserve">As a result, there were </w:t>
      </w:r>
      <w:r w:rsidR="00344B17" w:rsidRPr="76BE792E">
        <w:rPr>
          <w:rFonts w:ascii="Helvetica" w:hAnsi="Helvetica" w:cs="Helvetica"/>
          <w:color w:val="333333"/>
          <w:sz w:val="20"/>
          <w:shd w:val="clear" w:color="auto" w:fill="FFFFFF"/>
        </w:rPr>
        <w:t xml:space="preserve">an estimated </w:t>
      </w:r>
      <w:r w:rsidR="00DE572B" w:rsidRPr="76BE792E">
        <w:rPr>
          <w:rFonts w:ascii="Helvetica" w:hAnsi="Helvetica" w:cs="Helvetica"/>
          <w:color w:val="333333"/>
          <w:sz w:val="20"/>
          <w:shd w:val="clear" w:color="auto" w:fill="FFFFFF"/>
        </w:rPr>
        <w:t>3,864 (95</w:t>
      </w:r>
      <w:r w:rsidR="0054537F">
        <w:rPr>
          <w:rFonts w:ascii="Helvetica" w:hAnsi="Helvetica" w:cs="Helvetica"/>
          <w:color w:val="333333"/>
          <w:sz w:val="20"/>
          <w:shd w:val="clear" w:color="auto" w:fill="FFFFFF"/>
        </w:rPr>
        <w:t>%</w:t>
      </w:r>
      <w:r w:rsidR="00DE572B" w:rsidRPr="76BE792E">
        <w:rPr>
          <w:rFonts w:ascii="Helvetica" w:hAnsi="Helvetica" w:cs="Helvetica"/>
          <w:color w:val="333333"/>
          <w:sz w:val="20"/>
          <w:shd w:val="clear" w:color="auto" w:fill="FFFFFF"/>
        </w:rPr>
        <w:t xml:space="preserve"> confidence intervals 3,019</w:t>
      </w:r>
      <w:r w:rsidR="006B604E" w:rsidRPr="76BE792E">
        <w:rPr>
          <w:rFonts w:ascii="Helvetica" w:hAnsi="Helvetica" w:cs="Helvetica"/>
          <w:color w:val="333333"/>
          <w:sz w:val="20"/>
          <w:shd w:val="clear" w:color="auto" w:fill="FFFFFF"/>
        </w:rPr>
        <w:t>–</w:t>
      </w:r>
      <w:r w:rsidR="00DE572B" w:rsidRPr="76BE792E">
        <w:rPr>
          <w:rFonts w:ascii="Helvetica" w:hAnsi="Helvetica" w:cs="Helvetica"/>
          <w:color w:val="333333"/>
          <w:sz w:val="20"/>
          <w:shd w:val="clear" w:color="auto" w:fill="FFFFFF"/>
        </w:rPr>
        <w:t>4,708) fewer diagnoses than expected in Victoria over 2020 and 2021.</w:t>
      </w:r>
      <w:r w:rsidR="00DE572B" w:rsidRPr="76BE792E">
        <w:rPr>
          <w:rStyle w:val="FootnoteReference"/>
          <w:rFonts w:cs="Helvetica"/>
          <w:color w:val="333333"/>
          <w:sz w:val="20"/>
          <w:shd w:val="clear" w:color="auto" w:fill="FFFFFF"/>
        </w:rPr>
        <w:footnoteReference w:id="8"/>
      </w:r>
      <w:r w:rsidR="00DE572B" w:rsidRPr="76BE792E">
        <w:rPr>
          <w:rFonts w:ascii="Helvetica" w:hAnsi="Helvetica" w:cs="Helvetica"/>
          <w:color w:val="333333"/>
          <w:sz w:val="20"/>
          <w:shd w:val="clear" w:color="auto" w:fill="FFFFFF"/>
        </w:rPr>
        <w:t xml:space="preserve"> </w:t>
      </w:r>
      <w:r w:rsidR="004A5E24" w:rsidRPr="76BE792E">
        <w:rPr>
          <w:sz w:val="20"/>
        </w:rPr>
        <w:t xml:space="preserve">This </w:t>
      </w:r>
      <w:r w:rsidR="007669C7" w:rsidRPr="76BE792E">
        <w:rPr>
          <w:sz w:val="20"/>
        </w:rPr>
        <w:t xml:space="preserve">progress </w:t>
      </w:r>
      <w:r w:rsidR="004A5E24" w:rsidRPr="76BE792E">
        <w:rPr>
          <w:sz w:val="20"/>
        </w:rPr>
        <w:t>report is essential for capturing the impact of th</w:t>
      </w:r>
      <w:r w:rsidR="00344B17" w:rsidRPr="76BE792E">
        <w:rPr>
          <w:sz w:val="20"/>
        </w:rPr>
        <w:t>e</w:t>
      </w:r>
      <w:r w:rsidR="004A5E24" w:rsidRPr="76BE792E">
        <w:rPr>
          <w:sz w:val="20"/>
        </w:rPr>
        <w:t xml:space="preserve"> pandemic on cancer</w:t>
      </w:r>
      <w:r w:rsidR="00344B17" w:rsidRPr="76BE792E">
        <w:rPr>
          <w:sz w:val="20"/>
        </w:rPr>
        <w:t xml:space="preserve"> outcomes</w:t>
      </w:r>
      <w:r w:rsidR="004A5E24" w:rsidRPr="76BE792E">
        <w:rPr>
          <w:sz w:val="20"/>
        </w:rPr>
        <w:t>.</w:t>
      </w:r>
    </w:p>
    <w:p w14:paraId="41ACAB25" w14:textId="3C99E132" w:rsidR="00984E0E" w:rsidRPr="00E81955" w:rsidRDefault="00F42F10" w:rsidP="006053E7">
      <w:pPr>
        <w:pStyle w:val="Heading2"/>
        <w:rPr>
          <w:color w:val="AF272F"/>
          <w:sz w:val="28"/>
        </w:rPr>
      </w:pPr>
      <w:bookmarkStart w:id="11" w:name="_Toc19007962"/>
      <w:bookmarkStart w:id="12" w:name="_Toc140843404"/>
      <w:r w:rsidRPr="00E81955">
        <w:rPr>
          <w:color w:val="AF272F"/>
          <w:sz w:val="28"/>
        </w:rPr>
        <w:t>T</w:t>
      </w:r>
      <w:r w:rsidR="00DC791A" w:rsidRPr="00E81955">
        <w:rPr>
          <w:color w:val="AF272F"/>
          <w:sz w:val="28"/>
        </w:rPr>
        <w:t xml:space="preserve">he </w:t>
      </w:r>
      <w:r w:rsidR="0056492D" w:rsidRPr="00E81955">
        <w:rPr>
          <w:color w:val="AF272F"/>
          <w:sz w:val="28"/>
        </w:rPr>
        <w:t>Victorian monitoring and eva</w:t>
      </w:r>
      <w:r w:rsidR="00B24EBE" w:rsidRPr="00E81955">
        <w:rPr>
          <w:color w:val="AF272F"/>
          <w:sz w:val="28"/>
        </w:rPr>
        <w:t>luation framework</w:t>
      </w:r>
      <w:r w:rsidRPr="00E81955">
        <w:rPr>
          <w:color w:val="AF272F"/>
          <w:sz w:val="28"/>
        </w:rPr>
        <w:t>: measuring our success</w:t>
      </w:r>
      <w:bookmarkEnd w:id="11"/>
      <w:bookmarkEnd w:id="12"/>
    </w:p>
    <w:p w14:paraId="4C6A4642" w14:textId="3BAFCF72" w:rsidR="00705F5D" w:rsidRPr="0099225F" w:rsidRDefault="00875C98" w:rsidP="00E87AAA">
      <w:pPr>
        <w:pStyle w:val="Body"/>
        <w:rPr>
          <w:sz w:val="20"/>
        </w:rPr>
      </w:pPr>
      <w:r w:rsidRPr="0099225F">
        <w:rPr>
          <w:sz w:val="20"/>
        </w:rPr>
        <w:t xml:space="preserve">The </w:t>
      </w:r>
      <w:r w:rsidR="00344B17" w:rsidRPr="0099225F">
        <w:rPr>
          <w:sz w:val="20"/>
        </w:rPr>
        <w:t>D</w:t>
      </w:r>
      <w:r w:rsidRPr="0099225F">
        <w:rPr>
          <w:sz w:val="20"/>
        </w:rPr>
        <w:t xml:space="preserve">epartment </w:t>
      </w:r>
      <w:r w:rsidR="00344B17" w:rsidRPr="0099225F">
        <w:rPr>
          <w:sz w:val="20"/>
        </w:rPr>
        <w:t xml:space="preserve">of Health </w:t>
      </w:r>
      <w:r w:rsidRPr="0099225F">
        <w:rPr>
          <w:sz w:val="20"/>
        </w:rPr>
        <w:t>aspires to improv</w:t>
      </w:r>
      <w:r w:rsidR="00200E86" w:rsidRPr="0099225F">
        <w:rPr>
          <w:sz w:val="20"/>
        </w:rPr>
        <w:t>e</w:t>
      </w:r>
      <w:r w:rsidRPr="0099225F">
        <w:rPr>
          <w:sz w:val="20"/>
        </w:rPr>
        <w:t xml:space="preserve"> cancer outcomes for all and support all Victorians affected by this illness.</w:t>
      </w:r>
      <w:r w:rsidR="006613F8" w:rsidRPr="0099225F">
        <w:rPr>
          <w:sz w:val="20"/>
        </w:rPr>
        <w:t xml:space="preserve"> </w:t>
      </w:r>
      <w:r w:rsidRPr="0099225F">
        <w:rPr>
          <w:sz w:val="20"/>
        </w:rPr>
        <w:t>To help deliver this vision, the department consulted internally and externally with individual</w:t>
      </w:r>
      <w:r w:rsidR="00D35F32" w:rsidRPr="0099225F">
        <w:rPr>
          <w:sz w:val="20"/>
        </w:rPr>
        <w:t>s</w:t>
      </w:r>
      <w:r w:rsidRPr="0099225F">
        <w:rPr>
          <w:sz w:val="20"/>
        </w:rPr>
        <w:t xml:space="preserve"> and organisations across the Victorian cancer sector to develop</w:t>
      </w:r>
      <w:r w:rsidR="00885B82" w:rsidRPr="0099225F">
        <w:rPr>
          <w:sz w:val="20"/>
        </w:rPr>
        <w:t xml:space="preserve"> an outcomes framework.</w:t>
      </w:r>
      <w:r w:rsidR="00952FC7" w:rsidRPr="0099225F">
        <w:rPr>
          <w:sz w:val="20"/>
        </w:rPr>
        <w:t xml:space="preserve"> </w:t>
      </w:r>
      <w:r w:rsidR="00885B82" w:rsidRPr="0099225F">
        <w:rPr>
          <w:sz w:val="20"/>
        </w:rPr>
        <w:t>This framework</w:t>
      </w:r>
      <w:r w:rsidR="00D2579A" w:rsidRPr="0099225F">
        <w:rPr>
          <w:sz w:val="20"/>
        </w:rPr>
        <w:t>,</w:t>
      </w:r>
      <w:r w:rsidR="00885B82" w:rsidRPr="0099225F">
        <w:rPr>
          <w:sz w:val="20"/>
        </w:rPr>
        <w:t xml:space="preserve"> known as the </w:t>
      </w:r>
      <w:r w:rsidRPr="0099225F">
        <w:rPr>
          <w:i/>
          <w:sz w:val="20"/>
        </w:rPr>
        <w:t>Victorian cancer plan monitoring and evaluation framework</w:t>
      </w:r>
      <w:r w:rsidR="00D2579A" w:rsidRPr="0099225F">
        <w:rPr>
          <w:iCs/>
          <w:sz w:val="20"/>
        </w:rPr>
        <w:t>,</w:t>
      </w:r>
      <w:r w:rsidR="00885B82" w:rsidRPr="0099225F">
        <w:rPr>
          <w:sz w:val="20"/>
        </w:rPr>
        <w:t xml:space="preserve"> was published in June 2018</w:t>
      </w:r>
      <w:r w:rsidR="00D12C33" w:rsidRPr="0099225F">
        <w:rPr>
          <w:sz w:val="20"/>
        </w:rPr>
        <w:t xml:space="preserve"> </w:t>
      </w:r>
      <w:r w:rsidR="0018009A" w:rsidRPr="0099225F">
        <w:rPr>
          <w:sz w:val="20"/>
        </w:rPr>
        <w:t>and contains 97 measures. The framework is</w:t>
      </w:r>
      <w:r w:rsidR="00D12C33" w:rsidRPr="0099225F">
        <w:rPr>
          <w:sz w:val="20"/>
        </w:rPr>
        <w:t xml:space="preserve"> supported by a data dictionary</w:t>
      </w:r>
      <w:r w:rsidRPr="0099225F">
        <w:rPr>
          <w:sz w:val="20"/>
        </w:rPr>
        <w:t>.</w:t>
      </w:r>
      <w:r w:rsidR="00885B82" w:rsidRPr="0099225F">
        <w:rPr>
          <w:sz w:val="20"/>
        </w:rPr>
        <w:t xml:space="preserve"> It </w:t>
      </w:r>
      <w:r w:rsidRPr="0099225F">
        <w:rPr>
          <w:sz w:val="20"/>
        </w:rPr>
        <w:t>is population-outcomes based and provides a transparent and objective approach to monitoring and reporting on the collective impact of the sector to improve cancer outcomes.</w:t>
      </w:r>
      <w:r w:rsidR="00784D15" w:rsidRPr="0099225F">
        <w:rPr>
          <w:sz w:val="20"/>
        </w:rPr>
        <w:t xml:space="preserve"> </w:t>
      </w:r>
      <w:r w:rsidR="00605190" w:rsidRPr="0099225F">
        <w:rPr>
          <w:sz w:val="20"/>
        </w:rPr>
        <w:t>Each</w:t>
      </w:r>
      <w:r w:rsidR="00B41A8A" w:rsidRPr="0099225F">
        <w:rPr>
          <w:sz w:val="20"/>
        </w:rPr>
        <w:t xml:space="preserve"> progress</w:t>
      </w:r>
      <w:r w:rsidR="00605190" w:rsidRPr="0099225F">
        <w:rPr>
          <w:sz w:val="20"/>
        </w:rPr>
        <w:t xml:space="preserve"> </w:t>
      </w:r>
      <w:r w:rsidR="00B41A8A" w:rsidRPr="0099225F">
        <w:rPr>
          <w:sz w:val="20"/>
        </w:rPr>
        <w:t>report</w:t>
      </w:r>
      <w:r w:rsidR="007669C7" w:rsidRPr="0099225F">
        <w:rPr>
          <w:sz w:val="20"/>
        </w:rPr>
        <w:t xml:space="preserve"> </w:t>
      </w:r>
      <w:r w:rsidR="00B41A8A" w:rsidRPr="0099225F">
        <w:rPr>
          <w:sz w:val="20"/>
        </w:rPr>
        <w:t>will continue to r</w:t>
      </w:r>
      <w:r w:rsidR="00364D1F" w:rsidRPr="0099225F">
        <w:rPr>
          <w:sz w:val="20"/>
        </w:rPr>
        <w:t>eport</w:t>
      </w:r>
      <w:r w:rsidR="00605190" w:rsidRPr="0099225F">
        <w:rPr>
          <w:sz w:val="20"/>
        </w:rPr>
        <w:t xml:space="preserve"> </w:t>
      </w:r>
      <w:r w:rsidR="00364D1F" w:rsidRPr="0099225F">
        <w:rPr>
          <w:sz w:val="20"/>
        </w:rPr>
        <w:t xml:space="preserve">changes over time and will </w:t>
      </w:r>
      <w:r w:rsidR="00D2579A" w:rsidRPr="0099225F">
        <w:rPr>
          <w:sz w:val="20"/>
        </w:rPr>
        <w:t>help identify</w:t>
      </w:r>
      <w:r w:rsidR="00364D1F" w:rsidRPr="0099225F">
        <w:rPr>
          <w:sz w:val="20"/>
        </w:rPr>
        <w:t xml:space="preserve"> investment and implementation priorities.</w:t>
      </w:r>
    </w:p>
    <w:p w14:paraId="24162D51" w14:textId="49DF4E1C" w:rsidR="00784D15" w:rsidRPr="0099225F" w:rsidRDefault="00705F5D" w:rsidP="76BE792E">
      <w:pPr>
        <w:pStyle w:val="Body"/>
        <w:rPr>
          <w:sz w:val="20"/>
        </w:rPr>
      </w:pPr>
      <w:r w:rsidRPr="76BE792E">
        <w:rPr>
          <w:sz w:val="20"/>
        </w:rPr>
        <w:lastRenderedPageBreak/>
        <w:t>Figure 1 shows the outcomes framework cascad</w:t>
      </w:r>
      <w:r w:rsidR="005416F6" w:rsidRPr="76BE792E">
        <w:rPr>
          <w:sz w:val="20"/>
        </w:rPr>
        <w:t>ing</w:t>
      </w:r>
      <w:r w:rsidRPr="76BE792E">
        <w:rPr>
          <w:sz w:val="20"/>
        </w:rPr>
        <w:t xml:space="preserve"> </w:t>
      </w:r>
      <w:r w:rsidR="00784D15" w:rsidRPr="76BE792E">
        <w:rPr>
          <w:sz w:val="20"/>
        </w:rPr>
        <w:t xml:space="preserve">upwards from </w:t>
      </w:r>
      <w:r w:rsidR="00106046" w:rsidRPr="76BE792E">
        <w:rPr>
          <w:sz w:val="20"/>
        </w:rPr>
        <w:t xml:space="preserve">outcome measures, </w:t>
      </w:r>
      <w:r w:rsidR="00E533A3" w:rsidRPr="76BE792E">
        <w:rPr>
          <w:sz w:val="20"/>
        </w:rPr>
        <w:t>indicators</w:t>
      </w:r>
      <w:r w:rsidR="00106046" w:rsidRPr="76BE792E">
        <w:rPr>
          <w:sz w:val="20"/>
        </w:rPr>
        <w:t xml:space="preserve"> and key results</w:t>
      </w:r>
      <w:r w:rsidR="00D2579A" w:rsidRPr="76BE792E">
        <w:rPr>
          <w:sz w:val="20"/>
        </w:rPr>
        <w:t>,</w:t>
      </w:r>
      <w:r w:rsidR="00106046" w:rsidRPr="76BE792E">
        <w:rPr>
          <w:sz w:val="20"/>
        </w:rPr>
        <w:t xml:space="preserve"> which link logistically through </w:t>
      </w:r>
      <w:r w:rsidR="005416F6" w:rsidRPr="76BE792E">
        <w:rPr>
          <w:sz w:val="20"/>
        </w:rPr>
        <w:t xml:space="preserve">to </w:t>
      </w:r>
      <w:r w:rsidR="00106046" w:rsidRPr="76BE792E">
        <w:rPr>
          <w:sz w:val="20"/>
        </w:rPr>
        <w:t xml:space="preserve">each priority set out in the </w:t>
      </w:r>
      <w:r w:rsidR="00106046" w:rsidRPr="76BE792E">
        <w:rPr>
          <w:i/>
          <w:iCs/>
          <w:sz w:val="20"/>
        </w:rPr>
        <w:t>Victorian cancer plan 2016</w:t>
      </w:r>
      <w:r w:rsidR="00690CD3" w:rsidRPr="76BE792E">
        <w:rPr>
          <w:i/>
          <w:iCs/>
          <w:sz w:val="20"/>
        </w:rPr>
        <w:t>–</w:t>
      </w:r>
      <w:r w:rsidR="00106046" w:rsidRPr="76BE792E">
        <w:rPr>
          <w:i/>
          <w:iCs/>
          <w:sz w:val="20"/>
        </w:rPr>
        <w:t>2020</w:t>
      </w:r>
      <w:r w:rsidR="00442B01" w:rsidRPr="76BE792E">
        <w:rPr>
          <w:sz w:val="20"/>
        </w:rPr>
        <w:t xml:space="preserve"> and successive plans</w:t>
      </w:r>
      <w:r w:rsidR="00106046" w:rsidRPr="76BE792E">
        <w:rPr>
          <w:sz w:val="20"/>
        </w:rPr>
        <w:t>.</w:t>
      </w:r>
      <w:r w:rsidR="00952FC7" w:rsidRPr="76BE792E">
        <w:rPr>
          <w:sz w:val="20"/>
        </w:rPr>
        <w:t xml:space="preserve"> </w:t>
      </w:r>
      <w:r w:rsidR="00F42F10" w:rsidRPr="76BE792E">
        <w:rPr>
          <w:sz w:val="20"/>
        </w:rPr>
        <w:t xml:space="preserve">Each of the cancer plan priority areas describe the components </w:t>
      </w:r>
      <w:r w:rsidR="00344B17" w:rsidRPr="76BE792E">
        <w:rPr>
          <w:sz w:val="20"/>
        </w:rPr>
        <w:t xml:space="preserve">that are </w:t>
      </w:r>
      <w:r w:rsidR="00364AEA" w:rsidRPr="76BE792E">
        <w:rPr>
          <w:sz w:val="20"/>
        </w:rPr>
        <w:t xml:space="preserve">key </w:t>
      </w:r>
      <w:r w:rsidR="00F42F10" w:rsidRPr="76BE792E">
        <w:rPr>
          <w:sz w:val="20"/>
        </w:rPr>
        <w:t xml:space="preserve">to the success of the goals </w:t>
      </w:r>
      <w:r w:rsidR="00D2579A" w:rsidRPr="76BE792E">
        <w:rPr>
          <w:sz w:val="20"/>
        </w:rPr>
        <w:t xml:space="preserve">that </w:t>
      </w:r>
      <w:r w:rsidR="00F42F10" w:rsidRPr="76BE792E">
        <w:rPr>
          <w:sz w:val="20"/>
        </w:rPr>
        <w:t>have been set to 2040</w:t>
      </w:r>
      <w:r w:rsidR="00040E97" w:rsidRPr="76BE792E">
        <w:rPr>
          <w:sz w:val="20"/>
        </w:rPr>
        <w:t>.</w:t>
      </w:r>
    </w:p>
    <w:p w14:paraId="01D54004" w14:textId="77777777" w:rsidR="00B412F8" w:rsidRPr="0099225F" w:rsidRDefault="00B412F8" w:rsidP="00E87AAA">
      <w:pPr>
        <w:pStyle w:val="Body"/>
        <w:rPr>
          <w:sz w:val="20"/>
        </w:rPr>
      </w:pPr>
      <w:r w:rsidRPr="0099225F">
        <w:rPr>
          <w:sz w:val="20"/>
        </w:rPr>
        <w:t xml:space="preserve">The framework </w:t>
      </w:r>
      <w:r w:rsidR="00812ABD" w:rsidRPr="0099225F">
        <w:rPr>
          <w:sz w:val="20"/>
        </w:rPr>
        <w:t>enables</w:t>
      </w:r>
      <w:r w:rsidRPr="0099225F">
        <w:rPr>
          <w:sz w:val="20"/>
        </w:rPr>
        <w:t xml:space="preserve"> </w:t>
      </w:r>
      <w:r w:rsidR="005416F6" w:rsidRPr="0099225F">
        <w:rPr>
          <w:sz w:val="20"/>
        </w:rPr>
        <w:t xml:space="preserve">the department </w:t>
      </w:r>
      <w:r w:rsidRPr="0099225F">
        <w:rPr>
          <w:sz w:val="20"/>
        </w:rPr>
        <w:t>to:</w:t>
      </w:r>
    </w:p>
    <w:p w14:paraId="6D0586C8" w14:textId="55EC3C66" w:rsidR="005416F6" w:rsidRPr="0099225F" w:rsidRDefault="004E5730" w:rsidP="00AA325E">
      <w:pPr>
        <w:pStyle w:val="Bullet1"/>
        <w:rPr>
          <w:sz w:val="20"/>
        </w:rPr>
      </w:pPr>
      <w:r w:rsidRPr="0099225F">
        <w:rPr>
          <w:sz w:val="20"/>
        </w:rPr>
        <w:t>a</w:t>
      </w:r>
      <w:r w:rsidR="005416F6" w:rsidRPr="0099225F">
        <w:rPr>
          <w:sz w:val="20"/>
        </w:rPr>
        <w:t xml:space="preserve">rticulate </w:t>
      </w:r>
      <w:r w:rsidR="00812ABD" w:rsidRPr="0099225F">
        <w:rPr>
          <w:sz w:val="20"/>
        </w:rPr>
        <w:t>cancer plan priorities</w:t>
      </w:r>
    </w:p>
    <w:p w14:paraId="0810A2BE" w14:textId="62D5F1F7" w:rsidR="00812ABD" w:rsidRPr="0099225F" w:rsidRDefault="004E5730" w:rsidP="00AA325E">
      <w:pPr>
        <w:pStyle w:val="Bullet1"/>
        <w:rPr>
          <w:sz w:val="20"/>
        </w:rPr>
      </w:pPr>
      <w:r w:rsidRPr="0099225F">
        <w:rPr>
          <w:sz w:val="20"/>
        </w:rPr>
        <w:t>f</w:t>
      </w:r>
      <w:r w:rsidR="00812ABD" w:rsidRPr="0099225F">
        <w:rPr>
          <w:sz w:val="20"/>
        </w:rPr>
        <w:t>ocus actions and activities on areas where enduring change is needed most</w:t>
      </w:r>
    </w:p>
    <w:p w14:paraId="014015CA" w14:textId="44B07390" w:rsidR="00812ABD" w:rsidRPr="0099225F" w:rsidRDefault="004E5730" w:rsidP="00AA325E">
      <w:pPr>
        <w:pStyle w:val="Bullet1"/>
        <w:rPr>
          <w:sz w:val="20"/>
        </w:rPr>
      </w:pPr>
      <w:r w:rsidRPr="0099225F">
        <w:rPr>
          <w:sz w:val="20"/>
        </w:rPr>
        <w:t>a</w:t>
      </w:r>
      <w:r w:rsidR="00812ABD" w:rsidRPr="0099225F">
        <w:rPr>
          <w:sz w:val="20"/>
        </w:rPr>
        <w:t>ssess the impact of cancer services on the lives of Victorians</w:t>
      </w:r>
    </w:p>
    <w:p w14:paraId="129093CB" w14:textId="404E2531" w:rsidR="00812ABD" w:rsidRPr="0099225F" w:rsidRDefault="004E5730" w:rsidP="00FC4B1F">
      <w:pPr>
        <w:pStyle w:val="Bullet1"/>
        <w:rPr>
          <w:sz w:val="20"/>
        </w:rPr>
      </w:pPr>
      <w:r w:rsidRPr="0099225F">
        <w:rPr>
          <w:sz w:val="20"/>
        </w:rPr>
        <w:t>d</w:t>
      </w:r>
      <w:r w:rsidR="00812ABD" w:rsidRPr="0099225F">
        <w:rPr>
          <w:sz w:val="20"/>
        </w:rPr>
        <w:t>rive future monitoring and reporting.</w:t>
      </w:r>
    </w:p>
    <w:p w14:paraId="3024E397" w14:textId="19E112D2" w:rsidR="00DC791A" w:rsidRPr="00E81955" w:rsidRDefault="00DC791A" w:rsidP="006053E7">
      <w:pPr>
        <w:pStyle w:val="Heading2"/>
        <w:rPr>
          <w:color w:val="AF272F"/>
          <w:sz w:val="28"/>
        </w:rPr>
      </w:pPr>
      <w:bookmarkStart w:id="13" w:name="_Toc19007963"/>
      <w:bookmarkStart w:id="14" w:name="_Toc140843405"/>
      <w:r w:rsidRPr="00E81955">
        <w:rPr>
          <w:color w:val="AF272F"/>
          <w:sz w:val="28"/>
        </w:rPr>
        <w:t xml:space="preserve">Purpose </w:t>
      </w:r>
      <w:r w:rsidR="00B53FE5" w:rsidRPr="00E81955">
        <w:rPr>
          <w:color w:val="AF272F"/>
          <w:sz w:val="28"/>
        </w:rPr>
        <w:t xml:space="preserve">of the </w:t>
      </w:r>
      <w:r w:rsidR="00DF0AF3" w:rsidRPr="00E81955">
        <w:rPr>
          <w:color w:val="AF272F"/>
          <w:sz w:val="28"/>
        </w:rPr>
        <w:t xml:space="preserve">progress </w:t>
      </w:r>
      <w:r w:rsidR="00B53FE5" w:rsidRPr="00E81955">
        <w:rPr>
          <w:color w:val="AF272F"/>
          <w:sz w:val="28"/>
        </w:rPr>
        <w:t>report</w:t>
      </w:r>
      <w:bookmarkEnd w:id="13"/>
      <w:bookmarkEnd w:id="14"/>
    </w:p>
    <w:p w14:paraId="123BE51C" w14:textId="6B60D466" w:rsidR="00274CDA" w:rsidRPr="0099225F" w:rsidRDefault="00031EF3" w:rsidP="00E87AAA">
      <w:pPr>
        <w:pStyle w:val="Body"/>
        <w:rPr>
          <w:sz w:val="20"/>
        </w:rPr>
      </w:pPr>
      <w:bookmarkStart w:id="15" w:name="_Hlk121843814"/>
      <w:r w:rsidRPr="0099225F">
        <w:rPr>
          <w:sz w:val="20"/>
        </w:rPr>
        <w:t xml:space="preserve">This report is the </w:t>
      </w:r>
      <w:r w:rsidR="00DF0AF3" w:rsidRPr="0099225F">
        <w:rPr>
          <w:sz w:val="20"/>
        </w:rPr>
        <w:t>second</w:t>
      </w:r>
      <w:r w:rsidRPr="0099225F">
        <w:rPr>
          <w:sz w:val="20"/>
        </w:rPr>
        <w:t xml:space="preserve"> report </w:t>
      </w:r>
      <w:r w:rsidR="004B2F15" w:rsidRPr="0099225F">
        <w:rPr>
          <w:sz w:val="20"/>
        </w:rPr>
        <w:t xml:space="preserve">that </w:t>
      </w:r>
      <w:bookmarkStart w:id="16" w:name="_Hlk120875760"/>
      <w:bookmarkStart w:id="17" w:name="_Hlk120806206"/>
      <w:r w:rsidR="004B2F15" w:rsidRPr="0099225F">
        <w:rPr>
          <w:sz w:val="20"/>
        </w:rPr>
        <w:t>synthesises</w:t>
      </w:r>
      <w:r w:rsidRPr="0099225F">
        <w:rPr>
          <w:sz w:val="20"/>
        </w:rPr>
        <w:t xml:space="preserve"> </w:t>
      </w:r>
      <w:r w:rsidR="00433209" w:rsidRPr="0099225F">
        <w:rPr>
          <w:sz w:val="20"/>
        </w:rPr>
        <w:t>the current status of outcome measures</w:t>
      </w:r>
      <w:r w:rsidR="00705F5D" w:rsidRPr="0099225F">
        <w:rPr>
          <w:sz w:val="20"/>
        </w:rPr>
        <w:t xml:space="preserve"> from various Victorian data sources </w:t>
      </w:r>
      <w:r w:rsidRPr="0099225F">
        <w:rPr>
          <w:sz w:val="20"/>
        </w:rPr>
        <w:t xml:space="preserve">against the department’s outcomes framework </w:t>
      </w:r>
      <w:bookmarkEnd w:id="15"/>
      <w:bookmarkEnd w:id="16"/>
      <w:r w:rsidR="002032E9" w:rsidRPr="0099225F">
        <w:rPr>
          <w:sz w:val="20"/>
        </w:rPr>
        <w:t>(Figure 1)</w:t>
      </w:r>
      <w:r w:rsidRPr="0099225F">
        <w:rPr>
          <w:sz w:val="20"/>
        </w:rPr>
        <w:t xml:space="preserve">. </w:t>
      </w:r>
      <w:r w:rsidR="008E279F" w:rsidRPr="0099225F">
        <w:rPr>
          <w:sz w:val="20"/>
        </w:rPr>
        <w:t xml:space="preserve">Its purpose is to inform </w:t>
      </w:r>
      <w:r w:rsidR="00B042DA" w:rsidRPr="0099225F">
        <w:rPr>
          <w:sz w:val="20"/>
        </w:rPr>
        <w:t>development of the 202</w:t>
      </w:r>
      <w:r w:rsidR="00DF0AF3" w:rsidRPr="0099225F">
        <w:rPr>
          <w:sz w:val="20"/>
        </w:rPr>
        <w:t>4</w:t>
      </w:r>
      <w:r w:rsidR="00690CD3" w:rsidRPr="0099225F">
        <w:rPr>
          <w:sz w:val="20"/>
        </w:rPr>
        <w:t>–</w:t>
      </w:r>
      <w:r w:rsidR="00B042DA" w:rsidRPr="0099225F">
        <w:rPr>
          <w:sz w:val="20"/>
        </w:rPr>
        <w:t>202</w:t>
      </w:r>
      <w:r w:rsidR="00DF0AF3" w:rsidRPr="0099225F">
        <w:rPr>
          <w:sz w:val="20"/>
        </w:rPr>
        <w:t>8</w:t>
      </w:r>
      <w:r w:rsidR="00D2579A" w:rsidRPr="0099225F">
        <w:rPr>
          <w:sz w:val="20"/>
        </w:rPr>
        <w:t xml:space="preserve"> cancer plan</w:t>
      </w:r>
      <w:bookmarkEnd w:id="17"/>
      <w:r w:rsidR="00B042DA" w:rsidRPr="0099225F">
        <w:rPr>
          <w:sz w:val="20"/>
        </w:rPr>
        <w:t xml:space="preserve">. </w:t>
      </w:r>
      <w:r w:rsidRPr="0099225F">
        <w:rPr>
          <w:sz w:val="20"/>
        </w:rPr>
        <w:t xml:space="preserve">As this is the </w:t>
      </w:r>
      <w:r w:rsidR="005925F7" w:rsidRPr="0099225F">
        <w:rPr>
          <w:sz w:val="20"/>
        </w:rPr>
        <w:t xml:space="preserve">second </w:t>
      </w:r>
      <w:r w:rsidR="00690CD3" w:rsidRPr="0099225F">
        <w:rPr>
          <w:sz w:val="20"/>
        </w:rPr>
        <w:t>r</w:t>
      </w:r>
      <w:r w:rsidRPr="0099225F">
        <w:rPr>
          <w:sz w:val="20"/>
        </w:rPr>
        <w:t>eport</w:t>
      </w:r>
      <w:r w:rsidR="000B03D6" w:rsidRPr="0099225F">
        <w:rPr>
          <w:sz w:val="20"/>
        </w:rPr>
        <w:t>,</w:t>
      </w:r>
      <w:r w:rsidRPr="0099225F">
        <w:rPr>
          <w:sz w:val="20"/>
        </w:rPr>
        <w:t xml:space="preserve"> </w:t>
      </w:r>
      <w:r w:rsidR="005925F7" w:rsidRPr="0099225F">
        <w:rPr>
          <w:sz w:val="20"/>
        </w:rPr>
        <w:t xml:space="preserve">there are </w:t>
      </w:r>
      <w:r w:rsidR="00D03593" w:rsidRPr="0099225F">
        <w:rPr>
          <w:sz w:val="20"/>
        </w:rPr>
        <w:t xml:space="preserve">still </w:t>
      </w:r>
      <w:r w:rsidR="005925F7" w:rsidRPr="0099225F">
        <w:rPr>
          <w:sz w:val="20"/>
        </w:rPr>
        <w:t xml:space="preserve">some </w:t>
      </w:r>
      <w:r w:rsidRPr="0099225F">
        <w:rPr>
          <w:sz w:val="20"/>
        </w:rPr>
        <w:t xml:space="preserve">results </w:t>
      </w:r>
      <w:r w:rsidR="00DA3BCE" w:rsidRPr="0099225F">
        <w:rPr>
          <w:sz w:val="20"/>
        </w:rPr>
        <w:t xml:space="preserve">that </w:t>
      </w:r>
      <w:r w:rsidRPr="0099225F">
        <w:rPr>
          <w:sz w:val="20"/>
        </w:rPr>
        <w:t>are not yet available for every measure.</w:t>
      </w:r>
      <w:r w:rsidR="009663DD" w:rsidRPr="0099225F">
        <w:rPr>
          <w:sz w:val="20"/>
        </w:rPr>
        <w:t xml:space="preserve"> For example, staging data is </w:t>
      </w:r>
      <w:r w:rsidR="00344B17" w:rsidRPr="0099225F">
        <w:rPr>
          <w:sz w:val="20"/>
        </w:rPr>
        <w:t xml:space="preserve">not </w:t>
      </w:r>
      <w:r w:rsidR="009663DD" w:rsidRPr="0099225F">
        <w:rPr>
          <w:sz w:val="20"/>
        </w:rPr>
        <w:t xml:space="preserve">available </w:t>
      </w:r>
      <w:r w:rsidR="00344B17" w:rsidRPr="0099225F">
        <w:rPr>
          <w:sz w:val="20"/>
        </w:rPr>
        <w:t>for</w:t>
      </w:r>
      <w:r w:rsidR="009663DD" w:rsidRPr="0099225F">
        <w:rPr>
          <w:sz w:val="20"/>
        </w:rPr>
        <w:t xml:space="preserve"> all cancers.</w:t>
      </w:r>
      <w:r w:rsidR="00952FC7" w:rsidRPr="0099225F">
        <w:rPr>
          <w:sz w:val="20"/>
        </w:rPr>
        <w:t xml:space="preserve"> </w:t>
      </w:r>
      <w:r w:rsidR="00D2579A" w:rsidRPr="0099225F">
        <w:rPr>
          <w:sz w:val="20"/>
        </w:rPr>
        <w:t xml:space="preserve">Results </w:t>
      </w:r>
      <w:r w:rsidRPr="0099225F">
        <w:rPr>
          <w:sz w:val="20"/>
        </w:rPr>
        <w:t xml:space="preserve">will be reported in the future as </w:t>
      </w:r>
      <w:r w:rsidR="00D67BDE" w:rsidRPr="0099225F">
        <w:rPr>
          <w:sz w:val="20"/>
        </w:rPr>
        <w:t>data</w:t>
      </w:r>
      <w:r w:rsidRPr="0099225F">
        <w:rPr>
          <w:sz w:val="20"/>
        </w:rPr>
        <w:t xml:space="preserve"> become</w:t>
      </w:r>
      <w:r w:rsidR="00D67BDE" w:rsidRPr="0099225F">
        <w:rPr>
          <w:sz w:val="20"/>
        </w:rPr>
        <w:t>s</w:t>
      </w:r>
      <w:r w:rsidRPr="0099225F">
        <w:rPr>
          <w:sz w:val="20"/>
        </w:rPr>
        <w:t xml:space="preserve"> available.</w:t>
      </w:r>
    </w:p>
    <w:p w14:paraId="21FE2D67" w14:textId="11650167" w:rsidR="000879F5" w:rsidRPr="0099225F" w:rsidRDefault="00274CDA" w:rsidP="00E87AAA">
      <w:pPr>
        <w:pStyle w:val="Body"/>
        <w:rPr>
          <w:b/>
          <w:sz w:val="20"/>
        </w:rPr>
      </w:pPr>
      <w:r w:rsidRPr="0099225F">
        <w:rPr>
          <w:sz w:val="20"/>
        </w:rPr>
        <w:t>The</w:t>
      </w:r>
      <w:r w:rsidR="00F94579">
        <w:rPr>
          <w:sz w:val="20"/>
        </w:rPr>
        <w:t xml:space="preserve"> </w:t>
      </w:r>
      <w:r w:rsidR="005925F7" w:rsidRPr="0099225F">
        <w:rPr>
          <w:sz w:val="20"/>
        </w:rPr>
        <w:t>progress</w:t>
      </w:r>
      <w:r w:rsidR="000B44C5" w:rsidRPr="0099225F">
        <w:rPr>
          <w:sz w:val="20"/>
        </w:rPr>
        <w:t xml:space="preserve"> </w:t>
      </w:r>
      <w:r w:rsidRPr="0099225F">
        <w:rPr>
          <w:sz w:val="20"/>
        </w:rPr>
        <w:t>report does not</w:t>
      </w:r>
      <w:r w:rsidR="005F1C86" w:rsidRPr="0099225F">
        <w:rPr>
          <w:sz w:val="20"/>
        </w:rPr>
        <w:t xml:space="preserve"> provide a </w:t>
      </w:r>
      <w:r w:rsidRPr="0099225F">
        <w:rPr>
          <w:sz w:val="20"/>
        </w:rPr>
        <w:t>review of measure selection and methodology</w:t>
      </w:r>
      <w:r w:rsidR="00433209" w:rsidRPr="0099225F">
        <w:rPr>
          <w:sz w:val="20"/>
        </w:rPr>
        <w:t>,</w:t>
      </w:r>
      <w:r w:rsidRPr="0099225F">
        <w:rPr>
          <w:sz w:val="20"/>
        </w:rPr>
        <w:t xml:space="preserve"> or improvement of technical documentation of measures</w:t>
      </w:r>
      <w:r w:rsidR="005F1C86" w:rsidRPr="0099225F">
        <w:rPr>
          <w:sz w:val="20"/>
        </w:rPr>
        <w:t>.</w:t>
      </w:r>
      <w:r w:rsidR="00952FC7" w:rsidRPr="0099225F">
        <w:rPr>
          <w:sz w:val="20"/>
        </w:rPr>
        <w:t xml:space="preserve"> </w:t>
      </w:r>
      <w:r w:rsidR="00BE5E7A" w:rsidRPr="0099225F">
        <w:rPr>
          <w:sz w:val="20"/>
        </w:rPr>
        <w:t>Data presented in this report reflects observations at set points in time.</w:t>
      </w:r>
      <w:r w:rsidR="00952FC7" w:rsidRPr="0099225F">
        <w:rPr>
          <w:sz w:val="20"/>
        </w:rPr>
        <w:t xml:space="preserve"> </w:t>
      </w:r>
      <w:r w:rsidR="00BE5E7A" w:rsidRPr="0099225F">
        <w:rPr>
          <w:sz w:val="20"/>
        </w:rPr>
        <w:t>More compr</w:t>
      </w:r>
      <w:r w:rsidR="00343858" w:rsidRPr="0099225F">
        <w:rPr>
          <w:sz w:val="20"/>
        </w:rPr>
        <w:t>eh</w:t>
      </w:r>
      <w:r w:rsidR="00BE5E7A" w:rsidRPr="0099225F">
        <w:rPr>
          <w:sz w:val="20"/>
        </w:rPr>
        <w:t>ensive datasets are available for viewing a</w:t>
      </w:r>
      <w:r w:rsidR="00343858" w:rsidRPr="0099225F">
        <w:rPr>
          <w:sz w:val="20"/>
        </w:rPr>
        <w:t>t the referenced data sources.</w:t>
      </w:r>
      <w:r w:rsidR="000879F5" w:rsidRPr="0099225F">
        <w:rPr>
          <w:b/>
          <w:sz w:val="20"/>
        </w:rPr>
        <w:t xml:space="preserve"> </w:t>
      </w:r>
    </w:p>
    <w:p w14:paraId="27A91FC6" w14:textId="325B0A5B" w:rsidR="000879F5" w:rsidRPr="00424B59" w:rsidRDefault="000879F5" w:rsidP="00B17509">
      <w:pPr>
        <w:pStyle w:val="Figurecaption"/>
        <w:rPr>
          <w:sz w:val="20"/>
        </w:rPr>
      </w:pPr>
      <w:bookmarkStart w:id="18" w:name="_Toc19007964"/>
      <w:bookmarkStart w:id="19" w:name="_Toc19008248"/>
      <w:bookmarkStart w:id="20" w:name="_Toc19008395"/>
      <w:bookmarkStart w:id="21" w:name="_Toc19008542"/>
      <w:bookmarkStart w:id="22" w:name="_Toc132552981"/>
      <w:bookmarkStart w:id="23" w:name="_Toc140827587"/>
      <w:r w:rsidRPr="00424B59">
        <w:rPr>
          <w:sz w:val="20"/>
        </w:rPr>
        <w:t>Figure 1: Outcomes framework logic model</w:t>
      </w:r>
      <w:bookmarkEnd w:id="18"/>
      <w:bookmarkEnd w:id="19"/>
      <w:bookmarkEnd w:id="20"/>
      <w:bookmarkEnd w:id="21"/>
      <w:bookmarkEnd w:id="22"/>
      <w:bookmarkEnd w:id="23"/>
    </w:p>
    <w:p w14:paraId="69A920B2" w14:textId="78C2AF32" w:rsidR="002D6DC3" w:rsidRPr="002D6DC3" w:rsidRDefault="00FF628A" w:rsidP="00FF628A">
      <w:pPr>
        <w:pStyle w:val="Body"/>
        <w:jc w:val="center"/>
      </w:pPr>
      <w:r w:rsidRPr="00FF628A">
        <w:rPr>
          <w:noProof/>
        </w:rPr>
        <w:drawing>
          <wp:inline distT="0" distB="0" distL="0" distR="0" wp14:anchorId="60680EE6" wp14:editId="51B7027B">
            <wp:extent cx="5479415" cy="449580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87921" cy="4502779"/>
                    </a:xfrm>
                    <a:prstGeom prst="rect">
                      <a:avLst/>
                    </a:prstGeom>
                  </pic:spPr>
                </pic:pic>
              </a:graphicData>
            </a:graphic>
          </wp:inline>
        </w:drawing>
      </w:r>
    </w:p>
    <w:p w14:paraId="57EE3E00" w14:textId="40CD53CB" w:rsidR="00175D1C" w:rsidRPr="00E81955" w:rsidRDefault="00B042DA" w:rsidP="007D6BCA">
      <w:pPr>
        <w:pStyle w:val="Heading1"/>
      </w:pPr>
      <w:r>
        <w:rPr>
          <w:lang w:eastAsia="en-AU"/>
        </w:rPr>
        <w:br w:type="page"/>
      </w:r>
      <w:bookmarkStart w:id="24" w:name="_Toc19007965"/>
      <w:bookmarkStart w:id="25" w:name="_Toc140843406"/>
      <w:r w:rsidR="00175D1C" w:rsidRPr="00E81955">
        <w:lastRenderedPageBreak/>
        <w:t xml:space="preserve">How to read this </w:t>
      </w:r>
      <w:r w:rsidR="00EE72E9" w:rsidRPr="00E81955">
        <w:t>r</w:t>
      </w:r>
      <w:r w:rsidR="00175D1C" w:rsidRPr="00E81955">
        <w:t>eport</w:t>
      </w:r>
      <w:bookmarkEnd w:id="24"/>
      <w:bookmarkEnd w:id="25"/>
    </w:p>
    <w:p w14:paraId="0735E908" w14:textId="2D8DA64C" w:rsidR="005F4AF0" w:rsidRPr="00E81955" w:rsidRDefault="00DA7FC5" w:rsidP="006053E7">
      <w:pPr>
        <w:pStyle w:val="Heading2"/>
        <w:rPr>
          <w:color w:val="AF272F"/>
          <w:sz w:val="28"/>
        </w:rPr>
      </w:pPr>
      <w:bookmarkStart w:id="26" w:name="_Toc19007966"/>
      <w:bookmarkStart w:id="27" w:name="_Toc140843407"/>
      <w:r w:rsidRPr="00E81955">
        <w:rPr>
          <w:color w:val="AF272F"/>
          <w:sz w:val="28"/>
        </w:rPr>
        <w:t>Structure of the report</w:t>
      </w:r>
      <w:bookmarkEnd w:id="26"/>
      <w:bookmarkEnd w:id="27"/>
    </w:p>
    <w:p w14:paraId="4BEA28AE" w14:textId="1511803B" w:rsidR="00DA7FC5" w:rsidRPr="0099225F" w:rsidRDefault="00DA7FC5" w:rsidP="00E87AAA">
      <w:pPr>
        <w:pStyle w:val="Body"/>
        <w:rPr>
          <w:sz w:val="20"/>
        </w:rPr>
      </w:pPr>
      <w:r w:rsidRPr="0099225F">
        <w:rPr>
          <w:sz w:val="20"/>
        </w:rPr>
        <w:t xml:space="preserve">This </w:t>
      </w:r>
      <w:r w:rsidR="00284F8D" w:rsidRPr="0099225F">
        <w:rPr>
          <w:sz w:val="20"/>
        </w:rPr>
        <w:t xml:space="preserve">progress </w:t>
      </w:r>
      <w:r w:rsidRPr="0099225F">
        <w:rPr>
          <w:sz w:val="20"/>
        </w:rPr>
        <w:t xml:space="preserve">report provides information at </w:t>
      </w:r>
      <w:r w:rsidR="00175D1C" w:rsidRPr="0099225F">
        <w:rPr>
          <w:sz w:val="20"/>
        </w:rPr>
        <w:t>three</w:t>
      </w:r>
      <w:r w:rsidRPr="0099225F">
        <w:rPr>
          <w:sz w:val="20"/>
        </w:rPr>
        <w:t xml:space="preserve"> different levels of detail.</w:t>
      </w:r>
    </w:p>
    <w:p w14:paraId="712773EC" w14:textId="35206D21" w:rsidR="00175D1C" w:rsidRPr="0099225F" w:rsidRDefault="00704A54" w:rsidP="00196812">
      <w:pPr>
        <w:pStyle w:val="Bullet1"/>
        <w:spacing w:before="100" w:beforeAutospacing="1" w:after="120"/>
        <w:rPr>
          <w:sz w:val="20"/>
          <w:lang w:eastAsia="en-AU"/>
        </w:rPr>
      </w:pPr>
      <w:r w:rsidRPr="0099225F">
        <w:rPr>
          <w:sz w:val="20"/>
          <w:lang w:eastAsia="en-AU"/>
        </w:rPr>
        <w:t>The</w:t>
      </w:r>
      <w:r w:rsidRPr="0099225F">
        <w:rPr>
          <w:b/>
          <w:bCs/>
          <w:sz w:val="20"/>
          <w:lang w:eastAsia="en-AU"/>
        </w:rPr>
        <w:t xml:space="preserve"> d</w:t>
      </w:r>
      <w:r w:rsidR="00175D1C" w:rsidRPr="0099225F">
        <w:rPr>
          <w:b/>
          <w:bCs/>
          <w:sz w:val="20"/>
          <w:lang w:eastAsia="en-AU"/>
        </w:rPr>
        <w:t xml:space="preserve">ashboard </w:t>
      </w:r>
      <w:r w:rsidR="009A2013" w:rsidRPr="0099225F">
        <w:rPr>
          <w:sz w:val="20"/>
          <w:lang w:eastAsia="en-AU"/>
        </w:rPr>
        <w:t>provides a ‘snapshot’</w:t>
      </w:r>
      <w:r w:rsidR="00B24BAE" w:rsidRPr="0099225F">
        <w:rPr>
          <w:sz w:val="20"/>
          <w:lang w:eastAsia="en-AU"/>
        </w:rPr>
        <w:t xml:space="preserve"> </w:t>
      </w:r>
      <w:r w:rsidR="005A2F83" w:rsidRPr="0099225F">
        <w:rPr>
          <w:sz w:val="20"/>
          <w:lang w:eastAsia="en-AU"/>
        </w:rPr>
        <w:t xml:space="preserve">of </w:t>
      </w:r>
      <w:r w:rsidR="00175D1C" w:rsidRPr="0099225F">
        <w:rPr>
          <w:sz w:val="20"/>
          <w:lang w:eastAsia="en-AU"/>
        </w:rPr>
        <w:t xml:space="preserve">how each </w:t>
      </w:r>
      <w:r w:rsidR="004E5730" w:rsidRPr="0099225F">
        <w:rPr>
          <w:sz w:val="20"/>
          <w:lang w:eastAsia="en-AU"/>
        </w:rPr>
        <w:t>k</w:t>
      </w:r>
      <w:r w:rsidR="00175D1C" w:rsidRPr="0099225F">
        <w:rPr>
          <w:sz w:val="20"/>
          <w:lang w:eastAsia="en-AU"/>
        </w:rPr>
        <w:t xml:space="preserve">ey </w:t>
      </w:r>
      <w:r w:rsidR="004E5730" w:rsidRPr="0099225F">
        <w:rPr>
          <w:sz w:val="20"/>
          <w:lang w:eastAsia="en-AU"/>
        </w:rPr>
        <w:t>r</w:t>
      </w:r>
      <w:r w:rsidR="00175D1C" w:rsidRPr="0099225F">
        <w:rPr>
          <w:sz w:val="20"/>
          <w:lang w:eastAsia="en-AU"/>
        </w:rPr>
        <w:t xml:space="preserve">esult </w:t>
      </w:r>
      <w:r w:rsidR="004E5730" w:rsidRPr="0099225F">
        <w:rPr>
          <w:sz w:val="20"/>
          <w:lang w:eastAsia="en-AU"/>
        </w:rPr>
        <w:t>a</w:t>
      </w:r>
      <w:r w:rsidR="00175D1C" w:rsidRPr="0099225F">
        <w:rPr>
          <w:sz w:val="20"/>
          <w:lang w:eastAsia="en-AU"/>
        </w:rPr>
        <w:t>rea is tracking</w:t>
      </w:r>
      <w:r w:rsidR="004E5730" w:rsidRPr="0099225F">
        <w:rPr>
          <w:sz w:val="20"/>
          <w:lang w:eastAsia="en-AU"/>
        </w:rPr>
        <w:t>.</w:t>
      </w:r>
    </w:p>
    <w:p w14:paraId="11972756" w14:textId="26C6D685" w:rsidR="00DA7FC5" w:rsidRPr="0099225F" w:rsidRDefault="00704A54" w:rsidP="00196812">
      <w:pPr>
        <w:pStyle w:val="Bullet1"/>
        <w:spacing w:before="100" w:beforeAutospacing="1" w:after="120"/>
        <w:rPr>
          <w:sz w:val="20"/>
          <w:lang w:eastAsia="en-AU"/>
        </w:rPr>
      </w:pPr>
      <w:r w:rsidRPr="0099225F">
        <w:rPr>
          <w:sz w:val="20"/>
          <w:lang w:eastAsia="en-AU"/>
        </w:rPr>
        <w:t>The</w:t>
      </w:r>
      <w:r w:rsidRPr="0099225F">
        <w:rPr>
          <w:b/>
          <w:bCs/>
          <w:sz w:val="20"/>
          <w:lang w:eastAsia="en-AU"/>
        </w:rPr>
        <w:t xml:space="preserve"> s</w:t>
      </w:r>
      <w:r w:rsidR="00DA7FC5" w:rsidRPr="0099225F">
        <w:rPr>
          <w:b/>
          <w:bCs/>
          <w:sz w:val="20"/>
          <w:lang w:eastAsia="en-AU"/>
        </w:rPr>
        <w:t xml:space="preserve">ummary </w:t>
      </w:r>
      <w:r w:rsidR="004E5730" w:rsidRPr="0099225F">
        <w:rPr>
          <w:b/>
          <w:bCs/>
          <w:sz w:val="20"/>
          <w:lang w:eastAsia="en-AU"/>
        </w:rPr>
        <w:t>r</w:t>
      </w:r>
      <w:r w:rsidR="00DA7FC5" w:rsidRPr="0099225F">
        <w:rPr>
          <w:b/>
          <w:bCs/>
          <w:sz w:val="20"/>
          <w:lang w:eastAsia="en-AU"/>
        </w:rPr>
        <w:t xml:space="preserve">eport </w:t>
      </w:r>
      <w:r w:rsidR="00DE3F82" w:rsidRPr="0099225F">
        <w:rPr>
          <w:sz w:val="20"/>
          <w:lang w:eastAsia="en-AU"/>
        </w:rPr>
        <w:t>sets out</w:t>
      </w:r>
      <w:r w:rsidR="00DA7FC5" w:rsidRPr="0099225F">
        <w:rPr>
          <w:sz w:val="20"/>
          <w:lang w:eastAsia="en-AU"/>
        </w:rPr>
        <w:t xml:space="preserve"> how </w:t>
      </w:r>
      <w:r w:rsidR="00041F61" w:rsidRPr="0099225F">
        <w:rPr>
          <w:sz w:val="20"/>
          <w:lang w:eastAsia="en-AU"/>
        </w:rPr>
        <w:t>Victoria</w:t>
      </w:r>
      <w:r w:rsidR="00DA7FC5" w:rsidRPr="0099225F">
        <w:rPr>
          <w:sz w:val="20"/>
          <w:lang w:eastAsia="en-AU"/>
        </w:rPr>
        <w:t xml:space="preserve"> is </w:t>
      </w:r>
      <w:r w:rsidR="00175D1C" w:rsidRPr="0099225F">
        <w:rPr>
          <w:sz w:val="20"/>
          <w:lang w:eastAsia="en-AU"/>
        </w:rPr>
        <w:t>progress</w:t>
      </w:r>
      <w:r w:rsidR="004E5730" w:rsidRPr="0099225F">
        <w:rPr>
          <w:sz w:val="20"/>
          <w:lang w:eastAsia="en-AU"/>
        </w:rPr>
        <w:t>ing</w:t>
      </w:r>
      <w:r w:rsidR="00175D1C" w:rsidRPr="0099225F">
        <w:rPr>
          <w:sz w:val="20"/>
          <w:lang w:eastAsia="en-AU"/>
        </w:rPr>
        <w:t xml:space="preserve"> on each measure</w:t>
      </w:r>
      <w:r w:rsidR="005816A8" w:rsidRPr="0099225F">
        <w:rPr>
          <w:sz w:val="20"/>
          <w:lang w:eastAsia="en-AU"/>
        </w:rPr>
        <w:t>.</w:t>
      </w:r>
      <w:r w:rsidR="00952FC7" w:rsidRPr="0099225F">
        <w:rPr>
          <w:sz w:val="20"/>
          <w:lang w:eastAsia="en-AU"/>
        </w:rPr>
        <w:t xml:space="preserve"> </w:t>
      </w:r>
      <w:r w:rsidR="005816A8" w:rsidRPr="0099225F">
        <w:rPr>
          <w:sz w:val="20"/>
          <w:lang w:eastAsia="en-AU"/>
        </w:rPr>
        <w:t>This includes</w:t>
      </w:r>
      <w:r w:rsidR="00DE3F82" w:rsidRPr="0099225F">
        <w:rPr>
          <w:sz w:val="20"/>
          <w:lang w:eastAsia="en-AU"/>
        </w:rPr>
        <w:t xml:space="preserve"> a:</w:t>
      </w:r>
    </w:p>
    <w:p w14:paraId="6ECCD8CB" w14:textId="3FDF20CE" w:rsidR="00DE3F82" w:rsidRPr="0099225F" w:rsidRDefault="004E5730" w:rsidP="002B7E54">
      <w:pPr>
        <w:pStyle w:val="Bullet2"/>
        <w:rPr>
          <w:sz w:val="20"/>
        </w:rPr>
      </w:pPr>
      <w:r w:rsidRPr="0099225F">
        <w:rPr>
          <w:sz w:val="20"/>
        </w:rPr>
        <w:t>t</w:t>
      </w:r>
      <w:r w:rsidR="00DE3F82" w:rsidRPr="0099225F">
        <w:rPr>
          <w:sz w:val="20"/>
        </w:rPr>
        <w:t xml:space="preserve">arget </w:t>
      </w:r>
      <w:r w:rsidRPr="0099225F">
        <w:rPr>
          <w:sz w:val="20"/>
        </w:rPr>
        <w:t>–</w:t>
      </w:r>
      <w:r w:rsidR="00DE3F82" w:rsidRPr="0099225F">
        <w:rPr>
          <w:sz w:val="20"/>
        </w:rPr>
        <w:t xml:space="preserve"> where we want to be (</w:t>
      </w:r>
      <w:r w:rsidR="00D65E88" w:rsidRPr="0099225F">
        <w:rPr>
          <w:sz w:val="20"/>
        </w:rPr>
        <w:t>from the baseline year</w:t>
      </w:r>
      <w:r w:rsidR="00704A54" w:rsidRPr="0099225F">
        <w:rPr>
          <w:sz w:val="20"/>
        </w:rPr>
        <w:t>,</w:t>
      </w:r>
      <w:r w:rsidR="00D65E88" w:rsidRPr="0099225F">
        <w:rPr>
          <w:sz w:val="20"/>
        </w:rPr>
        <w:t xml:space="preserve"> </w:t>
      </w:r>
      <w:r w:rsidR="00DE3F82" w:rsidRPr="0099225F">
        <w:rPr>
          <w:sz w:val="20"/>
        </w:rPr>
        <w:t>where appropriate)</w:t>
      </w:r>
    </w:p>
    <w:p w14:paraId="43A5D9AF" w14:textId="2FF9070C" w:rsidR="00DE3F82" w:rsidRPr="0099225F" w:rsidRDefault="004E5730" w:rsidP="002B7E54">
      <w:pPr>
        <w:pStyle w:val="Bullet2"/>
        <w:rPr>
          <w:sz w:val="20"/>
        </w:rPr>
      </w:pPr>
      <w:r w:rsidRPr="0099225F">
        <w:rPr>
          <w:sz w:val="20"/>
        </w:rPr>
        <w:t>b</w:t>
      </w:r>
      <w:r w:rsidR="00DE3F82" w:rsidRPr="0099225F">
        <w:rPr>
          <w:sz w:val="20"/>
        </w:rPr>
        <w:t xml:space="preserve">aseline </w:t>
      </w:r>
      <w:r w:rsidRPr="0099225F">
        <w:rPr>
          <w:sz w:val="20"/>
        </w:rPr>
        <w:t>–</w:t>
      </w:r>
      <w:r w:rsidR="00DE3F82" w:rsidRPr="0099225F">
        <w:rPr>
          <w:sz w:val="20"/>
        </w:rPr>
        <w:t xml:space="preserve"> where we </w:t>
      </w:r>
      <w:r w:rsidR="0038431B" w:rsidRPr="0099225F">
        <w:rPr>
          <w:sz w:val="20"/>
        </w:rPr>
        <w:t xml:space="preserve">started from </w:t>
      </w:r>
      <w:r w:rsidR="008869C1" w:rsidRPr="0099225F">
        <w:rPr>
          <w:sz w:val="20"/>
        </w:rPr>
        <w:t>(</w:t>
      </w:r>
      <w:r w:rsidR="001A61BA" w:rsidRPr="0099225F">
        <w:rPr>
          <w:sz w:val="20"/>
        </w:rPr>
        <w:t>benchmark</w:t>
      </w:r>
      <w:r w:rsidR="008869C1" w:rsidRPr="0099225F">
        <w:rPr>
          <w:sz w:val="20"/>
        </w:rPr>
        <w:t>)</w:t>
      </w:r>
    </w:p>
    <w:p w14:paraId="4C9CE4D1" w14:textId="0670C9C4" w:rsidR="00DE3F82" w:rsidRPr="0099225F" w:rsidRDefault="004E5730" w:rsidP="00196812">
      <w:pPr>
        <w:pStyle w:val="Bullet2"/>
        <w:spacing w:before="100" w:beforeAutospacing="1" w:after="120"/>
        <w:rPr>
          <w:sz w:val="20"/>
        </w:rPr>
      </w:pPr>
      <w:r w:rsidRPr="0099225F">
        <w:rPr>
          <w:sz w:val="20"/>
        </w:rPr>
        <w:t>t</w:t>
      </w:r>
      <w:r w:rsidR="00DE3F82" w:rsidRPr="0099225F">
        <w:rPr>
          <w:sz w:val="20"/>
        </w:rPr>
        <w:t>rend (if known)</w:t>
      </w:r>
      <w:r w:rsidRPr="0099225F">
        <w:rPr>
          <w:sz w:val="20"/>
        </w:rPr>
        <w:t>.</w:t>
      </w:r>
    </w:p>
    <w:p w14:paraId="207F6F5A" w14:textId="739FC2D4" w:rsidR="00DA7FC5" w:rsidRPr="0099225F" w:rsidRDefault="00DA7FC5" w:rsidP="00196812">
      <w:pPr>
        <w:pStyle w:val="Bullet1"/>
        <w:spacing w:before="100" w:beforeAutospacing="1" w:after="120"/>
        <w:rPr>
          <w:sz w:val="20"/>
          <w:lang w:eastAsia="en-AU"/>
        </w:rPr>
      </w:pPr>
      <w:r w:rsidRPr="0099225F">
        <w:rPr>
          <w:b/>
          <w:bCs/>
          <w:sz w:val="20"/>
          <w:lang w:eastAsia="en-AU"/>
        </w:rPr>
        <w:t xml:space="preserve">More </w:t>
      </w:r>
      <w:r w:rsidR="008869C1" w:rsidRPr="0099225F">
        <w:rPr>
          <w:b/>
          <w:bCs/>
          <w:sz w:val="20"/>
          <w:lang w:eastAsia="en-AU"/>
        </w:rPr>
        <w:t>a</w:t>
      </w:r>
      <w:r w:rsidRPr="0099225F">
        <w:rPr>
          <w:b/>
          <w:bCs/>
          <w:sz w:val="20"/>
          <w:lang w:eastAsia="en-AU"/>
        </w:rPr>
        <w:t xml:space="preserve">bout the </w:t>
      </w:r>
      <w:r w:rsidR="008869C1" w:rsidRPr="0099225F">
        <w:rPr>
          <w:b/>
          <w:bCs/>
          <w:sz w:val="20"/>
          <w:lang w:eastAsia="en-AU"/>
        </w:rPr>
        <w:t>r</w:t>
      </w:r>
      <w:r w:rsidRPr="0099225F">
        <w:rPr>
          <w:b/>
          <w:bCs/>
          <w:sz w:val="20"/>
          <w:lang w:eastAsia="en-AU"/>
        </w:rPr>
        <w:t>esults</w:t>
      </w:r>
      <w:r w:rsidR="00175D1C" w:rsidRPr="0099225F">
        <w:rPr>
          <w:b/>
          <w:bCs/>
          <w:sz w:val="20"/>
          <w:lang w:eastAsia="en-AU"/>
        </w:rPr>
        <w:t xml:space="preserve"> of </w:t>
      </w:r>
      <w:r w:rsidR="008869C1" w:rsidRPr="0099225F">
        <w:rPr>
          <w:b/>
          <w:bCs/>
          <w:sz w:val="20"/>
          <w:lang w:eastAsia="en-AU"/>
        </w:rPr>
        <w:t>m</w:t>
      </w:r>
      <w:r w:rsidR="00175D1C" w:rsidRPr="0099225F">
        <w:rPr>
          <w:b/>
          <w:bCs/>
          <w:sz w:val="20"/>
          <w:lang w:eastAsia="en-AU"/>
        </w:rPr>
        <w:t>easures</w:t>
      </w:r>
      <w:r w:rsidR="008869C1" w:rsidRPr="0099225F">
        <w:rPr>
          <w:b/>
          <w:bCs/>
          <w:sz w:val="20"/>
          <w:lang w:eastAsia="en-AU"/>
        </w:rPr>
        <w:t xml:space="preserve"> </w:t>
      </w:r>
      <w:r w:rsidR="00B24501" w:rsidRPr="0099225F">
        <w:rPr>
          <w:sz w:val="20"/>
          <w:lang w:eastAsia="en-AU"/>
        </w:rPr>
        <w:t xml:space="preserve">includes more </w:t>
      </w:r>
      <w:r w:rsidRPr="0099225F">
        <w:rPr>
          <w:sz w:val="20"/>
          <w:lang w:eastAsia="en-AU"/>
        </w:rPr>
        <w:t>detailed information about each measure including</w:t>
      </w:r>
      <w:r w:rsidR="00704A54" w:rsidRPr="0099225F">
        <w:rPr>
          <w:sz w:val="20"/>
          <w:lang w:eastAsia="en-AU"/>
        </w:rPr>
        <w:t>,</w:t>
      </w:r>
      <w:r w:rsidRPr="0099225F">
        <w:rPr>
          <w:sz w:val="20"/>
          <w:lang w:eastAsia="en-AU"/>
        </w:rPr>
        <w:t xml:space="preserve"> where appropriate:</w:t>
      </w:r>
    </w:p>
    <w:p w14:paraId="53DF8BF0" w14:textId="3BC79B5B" w:rsidR="00DA7FC5" w:rsidRPr="0099225F" w:rsidRDefault="004E5730" w:rsidP="002B7E54">
      <w:pPr>
        <w:pStyle w:val="Bullet2"/>
        <w:rPr>
          <w:sz w:val="20"/>
        </w:rPr>
      </w:pPr>
      <w:r w:rsidRPr="0099225F">
        <w:rPr>
          <w:sz w:val="20"/>
          <w:lang w:eastAsia="en-AU"/>
        </w:rPr>
        <w:t>a</w:t>
      </w:r>
      <w:r w:rsidR="00DA7FC5" w:rsidRPr="0099225F">
        <w:rPr>
          <w:sz w:val="20"/>
          <w:lang w:eastAsia="en-AU"/>
        </w:rPr>
        <w:t xml:space="preserve"> graph </w:t>
      </w:r>
      <w:r w:rsidR="002A2F3E" w:rsidRPr="0099225F">
        <w:rPr>
          <w:sz w:val="20"/>
        </w:rPr>
        <w:t xml:space="preserve">or plot </w:t>
      </w:r>
      <w:r w:rsidR="00DA7FC5" w:rsidRPr="0099225F">
        <w:rPr>
          <w:sz w:val="20"/>
        </w:rPr>
        <w:t xml:space="preserve">showing up to </w:t>
      </w:r>
      <w:r w:rsidR="008459A8" w:rsidRPr="0099225F">
        <w:rPr>
          <w:sz w:val="20"/>
        </w:rPr>
        <w:t xml:space="preserve">12 </w:t>
      </w:r>
      <w:r w:rsidR="00DA7FC5" w:rsidRPr="0099225F">
        <w:rPr>
          <w:sz w:val="20"/>
        </w:rPr>
        <w:t>years of data</w:t>
      </w:r>
      <w:r w:rsidR="001D1605" w:rsidRPr="0099225F">
        <w:rPr>
          <w:sz w:val="20"/>
        </w:rPr>
        <w:t xml:space="preserve"> (from the baseline year, if available)</w:t>
      </w:r>
    </w:p>
    <w:p w14:paraId="42085186" w14:textId="5FB0D64D" w:rsidR="00DA7FC5" w:rsidRPr="0099225F" w:rsidRDefault="004E5730" w:rsidP="002B7E54">
      <w:pPr>
        <w:pStyle w:val="Bullet2"/>
        <w:rPr>
          <w:sz w:val="20"/>
          <w:lang w:eastAsia="en-AU"/>
        </w:rPr>
      </w:pPr>
      <w:r w:rsidRPr="0099225F">
        <w:rPr>
          <w:sz w:val="20"/>
        </w:rPr>
        <w:t>i</w:t>
      </w:r>
      <w:r w:rsidR="00DA7FC5" w:rsidRPr="0099225F">
        <w:rPr>
          <w:sz w:val="20"/>
        </w:rPr>
        <w:t>nformati</w:t>
      </w:r>
      <w:r w:rsidR="00DA7FC5" w:rsidRPr="0099225F">
        <w:rPr>
          <w:sz w:val="20"/>
          <w:lang w:eastAsia="en-AU"/>
        </w:rPr>
        <w:t>on about the trend</w:t>
      </w:r>
    </w:p>
    <w:p w14:paraId="4729D32F" w14:textId="43B5B772" w:rsidR="00DA7FC5" w:rsidRPr="0099225F" w:rsidRDefault="004E5730" w:rsidP="00196812">
      <w:pPr>
        <w:pStyle w:val="Bullet2"/>
        <w:spacing w:before="100" w:beforeAutospacing="1" w:after="120"/>
        <w:rPr>
          <w:sz w:val="20"/>
          <w:lang w:eastAsia="en-AU"/>
        </w:rPr>
      </w:pPr>
      <w:r w:rsidRPr="0099225F">
        <w:rPr>
          <w:sz w:val="20"/>
          <w:lang w:eastAsia="en-AU"/>
        </w:rPr>
        <w:t>c</w:t>
      </w:r>
      <w:r w:rsidR="00DA7FC5" w:rsidRPr="0099225F">
        <w:rPr>
          <w:sz w:val="20"/>
          <w:lang w:eastAsia="en-AU"/>
        </w:rPr>
        <w:t>ommentary on the result and what may be affecting it.</w:t>
      </w:r>
    </w:p>
    <w:p w14:paraId="124148CC" w14:textId="12BF500C" w:rsidR="005F3918" w:rsidRPr="0099225F" w:rsidRDefault="00DA7FC5" w:rsidP="00E87AAA">
      <w:pPr>
        <w:pStyle w:val="Body"/>
        <w:rPr>
          <w:sz w:val="20"/>
        </w:rPr>
      </w:pPr>
      <w:r w:rsidRPr="0099225F">
        <w:rPr>
          <w:sz w:val="20"/>
        </w:rPr>
        <w:t xml:space="preserve">The </w:t>
      </w:r>
      <w:r w:rsidRPr="0099225F">
        <w:rPr>
          <w:i/>
          <w:sz w:val="20"/>
        </w:rPr>
        <w:t xml:space="preserve">Victorian cancer plan monitoring and evaluation framework </w:t>
      </w:r>
      <w:r w:rsidR="008869C1" w:rsidRPr="0099225F">
        <w:rPr>
          <w:i/>
          <w:sz w:val="20"/>
        </w:rPr>
        <w:t>–</w:t>
      </w:r>
      <w:r w:rsidRPr="0099225F">
        <w:rPr>
          <w:i/>
          <w:sz w:val="20"/>
        </w:rPr>
        <w:t xml:space="preserve"> data dictionary</w:t>
      </w:r>
      <w:r w:rsidRPr="0099225F">
        <w:rPr>
          <w:sz w:val="20"/>
        </w:rPr>
        <w:t xml:space="preserve"> provides more information </w:t>
      </w:r>
      <w:r w:rsidR="00175D1C" w:rsidRPr="0099225F">
        <w:rPr>
          <w:sz w:val="20"/>
        </w:rPr>
        <w:t>on each</w:t>
      </w:r>
      <w:r w:rsidRPr="0099225F">
        <w:rPr>
          <w:sz w:val="20"/>
        </w:rPr>
        <w:t xml:space="preserve"> measure including detailed </w:t>
      </w:r>
      <w:r w:rsidR="005F3918" w:rsidRPr="0099225F">
        <w:rPr>
          <w:sz w:val="20"/>
        </w:rPr>
        <w:t>technical specification</w:t>
      </w:r>
      <w:r w:rsidR="00BC4D78" w:rsidRPr="0099225F">
        <w:rPr>
          <w:sz w:val="20"/>
        </w:rPr>
        <w:t>s</w:t>
      </w:r>
      <w:r w:rsidR="00704A54" w:rsidRPr="0099225F">
        <w:rPr>
          <w:sz w:val="20"/>
        </w:rPr>
        <w:t>.</w:t>
      </w:r>
      <w:r w:rsidR="005F3918" w:rsidRPr="0099225F">
        <w:rPr>
          <w:sz w:val="20"/>
        </w:rPr>
        <w:t xml:space="preserve"> </w:t>
      </w:r>
      <w:r w:rsidR="00704A54" w:rsidRPr="0099225F">
        <w:rPr>
          <w:sz w:val="20"/>
        </w:rPr>
        <w:t>These</w:t>
      </w:r>
      <w:r w:rsidR="005F3918" w:rsidRPr="0099225F">
        <w:rPr>
          <w:sz w:val="20"/>
        </w:rPr>
        <w:t xml:space="preserve"> include:</w:t>
      </w:r>
    </w:p>
    <w:p w14:paraId="6D92699D" w14:textId="77777777" w:rsidR="005F3918" w:rsidRPr="0099225F" w:rsidRDefault="005F3918" w:rsidP="002B7E54">
      <w:pPr>
        <w:pStyle w:val="Bullet1"/>
        <w:rPr>
          <w:sz w:val="20"/>
        </w:rPr>
      </w:pPr>
      <w:r w:rsidRPr="0099225F">
        <w:rPr>
          <w:sz w:val="20"/>
          <w:lang w:eastAsia="en-AU"/>
        </w:rPr>
        <w:t xml:space="preserve">the </w:t>
      </w:r>
      <w:r w:rsidRPr="0099225F">
        <w:rPr>
          <w:sz w:val="20"/>
        </w:rPr>
        <w:t>rationale for inclusion</w:t>
      </w:r>
    </w:p>
    <w:p w14:paraId="24EA8C05" w14:textId="530237E0" w:rsidR="00DF1903" w:rsidRPr="0099225F" w:rsidRDefault="008459A8" w:rsidP="002B7E54">
      <w:pPr>
        <w:pStyle w:val="Bullet1"/>
        <w:rPr>
          <w:sz w:val="20"/>
        </w:rPr>
      </w:pPr>
      <w:r w:rsidRPr="0099225F">
        <w:rPr>
          <w:sz w:val="20"/>
        </w:rPr>
        <w:t xml:space="preserve">the </w:t>
      </w:r>
      <w:r w:rsidR="00DF1903" w:rsidRPr="0099225F">
        <w:rPr>
          <w:sz w:val="20"/>
        </w:rPr>
        <w:t xml:space="preserve">definition of the measure (including numerator, </w:t>
      </w:r>
      <w:r w:rsidR="00E533A3" w:rsidRPr="0099225F">
        <w:rPr>
          <w:sz w:val="20"/>
        </w:rPr>
        <w:t>denominator</w:t>
      </w:r>
      <w:r w:rsidR="00DF1903" w:rsidRPr="0099225F">
        <w:rPr>
          <w:sz w:val="20"/>
        </w:rPr>
        <w:t xml:space="preserve"> and mode of reporting)</w:t>
      </w:r>
    </w:p>
    <w:p w14:paraId="550A6984" w14:textId="05B52DBA" w:rsidR="00DF1903" w:rsidRPr="0099225F" w:rsidRDefault="00DF1903" w:rsidP="002B7E54">
      <w:pPr>
        <w:pStyle w:val="Bullet1"/>
        <w:rPr>
          <w:sz w:val="20"/>
        </w:rPr>
      </w:pPr>
      <w:r w:rsidRPr="0099225F">
        <w:rPr>
          <w:sz w:val="20"/>
        </w:rPr>
        <w:t xml:space="preserve">data source(s) and availability (including </w:t>
      </w:r>
      <w:r w:rsidR="00704A54" w:rsidRPr="0099225F">
        <w:rPr>
          <w:sz w:val="20"/>
        </w:rPr>
        <w:t xml:space="preserve">the </w:t>
      </w:r>
      <w:r w:rsidRPr="0099225F">
        <w:rPr>
          <w:sz w:val="20"/>
        </w:rPr>
        <w:t>baseline year)</w:t>
      </w:r>
    </w:p>
    <w:p w14:paraId="0B7ED4A8" w14:textId="77777777" w:rsidR="00DF1903" w:rsidRPr="0099225F" w:rsidRDefault="00DF1903" w:rsidP="002B7E54">
      <w:pPr>
        <w:pStyle w:val="Bullet1"/>
        <w:rPr>
          <w:rFonts w:eastAsia="Calibri"/>
          <w:sz w:val="20"/>
        </w:rPr>
      </w:pPr>
      <w:r w:rsidRPr="0099225F">
        <w:rPr>
          <w:sz w:val="20"/>
        </w:rPr>
        <w:t>what</w:t>
      </w:r>
      <w:r w:rsidRPr="0099225F">
        <w:rPr>
          <w:rFonts w:eastAsia="Calibri"/>
          <w:sz w:val="20"/>
        </w:rPr>
        <w:t xml:space="preserve"> data breakdowns are available from each data source</w:t>
      </w:r>
    </w:p>
    <w:p w14:paraId="6E7A0708" w14:textId="598997F9" w:rsidR="00DA7FC5" w:rsidRPr="0099225F" w:rsidRDefault="00DF1903" w:rsidP="00FC4B1F">
      <w:pPr>
        <w:pStyle w:val="Bullet1"/>
        <w:rPr>
          <w:sz w:val="20"/>
        </w:rPr>
      </w:pPr>
      <w:r w:rsidRPr="0099225F">
        <w:rPr>
          <w:sz w:val="20"/>
        </w:rPr>
        <w:t>further information including planned changes in guidelines, programs and reporting</w:t>
      </w:r>
      <w:r w:rsidR="00704A54" w:rsidRPr="0099225F">
        <w:rPr>
          <w:sz w:val="20"/>
        </w:rPr>
        <w:t>;</w:t>
      </w:r>
      <w:r w:rsidRPr="0099225F">
        <w:rPr>
          <w:sz w:val="20"/>
        </w:rPr>
        <w:t xml:space="preserve"> comparability with other state, national or international data; and links with measures </w:t>
      </w:r>
      <w:r w:rsidR="00284F8D" w:rsidRPr="0099225F">
        <w:rPr>
          <w:sz w:val="20"/>
        </w:rPr>
        <w:t xml:space="preserve">articulated </w:t>
      </w:r>
      <w:r w:rsidRPr="0099225F">
        <w:rPr>
          <w:sz w:val="20"/>
        </w:rPr>
        <w:t xml:space="preserve">in the </w:t>
      </w:r>
      <w:r w:rsidRPr="0099225F">
        <w:rPr>
          <w:i/>
          <w:iCs/>
          <w:sz w:val="20"/>
        </w:rPr>
        <w:t>Victorian public health and wellbeing outcomes framework</w:t>
      </w:r>
      <w:r w:rsidRPr="0099225F">
        <w:rPr>
          <w:sz w:val="20"/>
        </w:rPr>
        <w:t>.</w:t>
      </w:r>
    </w:p>
    <w:p w14:paraId="2BBB08B8" w14:textId="781424DA" w:rsidR="005865E9" w:rsidRPr="0099225F" w:rsidRDefault="005F3918" w:rsidP="00DA73AD">
      <w:pPr>
        <w:pStyle w:val="Bodyafterbullets"/>
        <w:rPr>
          <w:sz w:val="20"/>
          <w:shd w:val="clear" w:color="auto" w:fill="FFFFFF"/>
        </w:rPr>
      </w:pPr>
      <w:r w:rsidRPr="0099225F">
        <w:rPr>
          <w:sz w:val="20"/>
        </w:rPr>
        <w:t xml:space="preserve">This </w:t>
      </w:r>
      <w:r w:rsidR="007D7616" w:rsidRPr="0099225F">
        <w:rPr>
          <w:sz w:val="20"/>
        </w:rPr>
        <w:t xml:space="preserve">progress </w:t>
      </w:r>
      <w:r w:rsidRPr="0099225F">
        <w:rPr>
          <w:sz w:val="20"/>
        </w:rPr>
        <w:t xml:space="preserve">report covers the </w:t>
      </w:r>
      <w:r w:rsidR="007D7616" w:rsidRPr="0099225F">
        <w:rPr>
          <w:sz w:val="20"/>
        </w:rPr>
        <w:t>8</w:t>
      </w:r>
      <w:r w:rsidR="00E12404">
        <w:rPr>
          <w:sz w:val="20"/>
        </w:rPr>
        <w:t>3</w:t>
      </w:r>
      <w:r w:rsidR="00DA7FC5" w:rsidRPr="0099225F">
        <w:rPr>
          <w:sz w:val="20"/>
        </w:rPr>
        <w:t xml:space="preserve"> </w:t>
      </w:r>
      <w:r w:rsidR="00F67396" w:rsidRPr="0099225F">
        <w:rPr>
          <w:sz w:val="20"/>
        </w:rPr>
        <w:t xml:space="preserve">(out of 97) </w:t>
      </w:r>
      <w:r w:rsidR="00DA7FC5" w:rsidRPr="0099225F">
        <w:rPr>
          <w:sz w:val="20"/>
        </w:rPr>
        <w:t xml:space="preserve">measures </w:t>
      </w:r>
      <w:r w:rsidR="003074F5" w:rsidRPr="0099225F">
        <w:rPr>
          <w:sz w:val="20"/>
        </w:rPr>
        <w:t xml:space="preserve">articulated </w:t>
      </w:r>
      <w:r w:rsidR="00DA7FC5" w:rsidRPr="0099225F">
        <w:rPr>
          <w:sz w:val="20"/>
        </w:rPr>
        <w:t xml:space="preserve">in the </w:t>
      </w:r>
      <w:r w:rsidR="00824646" w:rsidRPr="0099225F">
        <w:rPr>
          <w:sz w:val="20"/>
        </w:rPr>
        <w:t>d</w:t>
      </w:r>
      <w:r w:rsidR="00DA7FC5" w:rsidRPr="0099225F">
        <w:rPr>
          <w:sz w:val="20"/>
        </w:rPr>
        <w:t>epartment’s</w:t>
      </w:r>
      <w:r w:rsidRPr="0099225F">
        <w:rPr>
          <w:sz w:val="20"/>
        </w:rPr>
        <w:t xml:space="preserve"> </w:t>
      </w:r>
      <w:r w:rsidRPr="0099225F">
        <w:rPr>
          <w:i/>
          <w:sz w:val="20"/>
        </w:rPr>
        <w:t xml:space="preserve">Victorian cancer </w:t>
      </w:r>
      <w:r w:rsidR="00BB644C" w:rsidRPr="0099225F">
        <w:rPr>
          <w:i/>
          <w:sz w:val="20"/>
        </w:rPr>
        <w:t>p</w:t>
      </w:r>
      <w:r w:rsidRPr="0099225F">
        <w:rPr>
          <w:i/>
          <w:sz w:val="20"/>
        </w:rPr>
        <w:t xml:space="preserve">lan </w:t>
      </w:r>
      <w:r w:rsidR="00BB644C" w:rsidRPr="0099225F">
        <w:rPr>
          <w:i/>
          <w:sz w:val="20"/>
        </w:rPr>
        <w:t>m</w:t>
      </w:r>
      <w:r w:rsidRPr="0099225F">
        <w:rPr>
          <w:i/>
          <w:sz w:val="20"/>
        </w:rPr>
        <w:t xml:space="preserve">onitoring and </w:t>
      </w:r>
      <w:r w:rsidR="00BB644C" w:rsidRPr="0099225F">
        <w:rPr>
          <w:i/>
          <w:sz w:val="20"/>
        </w:rPr>
        <w:t>e</w:t>
      </w:r>
      <w:r w:rsidRPr="0099225F">
        <w:rPr>
          <w:i/>
          <w:sz w:val="20"/>
        </w:rPr>
        <w:t xml:space="preserve">valuation </w:t>
      </w:r>
      <w:r w:rsidR="00BB644C" w:rsidRPr="0099225F">
        <w:rPr>
          <w:i/>
          <w:sz w:val="20"/>
        </w:rPr>
        <w:t>f</w:t>
      </w:r>
      <w:r w:rsidRPr="0099225F">
        <w:rPr>
          <w:i/>
          <w:sz w:val="20"/>
        </w:rPr>
        <w:t>ramework</w:t>
      </w:r>
      <w:r w:rsidR="00DA7FC5" w:rsidRPr="0099225F">
        <w:rPr>
          <w:sz w:val="20"/>
        </w:rPr>
        <w:t xml:space="preserve"> </w:t>
      </w:r>
      <w:r w:rsidRPr="0099225F">
        <w:rPr>
          <w:sz w:val="20"/>
        </w:rPr>
        <w:t xml:space="preserve">that are currently </w:t>
      </w:r>
      <w:r w:rsidR="00DA7FC5" w:rsidRPr="0099225F">
        <w:rPr>
          <w:sz w:val="20"/>
        </w:rPr>
        <w:t xml:space="preserve">reportable. </w:t>
      </w:r>
      <w:bookmarkStart w:id="28" w:name="_Hlk129684839"/>
      <w:r w:rsidR="0065180B" w:rsidRPr="0099225F">
        <w:rPr>
          <w:sz w:val="20"/>
        </w:rPr>
        <w:t>Where appropriate</w:t>
      </w:r>
      <w:r w:rsidR="00704A54" w:rsidRPr="0099225F">
        <w:rPr>
          <w:sz w:val="20"/>
        </w:rPr>
        <w:t>,</w:t>
      </w:r>
      <w:r w:rsidR="0065180B" w:rsidRPr="0099225F">
        <w:rPr>
          <w:sz w:val="20"/>
        </w:rPr>
        <w:t xml:space="preserve"> the breakdown for reporting has been </w:t>
      </w:r>
      <w:r w:rsidR="005865E9" w:rsidRPr="0099225F">
        <w:rPr>
          <w:sz w:val="20"/>
          <w:shd w:val="clear" w:color="auto" w:fill="FFFFFF"/>
        </w:rPr>
        <w:t>age</w:t>
      </w:r>
      <w:r w:rsidR="0065180B" w:rsidRPr="0099225F">
        <w:rPr>
          <w:sz w:val="20"/>
          <w:shd w:val="clear" w:color="auto" w:fill="FFFFFF"/>
        </w:rPr>
        <w:t xml:space="preserve">, </w:t>
      </w:r>
      <w:r w:rsidR="005865E9" w:rsidRPr="0099225F">
        <w:rPr>
          <w:sz w:val="20"/>
          <w:shd w:val="clear" w:color="auto" w:fill="FFFFFF"/>
        </w:rPr>
        <w:t>sex</w:t>
      </w:r>
      <w:r w:rsidR="0065180B" w:rsidRPr="0099225F">
        <w:rPr>
          <w:sz w:val="20"/>
          <w:shd w:val="clear" w:color="auto" w:fill="FFFFFF"/>
        </w:rPr>
        <w:t xml:space="preserve">, </w:t>
      </w:r>
      <w:r w:rsidR="005865E9" w:rsidRPr="0099225F">
        <w:rPr>
          <w:sz w:val="20"/>
          <w:shd w:val="clear" w:color="auto" w:fill="FFFFFF"/>
        </w:rPr>
        <w:t>Aboriginal Victorians</w:t>
      </w:r>
      <w:r w:rsidR="0065180B" w:rsidRPr="0099225F">
        <w:rPr>
          <w:sz w:val="20"/>
          <w:shd w:val="clear" w:color="auto" w:fill="FFFFFF"/>
        </w:rPr>
        <w:t xml:space="preserve">, </w:t>
      </w:r>
      <w:r w:rsidR="005865E9" w:rsidRPr="0099225F">
        <w:rPr>
          <w:sz w:val="20"/>
          <w:shd w:val="clear" w:color="auto" w:fill="FFFFFF"/>
        </w:rPr>
        <w:t>cultural divers</w:t>
      </w:r>
      <w:r w:rsidR="00DC7655" w:rsidRPr="0099225F">
        <w:rPr>
          <w:sz w:val="20"/>
          <w:shd w:val="clear" w:color="auto" w:fill="FFFFFF"/>
        </w:rPr>
        <w:t>ity</w:t>
      </w:r>
      <w:r w:rsidR="0065180B" w:rsidRPr="0099225F">
        <w:rPr>
          <w:sz w:val="20"/>
          <w:shd w:val="clear" w:color="auto" w:fill="FFFFFF"/>
        </w:rPr>
        <w:t xml:space="preserve">, </w:t>
      </w:r>
      <w:r w:rsidR="005865E9" w:rsidRPr="0099225F">
        <w:rPr>
          <w:sz w:val="20"/>
          <w:shd w:val="clear" w:color="auto" w:fill="FFFFFF"/>
        </w:rPr>
        <w:t>socioeconomic status</w:t>
      </w:r>
      <w:r w:rsidR="00DE7FFE" w:rsidRPr="0099225F">
        <w:rPr>
          <w:sz w:val="20"/>
          <w:shd w:val="clear" w:color="auto" w:fill="FFFFFF"/>
        </w:rPr>
        <w:t xml:space="preserve"> (SES)</w:t>
      </w:r>
      <w:r w:rsidR="0065180B" w:rsidRPr="0099225F">
        <w:rPr>
          <w:sz w:val="20"/>
          <w:shd w:val="clear" w:color="auto" w:fill="FFFFFF"/>
        </w:rPr>
        <w:t xml:space="preserve">, </w:t>
      </w:r>
      <w:r w:rsidR="005865E9" w:rsidRPr="0099225F">
        <w:rPr>
          <w:sz w:val="20"/>
          <w:shd w:val="clear" w:color="auto" w:fill="FFFFFF"/>
        </w:rPr>
        <w:t>I</w:t>
      </w:r>
      <w:r w:rsidR="00C6249F" w:rsidRPr="0099225F">
        <w:rPr>
          <w:sz w:val="20"/>
          <w:shd w:val="clear" w:color="auto" w:fill="FFFFFF"/>
        </w:rPr>
        <w:t>ntegrated Cancer Service</w:t>
      </w:r>
      <w:r w:rsidR="0065180B" w:rsidRPr="0099225F">
        <w:rPr>
          <w:sz w:val="20"/>
          <w:shd w:val="clear" w:color="auto" w:fill="FFFFFF"/>
        </w:rPr>
        <w:t xml:space="preserve"> </w:t>
      </w:r>
      <w:r w:rsidR="00DE7FFE" w:rsidRPr="0099225F">
        <w:rPr>
          <w:sz w:val="20"/>
          <w:shd w:val="clear" w:color="auto" w:fill="FFFFFF"/>
        </w:rPr>
        <w:t xml:space="preserve">(ICS) </w:t>
      </w:r>
      <w:r w:rsidR="0065180B" w:rsidRPr="0099225F">
        <w:rPr>
          <w:sz w:val="20"/>
          <w:shd w:val="clear" w:color="auto" w:fill="FFFFFF"/>
        </w:rPr>
        <w:t xml:space="preserve">and </w:t>
      </w:r>
      <w:r w:rsidR="005865E9" w:rsidRPr="0099225F">
        <w:rPr>
          <w:sz w:val="20"/>
          <w:shd w:val="clear" w:color="auto" w:fill="FFFFFF"/>
        </w:rPr>
        <w:t>local government areas</w:t>
      </w:r>
      <w:r w:rsidR="005D072A" w:rsidRPr="0099225F">
        <w:rPr>
          <w:sz w:val="20"/>
          <w:shd w:val="clear" w:color="auto" w:fill="FFFFFF"/>
        </w:rPr>
        <w:t xml:space="preserve"> (LGAs)</w:t>
      </w:r>
      <w:r w:rsidR="005865E9" w:rsidRPr="0099225F">
        <w:rPr>
          <w:sz w:val="20"/>
          <w:shd w:val="clear" w:color="auto" w:fill="FFFFFF"/>
        </w:rPr>
        <w:t>.</w:t>
      </w:r>
    </w:p>
    <w:bookmarkEnd w:id="28"/>
    <w:p w14:paraId="6C4F7AAB" w14:textId="172665C4" w:rsidR="007D7616" w:rsidRPr="0099225F" w:rsidRDefault="007D7616" w:rsidP="00E87AAA">
      <w:pPr>
        <w:pStyle w:val="Body"/>
        <w:rPr>
          <w:sz w:val="20"/>
          <w:shd w:val="clear" w:color="auto" w:fill="FFFFFF"/>
        </w:rPr>
      </w:pPr>
      <w:r w:rsidRPr="0099225F">
        <w:rPr>
          <w:sz w:val="20"/>
          <w:shd w:val="clear" w:color="auto" w:fill="FFFFFF"/>
        </w:rPr>
        <w:t xml:space="preserve">A separate section sets out progress towards several </w:t>
      </w:r>
      <w:r w:rsidR="003D7F35" w:rsidRPr="0099225F">
        <w:rPr>
          <w:sz w:val="20"/>
          <w:shd w:val="clear" w:color="auto" w:fill="FFFFFF"/>
        </w:rPr>
        <w:t>short-, medium- and long-term</w:t>
      </w:r>
      <w:r w:rsidRPr="0099225F">
        <w:rPr>
          <w:sz w:val="20"/>
          <w:shd w:val="clear" w:color="auto" w:fill="FFFFFF"/>
        </w:rPr>
        <w:t xml:space="preserve"> goals from the 2016</w:t>
      </w:r>
      <w:r w:rsidR="00587C1D" w:rsidRPr="0099225F">
        <w:rPr>
          <w:sz w:val="20"/>
          <w:shd w:val="clear" w:color="auto" w:fill="FFFFFF"/>
        </w:rPr>
        <w:t>–</w:t>
      </w:r>
      <w:r w:rsidRPr="0099225F">
        <w:rPr>
          <w:sz w:val="20"/>
          <w:shd w:val="clear" w:color="auto" w:fill="FFFFFF"/>
        </w:rPr>
        <w:t>2020 cancer plan.</w:t>
      </w:r>
    </w:p>
    <w:p w14:paraId="1968EB97" w14:textId="1C699990" w:rsidR="00932808" w:rsidRPr="0099225F" w:rsidRDefault="00DA7FC5" w:rsidP="00606436">
      <w:pPr>
        <w:pStyle w:val="Body"/>
        <w:rPr>
          <w:sz w:val="20"/>
        </w:rPr>
      </w:pPr>
      <w:r w:rsidRPr="0099225F">
        <w:rPr>
          <w:sz w:val="20"/>
        </w:rPr>
        <w:t xml:space="preserve">Appendix 1 provides </w:t>
      </w:r>
      <w:r w:rsidR="00E4313B" w:rsidRPr="0099225F">
        <w:rPr>
          <w:sz w:val="20"/>
        </w:rPr>
        <w:t xml:space="preserve">an indicative workplan </w:t>
      </w:r>
      <w:r w:rsidR="00BF1B3B" w:rsidRPr="0099225F">
        <w:rPr>
          <w:sz w:val="20"/>
        </w:rPr>
        <w:t>for the re</w:t>
      </w:r>
      <w:r w:rsidR="001C1E0C" w:rsidRPr="0099225F">
        <w:rPr>
          <w:sz w:val="20"/>
        </w:rPr>
        <w:t xml:space="preserve">maining </w:t>
      </w:r>
      <w:r w:rsidR="00CF2B69" w:rsidRPr="0099225F">
        <w:rPr>
          <w:sz w:val="20"/>
        </w:rPr>
        <w:t>1</w:t>
      </w:r>
      <w:r w:rsidR="00E12404">
        <w:rPr>
          <w:sz w:val="20"/>
        </w:rPr>
        <w:t>4</w:t>
      </w:r>
      <w:r w:rsidR="00BF1B3B" w:rsidRPr="0099225F">
        <w:rPr>
          <w:sz w:val="20"/>
        </w:rPr>
        <w:t xml:space="preserve"> </w:t>
      </w:r>
      <w:r w:rsidRPr="0099225F">
        <w:rPr>
          <w:sz w:val="20"/>
        </w:rPr>
        <w:t>measures that require further work to develop</w:t>
      </w:r>
      <w:r w:rsidR="006858F1" w:rsidRPr="0099225F">
        <w:rPr>
          <w:sz w:val="20"/>
        </w:rPr>
        <w:t xml:space="preserve"> </w:t>
      </w:r>
      <w:r w:rsidRPr="0099225F">
        <w:rPr>
          <w:sz w:val="20"/>
        </w:rPr>
        <w:t>and report.</w:t>
      </w:r>
      <w:r w:rsidR="00C34AF5" w:rsidRPr="0099225F">
        <w:rPr>
          <w:sz w:val="20"/>
        </w:rPr>
        <w:t xml:space="preserve"> </w:t>
      </w:r>
      <w:r w:rsidR="000836BA" w:rsidRPr="0099225F">
        <w:rPr>
          <w:sz w:val="20"/>
        </w:rPr>
        <w:t>Please note that in prepar</w:t>
      </w:r>
      <w:r w:rsidR="00704A54" w:rsidRPr="0099225F">
        <w:rPr>
          <w:sz w:val="20"/>
        </w:rPr>
        <w:t>ing</w:t>
      </w:r>
      <w:r w:rsidR="000836BA" w:rsidRPr="0099225F">
        <w:rPr>
          <w:sz w:val="20"/>
        </w:rPr>
        <w:t xml:space="preserve"> this </w:t>
      </w:r>
      <w:r w:rsidR="007D7616" w:rsidRPr="0099225F">
        <w:rPr>
          <w:sz w:val="20"/>
        </w:rPr>
        <w:t>progress</w:t>
      </w:r>
      <w:r w:rsidR="000836BA" w:rsidRPr="0099225F">
        <w:rPr>
          <w:sz w:val="20"/>
        </w:rPr>
        <w:t xml:space="preserve"> report, the </w:t>
      </w:r>
      <w:r w:rsidR="000836BA" w:rsidRPr="0099225F">
        <w:rPr>
          <w:i/>
          <w:iCs/>
          <w:sz w:val="20"/>
        </w:rPr>
        <w:t xml:space="preserve">Victorian cancer plan monitoring and evaluation framework </w:t>
      </w:r>
      <w:r w:rsidR="004E5730" w:rsidRPr="0099225F">
        <w:rPr>
          <w:i/>
          <w:iCs/>
          <w:sz w:val="20"/>
        </w:rPr>
        <w:t>–</w:t>
      </w:r>
      <w:r w:rsidR="000836BA" w:rsidRPr="0099225F">
        <w:rPr>
          <w:i/>
          <w:iCs/>
          <w:sz w:val="20"/>
        </w:rPr>
        <w:t xml:space="preserve"> data dictionary</w:t>
      </w:r>
      <w:r w:rsidR="000836BA" w:rsidRPr="0099225F">
        <w:rPr>
          <w:sz w:val="20"/>
        </w:rPr>
        <w:t xml:space="preserve"> (2018) was</w:t>
      </w:r>
      <w:r w:rsidR="007D7616" w:rsidRPr="0099225F">
        <w:rPr>
          <w:sz w:val="20"/>
        </w:rPr>
        <w:t xml:space="preserve"> </w:t>
      </w:r>
      <w:r w:rsidR="000836BA" w:rsidRPr="0099225F">
        <w:rPr>
          <w:sz w:val="20"/>
        </w:rPr>
        <w:t>revised to address minor typographical errors and some emerging</w:t>
      </w:r>
      <w:r w:rsidR="003C552A" w:rsidRPr="0099225F">
        <w:rPr>
          <w:sz w:val="20"/>
        </w:rPr>
        <w:t xml:space="preserve"> </w:t>
      </w:r>
      <w:r w:rsidR="000836BA" w:rsidRPr="0099225F">
        <w:rPr>
          <w:sz w:val="20"/>
        </w:rPr>
        <w:t xml:space="preserve">inconsistencies between some of the measures themselves and the definition of the measure. Where appropriate, the latter was undertaken in consultation with relevant stakeholders. </w:t>
      </w:r>
      <w:r w:rsidR="0051621D" w:rsidRPr="0099225F">
        <w:rPr>
          <w:sz w:val="20"/>
        </w:rPr>
        <w:t>T</w:t>
      </w:r>
      <w:r w:rsidR="000836BA" w:rsidRPr="0099225F">
        <w:rPr>
          <w:sz w:val="20"/>
        </w:rPr>
        <w:t xml:space="preserve">he </w:t>
      </w:r>
      <w:hyperlink r:id="rId24" w:history="1">
        <w:r w:rsidR="00821AA2" w:rsidRPr="00F155C5">
          <w:rPr>
            <w:rStyle w:val="Hyperlink"/>
            <w:rFonts w:cs="Arial"/>
            <w:sz w:val="20"/>
          </w:rPr>
          <w:t>revised data dictionary 2023</w:t>
        </w:r>
      </w:hyperlink>
      <w:r w:rsidR="00821AA2" w:rsidRPr="0099225F">
        <w:rPr>
          <w:sz w:val="20"/>
        </w:rPr>
        <w:t xml:space="preserve"> </w:t>
      </w:r>
      <w:r w:rsidR="00D32E8E">
        <w:rPr>
          <w:sz w:val="20"/>
        </w:rPr>
        <w:t>&lt;</w:t>
      </w:r>
      <w:r w:rsidR="00D32E8E" w:rsidRPr="00D32E8E">
        <w:rPr>
          <w:sz w:val="20"/>
        </w:rPr>
        <w:t>https://www.health.vic.gov.au/health-strategies/victorian-cancer-plan</w:t>
      </w:r>
      <w:r w:rsidR="00D32E8E">
        <w:rPr>
          <w:sz w:val="20"/>
        </w:rPr>
        <w:t>&gt;</w:t>
      </w:r>
      <w:r w:rsidR="00AC75DC" w:rsidRPr="0099225F">
        <w:rPr>
          <w:sz w:val="20"/>
        </w:rPr>
        <w:t xml:space="preserve"> is available online.</w:t>
      </w:r>
    </w:p>
    <w:p w14:paraId="78D209E0" w14:textId="05A11F02" w:rsidR="00450EFB" w:rsidRPr="002D6DC3" w:rsidRDefault="00C2677B" w:rsidP="00606436">
      <w:pPr>
        <w:pStyle w:val="Body"/>
      </w:pPr>
      <w:r w:rsidRPr="0099225F">
        <w:rPr>
          <w:sz w:val="20"/>
        </w:rPr>
        <w:t xml:space="preserve">In circumstances where the dataset </w:t>
      </w:r>
      <w:r w:rsidR="00DA1EDB" w:rsidRPr="0099225F">
        <w:rPr>
          <w:sz w:val="20"/>
        </w:rPr>
        <w:t xml:space="preserve">specific to </w:t>
      </w:r>
      <w:r w:rsidRPr="0099225F">
        <w:rPr>
          <w:sz w:val="20"/>
        </w:rPr>
        <w:t>a measure</w:t>
      </w:r>
      <w:r w:rsidR="00AF5A75" w:rsidRPr="0099225F">
        <w:rPr>
          <w:sz w:val="20"/>
        </w:rPr>
        <w:t xml:space="preserve"> </w:t>
      </w:r>
      <w:r w:rsidRPr="0099225F">
        <w:rPr>
          <w:sz w:val="20"/>
        </w:rPr>
        <w:t xml:space="preserve">was too large, it was moved to </w:t>
      </w:r>
      <w:r w:rsidR="00932808" w:rsidRPr="0099225F">
        <w:rPr>
          <w:sz w:val="20"/>
        </w:rPr>
        <w:t>Appendix 2</w:t>
      </w:r>
      <w:r w:rsidR="00DA1EDB" w:rsidRPr="0099225F">
        <w:rPr>
          <w:sz w:val="20"/>
        </w:rPr>
        <w:t xml:space="preserve"> to assist with readability.</w:t>
      </w:r>
      <w:r w:rsidR="00230F5E" w:rsidRPr="0099225F">
        <w:rPr>
          <w:sz w:val="20"/>
        </w:rPr>
        <w:t xml:space="preserve"> Appendix 2 is presented as a separate volume and is available </w:t>
      </w:r>
      <w:r w:rsidR="00AC75DC" w:rsidRPr="0099225F">
        <w:rPr>
          <w:sz w:val="20"/>
        </w:rPr>
        <w:t xml:space="preserve">on </w:t>
      </w:r>
      <w:hyperlink r:id="rId25" w:history="1">
        <w:r w:rsidR="00F155C5" w:rsidRPr="00F155C5">
          <w:rPr>
            <w:rStyle w:val="Hyperlink"/>
            <w:sz w:val="20"/>
          </w:rPr>
          <w:t>the department’s website</w:t>
        </w:r>
      </w:hyperlink>
      <w:bookmarkStart w:id="29" w:name="_Toc19007967"/>
      <w:r w:rsidR="00F155C5">
        <w:rPr>
          <w:sz w:val="20"/>
        </w:rPr>
        <w:t xml:space="preserve"> </w:t>
      </w:r>
      <w:r w:rsidR="00D32E8E">
        <w:rPr>
          <w:sz w:val="20"/>
        </w:rPr>
        <w:t>&lt;</w:t>
      </w:r>
      <w:r w:rsidR="00D32E8E" w:rsidRPr="00D32E8E">
        <w:rPr>
          <w:sz w:val="20"/>
        </w:rPr>
        <w:t>https://www.health.vic.gov.au/health-strategies/victorian-cancer-plan</w:t>
      </w:r>
      <w:r w:rsidR="00D32E8E">
        <w:rPr>
          <w:sz w:val="20"/>
        </w:rPr>
        <w:t>&gt;.</w:t>
      </w:r>
      <w:r w:rsidR="00450EFB">
        <w:br w:type="page"/>
      </w:r>
    </w:p>
    <w:p w14:paraId="3875A889" w14:textId="7D5E6645" w:rsidR="00175D1C" w:rsidRPr="00E81955" w:rsidRDefault="00175D1C" w:rsidP="006053E7">
      <w:pPr>
        <w:pStyle w:val="Heading2"/>
        <w:rPr>
          <w:color w:val="AF272F"/>
          <w:sz w:val="28"/>
        </w:rPr>
      </w:pPr>
      <w:bookmarkStart w:id="30" w:name="_Toc140843408"/>
      <w:r w:rsidRPr="00E81955">
        <w:rPr>
          <w:color w:val="AF272F"/>
          <w:sz w:val="28"/>
        </w:rPr>
        <w:lastRenderedPageBreak/>
        <w:t>About the measures</w:t>
      </w:r>
      <w:bookmarkEnd w:id="29"/>
      <w:bookmarkEnd w:id="30"/>
    </w:p>
    <w:p w14:paraId="5F0D9763" w14:textId="7EEFD043" w:rsidR="00175D1C" w:rsidRPr="0099225F" w:rsidRDefault="00175D1C" w:rsidP="00E87AAA">
      <w:pPr>
        <w:pStyle w:val="Body"/>
        <w:rPr>
          <w:sz w:val="20"/>
        </w:rPr>
      </w:pPr>
      <w:r w:rsidRPr="0099225F">
        <w:rPr>
          <w:sz w:val="20"/>
        </w:rPr>
        <w:t xml:space="preserve">The </w:t>
      </w:r>
      <w:r w:rsidR="00073F01" w:rsidRPr="0099225F">
        <w:rPr>
          <w:sz w:val="20"/>
        </w:rPr>
        <w:t xml:space="preserve">97 </w:t>
      </w:r>
      <w:r w:rsidRPr="0099225F">
        <w:rPr>
          <w:sz w:val="20"/>
        </w:rPr>
        <w:t>measures included in the</w:t>
      </w:r>
      <w:r w:rsidR="00BF1B3B" w:rsidRPr="0099225F">
        <w:rPr>
          <w:sz w:val="20"/>
        </w:rPr>
        <w:t xml:space="preserve"> population-outcomes based</w:t>
      </w:r>
      <w:r w:rsidRPr="0099225F">
        <w:rPr>
          <w:i/>
          <w:sz w:val="20"/>
        </w:rPr>
        <w:t xml:space="preserve"> </w:t>
      </w:r>
      <w:r w:rsidR="00BF1B3B" w:rsidRPr="0099225F">
        <w:rPr>
          <w:i/>
          <w:sz w:val="20"/>
        </w:rPr>
        <w:t>Victorian cancer plan monitoring and evaluation framework</w:t>
      </w:r>
      <w:r w:rsidR="00BF1B3B" w:rsidRPr="0099225F">
        <w:rPr>
          <w:sz w:val="20"/>
        </w:rPr>
        <w:t xml:space="preserve"> cover a wide</w:t>
      </w:r>
      <w:r w:rsidRPr="0099225F">
        <w:rPr>
          <w:sz w:val="20"/>
        </w:rPr>
        <w:t xml:space="preserve"> range of the</w:t>
      </w:r>
      <w:r w:rsidR="00CA646D" w:rsidRPr="0099225F">
        <w:rPr>
          <w:sz w:val="20"/>
        </w:rPr>
        <w:t xml:space="preserve"> cancer continuum of prevention, early detection, treatment, wellbeing and support for people affected by cancer, and research</w:t>
      </w:r>
      <w:r w:rsidR="000B1E09" w:rsidRPr="0099225F">
        <w:rPr>
          <w:sz w:val="20"/>
        </w:rPr>
        <w:t>.</w:t>
      </w:r>
      <w:r w:rsidR="00F419C0" w:rsidRPr="0099225F">
        <w:rPr>
          <w:sz w:val="20"/>
        </w:rPr>
        <w:t xml:space="preserve"> </w:t>
      </w:r>
      <w:r w:rsidRPr="0099225F">
        <w:rPr>
          <w:sz w:val="20"/>
        </w:rPr>
        <w:t>They range from populatio</w:t>
      </w:r>
      <w:r w:rsidR="00F419C0" w:rsidRPr="0099225F">
        <w:rPr>
          <w:sz w:val="20"/>
        </w:rPr>
        <w:t>n</w:t>
      </w:r>
      <w:r w:rsidR="00704A54" w:rsidRPr="0099225F">
        <w:rPr>
          <w:sz w:val="20"/>
        </w:rPr>
        <w:t>-</w:t>
      </w:r>
      <w:r w:rsidR="00F419C0" w:rsidRPr="0099225F">
        <w:rPr>
          <w:sz w:val="20"/>
        </w:rPr>
        <w:t xml:space="preserve">level measures that have many </w:t>
      </w:r>
      <w:r w:rsidRPr="0099225F">
        <w:rPr>
          <w:sz w:val="20"/>
        </w:rPr>
        <w:t>determinants to system</w:t>
      </w:r>
      <w:r w:rsidR="00704A54" w:rsidRPr="0099225F">
        <w:rPr>
          <w:sz w:val="20"/>
        </w:rPr>
        <w:t>-</w:t>
      </w:r>
      <w:r w:rsidRPr="0099225F">
        <w:rPr>
          <w:sz w:val="20"/>
        </w:rPr>
        <w:t>level measures that reflect the delivery</w:t>
      </w:r>
      <w:r w:rsidR="00BE3595" w:rsidRPr="0099225F">
        <w:rPr>
          <w:sz w:val="20"/>
        </w:rPr>
        <w:t xml:space="preserve"> of cancer care</w:t>
      </w:r>
      <w:r w:rsidRPr="0099225F">
        <w:rPr>
          <w:sz w:val="20"/>
        </w:rPr>
        <w:t xml:space="preserve"> </w:t>
      </w:r>
      <w:r w:rsidR="00F419C0" w:rsidRPr="0099225F">
        <w:rPr>
          <w:sz w:val="20"/>
        </w:rPr>
        <w:t xml:space="preserve">and </w:t>
      </w:r>
      <w:r w:rsidR="008459A8" w:rsidRPr="0099225F">
        <w:rPr>
          <w:sz w:val="20"/>
        </w:rPr>
        <w:t xml:space="preserve">the </w:t>
      </w:r>
      <w:r w:rsidR="00F419C0" w:rsidRPr="0099225F">
        <w:rPr>
          <w:sz w:val="20"/>
        </w:rPr>
        <w:t>self-report</w:t>
      </w:r>
      <w:r w:rsidR="00BE3595" w:rsidRPr="0099225F">
        <w:rPr>
          <w:sz w:val="20"/>
        </w:rPr>
        <w:t>ed patient</w:t>
      </w:r>
      <w:r w:rsidR="00F419C0" w:rsidRPr="0099225F">
        <w:rPr>
          <w:sz w:val="20"/>
        </w:rPr>
        <w:t xml:space="preserve"> experience</w:t>
      </w:r>
      <w:r w:rsidR="008459A8" w:rsidRPr="0099225F">
        <w:rPr>
          <w:sz w:val="20"/>
        </w:rPr>
        <w:t>s</w:t>
      </w:r>
      <w:r w:rsidR="00F419C0" w:rsidRPr="0099225F">
        <w:rPr>
          <w:sz w:val="20"/>
        </w:rPr>
        <w:t xml:space="preserve"> of Victoria’s cancer</w:t>
      </w:r>
      <w:r w:rsidR="00704A54" w:rsidRPr="0099225F">
        <w:rPr>
          <w:sz w:val="20"/>
        </w:rPr>
        <w:t>-</w:t>
      </w:r>
      <w:r w:rsidR="00F419C0" w:rsidRPr="0099225F">
        <w:rPr>
          <w:sz w:val="20"/>
        </w:rPr>
        <w:t xml:space="preserve">specific services. </w:t>
      </w:r>
      <w:r w:rsidRPr="0099225F">
        <w:rPr>
          <w:sz w:val="20"/>
        </w:rPr>
        <w:t xml:space="preserve">Some of the measures are </w:t>
      </w:r>
      <w:r w:rsidR="00941F64" w:rsidRPr="0099225F">
        <w:rPr>
          <w:sz w:val="20"/>
        </w:rPr>
        <w:t xml:space="preserve">also </w:t>
      </w:r>
      <w:r w:rsidRPr="0099225F">
        <w:rPr>
          <w:sz w:val="20"/>
        </w:rPr>
        <w:t>reported elsewhere</w:t>
      </w:r>
      <w:r w:rsidR="008459A8" w:rsidRPr="0099225F">
        <w:rPr>
          <w:sz w:val="20"/>
        </w:rPr>
        <w:t xml:space="preserve"> –</w:t>
      </w:r>
      <w:r w:rsidR="00941F64" w:rsidRPr="0099225F">
        <w:rPr>
          <w:sz w:val="20"/>
        </w:rPr>
        <w:t xml:space="preserve"> for example</w:t>
      </w:r>
      <w:r w:rsidR="008459A8" w:rsidRPr="0099225F">
        <w:rPr>
          <w:sz w:val="20"/>
        </w:rPr>
        <w:t>,</w:t>
      </w:r>
      <w:r w:rsidR="00704A54" w:rsidRPr="0099225F">
        <w:rPr>
          <w:sz w:val="20"/>
        </w:rPr>
        <w:t xml:space="preserve"> in </w:t>
      </w:r>
      <w:r w:rsidR="00941F64" w:rsidRPr="0099225F">
        <w:rPr>
          <w:sz w:val="20"/>
        </w:rPr>
        <w:t xml:space="preserve">the </w:t>
      </w:r>
      <w:r w:rsidR="000044C4" w:rsidRPr="0099225F">
        <w:rPr>
          <w:i/>
          <w:sz w:val="20"/>
        </w:rPr>
        <w:t xml:space="preserve">Victorian </w:t>
      </w:r>
      <w:r w:rsidR="0040531F" w:rsidRPr="0099225F">
        <w:rPr>
          <w:i/>
          <w:sz w:val="20"/>
        </w:rPr>
        <w:t>public</w:t>
      </w:r>
      <w:r w:rsidR="000044C4" w:rsidRPr="0099225F">
        <w:rPr>
          <w:i/>
          <w:sz w:val="20"/>
        </w:rPr>
        <w:t xml:space="preserve"> </w:t>
      </w:r>
      <w:r w:rsidR="0040531F" w:rsidRPr="0099225F">
        <w:rPr>
          <w:i/>
          <w:sz w:val="20"/>
        </w:rPr>
        <w:t>health</w:t>
      </w:r>
      <w:r w:rsidR="000044C4" w:rsidRPr="0099225F">
        <w:rPr>
          <w:i/>
          <w:sz w:val="20"/>
        </w:rPr>
        <w:t xml:space="preserve"> and </w:t>
      </w:r>
      <w:r w:rsidR="004E5730" w:rsidRPr="0099225F">
        <w:rPr>
          <w:i/>
          <w:sz w:val="20"/>
        </w:rPr>
        <w:t>w</w:t>
      </w:r>
      <w:r w:rsidR="000044C4" w:rsidRPr="0099225F">
        <w:rPr>
          <w:i/>
          <w:sz w:val="20"/>
        </w:rPr>
        <w:t xml:space="preserve">ellbeing </w:t>
      </w:r>
      <w:r w:rsidR="004E5730" w:rsidRPr="0099225F">
        <w:rPr>
          <w:i/>
          <w:sz w:val="20"/>
        </w:rPr>
        <w:t>o</w:t>
      </w:r>
      <w:r w:rsidR="000044C4" w:rsidRPr="0099225F">
        <w:rPr>
          <w:i/>
          <w:sz w:val="20"/>
        </w:rPr>
        <w:t xml:space="preserve">utcomes </w:t>
      </w:r>
      <w:r w:rsidR="004E5730" w:rsidRPr="0099225F">
        <w:rPr>
          <w:i/>
          <w:sz w:val="20"/>
        </w:rPr>
        <w:t>f</w:t>
      </w:r>
      <w:r w:rsidR="00941F64" w:rsidRPr="0099225F">
        <w:rPr>
          <w:i/>
          <w:sz w:val="20"/>
        </w:rPr>
        <w:t xml:space="preserve">ramework </w:t>
      </w:r>
      <w:r w:rsidR="00941F64" w:rsidRPr="0099225F">
        <w:rPr>
          <w:sz w:val="20"/>
        </w:rPr>
        <w:t>(2016)</w:t>
      </w:r>
      <w:r w:rsidR="008459A8" w:rsidRPr="0099225F">
        <w:rPr>
          <w:sz w:val="20"/>
        </w:rPr>
        <w:t xml:space="preserve"> –</w:t>
      </w:r>
      <w:r w:rsidR="00941F64" w:rsidRPr="0099225F">
        <w:rPr>
          <w:i/>
          <w:sz w:val="20"/>
        </w:rPr>
        <w:t xml:space="preserve"> </w:t>
      </w:r>
      <w:r w:rsidR="00941F64" w:rsidRPr="0099225F">
        <w:rPr>
          <w:sz w:val="20"/>
        </w:rPr>
        <w:t xml:space="preserve">and </w:t>
      </w:r>
      <w:r w:rsidRPr="0099225F">
        <w:rPr>
          <w:sz w:val="20"/>
        </w:rPr>
        <w:t xml:space="preserve">some are currently undergoing </w:t>
      </w:r>
      <w:r w:rsidR="00F622A1" w:rsidRPr="0099225F">
        <w:rPr>
          <w:sz w:val="20"/>
        </w:rPr>
        <w:t>development.</w:t>
      </w:r>
      <w:r w:rsidR="00FC676B" w:rsidRPr="0099225F">
        <w:rPr>
          <w:sz w:val="20"/>
        </w:rPr>
        <w:t xml:space="preserve"> This means that some measures reported for other purposes may have slightly different targets associated with them</w:t>
      </w:r>
      <w:r w:rsidR="00522FE6" w:rsidRPr="0099225F">
        <w:rPr>
          <w:sz w:val="20"/>
        </w:rPr>
        <w:t xml:space="preserve">. </w:t>
      </w:r>
      <w:r w:rsidR="00B53305" w:rsidRPr="0099225F">
        <w:rPr>
          <w:sz w:val="20"/>
        </w:rPr>
        <w:t xml:space="preserve">In consultation with </w:t>
      </w:r>
      <w:r w:rsidR="00522FE6" w:rsidRPr="0099225F">
        <w:rPr>
          <w:sz w:val="20"/>
        </w:rPr>
        <w:t xml:space="preserve">a wide range of individuals and organisations across the Victorian </w:t>
      </w:r>
      <w:r w:rsidR="00B53305" w:rsidRPr="0099225F">
        <w:rPr>
          <w:sz w:val="20"/>
        </w:rPr>
        <w:t>cancer sector</w:t>
      </w:r>
      <w:r w:rsidR="00704A54" w:rsidRPr="0099225F">
        <w:rPr>
          <w:sz w:val="20"/>
        </w:rPr>
        <w:t>,</w:t>
      </w:r>
      <w:r w:rsidR="00B53305" w:rsidRPr="0099225F">
        <w:rPr>
          <w:sz w:val="20"/>
        </w:rPr>
        <w:t xml:space="preserve"> o</w:t>
      </w:r>
      <w:r w:rsidRPr="0099225F">
        <w:rPr>
          <w:sz w:val="20"/>
        </w:rPr>
        <w:t>the</w:t>
      </w:r>
      <w:r w:rsidR="00F63768" w:rsidRPr="0099225F">
        <w:rPr>
          <w:sz w:val="20"/>
        </w:rPr>
        <w:t>r measures</w:t>
      </w:r>
      <w:r w:rsidRPr="0099225F">
        <w:rPr>
          <w:sz w:val="20"/>
        </w:rPr>
        <w:t xml:space="preserve"> hav</w:t>
      </w:r>
      <w:r w:rsidR="00B53305" w:rsidRPr="0099225F">
        <w:rPr>
          <w:sz w:val="20"/>
        </w:rPr>
        <w:t xml:space="preserve">e been newly developed for </w:t>
      </w:r>
      <w:r w:rsidRPr="0099225F">
        <w:rPr>
          <w:sz w:val="20"/>
        </w:rPr>
        <w:t>report</w:t>
      </w:r>
      <w:r w:rsidR="00B53305" w:rsidRPr="0099225F">
        <w:rPr>
          <w:sz w:val="20"/>
        </w:rPr>
        <w:t>ing against</w:t>
      </w:r>
      <w:r w:rsidR="00FC676B" w:rsidRPr="0099225F">
        <w:rPr>
          <w:sz w:val="20"/>
        </w:rPr>
        <w:t xml:space="preserve">, and the data is examined here </w:t>
      </w:r>
      <w:r w:rsidRPr="0099225F">
        <w:rPr>
          <w:sz w:val="20"/>
        </w:rPr>
        <w:t>for the first time.</w:t>
      </w:r>
      <w:r w:rsidR="00892AFD" w:rsidRPr="0099225F">
        <w:rPr>
          <w:sz w:val="20"/>
        </w:rPr>
        <w:t xml:space="preserve"> </w:t>
      </w:r>
      <w:r w:rsidRPr="0099225F">
        <w:rPr>
          <w:sz w:val="20"/>
        </w:rPr>
        <w:t>These differences mean that measuring progress is not straightforward.</w:t>
      </w:r>
      <w:r w:rsidR="00196A19" w:rsidRPr="0099225F">
        <w:rPr>
          <w:sz w:val="20"/>
        </w:rPr>
        <w:t xml:space="preserve"> </w:t>
      </w:r>
      <w:r w:rsidR="008E59E2" w:rsidRPr="0099225F">
        <w:rPr>
          <w:rFonts w:cs="Arial"/>
          <w:sz w:val="20"/>
        </w:rPr>
        <w:t>Data presented in this report was the best available at the time of publication. Periods of data reporting and data collection methods vary over time, and where this makes comparison problematic</w:t>
      </w:r>
      <w:r w:rsidR="00D207B2" w:rsidRPr="0099225F">
        <w:rPr>
          <w:rFonts w:cs="Arial"/>
          <w:sz w:val="20"/>
        </w:rPr>
        <w:t>,</w:t>
      </w:r>
      <w:r w:rsidR="008E59E2" w:rsidRPr="0099225F">
        <w:rPr>
          <w:rFonts w:cs="Arial"/>
          <w:sz w:val="20"/>
        </w:rPr>
        <w:t xml:space="preserve"> this has been</w:t>
      </w:r>
      <w:r w:rsidR="008E59E2" w:rsidRPr="0099225F">
        <w:rPr>
          <w:sz w:val="20"/>
        </w:rPr>
        <w:t xml:space="preserve"> </w:t>
      </w:r>
      <w:r w:rsidR="008E59E2" w:rsidRPr="0099225F">
        <w:rPr>
          <w:rFonts w:cs="Arial"/>
          <w:sz w:val="20"/>
        </w:rPr>
        <w:t>highlighted in footnotes.</w:t>
      </w:r>
      <w:r w:rsidR="00433069" w:rsidRPr="0099225F">
        <w:rPr>
          <w:rFonts w:cs="Arial"/>
          <w:sz w:val="20"/>
        </w:rPr>
        <w:t xml:space="preserve"> </w:t>
      </w:r>
      <w:r w:rsidR="00196A19" w:rsidRPr="0099225F">
        <w:rPr>
          <w:sz w:val="20"/>
        </w:rPr>
        <w:t>In</w:t>
      </w:r>
      <w:r w:rsidR="00082103" w:rsidRPr="0099225F">
        <w:rPr>
          <w:sz w:val="20"/>
        </w:rPr>
        <w:t xml:space="preserve"> </w:t>
      </w:r>
      <w:r w:rsidR="00433069" w:rsidRPr="0099225F">
        <w:rPr>
          <w:sz w:val="20"/>
        </w:rPr>
        <w:t xml:space="preserve">addition, there are </w:t>
      </w:r>
      <w:r w:rsidR="00E269E2" w:rsidRPr="0099225F">
        <w:rPr>
          <w:sz w:val="20"/>
        </w:rPr>
        <w:t>some circumstances</w:t>
      </w:r>
      <w:r w:rsidR="00433069" w:rsidRPr="0099225F">
        <w:rPr>
          <w:sz w:val="20"/>
        </w:rPr>
        <w:t xml:space="preserve"> where </w:t>
      </w:r>
      <w:r w:rsidR="00E269E2" w:rsidRPr="0099225F">
        <w:rPr>
          <w:sz w:val="20"/>
        </w:rPr>
        <w:t>changes in survey methodologies</w:t>
      </w:r>
      <w:r w:rsidR="00196A19" w:rsidRPr="0099225F">
        <w:rPr>
          <w:sz w:val="20"/>
        </w:rPr>
        <w:t xml:space="preserve"> means </w:t>
      </w:r>
      <w:r w:rsidR="005D0142" w:rsidRPr="0099225F">
        <w:rPr>
          <w:sz w:val="20"/>
        </w:rPr>
        <w:t xml:space="preserve">there are limitations with trend analysis. The following provides a guide as to how </w:t>
      </w:r>
      <w:r w:rsidRPr="0099225F">
        <w:rPr>
          <w:sz w:val="20"/>
        </w:rPr>
        <w:t>the assessments</w:t>
      </w:r>
      <w:r w:rsidR="005D0142" w:rsidRPr="0099225F">
        <w:rPr>
          <w:sz w:val="20"/>
        </w:rPr>
        <w:t xml:space="preserve"> set out</w:t>
      </w:r>
      <w:r w:rsidRPr="0099225F">
        <w:rPr>
          <w:sz w:val="20"/>
        </w:rPr>
        <w:t xml:space="preserve"> in this </w:t>
      </w:r>
      <w:r w:rsidR="00082103" w:rsidRPr="0099225F">
        <w:rPr>
          <w:sz w:val="20"/>
        </w:rPr>
        <w:t xml:space="preserve">progress </w:t>
      </w:r>
      <w:r w:rsidRPr="0099225F">
        <w:rPr>
          <w:sz w:val="20"/>
        </w:rPr>
        <w:t>report have been made.</w:t>
      </w:r>
    </w:p>
    <w:p w14:paraId="2775A04F" w14:textId="77777777" w:rsidR="00175D1C" w:rsidRDefault="00175D1C" w:rsidP="00A451D4">
      <w:pPr>
        <w:pStyle w:val="Heading3"/>
      </w:pPr>
      <w:bookmarkStart w:id="31" w:name="_Toc19007968"/>
      <w:r>
        <w:t>Overall trend</w:t>
      </w:r>
      <w:bookmarkEnd w:id="31"/>
    </w:p>
    <w:p w14:paraId="4F3B553C" w14:textId="6E200A17" w:rsidR="00175D1C" w:rsidRPr="0099225F" w:rsidRDefault="00BC402F" w:rsidP="00E87AAA">
      <w:pPr>
        <w:pStyle w:val="Body"/>
        <w:rPr>
          <w:sz w:val="20"/>
        </w:rPr>
      </w:pPr>
      <w:r w:rsidRPr="0099225F">
        <w:rPr>
          <w:sz w:val="20"/>
        </w:rPr>
        <w:t xml:space="preserve">Wherever possible, </w:t>
      </w:r>
      <w:r w:rsidR="00D03593" w:rsidRPr="0099225F">
        <w:rPr>
          <w:sz w:val="20"/>
        </w:rPr>
        <w:t xml:space="preserve">data from the baseline year </w:t>
      </w:r>
      <w:r w:rsidR="00175D1C" w:rsidRPr="0099225F">
        <w:rPr>
          <w:sz w:val="20"/>
        </w:rPr>
        <w:t>are provided</w:t>
      </w:r>
      <w:r w:rsidR="00614288" w:rsidRPr="0099225F">
        <w:rPr>
          <w:sz w:val="20"/>
        </w:rPr>
        <w:t>.</w:t>
      </w:r>
      <w:r w:rsidR="007669C7" w:rsidRPr="0099225F">
        <w:rPr>
          <w:sz w:val="20"/>
        </w:rPr>
        <w:t xml:space="preserve"> Data presented in this report </w:t>
      </w:r>
      <w:r w:rsidR="00BE3595" w:rsidRPr="0099225F">
        <w:rPr>
          <w:sz w:val="20"/>
        </w:rPr>
        <w:t xml:space="preserve">has been assessed to determine </w:t>
      </w:r>
      <w:r w:rsidR="00175D1C" w:rsidRPr="0099225F">
        <w:rPr>
          <w:sz w:val="20"/>
        </w:rPr>
        <w:t xml:space="preserve">whether </w:t>
      </w:r>
      <w:r w:rsidR="002055B2" w:rsidRPr="0099225F">
        <w:rPr>
          <w:sz w:val="20"/>
        </w:rPr>
        <w:t xml:space="preserve">it </w:t>
      </w:r>
      <w:r w:rsidR="00175D1C" w:rsidRPr="0099225F">
        <w:rPr>
          <w:sz w:val="20"/>
        </w:rPr>
        <w:t>showed:</w:t>
      </w:r>
    </w:p>
    <w:p w14:paraId="3241CBD2" w14:textId="796E4C59" w:rsidR="00175D1C" w:rsidRPr="0099225F" w:rsidRDefault="00175D1C" w:rsidP="00892EDF">
      <w:pPr>
        <w:pStyle w:val="Bullet1"/>
        <w:rPr>
          <w:sz w:val="20"/>
        </w:rPr>
      </w:pPr>
      <w:r w:rsidRPr="76BE792E">
        <w:rPr>
          <w:sz w:val="20"/>
        </w:rPr>
        <w:t>an improving trend (moving in the right direction)</w:t>
      </w:r>
    </w:p>
    <w:p w14:paraId="2134F5C8" w14:textId="28A11FD9" w:rsidR="00175D1C" w:rsidRPr="0099225F" w:rsidRDefault="00175D1C" w:rsidP="06376BB3">
      <w:pPr>
        <w:pStyle w:val="Bullet1"/>
        <w:rPr>
          <w:sz w:val="20"/>
        </w:rPr>
      </w:pPr>
      <w:r w:rsidRPr="76BE792E">
        <w:rPr>
          <w:sz w:val="20"/>
        </w:rPr>
        <w:t>a deteriorating trend (</w:t>
      </w:r>
      <w:r w:rsidR="3A6F7AE9" w:rsidRPr="76BE792E">
        <w:rPr>
          <w:sz w:val="20"/>
        </w:rPr>
        <w:t xml:space="preserve">not </w:t>
      </w:r>
      <w:r w:rsidRPr="76BE792E">
        <w:rPr>
          <w:sz w:val="20"/>
        </w:rPr>
        <w:t xml:space="preserve">moving in the </w:t>
      </w:r>
      <w:r w:rsidR="2725108B" w:rsidRPr="76BE792E">
        <w:rPr>
          <w:sz w:val="20"/>
        </w:rPr>
        <w:t>right</w:t>
      </w:r>
      <w:r w:rsidRPr="76BE792E">
        <w:rPr>
          <w:sz w:val="20"/>
        </w:rPr>
        <w:t xml:space="preserve"> direction)</w:t>
      </w:r>
    </w:p>
    <w:p w14:paraId="485E62B1" w14:textId="5367B36F" w:rsidR="00FC1460" w:rsidRPr="0099225F" w:rsidRDefault="00175D1C" w:rsidP="00FC4B1F">
      <w:pPr>
        <w:pStyle w:val="Bullet1"/>
        <w:rPr>
          <w:sz w:val="20"/>
        </w:rPr>
      </w:pPr>
      <w:r w:rsidRPr="0099225F">
        <w:rPr>
          <w:sz w:val="20"/>
        </w:rPr>
        <w:t>a static or unchanging trend.</w:t>
      </w:r>
    </w:p>
    <w:p w14:paraId="5FB1A7B4" w14:textId="77777777" w:rsidR="00175D1C" w:rsidRDefault="00175D1C" w:rsidP="00A451D4">
      <w:pPr>
        <w:pStyle w:val="Heading3"/>
      </w:pPr>
      <w:bookmarkStart w:id="32" w:name="_Toc19007969"/>
      <w:r>
        <w:t>Traffic light rating</w:t>
      </w:r>
      <w:bookmarkEnd w:id="32"/>
    </w:p>
    <w:p w14:paraId="47BD170D" w14:textId="221A445A" w:rsidR="00175D1C" w:rsidRPr="0099225F" w:rsidRDefault="00175D1C" w:rsidP="00E87AAA">
      <w:pPr>
        <w:pStyle w:val="Body"/>
        <w:rPr>
          <w:sz w:val="20"/>
        </w:rPr>
      </w:pPr>
      <w:r w:rsidRPr="0099225F">
        <w:rPr>
          <w:sz w:val="20"/>
        </w:rPr>
        <w:t xml:space="preserve">Each measure has been </w:t>
      </w:r>
      <w:r w:rsidR="001475B0" w:rsidRPr="0099225F">
        <w:rPr>
          <w:sz w:val="20"/>
        </w:rPr>
        <w:t>allocated</w:t>
      </w:r>
      <w:r w:rsidRPr="0099225F">
        <w:rPr>
          <w:sz w:val="20"/>
        </w:rPr>
        <w:t xml:space="preserve"> a traffic light rating (red, amber or green). These provide </w:t>
      </w:r>
      <w:r w:rsidR="00073F01" w:rsidRPr="0099225F">
        <w:rPr>
          <w:sz w:val="20"/>
        </w:rPr>
        <w:t xml:space="preserve">a </w:t>
      </w:r>
      <w:r w:rsidR="002829A1" w:rsidRPr="0099225F">
        <w:rPr>
          <w:sz w:val="20"/>
        </w:rPr>
        <w:t>snapshot of</w:t>
      </w:r>
      <w:r w:rsidRPr="0099225F">
        <w:rPr>
          <w:sz w:val="20"/>
        </w:rPr>
        <w:t xml:space="preserve"> the key message about progress on each measure. The ratings </w:t>
      </w:r>
      <w:r w:rsidR="008B7E37" w:rsidRPr="0099225F">
        <w:rPr>
          <w:sz w:val="20"/>
        </w:rPr>
        <w:t>consider</w:t>
      </w:r>
      <w:r w:rsidRPr="0099225F">
        <w:rPr>
          <w:sz w:val="20"/>
        </w:rPr>
        <w:t>:</w:t>
      </w:r>
    </w:p>
    <w:p w14:paraId="3C2A27DD" w14:textId="77ABD587" w:rsidR="001C1E0C" w:rsidRPr="0099225F" w:rsidRDefault="00614288" w:rsidP="008B7E37">
      <w:pPr>
        <w:pStyle w:val="Bullet1"/>
        <w:rPr>
          <w:sz w:val="20"/>
        </w:rPr>
      </w:pPr>
      <w:r w:rsidRPr="0099225F">
        <w:rPr>
          <w:sz w:val="20"/>
          <w:lang w:eastAsia="en-AU"/>
        </w:rPr>
        <w:t xml:space="preserve">the </w:t>
      </w:r>
      <w:r w:rsidR="00175D1C" w:rsidRPr="0099225F">
        <w:rPr>
          <w:sz w:val="20"/>
          <w:lang w:eastAsia="en-AU"/>
        </w:rPr>
        <w:t xml:space="preserve">views and expertise of subject </w:t>
      </w:r>
      <w:r w:rsidR="00175D1C" w:rsidRPr="0099225F">
        <w:rPr>
          <w:sz w:val="20"/>
        </w:rPr>
        <w:t>matter experts</w:t>
      </w:r>
    </w:p>
    <w:p w14:paraId="38481078" w14:textId="64DD565B" w:rsidR="001C1E0C" w:rsidRPr="0099225F" w:rsidRDefault="001C1E0C" w:rsidP="008B7E37">
      <w:pPr>
        <w:pStyle w:val="Bullet1"/>
        <w:rPr>
          <w:sz w:val="20"/>
        </w:rPr>
      </w:pPr>
      <w:r w:rsidRPr="0099225F">
        <w:rPr>
          <w:sz w:val="20"/>
        </w:rPr>
        <w:t>how the most recent result compares with targets or with performance in other jurisdictions</w:t>
      </w:r>
      <w:r w:rsidR="008E129A" w:rsidRPr="0099225F">
        <w:rPr>
          <w:sz w:val="20"/>
        </w:rPr>
        <w:t xml:space="preserve"> if comparab</w:t>
      </w:r>
      <w:r w:rsidR="008B7E37" w:rsidRPr="0099225F">
        <w:rPr>
          <w:sz w:val="20"/>
        </w:rPr>
        <w:t>le</w:t>
      </w:r>
      <w:r w:rsidR="008E129A" w:rsidRPr="0099225F">
        <w:rPr>
          <w:sz w:val="20"/>
        </w:rPr>
        <w:t xml:space="preserve"> with other states</w:t>
      </w:r>
      <w:r w:rsidR="00D207B2" w:rsidRPr="0099225F">
        <w:rPr>
          <w:sz w:val="20"/>
        </w:rPr>
        <w:t xml:space="preserve"> (this</w:t>
      </w:r>
      <w:r w:rsidR="008E129A" w:rsidRPr="0099225F">
        <w:rPr>
          <w:sz w:val="20"/>
        </w:rPr>
        <w:t xml:space="preserve"> </w:t>
      </w:r>
      <w:r w:rsidR="006B6D11" w:rsidRPr="0099225F">
        <w:rPr>
          <w:sz w:val="20"/>
        </w:rPr>
        <w:t>i</w:t>
      </w:r>
      <w:r w:rsidR="003F15BB" w:rsidRPr="0099225F">
        <w:rPr>
          <w:sz w:val="20"/>
        </w:rPr>
        <w:t>s</w:t>
      </w:r>
      <w:r w:rsidR="008E129A" w:rsidRPr="0099225F">
        <w:rPr>
          <w:sz w:val="20"/>
        </w:rPr>
        <w:t xml:space="preserve"> outlined in the data dictionary</w:t>
      </w:r>
      <w:r w:rsidR="00D207B2" w:rsidRPr="0099225F">
        <w:rPr>
          <w:sz w:val="20"/>
        </w:rPr>
        <w:t>)</w:t>
      </w:r>
    </w:p>
    <w:p w14:paraId="3FAC9480" w14:textId="4BADB520" w:rsidR="001C1E0C" w:rsidRPr="0099225F" w:rsidRDefault="001C1E0C" w:rsidP="008B7E37">
      <w:pPr>
        <w:pStyle w:val="Bullet1"/>
        <w:rPr>
          <w:sz w:val="20"/>
          <w:lang w:eastAsia="en-AU"/>
        </w:rPr>
      </w:pPr>
      <w:r w:rsidRPr="0099225F">
        <w:rPr>
          <w:sz w:val="20"/>
        </w:rPr>
        <w:t>whether the result is improving o</w:t>
      </w:r>
      <w:r w:rsidRPr="0099225F">
        <w:rPr>
          <w:sz w:val="20"/>
          <w:lang w:eastAsia="en-AU"/>
        </w:rPr>
        <w:t>ver time and</w:t>
      </w:r>
      <w:r w:rsidR="00D207B2" w:rsidRPr="0099225F">
        <w:rPr>
          <w:sz w:val="20"/>
          <w:lang w:eastAsia="en-AU"/>
        </w:rPr>
        <w:t>,</w:t>
      </w:r>
      <w:r w:rsidRPr="0099225F">
        <w:rPr>
          <w:sz w:val="20"/>
          <w:lang w:eastAsia="en-AU"/>
        </w:rPr>
        <w:t xml:space="preserve"> if </w:t>
      </w:r>
      <w:r w:rsidR="003D2298" w:rsidRPr="0099225F">
        <w:rPr>
          <w:sz w:val="20"/>
          <w:lang w:eastAsia="en-AU"/>
        </w:rPr>
        <w:t>so,</w:t>
      </w:r>
      <w:r w:rsidRPr="0099225F">
        <w:rPr>
          <w:sz w:val="20"/>
          <w:lang w:eastAsia="en-AU"/>
        </w:rPr>
        <w:t xml:space="preserve"> how quickly</w:t>
      </w:r>
    </w:p>
    <w:p w14:paraId="092CE8BD" w14:textId="298B8C82" w:rsidR="001C1E0C" w:rsidRPr="0099225F" w:rsidRDefault="001C1E0C" w:rsidP="007D377E">
      <w:pPr>
        <w:pStyle w:val="Bullet1"/>
        <w:spacing w:after="120"/>
        <w:rPr>
          <w:sz w:val="20"/>
          <w:lang w:eastAsia="en-AU"/>
        </w:rPr>
      </w:pPr>
      <w:r w:rsidRPr="0099225F">
        <w:rPr>
          <w:sz w:val="20"/>
          <w:lang w:eastAsia="en-AU"/>
        </w:rPr>
        <w:t xml:space="preserve">any other relevant contextual information </w:t>
      </w:r>
      <w:r w:rsidR="00614288" w:rsidRPr="0099225F">
        <w:rPr>
          <w:sz w:val="20"/>
          <w:lang w:eastAsia="en-AU"/>
        </w:rPr>
        <w:t>(</w:t>
      </w:r>
      <w:r w:rsidRPr="0099225F">
        <w:rPr>
          <w:sz w:val="20"/>
          <w:lang w:eastAsia="en-AU"/>
        </w:rPr>
        <w:t>for example</w:t>
      </w:r>
      <w:r w:rsidR="00614288" w:rsidRPr="0099225F">
        <w:rPr>
          <w:sz w:val="20"/>
          <w:lang w:eastAsia="en-AU"/>
        </w:rPr>
        <w:t>,</w:t>
      </w:r>
      <w:r w:rsidRPr="0099225F">
        <w:rPr>
          <w:sz w:val="20"/>
          <w:lang w:eastAsia="en-AU"/>
        </w:rPr>
        <w:t xml:space="preserve"> departmental policies</w:t>
      </w:r>
      <w:r w:rsidR="00614288" w:rsidRPr="0099225F">
        <w:rPr>
          <w:sz w:val="20"/>
          <w:lang w:eastAsia="en-AU"/>
        </w:rPr>
        <w:t>)</w:t>
      </w:r>
      <w:r w:rsidRPr="0099225F">
        <w:rPr>
          <w:rFonts w:cs="Arial"/>
          <w:sz w:val="20"/>
          <w:lang w:eastAsia="en-AU"/>
        </w:rPr>
        <w:t>.</w:t>
      </w:r>
    </w:p>
    <w:p w14:paraId="0638E5EE" w14:textId="319A4EBA" w:rsidR="001C1E0C" w:rsidRPr="007D377E" w:rsidRDefault="001C1E0C" w:rsidP="00A451D4">
      <w:pPr>
        <w:pStyle w:val="Heading3"/>
      </w:pPr>
      <w:bookmarkStart w:id="33" w:name="_Toc19007970"/>
      <w:r>
        <w:t xml:space="preserve">Highlight or </w:t>
      </w:r>
      <w:r w:rsidR="004E5730">
        <w:t>c</w:t>
      </w:r>
      <w:r>
        <w:t>ommentary</w:t>
      </w:r>
      <w:bookmarkEnd w:id="33"/>
    </w:p>
    <w:p w14:paraId="6872BD2D" w14:textId="7C6C2BDA" w:rsidR="001C1E0C" w:rsidRPr="0099225F" w:rsidRDefault="001C1E0C" w:rsidP="005120E3">
      <w:pPr>
        <w:pStyle w:val="Body"/>
        <w:rPr>
          <w:sz w:val="20"/>
        </w:rPr>
      </w:pPr>
      <w:r w:rsidRPr="0099225F">
        <w:rPr>
          <w:sz w:val="20"/>
        </w:rPr>
        <w:t>More detailed commentary is provided</w:t>
      </w:r>
      <w:r w:rsidR="003F15BB" w:rsidRPr="0099225F">
        <w:rPr>
          <w:sz w:val="20"/>
        </w:rPr>
        <w:t xml:space="preserve"> </w:t>
      </w:r>
      <w:r w:rsidRPr="0099225F">
        <w:rPr>
          <w:sz w:val="20"/>
        </w:rPr>
        <w:t xml:space="preserve">in </w:t>
      </w:r>
      <w:r w:rsidR="00614288" w:rsidRPr="0099225F">
        <w:rPr>
          <w:sz w:val="20"/>
        </w:rPr>
        <w:t>‘</w:t>
      </w:r>
      <w:r w:rsidRPr="0099225F">
        <w:rPr>
          <w:iCs/>
          <w:sz w:val="20"/>
        </w:rPr>
        <w:t xml:space="preserve">More </w:t>
      </w:r>
      <w:r w:rsidR="004E5730" w:rsidRPr="0099225F">
        <w:rPr>
          <w:iCs/>
          <w:sz w:val="20"/>
        </w:rPr>
        <w:t>a</w:t>
      </w:r>
      <w:r w:rsidRPr="0099225F">
        <w:rPr>
          <w:iCs/>
          <w:sz w:val="20"/>
        </w:rPr>
        <w:t xml:space="preserve">bout the </w:t>
      </w:r>
      <w:r w:rsidR="004E5730" w:rsidRPr="0099225F">
        <w:rPr>
          <w:iCs/>
          <w:sz w:val="20"/>
        </w:rPr>
        <w:t>r</w:t>
      </w:r>
      <w:r w:rsidRPr="0099225F">
        <w:rPr>
          <w:iCs/>
          <w:sz w:val="20"/>
        </w:rPr>
        <w:t>esults</w:t>
      </w:r>
      <w:r w:rsidR="003F15BB" w:rsidRPr="0099225F">
        <w:rPr>
          <w:iCs/>
          <w:sz w:val="20"/>
        </w:rPr>
        <w:t xml:space="preserve"> of the </w:t>
      </w:r>
      <w:r w:rsidR="004E5730" w:rsidRPr="0099225F">
        <w:rPr>
          <w:iCs/>
          <w:sz w:val="20"/>
        </w:rPr>
        <w:t>m</w:t>
      </w:r>
      <w:r w:rsidR="003F15BB" w:rsidRPr="0099225F">
        <w:rPr>
          <w:iCs/>
          <w:sz w:val="20"/>
        </w:rPr>
        <w:t>easures</w:t>
      </w:r>
      <w:r w:rsidR="00614288" w:rsidRPr="0099225F">
        <w:rPr>
          <w:iCs/>
          <w:sz w:val="20"/>
        </w:rPr>
        <w:t>’</w:t>
      </w:r>
      <w:r w:rsidR="004E5730" w:rsidRPr="0099225F">
        <w:rPr>
          <w:sz w:val="20"/>
        </w:rPr>
        <w:t xml:space="preserve">, </w:t>
      </w:r>
      <w:r w:rsidRPr="0099225F">
        <w:rPr>
          <w:sz w:val="20"/>
        </w:rPr>
        <w:t>which gives key information to support the intent behind the traffic light rating.</w:t>
      </w:r>
    </w:p>
    <w:p w14:paraId="609A4137" w14:textId="77777777" w:rsidR="008F7F63" w:rsidRPr="00987D59" w:rsidRDefault="008F7F63" w:rsidP="007C7F00">
      <w:pPr>
        <w:pStyle w:val="Heading4"/>
      </w:pPr>
      <w:r w:rsidRPr="00987D59">
        <w:t>About the traffic light ratings</w:t>
      </w:r>
    </w:p>
    <w:p w14:paraId="4F8536B3" w14:textId="77777777" w:rsidR="008F7F63" w:rsidRPr="0099225F" w:rsidRDefault="008F7F63" w:rsidP="00E87AAA">
      <w:pPr>
        <w:pStyle w:val="Body"/>
        <w:rPr>
          <w:sz w:val="20"/>
        </w:rPr>
      </w:pPr>
      <w:r w:rsidRPr="0099225F">
        <w:rPr>
          <w:b/>
          <w:bCs/>
          <w:color w:val="007B4B"/>
          <w:sz w:val="20"/>
        </w:rPr>
        <w:t>Green</w:t>
      </w:r>
      <w:r w:rsidRPr="0099225F">
        <w:rPr>
          <w:b/>
          <w:bCs/>
          <w:sz w:val="20"/>
        </w:rPr>
        <w:t xml:space="preserve"> </w:t>
      </w:r>
      <w:r w:rsidRPr="0099225F">
        <w:rPr>
          <w:sz w:val="20"/>
        </w:rPr>
        <w:t>(key message: satisfactory result)</w:t>
      </w:r>
    </w:p>
    <w:p w14:paraId="44904A0B" w14:textId="77777777" w:rsidR="008F7F63" w:rsidRPr="0099225F" w:rsidRDefault="008F7F63" w:rsidP="005120E3">
      <w:pPr>
        <w:pStyle w:val="Body"/>
        <w:rPr>
          <w:sz w:val="20"/>
        </w:rPr>
      </w:pPr>
      <w:r w:rsidRPr="0099225F">
        <w:rPr>
          <w:sz w:val="20"/>
        </w:rPr>
        <w:t>A green rating generally describes situations where the result:</w:t>
      </w:r>
    </w:p>
    <w:p w14:paraId="6E7559BE" w14:textId="454423EC" w:rsidR="008F7F63" w:rsidRPr="0099225F" w:rsidRDefault="008F7F63" w:rsidP="008F7F63">
      <w:pPr>
        <w:pStyle w:val="Bullet1"/>
        <w:rPr>
          <w:sz w:val="20"/>
        </w:rPr>
      </w:pPr>
      <w:r w:rsidRPr="0099225F">
        <w:rPr>
          <w:sz w:val="20"/>
        </w:rPr>
        <w:t>is at or above a target, and either stable or improving over time</w:t>
      </w:r>
    </w:p>
    <w:p w14:paraId="2700AE62" w14:textId="6222ED4C" w:rsidR="008F7F63" w:rsidRPr="0099225F" w:rsidRDefault="008F7F63" w:rsidP="008F7F63">
      <w:pPr>
        <w:pStyle w:val="Bullet1"/>
        <w:rPr>
          <w:sz w:val="20"/>
        </w:rPr>
      </w:pPr>
      <w:r w:rsidRPr="0099225F">
        <w:rPr>
          <w:sz w:val="20"/>
        </w:rPr>
        <w:t>is not quite at target level but is heading to achieve it soon and actions are in place to support this</w:t>
      </w:r>
    </w:p>
    <w:p w14:paraId="44FDA420" w14:textId="5D896B8F" w:rsidR="007D7616" w:rsidRPr="0099225F" w:rsidRDefault="008F7F63" w:rsidP="00D207B2">
      <w:pPr>
        <w:pStyle w:val="Bullet1"/>
        <w:rPr>
          <w:sz w:val="20"/>
        </w:rPr>
      </w:pPr>
      <w:r w:rsidRPr="0099225F">
        <w:rPr>
          <w:sz w:val="20"/>
        </w:rPr>
        <w:t>represents a good outcome for all Victorians, or the cancer service system, and appears to be either stable or improving over time.</w:t>
      </w:r>
    </w:p>
    <w:p w14:paraId="7A1D3E9F" w14:textId="38557445" w:rsidR="008F7F63" w:rsidRPr="0099225F" w:rsidRDefault="008F7F63" w:rsidP="00D207B2">
      <w:pPr>
        <w:pStyle w:val="Bodyafterbullets"/>
        <w:rPr>
          <w:sz w:val="20"/>
        </w:rPr>
      </w:pPr>
      <w:r w:rsidRPr="0099225F">
        <w:rPr>
          <w:b/>
          <w:bCs/>
          <w:color w:val="C5511A"/>
          <w:sz w:val="20"/>
        </w:rPr>
        <w:lastRenderedPageBreak/>
        <w:t>Amber</w:t>
      </w:r>
      <w:r w:rsidRPr="0099225F">
        <w:rPr>
          <w:b/>
          <w:bCs/>
          <w:sz w:val="20"/>
        </w:rPr>
        <w:t xml:space="preserve"> </w:t>
      </w:r>
      <w:r w:rsidRPr="0099225F">
        <w:rPr>
          <w:sz w:val="20"/>
        </w:rPr>
        <w:t>(key message: desired result not yet evident)</w:t>
      </w:r>
    </w:p>
    <w:p w14:paraId="24C916B5" w14:textId="023B6820" w:rsidR="008F7F63" w:rsidRPr="0099225F" w:rsidRDefault="008F7F63" w:rsidP="00606436">
      <w:pPr>
        <w:pStyle w:val="Body"/>
        <w:rPr>
          <w:rFonts w:cs="Arial"/>
          <w:color w:val="000000"/>
          <w:sz w:val="20"/>
        </w:rPr>
      </w:pPr>
      <w:r w:rsidRPr="0099225F">
        <w:rPr>
          <w:sz w:val="20"/>
        </w:rPr>
        <w:t>An amber rating generally describes situations where a result has both positive and negative elements,</w:t>
      </w:r>
      <w:r w:rsidR="00606436" w:rsidRPr="0099225F">
        <w:rPr>
          <w:sz w:val="20"/>
        </w:rPr>
        <w:t xml:space="preserve"> </w:t>
      </w:r>
      <w:r w:rsidRPr="0099225F">
        <w:rPr>
          <w:rFonts w:cs="Arial"/>
          <w:color w:val="000000"/>
          <w:sz w:val="20"/>
        </w:rPr>
        <w:t>for example:</w:t>
      </w:r>
    </w:p>
    <w:p w14:paraId="5178F412" w14:textId="352BE013" w:rsidR="008F7F63" w:rsidRPr="0099225F" w:rsidRDefault="008F7F63" w:rsidP="008F7F63">
      <w:pPr>
        <w:pStyle w:val="Bullet1"/>
        <w:rPr>
          <w:sz w:val="20"/>
        </w:rPr>
      </w:pPr>
      <w:r w:rsidRPr="0099225F">
        <w:rPr>
          <w:sz w:val="20"/>
        </w:rPr>
        <w:t>the result is improving over time but is still some way from target</w:t>
      </w:r>
      <w:r w:rsidR="00F26516">
        <w:rPr>
          <w:sz w:val="20"/>
        </w:rPr>
        <w:t>.</w:t>
      </w:r>
    </w:p>
    <w:p w14:paraId="283839F8" w14:textId="6F400F11" w:rsidR="008F7F63" w:rsidRPr="0099225F" w:rsidRDefault="008F7F63" w:rsidP="008F7F63">
      <w:pPr>
        <w:pStyle w:val="Bullet1"/>
        <w:rPr>
          <w:sz w:val="20"/>
        </w:rPr>
      </w:pPr>
      <w:r w:rsidRPr="0099225F">
        <w:rPr>
          <w:sz w:val="20"/>
        </w:rPr>
        <w:t>the result compares well with other jurisdictions but is still not at the desired level</w:t>
      </w:r>
      <w:r w:rsidR="00F26516">
        <w:rPr>
          <w:sz w:val="20"/>
        </w:rPr>
        <w:t>.</w:t>
      </w:r>
    </w:p>
    <w:p w14:paraId="1014BA5C" w14:textId="078EFB09" w:rsidR="008F7F63" w:rsidRPr="0099225F" w:rsidRDefault="008F7F63" w:rsidP="008F7F63">
      <w:pPr>
        <w:pStyle w:val="Bullet1"/>
        <w:rPr>
          <w:sz w:val="20"/>
        </w:rPr>
      </w:pPr>
      <w:r w:rsidRPr="0099225F">
        <w:rPr>
          <w:sz w:val="20"/>
        </w:rPr>
        <w:t>the result has generally been improving over time, but a recent deterioration needs to be monitored</w:t>
      </w:r>
      <w:r w:rsidR="00F26516">
        <w:rPr>
          <w:sz w:val="20"/>
        </w:rPr>
        <w:t>.</w:t>
      </w:r>
    </w:p>
    <w:p w14:paraId="063E180B" w14:textId="6D202F9C" w:rsidR="008F7F63" w:rsidRPr="0099225F" w:rsidRDefault="008F7F63" w:rsidP="008F7F63">
      <w:pPr>
        <w:pStyle w:val="Bullet1"/>
        <w:rPr>
          <w:sz w:val="20"/>
        </w:rPr>
      </w:pPr>
      <w:r w:rsidRPr="0099225F">
        <w:rPr>
          <w:sz w:val="20"/>
        </w:rPr>
        <w:t>the result has deteriorated but for a known reason that is being addressed</w:t>
      </w:r>
      <w:r w:rsidR="00254875">
        <w:rPr>
          <w:sz w:val="20"/>
        </w:rPr>
        <w:t xml:space="preserve"> and or is considered transient</w:t>
      </w:r>
      <w:r w:rsidR="00F26516">
        <w:rPr>
          <w:sz w:val="20"/>
        </w:rPr>
        <w:t>.</w:t>
      </w:r>
    </w:p>
    <w:p w14:paraId="172D0F74" w14:textId="4A138F3F" w:rsidR="008F7F63" w:rsidRPr="0099225F" w:rsidRDefault="008F7F63" w:rsidP="008F7F63">
      <w:pPr>
        <w:pStyle w:val="Bullet1"/>
        <w:rPr>
          <w:sz w:val="20"/>
        </w:rPr>
      </w:pPr>
      <w:r w:rsidRPr="0099225F">
        <w:rPr>
          <w:sz w:val="20"/>
        </w:rPr>
        <w:t>there is little data available to assess progress, but what there is appears reasonably positive</w:t>
      </w:r>
      <w:r w:rsidR="00F26516">
        <w:rPr>
          <w:sz w:val="20"/>
        </w:rPr>
        <w:t>.</w:t>
      </w:r>
    </w:p>
    <w:p w14:paraId="12F76ED5" w14:textId="4844EF49" w:rsidR="008F7F63" w:rsidRPr="0099225F" w:rsidRDefault="008F7F63" w:rsidP="008F7F63">
      <w:pPr>
        <w:pStyle w:val="Bullet1"/>
        <w:rPr>
          <w:sz w:val="20"/>
        </w:rPr>
      </w:pPr>
      <w:r w:rsidRPr="0099225F">
        <w:rPr>
          <w:sz w:val="20"/>
        </w:rPr>
        <w:t>it is difficult to interpret whether the trend over time represents improved reporting or improved outcomes.</w:t>
      </w:r>
    </w:p>
    <w:p w14:paraId="3963A57D" w14:textId="77777777" w:rsidR="008F7F63" w:rsidRPr="0099225F" w:rsidRDefault="008F7F63" w:rsidP="00D207B2">
      <w:pPr>
        <w:pStyle w:val="Bodyafterbullets"/>
        <w:rPr>
          <w:sz w:val="20"/>
        </w:rPr>
      </w:pPr>
      <w:r w:rsidRPr="0099225F">
        <w:rPr>
          <w:b/>
          <w:bCs/>
          <w:color w:val="AF272F"/>
          <w:sz w:val="20"/>
        </w:rPr>
        <w:t>Red</w:t>
      </w:r>
      <w:r w:rsidRPr="0099225F">
        <w:rPr>
          <w:b/>
          <w:bCs/>
          <w:sz w:val="20"/>
        </w:rPr>
        <w:t xml:space="preserve"> </w:t>
      </w:r>
      <w:r w:rsidRPr="0099225F">
        <w:rPr>
          <w:sz w:val="20"/>
        </w:rPr>
        <w:t>(key message: result is of concern)</w:t>
      </w:r>
    </w:p>
    <w:p w14:paraId="3ED08A85" w14:textId="77777777" w:rsidR="008F7F63" w:rsidRPr="0099225F" w:rsidRDefault="008F7F63" w:rsidP="00E87AAA">
      <w:pPr>
        <w:pStyle w:val="Body"/>
        <w:rPr>
          <w:sz w:val="20"/>
        </w:rPr>
      </w:pPr>
      <w:r w:rsidRPr="0099225F">
        <w:rPr>
          <w:sz w:val="20"/>
        </w:rPr>
        <w:t>A red rating generally describes situations where the result may:</w:t>
      </w:r>
    </w:p>
    <w:p w14:paraId="1218C8E5" w14:textId="0C4E58B2" w:rsidR="008F7F63" w:rsidRPr="0099225F" w:rsidRDefault="008F7F63" w:rsidP="008F7F63">
      <w:pPr>
        <w:pStyle w:val="Bullet1"/>
        <w:rPr>
          <w:sz w:val="20"/>
        </w:rPr>
      </w:pPr>
      <w:r w:rsidRPr="0099225F">
        <w:rPr>
          <w:sz w:val="20"/>
        </w:rPr>
        <w:t>represent a poor outcome or a high level of risk for an undesirably high proportion of the people it relates to</w:t>
      </w:r>
      <w:r w:rsidR="00F26516">
        <w:rPr>
          <w:sz w:val="20"/>
        </w:rPr>
        <w:t>.</w:t>
      </w:r>
    </w:p>
    <w:p w14:paraId="5BDFB668" w14:textId="6B6B3E9F" w:rsidR="008F7F63" w:rsidRPr="0099225F" w:rsidRDefault="008F7F63" w:rsidP="008F7F63">
      <w:pPr>
        <w:pStyle w:val="Bullet1"/>
        <w:rPr>
          <w:sz w:val="20"/>
        </w:rPr>
      </w:pPr>
      <w:r w:rsidRPr="0099225F">
        <w:rPr>
          <w:sz w:val="20"/>
        </w:rPr>
        <w:t>be consistently deteriorating over time</w:t>
      </w:r>
      <w:r w:rsidR="00F26516">
        <w:rPr>
          <w:sz w:val="20"/>
        </w:rPr>
        <w:t>.</w:t>
      </w:r>
    </w:p>
    <w:p w14:paraId="0619DBAA" w14:textId="2169CA5B" w:rsidR="00614288" w:rsidRPr="00433069" w:rsidRDefault="008F7F63" w:rsidP="007D6BCA">
      <w:pPr>
        <w:pStyle w:val="Bullet1"/>
      </w:pPr>
      <w:r w:rsidRPr="0099225F">
        <w:rPr>
          <w:sz w:val="20"/>
          <w:lang w:eastAsia="en-AU"/>
        </w:rPr>
        <w:t>be well off target and stable or somewhat deteriorating over time.</w:t>
      </w:r>
      <w:r w:rsidR="00614288" w:rsidRPr="007D6BCA">
        <w:br w:type="page"/>
      </w:r>
    </w:p>
    <w:p w14:paraId="404E5245" w14:textId="7184ECEC" w:rsidR="00326F77" w:rsidRPr="00DB4F90" w:rsidRDefault="001C1E0C" w:rsidP="007D6BCA">
      <w:pPr>
        <w:pStyle w:val="Heading1"/>
      </w:pPr>
      <w:bookmarkStart w:id="34" w:name="_Toc19007971"/>
      <w:bookmarkStart w:id="35" w:name="_Toc140843409"/>
      <w:r w:rsidRPr="007D6BCA">
        <w:lastRenderedPageBreak/>
        <w:t xml:space="preserve">Dashboard: </w:t>
      </w:r>
      <w:r w:rsidR="00445528">
        <w:t>September</w:t>
      </w:r>
      <w:r w:rsidRPr="007D6BCA">
        <w:t xml:space="preserve"> 20</w:t>
      </w:r>
      <w:r w:rsidR="00096307">
        <w:t>2</w:t>
      </w:r>
      <w:bookmarkEnd w:id="34"/>
      <w:r w:rsidR="00523C27">
        <w:t>3</w:t>
      </w:r>
      <w:bookmarkEnd w:id="35"/>
      <w:r w:rsidRPr="00DB4F90">
        <w:t xml:space="preserve"> </w:t>
      </w:r>
    </w:p>
    <w:p w14:paraId="12ABC369" w14:textId="4E7A3B00" w:rsidR="008F6DFF" w:rsidRPr="0099225F" w:rsidRDefault="001C1E0C" w:rsidP="00E87AAA">
      <w:pPr>
        <w:pStyle w:val="Body"/>
        <w:rPr>
          <w:sz w:val="20"/>
        </w:rPr>
      </w:pPr>
      <w:r w:rsidRPr="0099225F">
        <w:rPr>
          <w:sz w:val="20"/>
          <w:lang w:eastAsia="en-AU"/>
        </w:rPr>
        <w:t>This dashboard shows the number of measures in each key result by traffic light rating.</w:t>
      </w:r>
      <w:r w:rsidRPr="0099225F">
        <w:rPr>
          <w:sz w:val="20"/>
        </w:rPr>
        <w:t xml:space="preserve"> </w:t>
      </w:r>
      <w:r w:rsidR="00A576EF" w:rsidRPr="0099225F">
        <w:rPr>
          <w:sz w:val="20"/>
          <w:lang w:eastAsia="en-AU"/>
        </w:rPr>
        <w:t>Key result</w:t>
      </w:r>
      <w:r w:rsidR="003F4BEA" w:rsidRPr="0099225F">
        <w:rPr>
          <w:sz w:val="20"/>
          <w:lang w:eastAsia="en-AU"/>
        </w:rPr>
        <w:t>s</w:t>
      </w:r>
      <w:r w:rsidR="00A576EF" w:rsidRPr="0099225F">
        <w:rPr>
          <w:sz w:val="20"/>
          <w:lang w:eastAsia="en-AU"/>
        </w:rPr>
        <w:t xml:space="preserve"> by traffic light rating</w:t>
      </w:r>
      <w:r w:rsidR="00A576EF" w:rsidRPr="0099225F">
        <w:rPr>
          <w:sz w:val="20"/>
        </w:rPr>
        <w:t xml:space="preserve"> for each goal is also presented. </w:t>
      </w:r>
      <w:r w:rsidR="003D1168" w:rsidRPr="0099225F">
        <w:rPr>
          <w:sz w:val="20"/>
        </w:rPr>
        <w:t>Please note that key results where no measures are currently reported are not shown in the dashboard</w:t>
      </w:r>
      <w:r w:rsidR="00614288" w:rsidRPr="0099225F">
        <w:rPr>
          <w:sz w:val="20"/>
        </w:rPr>
        <w:t xml:space="preserve"> –</w:t>
      </w:r>
      <w:r w:rsidR="00646458" w:rsidRPr="0099225F">
        <w:rPr>
          <w:sz w:val="20"/>
        </w:rPr>
        <w:t xml:space="preserve"> </w:t>
      </w:r>
      <w:r w:rsidR="008869C1" w:rsidRPr="0099225F">
        <w:rPr>
          <w:sz w:val="20"/>
        </w:rPr>
        <w:t>for example,</w:t>
      </w:r>
      <w:r w:rsidR="00646458" w:rsidRPr="0099225F">
        <w:rPr>
          <w:sz w:val="20"/>
        </w:rPr>
        <w:t xml:space="preserve"> </w:t>
      </w:r>
      <w:r w:rsidR="004E5730" w:rsidRPr="0099225F">
        <w:rPr>
          <w:sz w:val="20"/>
        </w:rPr>
        <w:t>number</w:t>
      </w:r>
      <w:r w:rsidR="00442073" w:rsidRPr="0099225F">
        <w:rPr>
          <w:sz w:val="20"/>
        </w:rPr>
        <w:t xml:space="preserve"> </w:t>
      </w:r>
      <w:r w:rsidR="000E130D" w:rsidRPr="0099225F">
        <w:rPr>
          <w:sz w:val="20"/>
        </w:rPr>
        <w:t xml:space="preserve">14. </w:t>
      </w:r>
      <w:r w:rsidR="00614288" w:rsidRPr="0099225F">
        <w:rPr>
          <w:sz w:val="20"/>
        </w:rPr>
        <w:t>‘</w:t>
      </w:r>
      <w:r w:rsidR="008B475D" w:rsidRPr="0099225F">
        <w:rPr>
          <w:sz w:val="20"/>
        </w:rPr>
        <w:t>Not applicable</w:t>
      </w:r>
      <w:r w:rsidR="00614288" w:rsidRPr="0099225F">
        <w:rPr>
          <w:sz w:val="20"/>
        </w:rPr>
        <w:t>’</w:t>
      </w:r>
      <w:r w:rsidR="008B475D" w:rsidRPr="0099225F">
        <w:rPr>
          <w:sz w:val="20"/>
        </w:rPr>
        <w:t xml:space="preserve"> (N/A) is used i</w:t>
      </w:r>
      <w:r w:rsidR="00633D97" w:rsidRPr="0099225F">
        <w:rPr>
          <w:sz w:val="20"/>
        </w:rPr>
        <w:t>n circumstances where no data ha</w:t>
      </w:r>
      <w:r w:rsidR="00614288" w:rsidRPr="0099225F">
        <w:rPr>
          <w:sz w:val="20"/>
        </w:rPr>
        <w:t>s</w:t>
      </w:r>
      <w:r w:rsidR="00633D97" w:rsidRPr="0099225F">
        <w:rPr>
          <w:sz w:val="20"/>
        </w:rPr>
        <w:t xml:space="preserve"> been identified </w:t>
      </w:r>
      <w:r w:rsidR="00E65AFA" w:rsidRPr="0099225F">
        <w:rPr>
          <w:sz w:val="20"/>
        </w:rPr>
        <w:t>for specific measures</w:t>
      </w:r>
      <w:r w:rsidR="008B475D" w:rsidRPr="0099225F">
        <w:rPr>
          <w:sz w:val="20"/>
        </w:rPr>
        <w:t>.</w:t>
      </w:r>
      <w:r w:rsidR="00614288" w:rsidRPr="0099225F">
        <w:rPr>
          <w:sz w:val="20"/>
        </w:rPr>
        <w:t xml:space="preserve"> Some cells have been left intentionally blank.</w:t>
      </w:r>
    </w:p>
    <w:tbl>
      <w:tblPr>
        <w:tblW w:w="9870" w:type="dxa"/>
        <w:tblInd w:w="-5" w:type="dxa"/>
        <w:tblBorders>
          <w:insideH w:val="single" w:sz="4" w:space="0" w:color="AF272F"/>
        </w:tblBorders>
        <w:tblLook w:val="04A0" w:firstRow="1" w:lastRow="0" w:firstColumn="1" w:lastColumn="0" w:noHBand="0" w:noVBand="1"/>
      </w:tblPr>
      <w:tblGrid>
        <w:gridCol w:w="6668"/>
        <w:gridCol w:w="821"/>
        <w:gridCol w:w="857"/>
        <w:gridCol w:w="798"/>
        <w:gridCol w:w="726"/>
      </w:tblGrid>
      <w:tr w:rsidR="008F6DFF" w:rsidRPr="0099225F" w14:paraId="594DADD6" w14:textId="77777777" w:rsidTr="00F442E5">
        <w:trPr>
          <w:trHeight w:val="369"/>
          <w:tblHeader/>
        </w:trPr>
        <w:tc>
          <w:tcPr>
            <w:tcW w:w="6668" w:type="dxa"/>
            <w:shd w:val="clear" w:color="auto" w:fill="auto"/>
          </w:tcPr>
          <w:p w14:paraId="71D5698E" w14:textId="4CCCEFFA" w:rsidR="008F6DFF" w:rsidRPr="0099225F" w:rsidRDefault="00A576EF" w:rsidP="003B391F">
            <w:pPr>
              <w:pStyle w:val="Tablecolhead"/>
              <w:rPr>
                <w:sz w:val="20"/>
              </w:rPr>
            </w:pPr>
            <w:r w:rsidRPr="0099225F">
              <w:rPr>
                <w:color w:val="000000" w:themeColor="text1"/>
                <w:sz w:val="20"/>
              </w:rPr>
              <w:t xml:space="preserve">Measures </w:t>
            </w:r>
            <w:r w:rsidR="00AC75DC" w:rsidRPr="0099225F">
              <w:rPr>
                <w:color w:val="000000" w:themeColor="text1"/>
                <w:sz w:val="20"/>
              </w:rPr>
              <w:t>–</w:t>
            </w:r>
            <w:r w:rsidRPr="0099225F">
              <w:rPr>
                <w:color w:val="000000" w:themeColor="text1"/>
                <w:sz w:val="20"/>
              </w:rPr>
              <w:t xml:space="preserve"> </w:t>
            </w:r>
            <w:r w:rsidR="00AC75DC" w:rsidRPr="0099225F">
              <w:rPr>
                <w:color w:val="000000" w:themeColor="text1"/>
                <w:sz w:val="20"/>
              </w:rPr>
              <w:t>k</w:t>
            </w:r>
            <w:r w:rsidR="008F6DFF" w:rsidRPr="0099225F">
              <w:rPr>
                <w:color w:val="000000" w:themeColor="text1"/>
                <w:sz w:val="20"/>
              </w:rPr>
              <w:t>ey results</w:t>
            </w:r>
          </w:p>
        </w:tc>
        <w:tc>
          <w:tcPr>
            <w:tcW w:w="821" w:type="dxa"/>
            <w:shd w:val="clear" w:color="auto" w:fill="auto"/>
          </w:tcPr>
          <w:p w14:paraId="233F6FA3" w14:textId="77777777" w:rsidR="008F6DFF" w:rsidRPr="0099225F" w:rsidRDefault="008F6DFF" w:rsidP="003B391F">
            <w:pPr>
              <w:pStyle w:val="Tablecolhead"/>
              <w:rPr>
                <w:rFonts w:cs="Arial"/>
                <w:sz w:val="20"/>
              </w:rPr>
            </w:pPr>
            <w:r w:rsidRPr="0099225F">
              <w:rPr>
                <w:sz w:val="20"/>
              </w:rPr>
              <w:t>Red</w:t>
            </w:r>
          </w:p>
        </w:tc>
        <w:tc>
          <w:tcPr>
            <w:tcW w:w="857" w:type="dxa"/>
            <w:shd w:val="clear" w:color="auto" w:fill="auto"/>
          </w:tcPr>
          <w:p w14:paraId="53AA8E37" w14:textId="77777777" w:rsidR="008F6DFF" w:rsidRPr="0099225F" w:rsidRDefault="008F6DFF" w:rsidP="003B391F">
            <w:pPr>
              <w:pStyle w:val="Tablecolhead"/>
              <w:rPr>
                <w:rFonts w:cs="Arial"/>
                <w:sz w:val="20"/>
              </w:rPr>
            </w:pPr>
            <w:r w:rsidRPr="0099225F">
              <w:rPr>
                <w:color w:val="C5511A"/>
                <w:sz w:val="20"/>
              </w:rPr>
              <w:t>Amber</w:t>
            </w:r>
          </w:p>
        </w:tc>
        <w:tc>
          <w:tcPr>
            <w:tcW w:w="798" w:type="dxa"/>
            <w:shd w:val="clear" w:color="auto" w:fill="auto"/>
          </w:tcPr>
          <w:p w14:paraId="511EB131" w14:textId="77777777" w:rsidR="008F6DFF" w:rsidRPr="0099225F" w:rsidRDefault="008F6DFF" w:rsidP="003B391F">
            <w:pPr>
              <w:pStyle w:val="Tablecolhead"/>
              <w:rPr>
                <w:rFonts w:cs="Arial"/>
                <w:sz w:val="20"/>
              </w:rPr>
            </w:pPr>
            <w:r w:rsidRPr="0099225F">
              <w:rPr>
                <w:color w:val="007B4B"/>
                <w:sz w:val="20"/>
              </w:rPr>
              <w:t>Green</w:t>
            </w:r>
          </w:p>
        </w:tc>
        <w:tc>
          <w:tcPr>
            <w:tcW w:w="726" w:type="dxa"/>
          </w:tcPr>
          <w:p w14:paraId="21807D25" w14:textId="77777777" w:rsidR="008F6DFF" w:rsidRPr="0099225F" w:rsidRDefault="008F6DFF" w:rsidP="003B391F">
            <w:pPr>
              <w:pStyle w:val="Tablecolhead"/>
              <w:rPr>
                <w:rFonts w:cs="Arial"/>
                <w:sz w:val="20"/>
              </w:rPr>
            </w:pPr>
            <w:r w:rsidRPr="0099225F">
              <w:rPr>
                <w:color w:val="000000" w:themeColor="text1"/>
                <w:sz w:val="20"/>
              </w:rPr>
              <w:t>N/A</w:t>
            </w:r>
          </w:p>
        </w:tc>
      </w:tr>
      <w:tr w:rsidR="008F6DFF" w:rsidRPr="0099225F" w14:paraId="7955AA65" w14:textId="77777777" w:rsidTr="00406E01">
        <w:trPr>
          <w:trHeight w:val="390"/>
        </w:trPr>
        <w:tc>
          <w:tcPr>
            <w:tcW w:w="6668" w:type="dxa"/>
            <w:shd w:val="clear" w:color="auto" w:fill="auto"/>
          </w:tcPr>
          <w:p w14:paraId="1412C9D4" w14:textId="77777777" w:rsidR="008F6DFF" w:rsidRPr="0099225F" w:rsidRDefault="008F6DFF" w:rsidP="003B391F">
            <w:pPr>
              <w:pStyle w:val="DHHSnumberdigit"/>
            </w:pPr>
            <w:r w:rsidRPr="0099225F">
              <w:t>Decrease incidence of preventable cancers (8)</w:t>
            </w:r>
          </w:p>
        </w:tc>
        <w:tc>
          <w:tcPr>
            <w:tcW w:w="821" w:type="dxa"/>
            <w:shd w:val="clear" w:color="auto" w:fill="FFFFFF" w:themeFill="background1"/>
          </w:tcPr>
          <w:p w14:paraId="2FD590C0" w14:textId="104B0494" w:rsidR="008F6DFF" w:rsidRPr="0099225F" w:rsidRDefault="008F6DFF" w:rsidP="003B391F">
            <w:pPr>
              <w:pStyle w:val="Tabletext"/>
              <w:jc w:val="center"/>
              <w:rPr>
                <w:sz w:val="20"/>
              </w:rPr>
            </w:pPr>
          </w:p>
        </w:tc>
        <w:tc>
          <w:tcPr>
            <w:tcW w:w="857" w:type="dxa"/>
            <w:shd w:val="clear" w:color="auto" w:fill="E8B9A3"/>
          </w:tcPr>
          <w:p w14:paraId="2F1EDB36" w14:textId="5CA7112E" w:rsidR="008F6DFF" w:rsidRPr="0099225F" w:rsidRDefault="00406E01" w:rsidP="003B391F">
            <w:pPr>
              <w:pStyle w:val="Tabletext"/>
              <w:jc w:val="center"/>
              <w:rPr>
                <w:sz w:val="20"/>
              </w:rPr>
            </w:pPr>
            <w:r>
              <w:rPr>
                <w:sz w:val="20"/>
              </w:rPr>
              <w:t>7</w:t>
            </w:r>
          </w:p>
        </w:tc>
        <w:tc>
          <w:tcPr>
            <w:tcW w:w="798" w:type="dxa"/>
            <w:shd w:val="clear" w:color="auto" w:fill="99CAB7"/>
          </w:tcPr>
          <w:p w14:paraId="4DCC68B4" w14:textId="7966A172" w:rsidR="008F6DFF" w:rsidRPr="0099225F" w:rsidRDefault="00CE2949" w:rsidP="003B391F">
            <w:pPr>
              <w:pStyle w:val="Tabletext"/>
              <w:jc w:val="center"/>
              <w:rPr>
                <w:sz w:val="20"/>
              </w:rPr>
            </w:pPr>
            <w:r>
              <w:rPr>
                <w:sz w:val="20"/>
              </w:rPr>
              <w:t>1</w:t>
            </w:r>
          </w:p>
        </w:tc>
        <w:tc>
          <w:tcPr>
            <w:tcW w:w="726" w:type="dxa"/>
          </w:tcPr>
          <w:p w14:paraId="35D9A32C" w14:textId="77777777" w:rsidR="008F6DFF" w:rsidRPr="0099225F" w:rsidRDefault="008F6DFF" w:rsidP="003B391F">
            <w:pPr>
              <w:pStyle w:val="Tabletext"/>
              <w:jc w:val="center"/>
              <w:rPr>
                <w:sz w:val="20"/>
              </w:rPr>
            </w:pPr>
          </w:p>
        </w:tc>
      </w:tr>
      <w:tr w:rsidR="008F6DFF" w:rsidRPr="0099225F" w14:paraId="73DF4330" w14:textId="77777777" w:rsidTr="00F442E5">
        <w:trPr>
          <w:trHeight w:val="400"/>
        </w:trPr>
        <w:tc>
          <w:tcPr>
            <w:tcW w:w="6668" w:type="dxa"/>
            <w:shd w:val="clear" w:color="auto" w:fill="auto"/>
          </w:tcPr>
          <w:p w14:paraId="6676D59B" w14:textId="77777777" w:rsidR="008F6DFF" w:rsidRPr="0099225F" w:rsidRDefault="008F6DFF" w:rsidP="003B391F">
            <w:pPr>
              <w:pStyle w:val="DHHSnumberdigit"/>
            </w:pPr>
            <w:r w:rsidRPr="0099225F">
              <w:t>Decrease deaths due to cancer (3)</w:t>
            </w:r>
          </w:p>
        </w:tc>
        <w:tc>
          <w:tcPr>
            <w:tcW w:w="821" w:type="dxa"/>
            <w:shd w:val="clear" w:color="auto" w:fill="auto"/>
          </w:tcPr>
          <w:p w14:paraId="77ED9151" w14:textId="77777777" w:rsidR="008F6DFF" w:rsidRPr="0099225F" w:rsidRDefault="008F6DFF" w:rsidP="003B391F">
            <w:pPr>
              <w:pStyle w:val="Tabletext"/>
              <w:jc w:val="center"/>
              <w:rPr>
                <w:sz w:val="20"/>
              </w:rPr>
            </w:pPr>
          </w:p>
        </w:tc>
        <w:tc>
          <w:tcPr>
            <w:tcW w:w="857" w:type="dxa"/>
            <w:shd w:val="clear" w:color="auto" w:fill="auto"/>
          </w:tcPr>
          <w:p w14:paraId="6FECD3D9" w14:textId="77777777" w:rsidR="008F6DFF" w:rsidRPr="0099225F" w:rsidRDefault="008F6DFF" w:rsidP="003B391F">
            <w:pPr>
              <w:pStyle w:val="Tabletext"/>
              <w:jc w:val="center"/>
              <w:rPr>
                <w:sz w:val="20"/>
              </w:rPr>
            </w:pPr>
          </w:p>
        </w:tc>
        <w:tc>
          <w:tcPr>
            <w:tcW w:w="798" w:type="dxa"/>
            <w:shd w:val="clear" w:color="auto" w:fill="99CAB7"/>
          </w:tcPr>
          <w:p w14:paraId="6B881CBF" w14:textId="77777777" w:rsidR="008F6DFF" w:rsidRPr="0099225F" w:rsidRDefault="008F6DFF" w:rsidP="003B391F">
            <w:pPr>
              <w:pStyle w:val="Tabletext"/>
              <w:jc w:val="center"/>
              <w:rPr>
                <w:sz w:val="20"/>
              </w:rPr>
            </w:pPr>
            <w:r w:rsidRPr="0099225F">
              <w:rPr>
                <w:sz w:val="20"/>
              </w:rPr>
              <w:t>3</w:t>
            </w:r>
          </w:p>
        </w:tc>
        <w:tc>
          <w:tcPr>
            <w:tcW w:w="726" w:type="dxa"/>
          </w:tcPr>
          <w:p w14:paraId="5FC3C166" w14:textId="77777777" w:rsidR="008F6DFF" w:rsidRPr="0099225F" w:rsidRDefault="008F6DFF" w:rsidP="003B391F">
            <w:pPr>
              <w:pStyle w:val="Tabletext"/>
              <w:jc w:val="center"/>
              <w:rPr>
                <w:sz w:val="20"/>
              </w:rPr>
            </w:pPr>
          </w:p>
        </w:tc>
      </w:tr>
      <w:tr w:rsidR="00335BEC" w:rsidRPr="0099225F" w14:paraId="64C29DE4" w14:textId="77777777" w:rsidTr="00335BEC">
        <w:trPr>
          <w:trHeight w:val="400"/>
        </w:trPr>
        <w:tc>
          <w:tcPr>
            <w:tcW w:w="6668" w:type="dxa"/>
            <w:shd w:val="clear" w:color="auto" w:fill="auto"/>
          </w:tcPr>
          <w:p w14:paraId="75E00838" w14:textId="49230C1B" w:rsidR="00335BEC" w:rsidRPr="0099225F" w:rsidRDefault="00335BEC" w:rsidP="00335BEC">
            <w:pPr>
              <w:pStyle w:val="DHHSnumberdigit"/>
            </w:pPr>
            <w:r>
              <w:t>Quality of life (1)</w:t>
            </w:r>
          </w:p>
        </w:tc>
        <w:tc>
          <w:tcPr>
            <w:tcW w:w="821" w:type="dxa"/>
            <w:shd w:val="clear" w:color="auto" w:fill="FFFFFF" w:themeFill="background1"/>
          </w:tcPr>
          <w:p w14:paraId="2EA84B0D" w14:textId="77777777" w:rsidR="00335BEC" w:rsidRPr="00335BEC" w:rsidRDefault="00335BEC" w:rsidP="003B391F">
            <w:pPr>
              <w:pStyle w:val="Tabletext"/>
              <w:jc w:val="center"/>
              <w:rPr>
                <w:color w:val="FFFFFF" w:themeColor="background1"/>
                <w:sz w:val="20"/>
                <w14:textFill>
                  <w14:noFill/>
                </w14:textFill>
              </w:rPr>
            </w:pPr>
          </w:p>
        </w:tc>
        <w:tc>
          <w:tcPr>
            <w:tcW w:w="857" w:type="dxa"/>
            <w:shd w:val="clear" w:color="auto" w:fill="E8B9A3"/>
          </w:tcPr>
          <w:p w14:paraId="0953EB32" w14:textId="19301FBA" w:rsidR="00335BEC" w:rsidRPr="0099225F" w:rsidRDefault="00335BEC" w:rsidP="003B391F">
            <w:pPr>
              <w:pStyle w:val="Tabletext"/>
              <w:jc w:val="center"/>
              <w:rPr>
                <w:sz w:val="20"/>
              </w:rPr>
            </w:pPr>
            <w:r>
              <w:rPr>
                <w:sz w:val="20"/>
              </w:rPr>
              <w:t>1</w:t>
            </w:r>
          </w:p>
        </w:tc>
        <w:tc>
          <w:tcPr>
            <w:tcW w:w="798" w:type="dxa"/>
            <w:shd w:val="clear" w:color="auto" w:fill="auto"/>
          </w:tcPr>
          <w:p w14:paraId="73729CDA" w14:textId="77777777" w:rsidR="00335BEC" w:rsidRPr="0099225F" w:rsidRDefault="00335BEC" w:rsidP="003B391F">
            <w:pPr>
              <w:pStyle w:val="Tabletext"/>
              <w:jc w:val="center"/>
              <w:rPr>
                <w:sz w:val="20"/>
              </w:rPr>
            </w:pPr>
          </w:p>
        </w:tc>
        <w:tc>
          <w:tcPr>
            <w:tcW w:w="726" w:type="dxa"/>
          </w:tcPr>
          <w:p w14:paraId="0EF8402C" w14:textId="77777777" w:rsidR="00335BEC" w:rsidRPr="0099225F" w:rsidRDefault="00335BEC" w:rsidP="003B391F">
            <w:pPr>
              <w:pStyle w:val="Tabletext"/>
              <w:jc w:val="center"/>
              <w:rPr>
                <w:sz w:val="20"/>
              </w:rPr>
            </w:pPr>
          </w:p>
        </w:tc>
      </w:tr>
      <w:tr w:rsidR="008F6DFF" w:rsidRPr="0099225F" w14:paraId="4358EB17" w14:textId="77777777" w:rsidTr="00F442E5">
        <w:trPr>
          <w:trHeight w:val="400"/>
        </w:trPr>
        <w:tc>
          <w:tcPr>
            <w:tcW w:w="6668" w:type="dxa"/>
            <w:shd w:val="clear" w:color="auto" w:fill="auto"/>
          </w:tcPr>
          <w:p w14:paraId="5721802C" w14:textId="77777777" w:rsidR="008F6DFF" w:rsidRPr="0099225F" w:rsidRDefault="008F6DFF" w:rsidP="008F6DFF">
            <w:pPr>
              <w:pStyle w:val="DHHSnumberdigit"/>
              <w:numPr>
                <w:ilvl w:val="0"/>
                <w:numId w:val="60"/>
              </w:numPr>
            </w:pPr>
            <w:r w:rsidRPr="0099225F">
              <w:t>Equitably reduce cancer incidence (3)</w:t>
            </w:r>
          </w:p>
        </w:tc>
        <w:tc>
          <w:tcPr>
            <w:tcW w:w="821" w:type="dxa"/>
            <w:shd w:val="clear" w:color="auto" w:fill="EDCDCF"/>
          </w:tcPr>
          <w:p w14:paraId="3B3EFC04" w14:textId="77777777" w:rsidR="008F6DFF" w:rsidRPr="0099225F" w:rsidRDefault="008F6DFF" w:rsidP="003B391F">
            <w:pPr>
              <w:pStyle w:val="Tabletext"/>
              <w:jc w:val="center"/>
              <w:rPr>
                <w:sz w:val="20"/>
              </w:rPr>
            </w:pPr>
            <w:r w:rsidRPr="0099225F">
              <w:rPr>
                <w:sz w:val="20"/>
              </w:rPr>
              <w:t>1</w:t>
            </w:r>
          </w:p>
        </w:tc>
        <w:tc>
          <w:tcPr>
            <w:tcW w:w="857" w:type="dxa"/>
            <w:shd w:val="clear" w:color="auto" w:fill="E8B9A3"/>
          </w:tcPr>
          <w:p w14:paraId="7A56EBBC" w14:textId="77777777" w:rsidR="008F6DFF" w:rsidRPr="0099225F" w:rsidRDefault="008F6DFF" w:rsidP="003B391F">
            <w:pPr>
              <w:pStyle w:val="Tabletext"/>
              <w:jc w:val="center"/>
              <w:rPr>
                <w:sz w:val="20"/>
              </w:rPr>
            </w:pPr>
            <w:r w:rsidRPr="0099225F">
              <w:rPr>
                <w:sz w:val="20"/>
              </w:rPr>
              <w:t>2</w:t>
            </w:r>
          </w:p>
        </w:tc>
        <w:tc>
          <w:tcPr>
            <w:tcW w:w="798" w:type="dxa"/>
            <w:shd w:val="clear" w:color="auto" w:fill="auto"/>
          </w:tcPr>
          <w:p w14:paraId="739E73AB" w14:textId="77777777" w:rsidR="008F6DFF" w:rsidRPr="0099225F" w:rsidRDefault="008F6DFF" w:rsidP="003B391F">
            <w:pPr>
              <w:pStyle w:val="Tabletext"/>
              <w:jc w:val="center"/>
              <w:rPr>
                <w:sz w:val="20"/>
              </w:rPr>
            </w:pPr>
          </w:p>
        </w:tc>
        <w:tc>
          <w:tcPr>
            <w:tcW w:w="726" w:type="dxa"/>
          </w:tcPr>
          <w:p w14:paraId="20C86860" w14:textId="77777777" w:rsidR="008F6DFF" w:rsidRPr="0099225F" w:rsidRDefault="008F6DFF" w:rsidP="003B391F">
            <w:pPr>
              <w:pStyle w:val="Tabletext"/>
              <w:jc w:val="center"/>
              <w:rPr>
                <w:sz w:val="20"/>
              </w:rPr>
            </w:pPr>
          </w:p>
        </w:tc>
      </w:tr>
      <w:tr w:rsidR="008F6DFF" w:rsidRPr="0099225F" w14:paraId="6CB3794A" w14:textId="77777777" w:rsidTr="00F442E5">
        <w:trPr>
          <w:trHeight w:val="390"/>
        </w:trPr>
        <w:tc>
          <w:tcPr>
            <w:tcW w:w="6668" w:type="dxa"/>
            <w:shd w:val="clear" w:color="auto" w:fill="auto"/>
          </w:tcPr>
          <w:p w14:paraId="453F9E62" w14:textId="77777777" w:rsidR="008F6DFF" w:rsidRPr="0099225F" w:rsidRDefault="008F6DFF" w:rsidP="003B391F">
            <w:pPr>
              <w:pStyle w:val="DHHSnumberdigit"/>
              <w:rPr>
                <w:rFonts w:cs="Arial"/>
              </w:rPr>
            </w:pPr>
            <w:r w:rsidRPr="0099225F">
              <w:rPr>
                <w:rFonts w:cs="Arial"/>
              </w:rPr>
              <w:t>Equitably reduce cancer deaths (3)</w:t>
            </w:r>
          </w:p>
        </w:tc>
        <w:tc>
          <w:tcPr>
            <w:tcW w:w="821" w:type="dxa"/>
            <w:shd w:val="clear" w:color="auto" w:fill="EDCDCF"/>
          </w:tcPr>
          <w:p w14:paraId="34ABE4F4" w14:textId="77777777" w:rsidR="008F6DFF" w:rsidRPr="0099225F" w:rsidRDefault="008F6DFF" w:rsidP="003B391F">
            <w:pPr>
              <w:pStyle w:val="Tabletext"/>
              <w:jc w:val="center"/>
              <w:rPr>
                <w:sz w:val="20"/>
              </w:rPr>
            </w:pPr>
            <w:r w:rsidRPr="0099225F">
              <w:rPr>
                <w:sz w:val="20"/>
              </w:rPr>
              <w:t>2</w:t>
            </w:r>
          </w:p>
        </w:tc>
        <w:tc>
          <w:tcPr>
            <w:tcW w:w="857" w:type="dxa"/>
            <w:shd w:val="clear" w:color="auto" w:fill="E8B9A3"/>
          </w:tcPr>
          <w:p w14:paraId="417B25D4" w14:textId="77777777" w:rsidR="008F6DFF" w:rsidRPr="0099225F" w:rsidRDefault="008F6DFF" w:rsidP="003B391F">
            <w:pPr>
              <w:pStyle w:val="Tabletext"/>
              <w:jc w:val="center"/>
              <w:rPr>
                <w:sz w:val="20"/>
              </w:rPr>
            </w:pPr>
            <w:r w:rsidRPr="0099225F">
              <w:rPr>
                <w:sz w:val="20"/>
              </w:rPr>
              <w:t>1</w:t>
            </w:r>
          </w:p>
        </w:tc>
        <w:tc>
          <w:tcPr>
            <w:tcW w:w="798" w:type="dxa"/>
            <w:shd w:val="clear" w:color="auto" w:fill="auto"/>
          </w:tcPr>
          <w:p w14:paraId="2C6710E8" w14:textId="77777777" w:rsidR="008F6DFF" w:rsidRPr="0099225F" w:rsidRDefault="008F6DFF" w:rsidP="003B391F">
            <w:pPr>
              <w:pStyle w:val="Tabletext"/>
              <w:jc w:val="center"/>
              <w:rPr>
                <w:sz w:val="20"/>
              </w:rPr>
            </w:pPr>
          </w:p>
        </w:tc>
        <w:tc>
          <w:tcPr>
            <w:tcW w:w="726" w:type="dxa"/>
          </w:tcPr>
          <w:p w14:paraId="0900546C" w14:textId="77777777" w:rsidR="008F6DFF" w:rsidRPr="0099225F" w:rsidRDefault="008F6DFF" w:rsidP="003B391F">
            <w:pPr>
              <w:pStyle w:val="Tabletext"/>
              <w:jc w:val="center"/>
              <w:rPr>
                <w:sz w:val="20"/>
              </w:rPr>
            </w:pPr>
          </w:p>
        </w:tc>
      </w:tr>
      <w:tr w:rsidR="008F6DFF" w:rsidRPr="0099225F" w14:paraId="3AB8A4EF" w14:textId="77777777" w:rsidTr="001E2E96">
        <w:trPr>
          <w:trHeight w:val="400"/>
        </w:trPr>
        <w:tc>
          <w:tcPr>
            <w:tcW w:w="6668" w:type="dxa"/>
            <w:shd w:val="clear" w:color="auto" w:fill="auto"/>
          </w:tcPr>
          <w:p w14:paraId="3C4105B7" w14:textId="77777777" w:rsidR="008F6DFF" w:rsidRPr="0099225F" w:rsidRDefault="008F6DFF" w:rsidP="003B391F">
            <w:pPr>
              <w:pStyle w:val="DHHSnumberdigit"/>
              <w:rPr>
                <w:rFonts w:cs="Arial"/>
              </w:rPr>
            </w:pPr>
            <w:r w:rsidRPr="0099225F">
              <w:rPr>
                <w:rFonts w:cs="Arial"/>
              </w:rPr>
              <w:t>Decrease smoking and harmful alcohol consumption (4)</w:t>
            </w:r>
          </w:p>
        </w:tc>
        <w:tc>
          <w:tcPr>
            <w:tcW w:w="821" w:type="dxa"/>
            <w:shd w:val="clear" w:color="auto" w:fill="EDCDCF"/>
          </w:tcPr>
          <w:p w14:paraId="258524CF" w14:textId="6A3D3F75" w:rsidR="008F6DFF" w:rsidRPr="0099225F" w:rsidRDefault="003F200D" w:rsidP="003B391F">
            <w:pPr>
              <w:pStyle w:val="Tabletext"/>
              <w:jc w:val="center"/>
              <w:rPr>
                <w:sz w:val="20"/>
              </w:rPr>
            </w:pPr>
            <w:r>
              <w:rPr>
                <w:sz w:val="20"/>
              </w:rPr>
              <w:t>1</w:t>
            </w:r>
          </w:p>
        </w:tc>
        <w:tc>
          <w:tcPr>
            <w:tcW w:w="857" w:type="dxa"/>
            <w:shd w:val="clear" w:color="auto" w:fill="E8B9A3"/>
          </w:tcPr>
          <w:p w14:paraId="7FE1DF2E" w14:textId="12AB3524" w:rsidR="008F6DFF" w:rsidRPr="0099225F" w:rsidRDefault="00D37F38" w:rsidP="003B391F">
            <w:pPr>
              <w:pStyle w:val="Tabletext"/>
              <w:jc w:val="center"/>
              <w:rPr>
                <w:sz w:val="20"/>
              </w:rPr>
            </w:pPr>
            <w:r>
              <w:rPr>
                <w:sz w:val="20"/>
              </w:rPr>
              <w:t>1</w:t>
            </w:r>
          </w:p>
        </w:tc>
        <w:tc>
          <w:tcPr>
            <w:tcW w:w="798" w:type="dxa"/>
            <w:shd w:val="clear" w:color="auto" w:fill="99CAB7"/>
          </w:tcPr>
          <w:p w14:paraId="173BDA94" w14:textId="39317580" w:rsidR="008F6DFF" w:rsidRPr="0099225F" w:rsidRDefault="00D37F38" w:rsidP="003B391F">
            <w:pPr>
              <w:pStyle w:val="Tabletext"/>
              <w:jc w:val="center"/>
              <w:rPr>
                <w:sz w:val="20"/>
              </w:rPr>
            </w:pPr>
            <w:r>
              <w:rPr>
                <w:sz w:val="20"/>
              </w:rPr>
              <w:t>2</w:t>
            </w:r>
          </w:p>
        </w:tc>
        <w:tc>
          <w:tcPr>
            <w:tcW w:w="726" w:type="dxa"/>
          </w:tcPr>
          <w:p w14:paraId="6E3D24C6" w14:textId="77777777" w:rsidR="008F6DFF" w:rsidRPr="0099225F" w:rsidRDefault="008F6DFF" w:rsidP="003B391F">
            <w:pPr>
              <w:pStyle w:val="Tabletext"/>
              <w:jc w:val="center"/>
              <w:rPr>
                <w:sz w:val="20"/>
              </w:rPr>
            </w:pPr>
          </w:p>
        </w:tc>
      </w:tr>
      <w:tr w:rsidR="008F6DFF" w:rsidRPr="0099225F" w14:paraId="557D5D63" w14:textId="77777777" w:rsidTr="00F442E5">
        <w:trPr>
          <w:trHeight w:val="400"/>
        </w:trPr>
        <w:tc>
          <w:tcPr>
            <w:tcW w:w="6668" w:type="dxa"/>
            <w:shd w:val="clear" w:color="auto" w:fill="auto"/>
          </w:tcPr>
          <w:p w14:paraId="589C38F8" w14:textId="77777777" w:rsidR="008F6DFF" w:rsidRPr="0099225F" w:rsidRDefault="008F6DFF" w:rsidP="003B391F">
            <w:pPr>
              <w:pStyle w:val="DHHSnumberdigit"/>
              <w:rPr>
                <w:rFonts w:cs="Arial"/>
              </w:rPr>
            </w:pPr>
            <w:r w:rsidRPr="0099225F">
              <w:rPr>
                <w:rFonts w:cs="Arial"/>
              </w:rPr>
              <w:t>Increase healthier eating and active living (11)</w:t>
            </w:r>
          </w:p>
        </w:tc>
        <w:tc>
          <w:tcPr>
            <w:tcW w:w="821" w:type="dxa"/>
            <w:shd w:val="clear" w:color="auto" w:fill="EDCDCF"/>
          </w:tcPr>
          <w:p w14:paraId="7C425B41" w14:textId="77777777" w:rsidR="008F6DFF" w:rsidRPr="0099225F" w:rsidRDefault="008F6DFF" w:rsidP="003B391F">
            <w:pPr>
              <w:pStyle w:val="Tabletext"/>
              <w:jc w:val="center"/>
              <w:rPr>
                <w:sz w:val="20"/>
              </w:rPr>
            </w:pPr>
            <w:r w:rsidRPr="0099225F">
              <w:rPr>
                <w:sz w:val="20"/>
              </w:rPr>
              <w:t>6</w:t>
            </w:r>
          </w:p>
        </w:tc>
        <w:tc>
          <w:tcPr>
            <w:tcW w:w="857" w:type="dxa"/>
            <w:shd w:val="clear" w:color="auto" w:fill="E8B9A3"/>
            <w:vAlign w:val="center"/>
          </w:tcPr>
          <w:p w14:paraId="18B3D2AA" w14:textId="77777777" w:rsidR="008F6DFF" w:rsidRPr="0099225F" w:rsidRDefault="008F6DFF" w:rsidP="003B391F">
            <w:pPr>
              <w:pStyle w:val="Tabletext"/>
              <w:jc w:val="center"/>
              <w:rPr>
                <w:sz w:val="20"/>
              </w:rPr>
            </w:pPr>
            <w:r w:rsidRPr="0099225F">
              <w:rPr>
                <w:sz w:val="20"/>
              </w:rPr>
              <w:t>1</w:t>
            </w:r>
          </w:p>
        </w:tc>
        <w:tc>
          <w:tcPr>
            <w:tcW w:w="798" w:type="dxa"/>
            <w:shd w:val="clear" w:color="auto" w:fill="99CAB7"/>
          </w:tcPr>
          <w:p w14:paraId="45A57596" w14:textId="77777777" w:rsidR="008F6DFF" w:rsidRPr="0099225F" w:rsidRDefault="008F6DFF" w:rsidP="003B391F">
            <w:pPr>
              <w:pStyle w:val="Tabletext"/>
              <w:jc w:val="center"/>
              <w:rPr>
                <w:sz w:val="20"/>
              </w:rPr>
            </w:pPr>
            <w:r w:rsidRPr="0099225F">
              <w:rPr>
                <w:sz w:val="20"/>
              </w:rPr>
              <w:t>2</w:t>
            </w:r>
          </w:p>
        </w:tc>
        <w:tc>
          <w:tcPr>
            <w:tcW w:w="726" w:type="dxa"/>
            <w:shd w:val="clear" w:color="auto" w:fill="D9D9D9" w:themeFill="background1" w:themeFillShade="D9"/>
          </w:tcPr>
          <w:p w14:paraId="779CCD50" w14:textId="77777777" w:rsidR="008F6DFF" w:rsidRPr="0099225F" w:rsidRDefault="008F6DFF" w:rsidP="003B391F">
            <w:pPr>
              <w:pStyle w:val="Tabletext"/>
              <w:jc w:val="center"/>
              <w:rPr>
                <w:sz w:val="20"/>
              </w:rPr>
            </w:pPr>
            <w:r w:rsidRPr="0099225F">
              <w:rPr>
                <w:sz w:val="20"/>
              </w:rPr>
              <w:t>2</w:t>
            </w:r>
          </w:p>
        </w:tc>
      </w:tr>
      <w:tr w:rsidR="008F6DFF" w:rsidRPr="0099225F" w14:paraId="3FFBE483" w14:textId="77777777" w:rsidTr="00362CBF">
        <w:trPr>
          <w:trHeight w:val="390"/>
        </w:trPr>
        <w:tc>
          <w:tcPr>
            <w:tcW w:w="6668" w:type="dxa"/>
            <w:shd w:val="clear" w:color="auto" w:fill="auto"/>
          </w:tcPr>
          <w:p w14:paraId="45748B63" w14:textId="77777777" w:rsidR="008F6DFF" w:rsidRPr="0099225F" w:rsidRDefault="008F6DFF" w:rsidP="003B391F">
            <w:pPr>
              <w:pStyle w:val="DHHSnumberdigit"/>
              <w:rPr>
                <w:rFonts w:cs="Arial"/>
              </w:rPr>
            </w:pPr>
            <w:r w:rsidRPr="0099225F">
              <w:rPr>
                <w:rFonts w:cs="Arial"/>
              </w:rPr>
              <w:t>Decrease obesity (3)</w:t>
            </w:r>
          </w:p>
        </w:tc>
        <w:tc>
          <w:tcPr>
            <w:tcW w:w="821" w:type="dxa"/>
            <w:shd w:val="clear" w:color="auto" w:fill="EDCDCF"/>
          </w:tcPr>
          <w:p w14:paraId="23142870" w14:textId="7863548B" w:rsidR="008F6DFF" w:rsidRPr="0099225F" w:rsidRDefault="00362CBF" w:rsidP="003B391F">
            <w:pPr>
              <w:pStyle w:val="Tabletext"/>
              <w:jc w:val="center"/>
              <w:rPr>
                <w:sz w:val="20"/>
              </w:rPr>
            </w:pPr>
            <w:r>
              <w:rPr>
                <w:sz w:val="20"/>
              </w:rPr>
              <w:t>2</w:t>
            </w:r>
          </w:p>
        </w:tc>
        <w:tc>
          <w:tcPr>
            <w:tcW w:w="857" w:type="dxa"/>
            <w:shd w:val="clear" w:color="auto" w:fill="auto"/>
          </w:tcPr>
          <w:p w14:paraId="57601180" w14:textId="15AF4179" w:rsidR="008F6DFF" w:rsidRPr="0099225F" w:rsidRDefault="008F6DFF" w:rsidP="003B391F">
            <w:pPr>
              <w:pStyle w:val="Tabletext"/>
              <w:jc w:val="center"/>
              <w:rPr>
                <w:sz w:val="20"/>
              </w:rPr>
            </w:pPr>
          </w:p>
        </w:tc>
        <w:tc>
          <w:tcPr>
            <w:tcW w:w="798" w:type="dxa"/>
            <w:shd w:val="clear" w:color="auto" w:fill="99CAB7"/>
          </w:tcPr>
          <w:p w14:paraId="1B8C39EA" w14:textId="77777777" w:rsidR="008F6DFF" w:rsidRPr="0099225F" w:rsidRDefault="008F6DFF" w:rsidP="003B391F">
            <w:pPr>
              <w:pStyle w:val="Tabletext"/>
              <w:jc w:val="center"/>
              <w:rPr>
                <w:sz w:val="20"/>
              </w:rPr>
            </w:pPr>
            <w:r w:rsidRPr="0099225F">
              <w:rPr>
                <w:sz w:val="20"/>
              </w:rPr>
              <w:t>1</w:t>
            </w:r>
          </w:p>
        </w:tc>
        <w:tc>
          <w:tcPr>
            <w:tcW w:w="726" w:type="dxa"/>
          </w:tcPr>
          <w:p w14:paraId="6D967463" w14:textId="77777777" w:rsidR="008F6DFF" w:rsidRPr="0099225F" w:rsidRDefault="008F6DFF" w:rsidP="003B391F">
            <w:pPr>
              <w:pStyle w:val="Tabletext"/>
              <w:jc w:val="center"/>
              <w:rPr>
                <w:sz w:val="20"/>
                <w:highlight w:val="yellow"/>
              </w:rPr>
            </w:pPr>
          </w:p>
        </w:tc>
      </w:tr>
      <w:tr w:rsidR="008F6DFF" w:rsidRPr="0099225F" w14:paraId="0167FFA0" w14:textId="77777777" w:rsidTr="00F442E5">
        <w:trPr>
          <w:trHeight w:val="400"/>
        </w:trPr>
        <w:tc>
          <w:tcPr>
            <w:tcW w:w="6668" w:type="dxa"/>
            <w:shd w:val="clear" w:color="auto" w:fill="auto"/>
          </w:tcPr>
          <w:p w14:paraId="3D7A5AD2" w14:textId="77777777" w:rsidR="008F6DFF" w:rsidRPr="0099225F" w:rsidRDefault="008F6DFF" w:rsidP="003B391F">
            <w:pPr>
              <w:pStyle w:val="DHHSnumberdigit"/>
              <w:rPr>
                <w:rFonts w:cs="Arial"/>
              </w:rPr>
            </w:pPr>
            <w:r w:rsidRPr="0099225F">
              <w:rPr>
                <w:rFonts w:cs="Arial"/>
              </w:rPr>
              <w:t>Decrease ultraviolet (UV) exposure (2)</w:t>
            </w:r>
          </w:p>
        </w:tc>
        <w:tc>
          <w:tcPr>
            <w:tcW w:w="821" w:type="dxa"/>
            <w:shd w:val="clear" w:color="auto" w:fill="auto"/>
          </w:tcPr>
          <w:p w14:paraId="19FAECFA" w14:textId="77777777" w:rsidR="008F6DFF" w:rsidRPr="0099225F" w:rsidRDefault="008F6DFF" w:rsidP="003B391F">
            <w:pPr>
              <w:pStyle w:val="Tabletext"/>
              <w:jc w:val="center"/>
              <w:rPr>
                <w:sz w:val="20"/>
              </w:rPr>
            </w:pPr>
          </w:p>
        </w:tc>
        <w:tc>
          <w:tcPr>
            <w:tcW w:w="857" w:type="dxa"/>
            <w:shd w:val="clear" w:color="auto" w:fill="E8B9A3"/>
          </w:tcPr>
          <w:p w14:paraId="4A61FF9F" w14:textId="77777777" w:rsidR="008F6DFF" w:rsidRPr="0099225F" w:rsidRDefault="008F6DFF" w:rsidP="003B391F">
            <w:pPr>
              <w:pStyle w:val="Tabletext"/>
              <w:jc w:val="center"/>
              <w:rPr>
                <w:sz w:val="20"/>
              </w:rPr>
            </w:pPr>
            <w:r w:rsidRPr="0099225F">
              <w:rPr>
                <w:sz w:val="20"/>
              </w:rPr>
              <w:t>2</w:t>
            </w:r>
          </w:p>
        </w:tc>
        <w:tc>
          <w:tcPr>
            <w:tcW w:w="798" w:type="dxa"/>
            <w:shd w:val="clear" w:color="auto" w:fill="auto"/>
          </w:tcPr>
          <w:p w14:paraId="2C985792" w14:textId="77777777" w:rsidR="008F6DFF" w:rsidRPr="0099225F" w:rsidRDefault="008F6DFF" w:rsidP="003B391F">
            <w:pPr>
              <w:pStyle w:val="Tabletext"/>
              <w:jc w:val="center"/>
              <w:rPr>
                <w:sz w:val="20"/>
              </w:rPr>
            </w:pPr>
          </w:p>
        </w:tc>
        <w:tc>
          <w:tcPr>
            <w:tcW w:w="726" w:type="dxa"/>
          </w:tcPr>
          <w:p w14:paraId="6B644996" w14:textId="77777777" w:rsidR="008F6DFF" w:rsidRPr="0099225F" w:rsidRDefault="008F6DFF" w:rsidP="003B391F">
            <w:pPr>
              <w:pStyle w:val="Tabletext"/>
              <w:jc w:val="center"/>
              <w:rPr>
                <w:sz w:val="20"/>
              </w:rPr>
            </w:pPr>
          </w:p>
        </w:tc>
      </w:tr>
      <w:tr w:rsidR="008F6DFF" w:rsidRPr="0099225F" w14:paraId="4E2F7D69" w14:textId="77777777" w:rsidTr="00F442E5">
        <w:trPr>
          <w:trHeight w:val="261"/>
        </w:trPr>
        <w:tc>
          <w:tcPr>
            <w:tcW w:w="6668" w:type="dxa"/>
            <w:shd w:val="clear" w:color="auto" w:fill="auto"/>
          </w:tcPr>
          <w:p w14:paraId="0DC6419E" w14:textId="09930253" w:rsidR="008F6DFF" w:rsidRPr="00985CDB" w:rsidRDefault="008F6DFF" w:rsidP="003B391F">
            <w:pPr>
              <w:pStyle w:val="DHHSnumberdigit"/>
              <w:rPr>
                <w:rFonts w:cs="Arial"/>
              </w:rPr>
            </w:pPr>
            <w:r w:rsidRPr="00985CDB">
              <w:rPr>
                <w:rFonts w:cs="Arial"/>
              </w:rPr>
              <w:t>Decrease human papillomavirus (HPV) and viral hepatitis</w:t>
            </w:r>
            <w:r w:rsidR="00F442E5" w:rsidRPr="00985CDB">
              <w:rPr>
                <w:rFonts w:cs="Arial"/>
              </w:rPr>
              <w:t xml:space="preserve"> impact</w:t>
            </w:r>
            <w:r w:rsidRPr="00985CDB">
              <w:rPr>
                <w:rFonts w:cs="Arial"/>
              </w:rPr>
              <w:t xml:space="preserve"> (5)</w:t>
            </w:r>
          </w:p>
        </w:tc>
        <w:tc>
          <w:tcPr>
            <w:tcW w:w="821" w:type="dxa"/>
            <w:shd w:val="clear" w:color="auto" w:fill="auto"/>
          </w:tcPr>
          <w:p w14:paraId="09D00F7D" w14:textId="77777777" w:rsidR="008F6DFF" w:rsidRPr="00985CDB" w:rsidRDefault="008F6DFF" w:rsidP="003B391F">
            <w:pPr>
              <w:pStyle w:val="Tabletext"/>
              <w:jc w:val="center"/>
              <w:rPr>
                <w:sz w:val="20"/>
              </w:rPr>
            </w:pPr>
          </w:p>
        </w:tc>
        <w:tc>
          <w:tcPr>
            <w:tcW w:w="857" w:type="dxa"/>
            <w:shd w:val="clear" w:color="auto" w:fill="auto"/>
          </w:tcPr>
          <w:p w14:paraId="0DEED929" w14:textId="77777777" w:rsidR="008F6DFF" w:rsidRPr="00D67400" w:rsidRDefault="008F6DFF" w:rsidP="003B391F">
            <w:pPr>
              <w:pStyle w:val="Tabletext"/>
              <w:jc w:val="center"/>
              <w:rPr>
                <w:sz w:val="20"/>
                <w:highlight w:val="yellow"/>
              </w:rPr>
            </w:pPr>
          </w:p>
        </w:tc>
        <w:tc>
          <w:tcPr>
            <w:tcW w:w="798" w:type="dxa"/>
            <w:shd w:val="clear" w:color="auto" w:fill="99CAB7"/>
          </w:tcPr>
          <w:p w14:paraId="1F0DB235" w14:textId="77777777" w:rsidR="008F6DFF" w:rsidRPr="00D67400" w:rsidRDefault="008F6DFF" w:rsidP="003B391F">
            <w:pPr>
              <w:pStyle w:val="Tabletext"/>
              <w:jc w:val="center"/>
              <w:rPr>
                <w:sz w:val="20"/>
                <w:highlight w:val="yellow"/>
              </w:rPr>
            </w:pPr>
            <w:r w:rsidRPr="00985CDB">
              <w:rPr>
                <w:sz w:val="20"/>
              </w:rPr>
              <w:t>3</w:t>
            </w:r>
          </w:p>
        </w:tc>
        <w:tc>
          <w:tcPr>
            <w:tcW w:w="726" w:type="dxa"/>
            <w:shd w:val="clear" w:color="auto" w:fill="D9D9D9" w:themeFill="background1" w:themeFillShade="D9"/>
          </w:tcPr>
          <w:p w14:paraId="6B7A4ED7" w14:textId="5B9E3228" w:rsidR="008F6DFF" w:rsidRPr="00D67400" w:rsidRDefault="008F6DFF" w:rsidP="003B391F">
            <w:pPr>
              <w:pStyle w:val="Tabletext"/>
              <w:jc w:val="center"/>
              <w:rPr>
                <w:sz w:val="20"/>
                <w:highlight w:val="yellow"/>
              </w:rPr>
            </w:pPr>
            <w:r w:rsidRPr="00985CDB">
              <w:rPr>
                <w:sz w:val="20"/>
              </w:rPr>
              <w:t>2</w:t>
            </w:r>
            <w:r w:rsidR="00985CDB">
              <w:rPr>
                <w:sz w:val="20"/>
              </w:rPr>
              <w:t>#</w:t>
            </w:r>
          </w:p>
        </w:tc>
      </w:tr>
      <w:tr w:rsidR="008F6DFF" w:rsidRPr="0099225F" w14:paraId="0E8EFC96" w14:textId="77777777" w:rsidTr="00F442E5">
        <w:trPr>
          <w:trHeight w:val="390"/>
        </w:trPr>
        <w:tc>
          <w:tcPr>
            <w:tcW w:w="6668" w:type="dxa"/>
            <w:shd w:val="clear" w:color="auto" w:fill="auto"/>
          </w:tcPr>
          <w:p w14:paraId="0EEB0B93" w14:textId="77777777" w:rsidR="008F6DFF" w:rsidRPr="0099225F" w:rsidRDefault="008F6DFF" w:rsidP="003B391F">
            <w:pPr>
              <w:pStyle w:val="DHHSnumberdigit"/>
              <w:rPr>
                <w:rFonts w:cs="Arial"/>
              </w:rPr>
            </w:pPr>
            <w:r w:rsidRPr="0099225F">
              <w:rPr>
                <w:rFonts w:cs="Arial"/>
              </w:rPr>
              <w:t>Increase early-stage diagnosis (6)</w:t>
            </w:r>
          </w:p>
        </w:tc>
        <w:tc>
          <w:tcPr>
            <w:tcW w:w="821" w:type="dxa"/>
            <w:shd w:val="clear" w:color="auto" w:fill="auto"/>
          </w:tcPr>
          <w:p w14:paraId="6A27C57D" w14:textId="77777777" w:rsidR="008F6DFF" w:rsidRPr="0099225F" w:rsidRDefault="008F6DFF" w:rsidP="003B391F">
            <w:pPr>
              <w:pStyle w:val="Tabletext"/>
              <w:jc w:val="center"/>
              <w:rPr>
                <w:sz w:val="20"/>
              </w:rPr>
            </w:pPr>
          </w:p>
        </w:tc>
        <w:tc>
          <w:tcPr>
            <w:tcW w:w="857" w:type="dxa"/>
            <w:shd w:val="clear" w:color="auto" w:fill="E8B9A3"/>
          </w:tcPr>
          <w:p w14:paraId="12D04A5E" w14:textId="77777777" w:rsidR="008F6DFF" w:rsidRPr="0099225F" w:rsidRDefault="008F6DFF" w:rsidP="003B391F">
            <w:pPr>
              <w:pStyle w:val="Tabletext"/>
              <w:jc w:val="center"/>
              <w:rPr>
                <w:sz w:val="20"/>
              </w:rPr>
            </w:pPr>
            <w:r w:rsidRPr="0099225F">
              <w:rPr>
                <w:sz w:val="20"/>
              </w:rPr>
              <w:t>1</w:t>
            </w:r>
          </w:p>
        </w:tc>
        <w:tc>
          <w:tcPr>
            <w:tcW w:w="798" w:type="dxa"/>
            <w:shd w:val="clear" w:color="auto" w:fill="99CAB7"/>
          </w:tcPr>
          <w:p w14:paraId="5BC1B896" w14:textId="77777777" w:rsidR="008F6DFF" w:rsidRPr="0099225F" w:rsidRDefault="008F6DFF" w:rsidP="003B391F">
            <w:pPr>
              <w:pStyle w:val="Tabletext"/>
              <w:jc w:val="center"/>
              <w:rPr>
                <w:sz w:val="20"/>
              </w:rPr>
            </w:pPr>
            <w:r w:rsidRPr="0099225F">
              <w:rPr>
                <w:sz w:val="20"/>
              </w:rPr>
              <w:t>2</w:t>
            </w:r>
          </w:p>
        </w:tc>
        <w:tc>
          <w:tcPr>
            <w:tcW w:w="726" w:type="dxa"/>
            <w:shd w:val="clear" w:color="auto" w:fill="D9D9D9" w:themeFill="background1" w:themeFillShade="D9"/>
          </w:tcPr>
          <w:p w14:paraId="31D3346D" w14:textId="77777777" w:rsidR="008F6DFF" w:rsidRPr="0099225F" w:rsidRDefault="008F6DFF" w:rsidP="003B391F">
            <w:pPr>
              <w:pStyle w:val="Tabletext"/>
              <w:jc w:val="center"/>
              <w:rPr>
                <w:sz w:val="20"/>
              </w:rPr>
            </w:pPr>
            <w:r w:rsidRPr="0099225F">
              <w:rPr>
                <w:sz w:val="20"/>
              </w:rPr>
              <w:t>3</w:t>
            </w:r>
          </w:p>
        </w:tc>
      </w:tr>
      <w:tr w:rsidR="008F6DFF" w:rsidRPr="0099225F" w14:paraId="0D0DFF14" w14:textId="77777777" w:rsidTr="00F442E5">
        <w:trPr>
          <w:trHeight w:val="400"/>
        </w:trPr>
        <w:tc>
          <w:tcPr>
            <w:tcW w:w="6668" w:type="dxa"/>
            <w:shd w:val="clear" w:color="auto" w:fill="auto"/>
          </w:tcPr>
          <w:p w14:paraId="1E7CC8CE" w14:textId="77777777" w:rsidR="008F6DFF" w:rsidRPr="0099225F" w:rsidRDefault="008F6DFF" w:rsidP="003B391F">
            <w:pPr>
              <w:pStyle w:val="DHHSnumberdigit"/>
              <w:rPr>
                <w:rFonts w:cs="Arial"/>
              </w:rPr>
            </w:pPr>
            <w:r w:rsidRPr="0099225F">
              <w:rPr>
                <w:rFonts w:cs="Arial"/>
              </w:rPr>
              <w:t>Increase adherence to optimal care pathways (14)</w:t>
            </w:r>
          </w:p>
        </w:tc>
        <w:tc>
          <w:tcPr>
            <w:tcW w:w="821" w:type="dxa"/>
            <w:shd w:val="clear" w:color="auto" w:fill="EDCDCF"/>
          </w:tcPr>
          <w:p w14:paraId="34305729" w14:textId="77777777" w:rsidR="008F6DFF" w:rsidRPr="0099225F" w:rsidRDefault="008F6DFF" w:rsidP="003B391F">
            <w:pPr>
              <w:pStyle w:val="Tabletext"/>
              <w:jc w:val="center"/>
              <w:rPr>
                <w:sz w:val="20"/>
              </w:rPr>
            </w:pPr>
            <w:r w:rsidRPr="0099225F">
              <w:rPr>
                <w:sz w:val="20"/>
              </w:rPr>
              <w:t>5</w:t>
            </w:r>
          </w:p>
        </w:tc>
        <w:tc>
          <w:tcPr>
            <w:tcW w:w="857" w:type="dxa"/>
            <w:shd w:val="clear" w:color="auto" w:fill="E8B9A3"/>
          </w:tcPr>
          <w:p w14:paraId="3D8C8EF2" w14:textId="77777777" w:rsidR="008F6DFF" w:rsidRPr="0099225F" w:rsidRDefault="008F6DFF" w:rsidP="003B391F">
            <w:pPr>
              <w:pStyle w:val="Tabletext"/>
              <w:jc w:val="center"/>
              <w:rPr>
                <w:sz w:val="20"/>
              </w:rPr>
            </w:pPr>
            <w:r w:rsidRPr="0099225F">
              <w:rPr>
                <w:sz w:val="20"/>
              </w:rPr>
              <w:t>3</w:t>
            </w:r>
          </w:p>
        </w:tc>
        <w:tc>
          <w:tcPr>
            <w:tcW w:w="798" w:type="dxa"/>
            <w:shd w:val="clear" w:color="auto" w:fill="99CAB7"/>
          </w:tcPr>
          <w:p w14:paraId="5454A597" w14:textId="77777777" w:rsidR="008F6DFF" w:rsidRPr="0099225F" w:rsidRDefault="008F6DFF" w:rsidP="003B391F">
            <w:pPr>
              <w:pStyle w:val="Tabletext"/>
              <w:jc w:val="center"/>
              <w:rPr>
                <w:sz w:val="20"/>
              </w:rPr>
            </w:pPr>
            <w:r w:rsidRPr="0099225F">
              <w:rPr>
                <w:sz w:val="20"/>
              </w:rPr>
              <w:t>2</w:t>
            </w:r>
          </w:p>
        </w:tc>
        <w:tc>
          <w:tcPr>
            <w:tcW w:w="726" w:type="dxa"/>
            <w:shd w:val="clear" w:color="auto" w:fill="D9D9D9" w:themeFill="background1" w:themeFillShade="D9"/>
          </w:tcPr>
          <w:p w14:paraId="4E617D3A" w14:textId="77777777" w:rsidR="008F6DFF" w:rsidRPr="0099225F" w:rsidRDefault="008F6DFF" w:rsidP="003B391F">
            <w:pPr>
              <w:pStyle w:val="Tabletext"/>
              <w:jc w:val="center"/>
              <w:rPr>
                <w:sz w:val="20"/>
              </w:rPr>
            </w:pPr>
            <w:r w:rsidRPr="0099225F">
              <w:rPr>
                <w:sz w:val="20"/>
              </w:rPr>
              <w:t>4</w:t>
            </w:r>
          </w:p>
        </w:tc>
      </w:tr>
      <w:tr w:rsidR="008F6DFF" w:rsidRPr="0099225F" w14:paraId="5616A16B" w14:textId="77777777" w:rsidTr="00F442E5">
        <w:trPr>
          <w:trHeight w:val="400"/>
        </w:trPr>
        <w:tc>
          <w:tcPr>
            <w:tcW w:w="6668" w:type="dxa"/>
            <w:shd w:val="clear" w:color="auto" w:fill="auto"/>
          </w:tcPr>
          <w:p w14:paraId="6CFF500B" w14:textId="77777777" w:rsidR="008F6DFF" w:rsidRPr="0099225F" w:rsidRDefault="008F6DFF" w:rsidP="003B391F">
            <w:pPr>
              <w:pStyle w:val="DHHSnumberdigit"/>
              <w:rPr>
                <w:rFonts w:cs="Arial"/>
              </w:rPr>
            </w:pPr>
            <w:r w:rsidRPr="0099225F">
              <w:rPr>
                <w:rFonts w:cs="Arial"/>
              </w:rPr>
              <w:t>Increase one- and five-year survival (18)</w:t>
            </w:r>
          </w:p>
        </w:tc>
        <w:tc>
          <w:tcPr>
            <w:tcW w:w="821" w:type="dxa"/>
            <w:shd w:val="clear" w:color="auto" w:fill="EDCDCF"/>
          </w:tcPr>
          <w:p w14:paraId="19AEB587" w14:textId="39B34F2F" w:rsidR="008F6DFF" w:rsidRPr="0099225F" w:rsidRDefault="00327C45" w:rsidP="003B391F">
            <w:pPr>
              <w:pStyle w:val="Tabletext"/>
              <w:jc w:val="center"/>
              <w:rPr>
                <w:sz w:val="20"/>
              </w:rPr>
            </w:pPr>
            <w:r>
              <w:rPr>
                <w:sz w:val="20"/>
              </w:rPr>
              <w:t>2</w:t>
            </w:r>
          </w:p>
        </w:tc>
        <w:tc>
          <w:tcPr>
            <w:tcW w:w="857" w:type="dxa"/>
            <w:shd w:val="clear" w:color="auto" w:fill="E8B9A3"/>
          </w:tcPr>
          <w:p w14:paraId="5E76B583" w14:textId="55106C7C" w:rsidR="008F6DFF" w:rsidRPr="0099225F" w:rsidRDefault="00327C45" w:rsidP="003B391F">
            <w:pPr>
              <w:pStyle w:val="Tabletext"/>
              <w:jc w:val="center"/>
              <w:rPr>
                <w:sz w:val="20"/>
              </w:rPr>
            </w:pPr>
            <w:r>
              <w:rPr>
                <w:sz w:val="20"/>
              </w:rPr>
              <w:t>11</w:t>
            </w:r>
          </w:p>
        </w:tc>
        <w:tc>
          <w:tcPr>
            <w:tcW w:w="798" w:type="dxa"/>
            <w:shd w:val="clear" w:color="auto" w:fill="99CAB7"/>
          </w:tcPr>
          <w:p w14:paraId="0B1E48A5" w14:textId="21D00720" w:rsidR="008F6DFF" w:rsidRPr="0099225F" w:rsidRDefault="00327C45" w:rsidP="003B391F">
            <w:pPr>
              <w:pStyle w:val="Tabletext"/>
              <w:jc w:val="center"/>
              <w:rPr>
                <w:sz w:val="20"/>
              </w:rPr>
            </w:pPr>
            <w:r>
              <w:rPr>
                <w:sz w:val="20"/>
              </w:rPr>
              <w:t>5</w:t>
            </w:r>
          </w:p>
        </w:tc>
        <w:tc>
          <w:tcPr>
            <w:tcW w:w="726" w:type="dxa"/>
            <w:shd w:val="clear" w:color="auto" w:fill="auto"/>
          </w:tcPr>
          <w:p w14:paraId="23D5A48E" w14:textId="77777777" w:rsidR="008F6DFF" w:rsidRPr="0099225F" w:rsidRDefault="008F6DFF" w:rsidP="003B391F">
            <w:pPr>
              <w:pStyle w:val="Tabletext"/>
              <w:jc w:val="center"/>
              <w:rPr>
                <w:sz w:val="20"/>
              </w:rPr>
            </w:pPr>
          </w:p>
        </w:tc>
      </w:tr>
      <w:tr w:rsidR="008F6DFF" w:rsidRPr="0099225F" w14:paraId="466FE6A6" w14:textId="77777777" w:rsidTr="00702E46">
        <w:trPr>
          <w:trHeight w:val="390"/>
        </w:trPr>
        <w:tc>
          <w:tcPr>
            <w:tcW w:w="6668" w:type="dxa"/>
            <w:shd w:val="clear" w:color="auto" w:fill="auto"/>
          </w:tcPr>
          <w:p w14:paraId="3D3B6ACD" w14:textId="77777777" w:rsidR="008F6DFF" w:rsidRPr="0099225F" w:rsidRDefault="008F6DFF" w:rsidP="008F6DFF">
            <w:pPr>
              <w:pStyle w:val="DHHSnumberdigit"/>
              <w:numPr>
                <w:ilvl w:val="0"/>
                <w:numId w:val="61"/>
              </w:numPr>
              <w:rPr>
                <w:rFonts w:cs="Arial"/>
              </w:rPr>
            </w:pPr>
            <w:r w:rsidRPr="0099225F">
              <w:rPr>
                <w:rFonts w:cs="Arial"/>
              </w:rPr>
              <w:t>Improve patient experience of health care (6)</w:t>
            </w:r>
          </w:p>
        </w:tc>
        <w:tc>
          <w:tcPr>
            <w:tcW w:w="821" w:type="dxa"/>
            <w:shd w:val="clear" w:color="auto" w:fill="EDCDCF"/>
          </w:tcPr>
          <w:p w14:paraId="2B7D07A6" w14:textId="663E78AD" w:rsidR="008F6DFF" w:rsidRPr="0099225F" w:rsidRDefault="00702E46" w:rsidP="003B391F">
            <w:pPr>
              <w:pStyle w:val="Tabletext"/>
              <w:jc w:val="center"/>
              <w:rPr>
                <w:sz w:val="20"/>
              </w:rPr>
            </w:pPr>
            <w:r>
              <w:rPr>
                <w:sz w:val="20"/>
              </w:rPr>
              <w:t>1</w:t>
            </w:r>
          </w:p>
        </w:tc>
        <w:tc>
          <w:tcPr>
            <w:tcW w:w="857" w:type="dxa"/>
            <w:shd w:val="clear" w:color="auto" w:fill="auto"/>
          </w:tcPr>
          <w:p w14:paraId="769B4896" w14:textId="77777777" w:rsidR="008F6DFF" w:rsidRPr="0099225F" w:rsidRDefault="008F6DFF" w:rsidP="003B391F">
            <w:pPr>
              <w:pStyle w:val="Tabletext"/>
              <w:jc w:val="center"/>
              <w:rPr>
                <w:sz w:val="20"/>
              </w:rPr>
            </w:pPr>
          </w:p>
        </w:tc>
        <w:tc>
          <w:tcPr>
            <w:tcW w:w="798" w:type="dxa"/>
            <w:shd w:val="clear" w:color="auto" w:fill="99CAB7"/>
          </w:tcPr>
          <w:p w14:paraId="3E3CA82A" w14:textId="142B8FF5" w:rsidR="008F6DFF" w:rsidRPr="0099225F" w:rsidRDefault="00702E46" w:rsidP="003B391F">
            <w:pPr>
              <w:pStyle w:val="Tabletext"/>
              <w:jc w:val="center"/>
              <w:rPr>
                <w:sz w:val="20"/>
              </w:rPr>
            </w:pPr>
            <w:r>
              <w:rPr>
                <w:sz w:val="20"/>
              </w:rPr>
              <w:t>2</w:t>
            </w:r>
          </w:p>
        </w:tc>
        <w:tc>
          <w:tcPr>
            <w:tcW w:w="726" w:type="dxa"/>
            <w:shd w:val="clear" w:color="auto" w:fill="D9D9D9" w:themeFill="background1" w:themeFillShade="D9"/>
          </w:tcPr>
          <w:p w14:paraId="380C2EE5" w14:textId="56DFC627" w:rsidR="008F6DFF" w:rsidRPr="0099225F" w:rsidRDefault="00A2577D" w:rsidP="003B391F">
            <w:pPr>
              <w:pStyle w:val="Tabletext"/>
              <w:jc w:val="center"/>
              <w:rPr>
                <w:sz w:val="20"/>
              </w:rPr>
            </w:pPr>
            <w:r w:rsidRPr="0099225F">
              <w:rPr>
                <w:sz w:val="20"/>
              </w:rPr>
              <w:t>3</w:t>
            </w:r>
          </w:p>
        </w:tc>
      </w:tr>
      <w:tr w:rsidR="008F6DFF" w:rsidRPr="0099225F" w14:paraId="4BD88D6D" w14:textId="77777777" w:rsidTr="00483BC6">
        <w:trPr>
          <w:trHeight w:val="400"/>
        </w:trPr>
        <w:tc>
          <w:tcPr>
            <w:tcW w:w="6668" w:type="dxa"/>
            <w:tcBorders>
              <w:bottom w:val="single" w:sz="4" w:space="0" w:color="AF272F"/>
            </w:tcBorders>
            <w:shd w:val="clear" w:color="auto" w:fill="auto"/>
          </w:tcPr>
          <w:p w14:paraId="4DF057E1" w14:textId="77777777" w:rsidR="008F6DFF" w:rsidRPr="0099225F" w:rsidRDefault="008F6DFF" w:rsidP="003B391F">
            <w:pPr>
              <w:pStyle w:val="DHHSnumberdigit"/>
              <w:rPr>
                <w:rFonts w:cs="Arial"/>
              </w:rPr>
            </w:pPr>
            <w:r w:rsidRPr="0099225F">
              <w:rPr>
                <w:rFonts w:cs="Arial"/>
              </w:rPr>
              <w:t>Improve patient experience of screening (4)</w:t>
            </w:r>
          </w:p>
        </w:tc>
        <w:tc>
          <w:tcPr>
            <w:tcW w:w="821" w:type="dxa"/>
            <w:tcBorders>
              <w:bottom w:val="single" w:sz="4" w:space="0" w:color="AF272F"/>
            </w:tcBorders>
            <w:shd w:val="clear" w:color="auto" w:fill="EDCDCF"/>
          </w:tcPr>
          <w:p w14:paraId="186829F5" w14:textId="09A267D1" w:rsidR="008F6DFF" w:rsidRPr="0099225F" w:rsidRDefault="00483BC6" w:rsidP="003B391F">
            <w:pPr>
              <w:pStyle w:val="Tabletext"/>
              <w:jc w:val="center"/>
              <w:rPr>
                <w:sz w:val="20"/>
              </w:rPr>
            </w:pPr>
            <w:r>
              <w:rPr>
                <w:sz w:val="20"/>
              </w:rPr>
              <w:t>1</w:t>
            </w:r>
          </w:p>
        </w:tc>
        <w:tc>
          <w:tcPr>
            <w:tcW w:w="857" w:type="dxa"/>
            <w:tcBorders>
              <w:bottom w:val="single" w:sz="4" w:space="0" w:color="AF272F"/>
            </w:tcBorders>
            <w:shd w:val="clear" w:color="auto" w:fill="E8B9A3"/>
          </w:tcPr>
          <w:p w14:paraId="6F1E5FF6" w14:textId="77777777" w:rsidR="008F6DFF" w:rsidRPr="0099225F" w:rsidRDefault="008F6DFF" w:rsidP="003B391F">
            <w:pPr>
              <w:pStyle w:val="Tabletext"/>
              <w:jc w:val="center"/>
              <w:rPr>
                <w:sz w:val="20"/>
              </w:rPr>
            </w:pPr>
            <w:r w:rsidRPr="0099225F">
              <w:rPr>
                <w:sz w:val="20"/>
              </w:rPr>
              <w:t>1</w:t>
            </w:r>
          </w:p>
        </w:tc>
        <w:tc>
          <w:tcPr>
            <w:tcW w:w="798" w:type="dxa"/>
            <w:tcBorders>
              <w:bottom w:val="single" w:sz="4" w:space="0" w:color="AF272F"/>
            </w:tcBorders>
            <w:shd w:val="clear" w:color="auto" w:fill="99CAB7"/>
          </w:tcPr>
          <w:p w14:paraId="7B5456E7" w14:textId="537FA46A" w:rsidR="008F6DFF" w:rsidRPr="0099225F" w:rsidRDefault="00483BC6" w:rsidP="003B391F">
            <w:pPr>
              <w:pStyle w:val="Tabletext"/>
              <w:jc w:val="center"/>
              <w:rPr>
                <w:sz w:val="20"/>
              </w:rPr>
            </w:pPr>
            <w:r>
              <w:rPr>
                <w:sz w:val="20"/>
              </w:rPr>
              <w:t>2</w:t>
            </w:r>
          </w:p>
        </w:tc>
        <w:tc>
          <w:tcPr>
            <w:tcW w:w="726" w:type="dxa"/>
            <w:tcBorders>
              <w:bottom w:val="single" w:sz="4" w:space="0" w:color="AF272F"/>
            </w:tcBorders>
          </w:tcPr>
          <w:p w14:paraId="6D96C38B" w14:textId="77777777" w:rsidR="008F6DFF" w:rsidRPr="0099225F" w:rsidRDefault="008F6DFF" w:rsidP="003B391F">
            <w:pPr>
              <w:pStyle w:val="Tabletext"/>
              <w:jc w:val="center"/>
              <w:rPr>
                <w:sz w:val="20"/>
              </w:rPr>
            </w:pPr>
          </w:p>
        </w:tc>
      </w:tr>
      <w:tr w:rsidR="008F6DFF" w:rsidRPr="0099225F" w14:paraId="7169AB1F" w14:textId="77777777" w:rsidTr="00F442E5">
        <w:trPr>
          <w:trHeight w:val="400"/>
        </w:trPr>
        <w:tc>
          <w:tcPr>
            <w:tcW w:w="6668" w:type="dxa"/>
            <w:tcBorders>
              <w:top w:val="single" w:sz="4" w:space="0" w:color="AF272F"/>
              <w:bottom w:val="single" w:sz="4" w:space="0" w:color="AF272F"/>
            </w:tcBorders>
            <w:shd w:val="clear" w:color="auto" w:fill="auto"/>
          </w:tcPr>
          <w:p w14:paraId="4DB67805" w14:textId="77777777" w:rsidR="008F6DFF" w:rsidRPr="0099225F" w:rsidRDefault="008F6DFF" w:rsidP="003B391F">
            <w:pPr>
              <w:pStyle w:val="DHHSnumberdigit"/>
              <w:rPr>
                <w:rFonts w:cs="Arial"/>
              </w:rPr>
            </w:pPr>
            <w:r w:rsidRPr="0099225F">
              <w:rPr>
                <w:rFonts w:cs="Arial"/>
              </w:rPr>
              <w:t>Innovations and improved evidence of best practice (5)</w:t>
            </w:r>
          </w:p>
        </w:tc>
        <w:tc>
          <w:tcPr>
            <w:tcW w:w="821" w:type="dxa"/>
            <w:tcBorders>
              <w:top w:val="single" w:sz="4" w:space="0" w:color="AF272F"/>
              <w:bottom w:val="single" w:sz="4" w:space="0" w:color="AF272F"/>
            </w:tcBorders>
            <w:shd w:val="clear" w:color="auto" w:fill="auto"/>
          </w:tcPr>
          <w:p w14:paraId="6C274775" w14:textId="77777777" w:rsidR="008F6DFF" w:rsidRPr="0099225F" w:rsidRDefault="008F6DFF" w:rsidP="003B391F">
            <w:pPr>
              <w:pStyle w:val="Tabletext"/>
              <w:jc w:val="center"/>
              <w:rPr>
                <w:sz w:val="20"/>
              </w:rPr>
            </w:pPr>
          </w:p>
        </w:tc>
        <w:tc>
          <w:tcPr>
            <w:tcW w:w="857" w:type="dxa"/>
            <w:tcBorders>
              <w:top w:val="single" w:sz="4" w:space="0" w:color="AF272F"/>
              <w:bottom w:val="single" w:sz="4" w:space="0" w:color="AF272F"/>
            </w:tcBorders>
            <w:shd w:val="clear" w:color="auto" w:fill="auto"/>
          </w:tcPr>
          <w:p w14:paraId="39ED4612" w14:textId="77777777" w:rsidR="008F6DFF" w:rsidRPr="0099225F" w:rsidRDefault="008F6DFF" w:rsidP="003B391F">
            <w:pPr>
              <w:pStyle w:val="Tabletext"/>
              <w:jc w:val="center"/>
              <w:rPr>
                <w:sz w:val="20"/>
              </w:rPr>
            </w:pPr>
          </w:p>
        </w:tc>
        <w:tc>
          <w:tcPr>
            <w:tcW w:w="798" w:type="dxa"/>
            <w:tcBorders>
              <w:top w:val="single" w:sz="4" w:space="0" w:color="AF272F"/>
              <w:bottom w:val="single" w:sz="4" w:space="0" w:color="AF272F"/>
            </w:tcBorders>
            <w:shd w:val="clear" w:color="auto" w:fill="99CAB7"/>
          </w:tcPr>
          <w:p w14:paraId="5EA5F009" w14:textId="77777777" w:rsidR="008F6DFF" w:rsidRPr="0099225F" w:rsidRDefault="008F6DFF" w:rsidP="003B391F">
            <w:pPr>
              <w:pStyle w:val="Tabletext"/>
              <w:jc w:val="center"/>
              <w:rPr>
                <w:sz w:val="20"/>
              </w:rPr>
            </w:pPr>
            <w:r w:rsidRPr="0099225F">
              <w:rPr>
                <w:sz w:val="20"/>
              </w:rPr>
              <w:t>4</w:t>
            </w:r>
          </w:p>
        </w:tc>
        <w:tc>
          <w:tcPr>
            <w:tcW w:w="726" w:type="dxa"/>
            <w:tcBorders>
              <w:top w:val="single" w:sz="4" w:space="0" w:color="AF272F"/>
              <w:bottom w:val="single" w:sz="4" w:space="0" w:color="AF272F"/>
            </w:tcBorders>
            <w:shd w:val="clear" w:color="auto" w:fill="D9D9D9" w:themeFill="background1" w:themeFillShade="D9"/>
          </w:tcPr>
          <w:p w14:paraId="1EF67EC2" w14:textId="77777777" w:rsidR="008F6DFF" w:rsidRPr="0099225F" w:rsidRDefault="008F6DFF" w:rsidP="003B391F">
            <w:pPr>
              <w:pStyle w:val="Tabletext"/>
              <w:jc w:val="center"/>
              <w:rPr>
                <w:sz w:val="20"/>
              </w:rPr>
            </w:pPr>
            <w:r w:rsidRPr="0099225F">
              <w:rPr>
                <w:sz w:val="20"/>
              </w:rPr>
              <w:t>1</w:t>
            </w:r>
          </w:p>
        </w:tc>
      </w:tr>
    </w:tbl>
    <w:p w14:paraId="3045E9B2" w14:textId="2E3F1F1C" w:rsidR="00DE68BE" w:rsidRPr="00985CDB" w:rsidRDefault="00985CDB" w:rsidP="00E87AAA">
      <w:pPr>
        <w:pStyle w:val="Body"/>
        <w:rPr>
          <w:sz w:val="16"/>
          <w:szCs w:val="16"/>
        </w:rPr>
      </w:pPr>
      <w:r w:rsidRPr="00985CDB">
        <w:rPr>
          <w:sz w:val="16"/>
          <w:szCs w:val="16"/>
        </w:rPr>
        <w:t># refer to comments for Measures 10.4 and 10.5</w:t>
      </w:r>
    </w:p>
    <w:tbl>
      <w:tblPr>
        <w:tblW w:w="9870" w:type="dxa"/>
        <w:tblInd w:w="-5" w:type="dxa"/>
        <w:tblBorders>
          <w:insideH w:val="single" w:sz="4" w:space="0" w:color="AF272F"/>
        </w:tblBorders>
        <w:tblLook w:val="04A0" w:firstRow="1" w:lastRow="0" w:firstColumn="1" w:lastColumn="0" w:noHBand="0" w:noVBand="1"/>
      </w:tblPr>
      <w:tblGrid>
        <w:gridCol w:w="6668"/>
        <w:gridCol w:w="821"/>
        <w:gridCol w:w="857"/>
        <w:gridCol w:w="798"/>
        <w:gridCol w:w="726"/>
      </w:tblGrid>
      <w:tr w:rsidR="00A576EF" w:rsidRPr="0099225F" w14:paraId="50A00D94" w14:textId="77777777" w:rsidTr="00F442E5">
        <w:trPr>
          <w:trHeight w:val="369"/>
          <w:tblHeader/>
        </w:trPr>
        <w:tc>
          <w:tcPr>
            <w:tcW w:w="6668" w:type="dxa"/>
            <w:shd w:val="clear" w:color="auto" w:fill="auto"/>
          </w:tcPr>
          <w:p w14:paraId="7E83F1D2" w14:textId="61BB78A1" w:rsidR="00A576EF" w:rsidRPr="0099225F" w:rsidRDefault="00A576EF" w:rsidP="003B391F">
            <w:pPr>
              <w:pStyle w:val="Tablecolhead"/>
              <w:rPr>
                <w:sz w:val="20"/>
              </w:rPr>
            </w:pPr>
            <w:r w:rsidRPr="0099225F">
              <w:rPr>
                <w:color w:val="000000" w:themeColor="text1"/>
                <w:sz w:val="20"/>
              </w:rPr>
              <w:t xml:space="preserve">Goals </w:t>
            </w:r>
            <w:r w:rsidR="00AC75DC" w:rsidRPr="0099225F">
              <w:rPr>
                <w:color w:val="000000" w:themeColor="text1"/>
                <w:sz w:val="20"/>
              </w:rPr>
              <w:t>–</w:t>
            </w:r>
            <w:r w:rsidRPr="0099225F">
              <w:rPr>
                <w:color w:val="000000" w:themeColor="text1"/>
                <w:sz w:val="20"/>
              </w:rPr>
              <w:t xml:space="preserve"> </w:t>
            </w:r>
            <w:r w:rsidR="00AC75DC" w:rsidRPr="0099225F">
              <w:rPr>
                <w:color w:val="000000" w:themeColor="text1"/>
                <w:sz w:val="20"/>
              </w:rPr>
              <w:t>k</w:t>
            </w:r>
            <w:r w:rsidRPr="0099225F">
              <w:rPr>
                <w:color w:val="000000" w:themeColor="text1"/>
                <w:sz w:val="20"/>
              </w:rPr>
              <w:t>ey results</w:t>
            </w:r>
          </w:p>
        </w:tc>
        <w:tc>
          <w:tcPr>
            <w:tcW w:w="821" w:type="dxa"/>
            <w:shd w:val="clear" w:color="auto" w:fill="auto"/>
          </w:tcPr>
          <w:p w14:paraId="26E10199" w14:textId="77777777" w:rsidR="00A576EF" w:rsidRPr="0099225F" w:rsidRDefault="00A576EF" w:rsidP="003B391F">
            <w:pPr>
              <w:pStyle w:val="Tablecolhead"/>
              <w:rPr>
                <w:rFonts w:cs="Arial"/>
                <w:sz w:val="20"/>
              </w:rPr>
            </w:pPr>
            <w:r w:rsidRPr="0099225F">
              <w:rPr>
                <w:sz w:val="20"/>
              </w:rPr>
              <w:t>Red</w:t>
            </w:r>
          </w:p>
        </w:tc>
        <w:tc>
          <w:tcPr>
            <w:tcW w:w="857" w:type="dxa"/>
            <w:shd w:val="clear" w:color="auto" w:fill="auto"/>
          </w:tcPr>
          <w:p w14:paraId="21070B3F" w14:textId="77777777" w:rsidR="00A576EF" w:rsidRPr="0099225F" w:rsidRDefault="00A576EF" w:rsidP="003B391F">
            <w:pPr>
              <w:pStyle w:val="Tablecolhead"/>
              <w:rPr>
                <w:rFonts w:cs="Arial"/>
                <w:sz w:val="20"/>
              </w:rPr>
            </w:pPr>
            <w:r w:rsidRPr="0099225F">
              <w:rPr>
                <w:color w:val="C5511A"/>
                <w:sz w:val="20"/>
              </w:rPr>
              <w:t>Amber</w:t>
            </w:r>
          </w:p>
        </w:tc>
        <w:tc>
          <w:tcPr>
            <w:tcW w:w="798" w:type="dxa"/>
            <w:shd w:val="clear" w:color="auto" w:fill="auto"/>
          </w:tcPr>
          <w:p w14:paraId="2647405D" w14:textId="77777777" w:rsidR="00A576EF" w:rsidRPr="0099225F" w:rsidRDefault="00A576EF" w:rsidP="003B391F">
            <w:pPr>
              <w:pStyle w:val="Tablecolhead"/>
              <w:rPr>
                <w:rFonts w:cs="Arial"/>
                <w:sz w:val="20"/>
              </w:rPr>
            </w:pPr>
            <w:r w:rsidRPr="0099225F">
              <w:rPr>
                <w:color w:val="007B4B"/>
                <w:sz w:val="20"/>
              </w:rPr>
              <w:t>Green</w:t>
            </w:r>
          </w:p>
        </w:tc>
        <w:tc>
          <w:tcPr>
            <w:tcW w:w="726" w:type="dxa"/>
          </w:tcPr>
          <w:p w14:paraId="167CE669" w14:textId="4B1A9553" w:rsidR="00A576EF" w:rsidRPr="0099225F" w:rsidRDefault="00A576EF" w:rsidP="003B391F">
            <w:pPr>
              <w:pStyle w:val="Tablecolhead"/>
              <w:rPr>
                <w:rFonts w:cs="Arial"/>
                <w:sz w:val="20"/>
              </w:rPr>
            </w:pPr>
          </w:p>
        </w:tc>
      </w:tr>
      <w:tr w:rsidR="00A576EF" w:rsidRPr="0099225F" w14:paraId="6962DDAC" w14:textId="77777777" w:rsidTr="00483BC6">
        <w:trPr>
          <w:trHeight w:val="390"/>
        </w:trPr>
        <w:tc>
          <w:tcPr>
            <w:tcW w:w="6668" w:type="dxa"/>
            <w:shd w:val="clear" w:color="auto" w:fill="auto"/>
          </w:tcPr>
          <w:p w14:paraId="2735D2E4" w14:textId="0C0EDAE7" w:rsidR="00A576EF" w:rsidRPr="0099225F" w:rsidRDefault="00A576EF" w:rsidP="00A576EF">
            <w:pPr>
              <w:pStyle w:val="DHHSnumberdigit"/>
              <w:numPr>
                <w:ilvl w:val="0"/>
                <w:numId w:val="0"/>
              </w:numPr>
              <w:ind w:left="397" w:hanging="397"/>
            </w:pPr>
            <w:r w:rsidRPr="0099225F">
              <w:t>Short-term goals (5)</w:t>
            </w:r>
          </w:p>
        </w:tc>
        <w:tc>
          <w:tcPr>
            <w:tcW w:w="821" w:type="dxa"/>
            <w:shd w:val="clear" w:color="auto" w:fill="auto"/>
          </w:tcPr>
          <w:p w14:paraId="56E82C6D" w14:textId="2FADF075" w:rsidR="00A576EF" w:rsidRPr="0099225F" w:rsidRDefault="00A576EF" w:rsidP="003B391F">
            <w:pPr>
              <w:pStyle w:val="Tabletext"/>
              <w:jc w:val="center"/>
              <w:rPr>
                <w:sz w:val="20"/>
              </w:rPr>
            </w:pPr>
          </w:p>
        </w:tc>
        <w:tc>
          <w:tcPr>
            <w:tcW w:w="857" w:type="dxa"/>
            <w:shd w:val="clear" w:color="auto" w:fill="auto"/>
          </w:tcPr>
          <w:p w14:paraId="23FD22E6" w14:textId="4A070E35" w:rsidR="00A576EF" w:rsidRPr="0099225F" w:rsidRDefault="00A576EF" w:rsidP="003B391F">
            <w:pPr>
              <w:pStyle w:val="Tabletext"/>
              <w:jc w:val="center"/>
              <w:rPr>
                <w:sz w:val="20"/>
              </w:rPr>
            </w:pPr>
          </w:p>
        </w:tc>
        <w:tc>
          <w:tcPr>
            <w:tcW w:w="798" w:type="dxa"/>
            <w:shd w:val="clear" w:color="auto" w:fill="99CAB7"/>
          </w:tcPr>
          <w:p w14:paraId="4130881A" w14:textId="40CA65BE" w:rsidR="00A576EF" w:rsidRPr="0099225F" w:rsidRDefault="00483BC6" w:rsidP="003B391F">
            <w:pPr>
              <w:pStyle w:val="Tabletext"/>
              <w:jc w:val="center"/>
              <w:rPr>
                <w:sz w:val="20"/>
              </w:rPr>
            </w:pPr>
            <w:r>
              <w:rPr>
                <w:sz w:val="20"/>
              </w:rPr>
              <w:t>5</w:t>
            </w:r>
          </w:p>
        </w:tc>
        <w:tc>
          <w:tcPr>
            <w:tcW w:w="726" w:type="dxa"/>
          </w:tcPr>
          <w:p w14:paraId="7DE23046" w14:textId="77777777" w:rsidR="00A576EF" w:rsidRPr="0099225F" w:rsidRDefault="00A576EF" w:rsidP="003B391F">
            <w:pPr>
              <w:pStyle w:val="Tabletext"/>
              <w:jc w:val="center"/>
              <w:rPr>
                <w:sz w:val="20"/>
              </w:rPr>
            </w:pPr>
          </w:p>
        </w:tc>
      </w:tr>
      <w:tr w:rsidR="00A576EF" w:rsidRPr="0099225F" w14:paraId="0D4281FC" w14:textId="77777777" w:rsidTr="00F442E5">
        <w:trPr>
          <w:trHeight w:val="400"/>
        </w:trPr>
        <w:tc>
          <w:tcPr>
            <w:tcW w:w="6668" w:type="dxa"/>
            <w:tcBorders>
              <w:bottom w:val="single" w:sz="4" w:space="0" w:color="AF272F"/>
            </w:tcBorders>
            <w:shd w:val="clear" w:color="auto" w:fill="auto"/>
          </w:tcPr>
          <w:p w14:paraId="10DEED39" w14:textId="17D075A4" w:rsidR="00A576EF" w:rsidRPr="0099225F" w:rsidRDefault="00A576EF" w:rsidP="00A576EF">
            <w:pPr>
              <w:pStyle w:val="DHHSnumberdigit"/>
              <w:numPr>
                <w:ilvl w:val="0"/>
                <w:numId w:val="0"/>
              </w:numPr>
              <w:ind w:left="397" w:hanging="397"/>
            </w:pPr>
            <w:r w:rsidRPr="0099225F">
              <w:t>Medium-term goals (5)</w:t>
            </w:r>
          </w:p>
        </w:tc>
        <w:tc>
          <w:tcPr>
            <w:tcW w:w="821" w:type="dxa"/>
            <w:tcBorders>
              <w:bottom w:val="single" w:sz="4" w:space="0" w:color="AF272F"/>
            </w:tcBorders>
            <w:shd w:val="clear" w:color="auto" w:fill="EDCDCF"/>
          </w:tcPr>
          <w:p w14:paraId="533F6019" w14:textId="43BA71D6" w:rsidR="00A576EF" w:rsidRPr="0099225F" w:rsidRDefault="00FE3FBC" w:rsidP="003B391F">
            <w:pPr>
              <w:pStyle w:val="Tabletext"/>
              <w:jc w:val="center"/>
              <w:rPr>
                <w:sz w:val="20"/>
              </w:rPr>
            </w:pPr>
            <w:r w:rsidRPr="0099225F">
              <w:rPr>
                <w:sz w:val="20"/>
              </w:rPr>
              <w:t>1</w:t>
            </w:r>
          </w:p>
        </w:tc>
        <w:tc>
          <w:tcPr>
            <w:tcW w:w="857" w:type="dxa"/>
            <w:tcBorders>
              <w:bottom w:val="single" w:sz="4" w:space="0" w:color="AF272F"/>
            </w:tcBorders>
            <w:shd w:val="clear" w:color="auto" w:fill="E8B9A3"/>
          </w:tcPr>
          <w:p w14:paraId="4156885B" w14:textId="62ADEDCA" w:rsidR="00A576EF" w:rsidRPr="0099225F" w:rsidRDefault="00FE3FBC" w:rsidP="003B391F">
            <w:pPr>
              <w:pStyle w:val="Tabletext"/>
              <w:jc w:val="center"/>
              <w:rPr>
                <w:sz w:val="20"/>
              </w:rPr>
            </w:pPr>
            <w:r w:rsidRPr="0099225F">
              <w:rPr>
                <w:sz w:val="20"/>
              </w:rPr>
              <w:t>1</w:t>
            </w:r>
          </w:p>
        </w:tc>
        <w:tc>
          <w:tcPr>
            <w:tcW w:w="798" w:type="dxa"/>
            <w:tcBorders>
              <w:bottom w:val="single" w:sz="4" w:space="0" w:color="AF272F"/>
            </w:tcBorders>
            <w:shd w:val="clear" w:color="auto" w:fill="99CAB7"/>
          </w:tcPr>
          <w:p w14:paraId="2FB9ECC4" w14:textId="77777777" w:rsidR="00A576EF" w:rsidRPr="0099225F" w:rsidRDefault="00A576EF" w:rsidP="003B391F">
            <w:pPr>
              <w:pStyle w:val="Tabletext"/>
              <w:jc w:val="center"/>
              <w:rPr>
                <w:sz w:val="20"/>
              </w:rPr>
            </w:pPr>
            <w:r w:rsidRPr="0099225F">
              <w:rPr>
                <w:sz w:val="20"/>
              </w:rPr>
              <w:t>3</w:t>
            </w:r>
          </w:p>
        </w:tc>
        <w:tc>
          <w:tcPr>
            <w:tcW w:w="726" w:type="dxa"/>
            <w:tcBorders>
              <w:bottom w:val="single" w:sz="4" w:space="0" w:color="AF272F"/>
            </w:tcBorders>
          </w:tcPr>
          <w:p w14:paraId="0ABCEFA7" w14:textId="77777777" w:rsidR="00A576EF" w:rsidRPr="0099225F" w:rsidRDefault="00A576EF" w:rsidP="003B391F">
            <w:pPr>
              <w:pStyle w:val="Tabletext"/>
              <w:jc w:val="center"/>
              <w:rPr>
                <w:sz w:val="20"/>
              </w:rPr>
            </w:pPr>
          </w:p>
        </w:tc>
      </w:tr>
      <w:tr w:rsidR="00A576EF" w:rsidRPr="0099225F" w14:paraId="372609D8" w14:textId="77777777" w:rsidTr="00035975">
        <w:trPr>
          <w:trHeight w:val="400"/>
        </w:trPr>
        <w:tc>
          <w:tcPr>
            <w:tcW w:w="6668" w:type="dxa"/>
            <w:tcBorders>
              <w:top w:val="single" w:sz="4" w:space="0" w:color="AF272F"/>
              <w:bottom w:val="single" w:sz="4" w:space="0" w:color="AF272F"/>
            </w:tcBorders>
            <w:shd w:val="clear" w:color="auto" w:fill="auto"/>
          </w:tcPr>
          <w:p w14:paraId="4B814962" w14:textId="3DB3E504" w:rsidR="00A576EF" w:rsidRPr="0099225F" w:rsidRDefault="00A576EF" w:rsidP="00A576EF">
            <w:pPr>
              <w:pStyle w:val="DHHSnumberdigit"/>
              <w:numPr>
                <w:ilvl w:val="0"/>
                <w:numId w:val="0"/>
              </w:numPr>
              <w:ind w:left="397" w:hanging="397"/>
            </w:pPr>
            <w:r w:rsidRPr="0099225F">
              <w:t>Long-term (4)</w:t>
            </w:r>
          </w:p>
        </w:tc>
        <w:tc>
          <w:tcPr>
            <w:tcW w:w="821" w:type="dxa"/>
            <w:tcBorders>
              <w:top w:val="single" w:sz="4" w:space="0" w:color="AF272F"/>
              <w:bottom w:val="single" w:sz="4" w:space="0" w:color="AF272F"/>
            </w:tcBorders>
            <w:shd w:val="clear" w:color="auto" w:fill="auto"/>
          </w:tcPr>
          <w:p w14:paraId="39E90E37" w14:textId="31A96150" w:rsidR="00A576EF" w:rsidRPr="0099225F" w:rsidRDefault="00A576EF" w:rsidP="003B391F">
            <w:pPr>
              <w:pStyle w:val="Tabletext"/>
              <w:jc w:val="center"/>
              <w:rPr>
                <w:sz w:val="20"/>
              </w:rPr>
            </w:pPr>
          </w:p>
        </w:tc>
        <w:tc>
          <w:tcPr>
            <w:tcW w:w="857" w:type="dxa"/>
            <w:tcBorders>
              <w:top w:val="single" w:sz="4" w:space="0" w:color="AF272F"/>
              <w:bottom w:val="single" w:sz="4" w:space="0" w:color="AF272F"/>
            </w:tcBorders>
            <w:shd w:val="clear" w:color="auto" w:fill="E8B9A3"/>
          </w:tcPr>
          <w:p w14:paraId="3CD3371C" w14:textId="030F28FF" w:rsidR="00A576EF" w:rsidRPr="0099225F" w:rsidRDefault="00052B6B" w:rsidP="003B391F">
            <w:pPr>
              <w:pStyle w:val="Tabletext"/>
              <w:jc w:val="center"/>
              <w:rPr>
                <w:sz w:val="20"/>
              </w:rPr>
            </w:pPr>
            <w:r>
              <w:rPr>
                <w:sz w:val="20"/>
              </w:rPr>
              <w:t>3</w:t>
            </w:r>
          </w:p>
        </w:tc>
        <w:tc>
          <w:tcPr>
            <w:tcW w:w="798" w:type="dxa"/>
            <w:tcBorders>
              <w:top w:val="single" w:sz="4" w:space="0" w:color="AF272F"/>
              <w:bottom w:val="single" w:sz="4" w:space="0" w:color="AF272F"/>
            </w:tcBorders>
            <w:shd w:val="clear" w:color="auto" w:fill="99CAB7"/>
          </w:tcPr>
          <w:p w14:paraId="0DF612EE" w14:textId="79506480" w:rsidR="00A576EF" w:rsidRPr="0099225F" w:rsidRDefault="00052B6B" w:rsidP="003B391F">
            <w:pPr>
              <w:pStyle w:val="Tabletext"/>
              <w:jc w:val="center"/>
              <w:rPr>
                <w:sz w:val="20"/>
              </w:rPr>
            </w:pPr>
            <w:r>
              <w:rPr>
                <w:sz w:val="20"/>
              </w:rPr>
              <w:t>1</w:t>
            </w:r>
          </w:p>
        </w:tc>
        <w:tc>
          <w:tcPr>
            <w:tcW w:w="726" w:type="dxa"/>
            <w:tcBorders>
              <w:top w:val="single" w:sz="4" w:space="0" w:color="AF272F"/>
              <w:bottom w:val="single" w:sz="4" w:space="0" w:color="AF272F"/>
            </w:tcBorders>
          </w:tcPr>
          <w:p w14:paraId="3440DB33" w14:textId="77777777" w:rsidR="00A576EF" w:rsidRPr="0099225F" w:rsidRDefault="00A576EF" w:rsidP="003B391F">
            <w:pPr>
              <w:pStyle w:val="Tabletext"/>
              <w:jc w:val="center"/>
              <w:rPr>
                <w:sz w:val="20"/>
              </w:rPr>
            </w:pPr>
          </w:p>
        </w:tc>
      </w:tr>
    </w:tbl>
    <w:p w14:paraId="3D1A4DA1" w14:textId="7AD93871" w:rsidR="00A576EF" w:rsidRDefault="00A576EF" w:rsidP="00E87AAA">
      <w:pPr>
        <w:pStyle w:val="Body"/>
        <w:sectPr w:rsidR="00A576EF" w:rsidSect="009302EB">
          <w:headerReference w:type="even" r:id="rId26"/>
          <w:headerReference w:type="default" r:id="rId27"/>
          <w:footerReference w:type="even" r:id="rId28"/>
          <w:footerReference w:type="default" r:id="rId29"/>
          <w:headerReference w:type="first" r:id="rId30"/>
          <w:footerReference w:type="first" r:id="rId31"/>
          <w:pgSz w:w="11906" w:h="16838"/>
          <w:pgMar w:top="1411" w:right="1310" w:bottom="1138" w:left="1310" w:header="461" w:footer="504" w:gutter="0"/>
          <w:cols w:space="720"/>
          <w:docGrid w:linePitch="360"/>
        </w:sectPr>
      </w:pPr>
    </w:p>
    <w:p w14:paraId="3520FD5E" w14:textId="701190F3" w:rsidR="00DE68BE" w:rsidRPr="005F0940" w:rsidRDefault="00F94579" w:rsidP="007D6BCA">
      <w:pPr>
        <w:pStyle w:val="Heading1"/>
      </w:pPr>
      <w:bookmarkStart w:id="36" w:name="_Toc473816582"/>
      <w:bookmarkStart w:id="37" w:name="_Toc19007972"/>
      <w:bookmarkStart w:id="38" w:name="_Toc140843410"/>
      <w:r>
        <w:lastRenderedPageBreak/>
        <w:t>P</w:t>
      </w:r>
      <w:r w:rsidR="002055B2">
        <w:t xml:space="preserve">rogress </w:t>
      </w:r>
      <w:r w:rsidR="00EE72E9">
        <w:t>r</w:t>
      </w:r>
      <w:r w:rsidR="00DE68BE" w:rsidRPr="005F0940">
        <w:t xml:space="preserve">eport: </w:t>
      </w:r>
      <w:r w:rsidR="00A14570">
        <w:t>s</w:t>
      </w:r>
      <w:r w:rsidR="00DE68BE" w:rsidRPr="005F0940">
        <w:t>ummary of results</w:t>
      </w:r>
      <w:bookmarkEnd w:id="36"/>
      <w:bookmarkEnd w:id="37"/>
      <w:bookmarkEnd w:id="38"/>
    </w:p>
    <w:p w14:paraId="4DA4DDDB" w14:textId="68937446" w:rsidR="00DE68BE" w:rsidRPr="0099225F" w:rsidRDefault="00DE68BE" w:rsidP="00E87AAA">
      <w:pPr>
        <w:pStyle w:val="Body"/>
        <w:rPr>
          <w:sz w:val="20"/>
        </w:rPr>
      </w:pPr>
      <w:r w:rsidRPr="0099225F">
        <w:rPr>
          <w:sz w:val="20"/>
        </w:rPr>
        <w:t>This section provides a summary r</w:t>
      </w:r>
      <w:r w:rsidR="00037B79" w:rsidRPr="0099225F">
        <w:rPr>
          <w:sz w:val="20"/>
        </w:rPr>
        <w:t xml:space="preserve">esult on each measure from the </w:t>
      </w:r>
      <w:r w:rsidR="00037B79" w:rsidRPr="0099225F">
        <w:rPr>
          <w:i/>
          <w:sz w:val="20"/>
        </w:rPr>
        <w:t xml:space="preserve">Victorian cancer plan monitoring and evaluation </w:t>
      </w:r>
      <w:r w:rsidRPr="0099225F">
        <w:rPr>
          <w:i/>
          <w:sz w:val="20"/>
        </w:rPr>
        <w:t>outcomes framework</w:t>
      </w:r>
      <w:r w:rsidRPr="0099225F">
        <w:rPr>
          <w:sz w:val="20"/>
        </w:rPr>
        <w:t>. The table below presents result</w:t>
      </w:r>
      <w:r w:rsidR="0059054D" w:rsidRPr="0099225F">
        <w:rPr>
          <w:sz w:val="20"/>
        </w:rPr>
        <w:t>s for the baseline</w:t>
      </w:r>
      <w:r w:rsidR="00D16618" w:rsidRPr="0099225F">
        <w:rPr>
          <w:sz w:val="20"/>
        </w:rPr>
        <w:t xml:space="preserve"> and most recent</w:t>
      </w:r>
      <w:r w:rsidR="0059054D" w:rsidRPr="0099225F">
        <w:rPr>
          <w:sz w:val="20"/>
        </w:rPr>
        <w:t xml:space="preserve"> </w:t>
      </w:r>
      <w:r w:rsidR="00D16618" w:rsidRPr="0099225F">
        <w:rPr>
          <w:sz w:val="20"/>
        </w:rPr>
        <w:t>years</w:t>
      </w:r>
      <w:r w:rsidR="0059054D" w:rsidRPr="0099225F">
        <w:rPr>
          <w:sz w:val="20"/>
        </w:rPr>
        <w:t xml:space="preserve"> </w:t>
      </w:r>
      <w:r w:rsidRPr="0099225F">
        <w:rPr>
          <w:sz w:val="20"/>
        </w:rPr>
        <w:t>and an assessment of the trend for each measure.</w:t>
      </w:r>
      <w:r w:rsidR="00952FC7" w:rsidRPr="0099225F">
        <w:rPr>
          <w:sz w:val="20"/>
        </w:rPr>
        <w:t xml:space="preserve"> </w:t>
      </w:r>
      <w:r w:rsidR="001E2CFE" w:rsidRPr="0099225F">
        <w:rPr>
          <w:sz w:val="20"/>
        </w:rPr>
        <w:t xml:space="preserve">Note that the </w:t>
      </w:r>
      <w:r w:rsidR="001F63F2" w:rsidRPr="0099225F">
        <w:rPr>
          <w:sz w:val="20"/>
        </w:rPr>
        <w:t>seven outcomes b</w:t>
      </w:r>
      <w:r w:rsidR="00A057BA" w:rsidRPr="0099225F">
        <w:rPr>
          <w:sz w:val="20"/>
        </w:rPr>
        <w:t xml:space="preserve">roadly </w:t>
      </w:r>
      <w:r w:rsidR="00F31E8E" w:rsidRPr="0099225F">
        <w:rPr>
          <w:sz w:val="20"/>
        </w:rPr>
        <w:t>align</w:t>
      </w:r>
      <w:r w:rsidR="00A057BA" w:rsidRPr="0099225F">
        <w:rPr>
          <w:sz w:val="20"/>
        </w:rPr>
        <w:t xml:space="preserve"> with the five </w:t>
      </w:r>
      <w:r w:rsidR="00CC52BE" w:rsidRPr="0099225F">
        <w:rPr>
          <w:i/>
          <w:iCs/>
          <w:sz w:val="20"/>
        </w:rPr>
        <w:t>Victorian cancer plan 2016</w:t>
      </w:r>
      <w:r w:rsidR="00690CD3" w:rsidRPr="0099225F">
        <w:rPr>
          <w:i/>
          <w:iCs/>
          <w:sz w:val="20"/>
        </w:rPr>
        <w:t>–</w:t>
      </w:r>
      <w:r w:rsidR="00CC52BE" w:rsidRPr="0099225F">
        <w:rPr>
          <w:i/>
          <w:iCs/>
          <w:sz w:val="20"/>
        </w:rPr>
        <w:t>2020</w:t>
      </w:r>
      <w:r w:rsidR="00CC52BE" w:rsidRPr="0099225F">
        <w:rPr>
          <w:sz w:val="20"/>
        </w:rPr>
        <w:t xml:space="preserve"> </w:t>
      </w:r>
      <w:r w:rsidR="00A057BA" w:rsidRPr="0099225F">
        <w:rPr>
          <w:sz w:val="20"/>
        </w:rPr>
        <w:t>action areas</w:t>
      </w:r>
      <w:r w:rsidR="00E2632C" w:rsidRPr="0099225F">
        <w:rPr>
          <w:sz w:val="20"/>
        </w:rPr>
        <w:t xml:space="preserve"> (page 8 </w:t>
      </w:r>
      <w:r w:rsidR="00E2632C" w:rsidRPr="0099225F">
        <w:rPr>
          <w:iCs/>
          <w:sz w:val="20"/>
        </w:rPr>
        <w:t>of</w:t>
      </w:r>
      <w:r w:rsidR="003F4BEA" w:rsidRPr="0099225F">
        <w:rPr>
          <w:iCs/>
          <w:sz w:val="20"/>
        </w:rPr>
        <w:t xml:space="preserve"> the</w:t>
      </w:r>
      <w:r w:rsidR="00E2632C" w:rsidRPr="0099225F">
        <w:rPr>
          <w:iCs/>
          <w:sz w:val="20"/>
        </w:rPr>
        <w:t xml:space="preserve"> </w:t>
      </w:r>
      <w:r w:rsidR="00E2632C" w:rsidRPr="0099225F">
        <w:rPr>
          <w:i/>
          <w:sz w:val="20"/>
        </w:rPr>
        <w:t>Victorian cancer plan monitoring and evaluation framework: report</w:t>
      </w:r>
      <w:r w:rsidR="00E2632C" w:rsidRPr="0099225F">
        <w:rPr>
          <w:sz w:val="20"/>
        </w:rPr>
        <w:t xml:space="preserve"> – 2018)</w:t>
      </w:r>
      <w:r w:rsidR="00CC52BE" w:rsidRPr="0099225F">
        <w:rPr>
          <w:sz w:val="20"/>
        </w:rPr>
        <w:t>.</w:t>
      </w:r>
    </w:p>
    <w:p w14:paraId="56199769" w14:textId="1097BCA0" w:rsidR="00DE68BE" w:rsidRPr="0099225F" w:rsidRDefault="00DE68BE" w:rsidP="00E87AAA">
      <w:pPr>
        <w:pStyle w:val="Body"/>
        <w:rPr>
          <w:sz w:val="20"/>
        </w:rPr>
      </w:pPr>
      <w:r w:rsidRPr="0099225F">
        <w:rPr>
          <w:b/>
          <w:sz w:val="20"/>
        </w:rPr>
        <w:t>K</w:t>
      </w:r>
      <w:r w:rsidR="00A14570" w:rsidRPr="0099225F">
        <w:rPr>
          <w:b/>
          <w:sz w:val="20"/>
        </w:rPr>
        <w:t>ey</w:t>
      </w:r>
      <w:r w:rsidRPr="0099225F">
        <w:rPr>
          <w:sz w:val="20"/>
        </w:rPr>
        <w:t>: Where results are unavailable, the measure has been categorised to indicate the scope of work required to produce a result for the next report</w:t>
      </w:r>
      <w:r w:rsidR="00096213" w:rsidRPr="0099225F">
        <w:rPr>
          <w:sz w:val="20"/>
        </w:rPr>
        <w:t>.</w:t>
      </w:r>
      <w:r w:rsidR="00952FC7" w:rsidRPr="0099225F">
        <w:rPr>
          <w:sz w:val="20"/>
        </w:rPr>
        <w:t xml:space="preserve"> </w:t>
      </w:r>
      <w:r w:rsidR="00D81F09" w:rsidRPr="0099225F">
        <w:rPr>
          <w:sz w:val="20"/>
        </w:rPr>
        <w:t>M</w:t>
      </w:r>
      <w:r w:rsidR="00096213" w:rsidRPr="0099225F">
        <w:rPr>
          <w:sz w:val="20"/>
        </w:rPr>
        <w:t xml:space="preserve">ore information </w:t>
      </w:r>
      <w:r w:rsidR="00D81F09" w:rsidRPr="0099225F">
        <w:rPr>
          <w:sz w:val="20"/>
        </w:rPr>
        <w:t>is set out in Appendix 1.</w:t>
      </w:r>
    </w:p>
    <w:tbl>
      <w:tblPr>
        <w:tblStyle w:val="TableGrid"/>
        <w:tblW w:w="14039" w:type="dxa"/>
        <w:tblInd w:w="-5" w:type="dxa"/>
        <w:tblBorders>
          <w:top w:val="none" w:sz="0" w:space="0" w:color="auto"/>
          <w:left w:val="none" w:sz="0" w:space="0" w:color="auto"/>
          <w:bottom w:val="none" w:sz="0" w:space="0" w:color="auto"/>
          <w:right w:val="none" w:sz="0" w:space="0" w:color="auto"/>
          <w:insideH w:val="single" w:sz="4" w:space="0" w:color="AF272F"/>
          <w:insideV w:val="none" w:sz="0" w:space="0" w:color="auto"/>
        </w:tblBorders>
        <w:tblLook w:val="04A0" w:firstRow="1" w:lastRow="0" w:firstColumn="1" w:lastColumn="0" w:noHBand="0" w:noVBand="1"/>
      </w:tblPr>
      <w:tblGrid>
        <w:gridCol w:w="2690"/>
        <w:gridCol w:w="11349"/>
      </w:tblGrid>
      <w:tr w:rsidR="006053E7" w:rsidRPr="0099225F" w14:paraId="3FB76D93" w14:textId="77777777" w:rsidTr="007F2DAF">
        <w:trPr>
          <w:trHeight w:val="437"/>
          <w:tblHeader/>
        </w:trPr>
        <w:tc>
          <w:tcPr>
            <w:tcW w:w="2690" w:type="dxa"/>
          </w:tcPr>
          <w:p w14:paraId="45C70BF3" w14:textId="7E7F2C99" w:rsidR="006053E7" w:rsidRPr="0099225F" w:rsidRDefault="006053E7" w:rsidP="006053E7">
            <w:pPr>
              <w:pStyle w:val="Tablecolhead"/>
              <w:rPr>
                <w:sz w:val="20"/>
              </w:rPr>
            </w:pPr>
            <w:r w:rsidRPr="0099225F">
              <w:rPr>
                <w:sz w:val="20"/>
              </w:rPr>
              <w:t>Key</w:t>
            </w:r>
          </w:p>
        </w:tc>
        <w:tc>
          <w:tcPr>
            <w:tcW w:w="11349" w:type="dxa"/>
          </w:tcPr>
          <w:p w14:paraId="0022522E" w14:textId="4006F62C" w:rsidR="006053E7" w:rsidRPr="0099225F" w:rsidRDefault="006053E7" w:rsidP="006053E7">
            <w:pPr>
              <w:pStyle w:val="Tablecolhead"/>
              <w:rPr>
                <w:sz w:val="20"/>
              </w:rPr>
            </w:pPr>
            <w:r w:rsidRPr="0099225F">
              <w:rPr>
                <w:sz w:val="20"/>
              </w:rPr>
              <w:t>Description</w:t>
            </w:r>
          </w:p>
        </w:tc>
      </w:tr>
      <w:tr w:rsidR="00DE68BE" w:rsidRPr="0099225F" w14:paraId="693FA025" w14:textId="77777777" w:rsidTr="007F2DAF">
        <w:trPr>
          <w:trHeight w:val="437"/>
        </w:trPr>
        <w:tc>
          <w:tcPr>
            <w:tcW w:w="2690" w:type="dxa"/>
          </w:tcPr>
          <w:p w14:paraId="2ED27DB9" w14:textId="77777777" w:rsidR="00DE68BE" w:rsidRPr="0099225F" w:rsidRDefault="00B35502" w:rsidP="00E87AAA">
            <w:pPr>
              <w:pStyle w:val="Body"/>
              <w:rPr>
                <w:color w:val="00B0F0"/>
                <w:sz w:val="20"/>
              </w:rPr>
            </w:pPr>
            <w:r w:rsidRPr="00784EB8">
              <w:rPr>
                <w:color w:val="004EA8"/>
                <w:sz w:val="20"/>
              </w:rPr>
              <w:t>Measure not defined</w:t>
            </w:r>
          </w:p>
        </w:tc>
        <w:tc>
          <w:tcPr>
            <w:tcW w:w="11349" w:type="dxa"/>
          </w:tcPr>
          <w:p w14:paraId="5C2DEF3B" w14:textId="2AAB819A" w:rsidR="00DE68BE" w:rsidRPr="0099225F" w:rsidRDefault="00DE68BE" w:rsidP="006053E7">
            <w:pPr>
              <w:pStyle w:val="Tabletext"/>
              <w:rPr>
                <w:sz w:val="20"/>
              </w:rPr>
            </w:pPr>
            <w:r w:rsidRPr="0099225F">
              <w:rPr>
                <w:sz w:val="20"/>
              </w:rPr>
              <w:t>These measures are currently under development</w:t>
            </w:r>
            <w:r w:rsidR="006C2FD5" w:rsidRPr="0099225F">
              <w:rPr>
                <w:sz w:val="20"/>
              </w:rPr>
              <w:t>,</w:t>
            </w:r>
            <w:r w:rsidRPr="0099225F">
              <w:rPr>
                <w:sz w:val="20"/>
              </w:rPr>
              <w:t xml:space="preserve"> with final development</w:t>
            </w:r>
            <w:r w:rsidR="006C2FD5" w:rsidRPr="0099225F">
              <w:rPr>
                <w:sz w:val="20"/>
              </w:rPr>
              <w:t xml:space="preserve"> and</w:t>
            </w:r>
            <w:r w:rsidRPr="0099225F">
              <w:rPr>
                <w:sz w:val="20"/>
              </w:rPr>
              <w:t xml:space="preserve"> sign</w:t>
            </w:r>
            <w:r w:rsidR="006C2FD5" w:rsidRPr="0099225F">
              <w:rPr>
                <w:sz w:val="20"/>
              </w:rPr>
              <w:t>-</w:t>
            </w:r>
            <w:r w:rsidRPr="0099225F">
              <w:rPr>
                <w:sz w:val="20"/>
              </w:rPr>
              <w:t xml:space="preserve">off </w:t>
            </w:r>
            <w:r w:rsidR="00FB7B1F" w:rsidRPr="0099225F">
              <w:rPr>
                <w:sz w:val="20"/>
              </w:rPr>
              <w:t>unlikely</w:t>
            </w:r>
            <w:r w:rsidRPr="0099225F">
              <w:rPr>
                <w:sz w:val="20"/>
              </w:rPr>
              <w:t xml:space="preserve"> at the time of publication</w:t>
            </w:r>
          </w:p>
        </w:tc>
      </w:tr>
      <w:tr w:rsidR="00A463C9" w:rsidRPr="0099225F" w14:paraId="1C580C66" w14:textId="77777777" w:rsidTr="007F2DAF">
        <w:trPr>
          <w:trHeight w:val="559"/>
        </w:trPr>
        <w:tc>
          <w:tcPr>
            <w:tcW w:w="2690" w:type="dxa"/>
            <w:tcBorders>
              <w:bottom w:val="single" w:sz="4" w:space="0" w:color="AF272F"/>
            </w:tcBorders>
          </w:tcPr>
          <w:p w14:paraId="48EF92FE" w14:textId="77777777" w:rsidR="00A463C9" w:rsidRPr="0099225F" w:rsidRDefault="00A463C9" w:rsidP="00E87AAA">
            <w:pPr>
              <w:pStyle w:val="Body"/>
              <w:rPr>
                <w:color w:val="7030A0"/>
                <w:sz w:val="20"/>
              </w:rPr>
            </w:pPr>
            <w:r w:rsidRPr="00F442E5">
              <w:rPr>
                <w:color w:val="7030A0"/>
                <w:sz w:val="20"/>
              </w:rPr>
              <w:t>No data available</w:t>
            </w:r>
          </w:p>
        </w:tc>
        <w:tc>
          <w:tcPr>
            <w:tcW w:w="11349" w:type="dxa"/>
            <w:tcBorders>
              <w:bottom w:val="single" w:sz="4" w:space="0" w:color="AF272F"/>
            </w:tcBorders>
          </w:tcPr>
          <w:p w14:paraId="29E6F52A" w14:textId="6EEB15C3" w:rsidR="00A463C9" w:rsidRPr="0099225F" w:rsidRDefault="003A6D14" w:rsidP="006053E7">
            <w:pPr>
              <w:pStyle w:val="Tabletext"/>
              <w:rPr>
                <w:sz w:val="20"/>
              </w:rPr>
            </w:pPr>
            <w:r w:rsidRPr="0099225F">
              <w:rPr>
                <w:sz w:val="20"/>
              </w:rPr>
              <w:t>No data w</w:t>
            </w:r>
            <w:r w:rsidR="006C2FD5" w:rsidRPr="0099225F">
              <w:rPr>
                <w:sz w:val="20"/>
              </w:rPr>
              <w:t>as</w:t>
            </w:r>
            <w:r w:rsidRPr="0099225F">
              <w:rPr>
                <w:sz w:val="20"/>
              </w:rPr>
              <w:t xml:space="preserve"> available</w:t>
            </w:r>
            <w:r w:rsidR="00741157">
              <w:rPr>
                <w:sz w:val="20"/>
              </w:rPr>
              <w:t xml:space="preserve"> (including revised data)</w:t>
            </w:r>
            <w:r w:rsidRPr="0099225F">
              <w:rPr>
                <w:sz w:val="20"/>
              </w:rPr>
              <w:t xml:space="preserve"> to report against</w:t>
            </w:r>
            <w:r w:rsidR="004409EB" w:rsidRPr="0099225F">
              <w:rPr>
                <w:sz w:val="20"/>
              </w:rPr>
              <w:t xml:space="preserve"> at the time of publication</w:t>
            </w:r>
          </w:p>
        </w:tc>
      </w:tr>
      <w:tr w:rsidR="00DE68BE" w:rsidRPr="0099225F" w14:paraId="69050CB0" w14:textId="77777777" w:rsidTr="007F2DAF">
        <w:trPr>
          <w:trHeight w:val="343"/>
        </w:trPr>
        <w:tc>
          <w:tcPr>
            <w:tcW w:w="2690" w:type="dxa"/>
            <w:tcBorders>
              <w:top w:val="single" w:sz="4" w:space="0" w:color="AF272F"/>
              <w:bottom w:val="single" w:sz="4" w:space="0" w:color="AF272F"/>
            </w:tcBorders>
          </w:tcPr>
          <w:p w14:paraId="78E06B1C" w14:textId="77777777" w:rsidR="00DE68BE" w:rsidRPr="0099225F" w:rsidRDefault="00DE68BE" w:rsidP="00E87AAA">
            <w:pPr>
              <w:pStyle w:val="Body"/>
              <w:rPr>
                <w:sz w:val="20"/>
              </w:rPr>
            </w:pPr>
            <w:r w:rsidRPr="00784EB8">
              <w:rPr>
                <w:color w:val="13666B"/>
                <w:sz w:val="20"/>
              </w:rPr>
              <w:t>Status to be determined</w:t>
            </w:r>
          </w:p>
        </w:tc>
        <w:tc>
          <w:tcPr>
            <w:tcW w:w="11349" w:type="dxa"/>
            <w:tcBorders>
              <w:top w:val="single" w:sz="4" w:space="0" w:color="AF272F"/>
              <w:bottom w:val="single" w:sz="4" w:space="0" w:color="AF272F"/>
            </w:tcBorders>
          </w:tcPr>
          <w:p w14:paraId="547A0B01" w14:textId="17F199F1" w:rsidR="00DE68BE" w:rsidRPr="0099225F" w:rsidRDefault="00DE68BE" w:rsidP="006053E7">
            <w:pPr>
              <w:pStyle w:val="Tabletext"/>
              <w:rPr>
                <w:sz w:val="20"/>
              </w:rPr>
            </w:pPr>
            <w:r w:rsidRPr="0099225F">
              <w:rPr>
                <w:sz w:val="20"/>
              </w:rPr>
              <w:t>Work is underway to engage the relevant experts to determin</w:t>
            </w:r>
            <w:r w:rsidR="00E375F1" w:rsidRPr="0099225F">
              <w:rPr>
                <w:sz w:val="20"/>
              </w:rPr>
              <w:t xml:space="preserve">e </w:t>
            </w:r>
            <w:r w:rsidRPr="0099225F">
              <w:rPr>
                <w:sz w:val="20"/>
              </w:rPr>
              <w:t>how much work is required</w:t>
            </w:r>
          </w:p>
        </w:tc>
      </w:tr>
    </w:tbl>
    <w:tbl>
      <w:tblPr>
        <w:tblStyle w:val="TableGrid"/>
        <w:tblpPr w:leftFromText="180" w:rightFromText="180" w:vertAnchor="text" w:horzAnchor="margin" w:tblpY="181"/>
        <w:tblW w:w="14034" w:type="dxa"/>
        <w:tblInd w:w="0" w:type="dxa"/>
        <w:tblBorders>
          <w:top w:val="none" w:sz="0" w:space="0" w:color="auto"/>
          <w:left w:val="none" w:sz="0" w:space="0" w:color="auto"/>
          <w:bottom w:val="none" w:sz="0" w:space="0" w:color="auto"/>
          <w:right w:val="none" w:sz="0" w:space="0" w:color="auto"/>
          <w:insideH w:val="single" w:sz="4" w:space="0" w:color="AF272F"/>
          <w:insideV w:val="none" w:sz="0" w:space="0" w:color="auto"/>
        </w:tblBorders>
        <w:tblLook w:val="04A0" w:firstRow="1" w:lastRow="0" w:firstColumn="1" w:lastColumn="0" w:noHBand="0" w:noVBand="1"/>
      </w:tblPr>
      <w:tblGrid>
        <w:gridCol w:w="2694"/>
        <w:gridCol w:w="11340"/>
      </w:tblGrid>
      <w:tr w:rsidR="00F43BC8" w:rsidRPr="0099225F" w14:paraId="642B3C1D" w14:textId="77777777" w:rsidTr="004D053C">
        <w:trPr>
          <w:trHeight w:val="366"/>
          <w:tblHeader/>
        </w:trPr>
        <w:tc>
          <w:tcPr>
            <w:tcW w:w="2694" w:type="dxa"/>
          </w:tcPr>
          <w:p w14:paraId="01C4A84A" w14:textId="77777777" w:rsidR="00F43BC8" w:rsidRPr="0099225F" w:rsidRDefault="00F43BC8" w:rsidP="006053E7">
            <w:pPr>
              <w:pStyle w:val="Tablecolhead"/>
              <w:rPr>
                <w:color w:val="FF0000"/>
                <w:sz w:val="20"/>
              </w:rPr>
            </w:pPr>
            <w:r w:rsidRPr="0099225F">
              <w:rPr>
                <w:sz w:val="20"/>
              </w:rPr>
              <w:t>Trend</w:t>
            </w:r>
          </w:p>
        </w:tc>
        <w:tc>
          <w:tcPr>
            <w:tcW w:w="11340" w:type="dxa"/>
          </w:tcPr>
          <w:p w14:paraId="7078C505" w14:textId="63BBD01C" w:rsidR="00F43BC8" w:rsidRPr="0099225F" w:rsidRDefault="006053E7" w:rsidP="006053E7">
            <w:pPr>
              <w:pStyle w:val="Tablecolhead"/>
              <w:rPr>
                <w:sz w:val="20"/>
              </w:rPr>
            </w:pPr>
            <w:r w:rsidRPr="0099225F">
              <w:rPr>
                <w:sz w:val="20"/>
              </w:rPr>
              <w:t>Description</w:t>
            </w:r>
          </w:p>
        </w:tc>
      </w:tr>
      <w:tr w:rsidR="00F43BC8" w:rsidRPr="0099225F" w14:paraId="39FCB673" w14:textId="77777777" w:rsidTr="007F2DAF">
        <w:trPr>
          <w:trHeight w:val="606"/>
        </w:trPr>
        <w:tc>
          <w:tcPr>
            <w:tcW w:w="2694" w:type="dxa"/>
          </w:tcPr>
          <w:p w14:paraId="69AE19A5" w14:textId="77777777" w:rsidR="00F43BC8" w:rsidRPr="0099225F" w:rsidRDefault="00F43BC8" w:rsidP="006053E7">
            <w:pPr>
              <w:pStyle w:val="Tabletext"/>
              <w:rPr>
                <w:sz w:val="20"/>
              </w:rPr>
            </w:pPr>
            <w:r w:rsidRPr="0099225F">
              <w:rPr>
                <w:sz w:val="20"/>
              </w:rPr>
              <w:t>▲</w:t>
            </w:r>
          </w:p>
        </w:tc>
        <w:tc>
          <w:tcPr>
            <w:tcW w:w="11340" w:type="dxa"/>
          </w:tcPr>
          <w:p w14:paraId="571ACB79" w14:textId="40F68C82" w:rsidR="00F43BC8" w:rsidRPr="0099225F" w:rsidRDefault="00F43BC8" w:rsidP="006053E7">
            <w:pPr>
              <w:pStyle w:val="Tabletext"/>
              <w:rPr>
                <w:sz w:val="20"/>
              </w:rPr>
            </w:pPr>
            <w:r w:rsidRPr="0099225F">
              <w:rPr>
                <w:sz w:val="20"/>
              </w:rPr>
              <w:t xml:space="preserve">Upward trend – there has been an increase in the value of the measure by more than </w:t>
            </w:r>
            <w:r w:rsidR="003F4BEA" w:rsidRPr="0099225F">
              <w:rPr>
                <w:sz w:val="20"/>
              </w:rPr>
              <w:t>3</w:t>
            </w:r>
            <w:r w:rsidR="0054537F">
              <w:rPr>
                <w:sz w:val="20"/>
              </w:rPr>
              <w:t>%</w:t>
            </w:r>
            <w:r w:rsidRPr="0099225F">
              <w:rPr>
                <w:sz w:val="20"/>
              </w:rPr>
              <w:t xml:space="preserve"> between the </w:t>
            </w:r>
            <w:r w:rsidR="003F7F80" w:rsidRPr="0099225F">
              <w:rPr>
                <w:sz w:val="20"/>
              </w:rPr>
              <w:t>baseline year and the</w:t>
            </w:r>
            <w:r w:rsidRPr="0099225F">
              <w:rPr>
                <w:sz w:val="20"/>
              </w:rPr>
              <w:t xml:space="preserve"> most recent available data points</w:t>
            </w:r>
          </w:p>
        </w:tc>
      </w:tr>
      <w:tr w:rsidR="00F43BC8" w:rsidRPr="0099225F" w14:paraId="30E615D3" w14:textId="77777777" w:rsidTr="007F2DAF">
        <w:trPr>
          <w:trHeight w:val="590"/>
        </w:trPr>
        <w:tc>
          <w:tcPr>
            <w:tcW w:w="2694" w:type="dxa"/>
          </w:tcPr>
          <w:p w14:paraId="2EF03D49" w14:textId="77777777" w:rsidR="00F43BC8" w:rsidRPr="0099225F" w:rsidRDefault="00F43BC8" w:rsidP="006053E7">
            <w:pPr>
              <w:pStyle w:val="Tabletext"/>
              <w:rPr>
                <w:sz w:val="20"/>
              </w:rPr>
            </w:pPr>
            <w:r w:rsidRPr="0099225F">
              <w:rPr>
                <w:sz w:val="20"/>
              </w:rPr>
              <w:t>▼</w:t>
            </w:r>
          </w:p>
        </w:tc>
        <w:tc>
          <w:tcPr>
            <w:tcW w:w="11340" w:type="dxa"/>
          </w:tcPr>
          <w:p w14:paraId="516BD563" w14:textId="77CBB264" w:rsidR="00F43BC8" w:rsidRPr="0099225F" w:rsidRDefault="00F43BC8" w:rsidP="006053E7">
            <w:pPr>
              <w:pStyle w:val="Tabletext"/>
              <w:rPr>
                <w:sz w:val="20"/>
              </w:rPr>
            </w:pPr>
            <w:r w:rsidRPr="0099225F">
              <w:rPr>
                <w:sz w:val="20"/>
              </w:rPr>
              <w:t xml:space="preserve">Downward trend – there has been a decline in the value of the measure by more than </w:t>
            </w:r>
            <w:r w:rsidR="003F4BEA" w:rsidRPr="0099225F">
              <w:rPr>
                <w:sz w:val="20"/>
              </w:rPr>
              <w:t>3</w:t>
            </w:r>
            <w:r w:rsidR="0054537F">
              <w:rPr>
                <w:sz w:val="20"/>
              </w:rPr>
              <w:t>%</w:t>
            </w:r>
            <w:r w:rsidRPr="0099225F">
              <w:rPr>
                <w:sz w:val="20"/>
              </w:rPr>
              <w:t xml:space="preserve"> between the </w:t>
            </w:r>
            <w:r w:rsidR="003F7F80" w:rsidRPr="0099225F">
              <w:rPr>
                <w:sz w:val="20"/>
              </w:rPr>
              <w:t>baseline year and the</w:t>
            </w:r>
            <w:r w:rsidRPr="0099225F">
              <w:rPr>
                <w:sz w:val="20"/>
              </w:rPr>
              <w:t xml:space="preserve"> most recent available data points</w:t>
            </w:r>
          </w:p>
        </w:tc>
      </w:tr>
      <w:tr w:rsidR="00F43BC8" w:rsidRPr="0099225F" w14:paraId="668F7D35" w14:textId="77777777" w:rsidTr="007F2DAF">
        <w:trPr>
          <w:trHeight w:val="606"/>
        </w:trPr>
        <w:tc>
          <w:tcPr>
            <w:tcW w:w="2694" w:type="dxa"/>
          </w:tcPr>
          <w:p w14:paraId="05E017D9" w14:textId="77777777" w:rsidR="00F43BC8" w:rsidRPr="0099225F" w:rsidRDefault="00F43BC8" w:rsidP="006053E7">
            <w:pPr>
              <w:pStyle w:val="Tabletext"/>
              <w:rPr>
                <w:sz w:val="20"/>
              </w:rPr>
            </w:pPr>
            <w:r w:rsidRPr="0099225F">
              <w:rPr>
                <w:sz w:val="20"/>
              </w:rPr>
              <w:t>■</w:t>
            </w:r>
          </w:p>
        </w:tc>
        <w:tc>
          <w:tcPr>
            <w:tcW w:w="11340" w:type="dxa"/>
          </w:tcPr>
          <w:p w14:paraId="00FF8B4B" w14:textId="13D89B54" w:rsidR="00F43BC8" w:rsidRPr="0099225F" w:rsidRDefault="00F43BC8" w:rsidP="006053E7">
            <w:pPr>
              <w:pStyle w:val="Tabletext"/>
              <w:rPr>
                <w:sz w:val="20"/>
              </w:rPr>
            </w:pPr>
            <w:r w:rsidRPr="0099225F">
              <w:rPr>
                <w:sz w:val="20"/>
              </w:rPr>
              <w:t xml:space="preserve">The value of the measure has not changed, or changed less than </w:t>
            </w:r>
            <w:r w:rsidR="003F4BEA" w:rsidRPr="0099225F">
              <w:rPr>
                <w:sz w:val="20"/>
              </w:rPr>
              <w:t>3</w:t>
            </w:r>
            <w:r w:rsidR="0054537F">
              <w:rPr>
                <w:sz w:val="20"/>
              </w:rPr>
              <w:t>%</w:t>
            </w:r>
            <w:r w:rsidRPr="0099225F">
              <w:rPr>
                <w:sz w:val="20"/>
              </w:rPr>
              <w:t xml:space="preserve">, between the </w:t>
            </w:r>
            <w:r w:rsidR="003F7F80" w:rsidRPr="0099225F">
              <w:rPr>
                <w:sz w:val="20"/>
              </w:rPr>
              <w:t>baseline year and the</w:t>
            </w:r>
            <w:r w:rsidRPr="0099225F">
              <w:rPr>
                <w:sz w:val="20"/>
              </w:rPr>
              <w:t xml:space="preserve"> most recent available data points</w:t>
            </w:r>
          </w:p>
        </w:tc>
      </w:tr>
      <w:tr w:rsidR="00A75940" w:rsidRPr="0099225F" w14:paraId="4BFC1812" w14:textId="77777777" w:rsidTr="007F2DAF">
        <w:trPr>
          <w:trHeight w:val="383"/>
        </w:trPr>
        <w:tc>
          <w:tcPr>
            <w:tcW w:w="2694" w:type="dxa"/>
          </w:tcPr>
          <w:p w14:paraId="0DF95786" w14:textId="5EBB6E34" w:rsidR="00A75940" w:rsidRPr="0099225F" w:rsidRDefault="00481DF0" w:rsidP="006053E7">
            <w:pPr>
              <w:pStyle w:val="Tabletext"/>
              <w:rPr>
                <w:b/>
                <w:sz w:val="20"/>
              </w:rPr>
            </w:pPr>
            <w:r w:rsidRPr="0099225F">
              <w:rPr>
                <w:rFonts w:ascii="Symbol" w:eastAsia="Symbol" w:hAnsi="Symbol" w:cs="Symbol"/>
                <w:b/>
                <w:sz w:val="20"/>
              </w:rPr>
              <w:t>ð</w:t>
            </w:r>
          </w:p>
        </w:tc>
        <w:tc>
          <w:tcPr>
            <w:tcW w:w="11340" w:type="dxa"/>
          </w:tcPr>
          <w:p w14:paraId="319F6BEC" w14:textId="1E084D88" w:rsidR="00A75940" w:rsidRPr="0099225F" w:rsidRDefault="00505127" w:rsidP="006053E7">
            <w:pPr>
              <w:pStyle w:val="Tabletext"/>
              <w:rPr>
                <w:sz w:val="20"/>
              </w:rPr>
            </w:pPr>
            <w:r w:rsidRPr="0099225F">
              <w:rPr>
                <w:sz w:val="20"/>
              </w:rPr>
              <w:t>The</w:t>
            </w:r>
            <w:r w:rsidR="00E659A7" w:rsidRPr="0099225F">
              <w:rPr>
                <w:sz w:val="20"/>
              </w:rPr>
              <w:t>re is a large difference in the</w:t>
            </w:r>
            <w:r w:rsidRPr="0099225F">
              <w:rPr>
                <w:sz w:val="20"/>
              </w:rPr>
              <w:t xml:space="preserve"> value but statistically there is no difference</w:t>
            </w:r>
          </w:p>
        </w:tc>
      </w:tr>
      <w:tr w:rsidR="00F43BC8" w:rsidRPr="0099225F" w14:paraId="7B1E22EC" w14:textId="77777777" w:rsidTr="007F2DAF">
        <w:trPr>
          <w:trHeight w:val="366"/>
        </w:trPr>
        <w:tc>
          <w:tcPr>
            <w:tcW w:w="2694" w:type="dxa"/>
          </w:tcPr>
          <w:p w14:paraId="29C3469A" w14:textId="77777777" w:rsidR="00F43BC8" w:rsidRPr="0099225F" w:rsidRDefault="00F43BC8" w:rsidP="006053E7">
            <w:pPr>
              <w:pStyle w:val="Tabletext"/>
              <w:rPr>
                <w:sz w:val="20"/>
              </w:rPr>
            </w:pPr>
            <w:r w:rsidRPr="0099225F">
              <w:rPr>
                <w:sz w:val="20"/>
              </w:rPr>
              <w:t>N/A</w:t>
            </w:r>
          </w:p>
        </w:tc>
        <w:tc>
          <w:tcPr>
            <w:tcW w:w="11340" w:type="dxa"/>
          </w:tcPr>
          <w:p w14:paraId="437859E9" w14:textId="77777777" w:rsidR="00F43BC8" w:rsidRPr="0099225F" w:rsidRDefault="00F43BC8" w:rsidP="006053E7">
            <w:pPr>
              <w:pStyle w:val="Tabletext"/>
              <w:rPr>
                <w:sz w:val="20"/>
              </w:rPr>
            </w:pPr>
            <w:r w:rsidRPr="0099225F">
              <w:rPr>
                <w:sz w:val="20"/>
              </w:rPr>
              <w:t xml:space="preserve">There is not enough information (or in some circumstances there is no data) available to assess the trend over time </w:t>
            </w:r>
          </w:p>
        </w:tc>
      </w:tr>
      <w:tr w:rsidR="00F43BC8" w:rsidRPr="0099225F" w14:paraId="32701492" w14:textId="77777777" w:rsidTr="007F2DAF">
        <w:trPr>
          <w:trHeight w:val="366"/>
        </w:trPr>
        <w:tc>
          <w:tcPr>
            <w:tcW w:w="2694" w:type="dxa"/>
            <w:tcBorders>
              <w:bottom w:val="single" w:sz="4" w:space="0" w:color="AF272F"/>
            </w:tcBorders>
          </w:tcPr>
          <w:p w14:paraId="4E2EAB6C" w14:textId="77777777" w:rsidR="00F43BC8" w:rsidRPr="0099225F" w:rsidRDefault="00F43BC8" w:rsidP="006053E7">
            <w:pPr>
              <w:pStyle w:val="Tabletext"/>
              <w:rPr>
                <w:b/>
                <w:sz w:val="20"/>
              </w:rPr>
            </w:pPr>
            <w:r w:rsidRPr="0099225F">
              <w:rPr>
                <w:b/>
                <w:sz w:val="20"/>
              </w:rPr>
              <w:t>Target</w:t>
            </w:r>
          </w:p>
        </w:tc>
        <w:tc>
          <w:tcPr>
            <w:tcW w:w="11340" w:type="dxa"/>
            <w:tcBorders>
              <w:bottom w:val="single" w:sz="4" w:space="0" w:color="AF272F"/>
            </w:tcBorders>
          </w:tcPr>
          <w:p w14:paraId="6F733974" w14:textId="646707A5" w:rsidR="00F43BC8" w:rsidRPr="0099225F" w:rsidRDefault="006053E7" w:rsidP="006053E7">
            <w:pPr>
              <w:pStyle w:val="Tabletext"/>
              <w:rPr>
                <w:sz w:val="20"/>
              </w:rPr>
            </w:pPr>
            <w:r w:rsidRPr="0099225F">
              <w:rPr>
                <w:sz w:val="20"/>
              </w:rPr>
              <w:t>From the baseline year</w:t>
            </w:r>
          </w:p>
        </w:tc>
      </w:tr>
      <w:tr w:rsidR="00F43BC8" w:rsidRPr="0099225F" w14:paraId="24A7AC9A" w14:textId="77777777" w:rsidTr="007F2DAF">
        <w:trPr>
          <w:trHeight w:val="366"/>
        </w:trPr>
        <w:tc>
          <w:tcPr>
            <w:tcW w:w="2694" w:type="dxa"/>
            <w:tcBorders>
              <w:top w:val="single" w:sz="4" w:space="0" w:color="AF272F"/>
              <w:bottom w:val="single" w:sz="4" w:space="0" w:color="AF272F"/>
            </w:tcBorders>
          </w:tcPr>
          <w:p w14:paraId="10D20194" w14:textId="77777777" w:rsidR="00F43BC8" w:rsidRPr="0099225F" w:rsidRDefault="00F43BC8" w:rsidP="006053E7">
            <w:pPr>
              <w:pStyle w:val="Tabletext"/>
              <w:rPr>
                <w:sz w:val="20"/>
              </w:rPr>
            </w:pPr>
            <w:r w:rsidRPr="0099225F">
              <w:rPr>
                <w:sz w:val="20"/>
              </w:rPr>
              <w:t>N/S</w:t>
            </w:r>
          </w:p>
        </w:tc>
        <w:tc>
          <w:tcPr>
            <w:tcW w:w="11340" w:type="dxa"/>
            <w:tcBorders>
              <w:top w:val="single" w:sz="4" w:space="0" w:color="AF272F"/>
              <w:bottom w:val="single" w:sz="4" w:space="0" w:color="AF272F"/>
            </w:tcBorders>
          </w:tcPr>
          <w:p w14:paraId="63934AC1" w14:textId="77777777" w:rsidR="00F43BC8" w:rsidRPr="0099225F" w:rsidRDefault="00F43BC8" w:rsidP="006053E7">
            <w:pPr>
              <w:pStyle w:val="Tabletext"/>
              <w:rPr>
                <w:sz w:val="20"/>
              </w:rPr>
            </w:pPr>
            <w:r w:rsidRPr="0099225F">
              <w:rPr>
                <w:sz w:val="20"/>
              </w:rPr>
              <w:t>No set target for this measure</w:t>
            </w:r>
          </w:p>
        </w:tc>
      </w:tr>
      <w:tr w:rsidR="005F082F" w:rsidRPr="0099225F" w14:paraId="0A5D1D40" w14:textId="77777777" w:rsidTr="007F2DAF">
        <w:trPr>
          <w:trHeight w:val="399"/>
        </w:trPr>
        <w:tc>
          <w:tcPr>
            <w:tcW w:w="2694" w:type="dxa"/>
            <w:tcBorders>
              <w:top w:val="single" w:sz="4" w:space="0" w:color="AF272F"/>
              <w:bottom w:val="single" w:sz="4" w:space="0" w:color="AF272F"/>
            </w:tcBorders>
          </w:tcPr>
          <w:p w14:paraId="5AE635C0" w14:textId="585AB2D1" w:rsidR="005F082F" w:rsidRPr="0099225F" w:rsidRDefault="00B77117" w:rsidP="006053E7">
            <w:pPr>
              <w:pStyle w:val="Tabletext"/>
              <w:rPr>
                <w:rFonts w:ascii="Wingdings" w:hAnsi="Wingdings"/>
                <w:sz w:val="20"/>
              </w:rPr>
            </w:pPr>
            <w:r w:rsidRPr="0099225F">
              <w:rPr>
                <w:rFonts w:ascii="Wingdings" w:eastAsia="Wingdings" w:hAnsi="Wingdings" w:cs="Wingdings"/>
                <w:sz w:val="20"/>
              </w:rPr>
              <w:t>þ</w:t>
            </w:r>
          </w:p>
        </w:tc>
        <w:tc>
          <w:tcPr>
            <w:tcW w:w="11340" w:type="dxa"/>
            <w:tcBorders>
              <w:top w:val="single" w:sz="4" w:space="0" w:color="AF272F"/>
              <w:bottom w:val="single" w:sz="4" w:space="0" w:color="AF272F"/>
            </w:tcBorders>
          </w:tcPr>
          <w:p w14:paraId="4CA8FF76" w14:textId="33EE6D7E" w:rsidR="005F082F" w:rsidRPr="0099225F" w:rsidRDefault="00471EFF" w:rsidP="006053E7">
            <w:pPr>
              <w:pStyle w:val="Tabletext"/>
              <w:rPr>
                <w:sz w:val="20"/>
              </w:rPr>
            </w:pPr>
            <w:r w:rsidRPr="0099225F">
              <w:rPr>
                <w:sz w:val="20"/>
              </w:rPr>
              <w:t>Target has been met</w:t>
            </w:r>
          </w:p>
        </w:tc>
      </w:tr>
    </w:tbl>
    <w:p w14:paraId="1E2E7791" w14:textId="1A654FAB" w:rsidR="00F768B7" w:rsidRDefault="00106C87" w:rsidP="00F768B7">
      <w:pPr>
        <w:pStyle w:val="Heading2"/>
      </w:pPr>
      <w:bookmarkStart w:id="39" w:name="_Toc19007973"/>
      <w:bookmarkStart w:id="40" w:name="_Toc140843411"/>
      <w:r>
        <w:lastRenderedPageBreak/>
        <w:t>Victorian c</w:t>
      </w:r>
      <w:r w:rsidR="00F768B7" w:rsidRPr="00F768B7">
        <w:t xml:space="preserve">ancer plan </w:t>
      </w:r>
      <w:r>
        <w:t xml:space="preserve">monitoring and evaluation framework: </w:t>
      </w:r>
      <w:r w:rsidR="00F768B7">
        <w:t>measure</w:t>
      </w:r>
      <w:r w:rsidR="00C1114C">
        <w:t>s</w:t>
      </w:r>
      <w:bookmarkEnd w:id="39"/>
      <w:bookmarkEnd w:id="40"/>
    </w:p>
    <w:p w14:paraId="10E7F0A8" w14:textId="77777777" w:rsidR="00C1114C" w:rsidRPr="00F768B7" w:rsidRDefault="00C1114C" w:rsidP="00A451D4">
      <w:pPr>
        <w:pStyle w:val="Heading3"/>
      </w:pPr>
      <w:bookmarkStart w:id="41" w:name="_Toc19007974"/>
      <w:r w:rsidRPr="00F768B7">
        <w:t>Action: Victorians are supported to reduce risks of cancer</w:t>
      </w:r>
      <w:bookmarkEnd w:id="41"/>
    </w:p>
    <w:p w14:paraId="2F3E73CD" w14:textId="77777777" w:rsidR="00C1114C" w:rsidRDefault="00C1114C" w:rsidP="007C7F00">
      <w:pPr>
        <w:pStyle w:val="Heading4"/>
      </w:pPr>
      <w:r w:rsidRPr="00F768B7">
        <w:t xml:space="preserve">Outcome: Improve cancer outcomes </w:t>
      </w:r>
    </w:p>
    <w:p w14:paraId="1956B190" w14:textId="01D04D9F" w:rsidR="00F768B7" w:rsidRPr="00F768B7" w:rsidRDefault="00F768B7" w:rsidP="00C1114C">
      <w:pPr>
        <w:pStyle w:val="Heading5"/>
      </w:pPr>
      <w:r w:rsidRPr="00F768B7">
        <w:t>Key result: Decrease incidence of preventable cancers</w:t>
      </w:r>
    </w:p>
    <w:tbl>
      <w:tblPr>
        <w:tblStyle w:val="TableGrid"/>
        <w:tblW w:w="14425" w:type="dxa"/>
        <w:tblInd w:w="0" w:type="dxa"/>
        <w:tblBorders>
          <w:top w:val="none" w:sz="0" w:space="0" w:color="auto"/>
          <w:left w:val="none" w:sz="0" w:space="0" w:color="auto"/>
          <w:bottom w:val="none" w:sz="0" w:space="0" w:color="auto"/>
          <w:right w:val="none" w:sz="0" w:space="0" w:color="auto"/>
          <w:insideH w:val="single" w:sz="4" w:space="0" w:color="AF272F"/>
          <w:insideV w:val="none" w:sz="0" w:space="0" w:color="auto"/>
        </w:tblBorders>
        <w:tblLayout w:type="fixed"/>
        <w:tblLook w:val="04A0" w:firstRow="1" w:lastRow="0" w:firstColumn="1" w:lastColumn="0" w:noHBand="0" w:noVBand="1"/>
      </w:tblPr>
      <w:tblGrid>
        <w:gridCol w:w="1379"/>
        <w:gridCol w:w="3265"/>
        <w:gridCol w:w="2636"/>
        <w:gridCol w:w="1786"/>
        <w:gridCol w:w="1786"/>
        <w:gridCol w:w="1786"/>
        <w:gridCol w:w="1787"/>
      </w:tblGrid>
      <w:tr w:rsidR="00F768B7" w:rsidRPr="0099225F" w14:paraId="748E1879" w14:textId="77777777" w:rsidTr="00D12913">
        <w:trPr>
          <w:trHeight w:val="690"/>
        </w:trPr>
        <w:tc>
          <w:tcPr>
            <w:tcW w:w="1379" w:type="dxa"/>
            <w:tcBorders>
              <w:top w:val="nil"/>
              <w:bottom w:val="single" w:sz="4" w:space="0" w:color="AF272F"/>
            </w:tcBorders>
            <w:shd w:val="clear" w:color="auto" w:fill="EDCDCF"/>
          </w:tcPr>
          <w:p w14:paraId="13C146B9" w14:textId="7688803A" w:rsidR="00F768B7" w:rsidRPr="0099225F" w:rsidRDefault="00F768B7" w:rsidP="00876FD6">
            <w:pPr>
              <w:pStyle w:val="Tablecolhead"/>
              <w:rPr>
                <w:sz w:val="20"/>
              </w:rPr>
            </w:pPr>
            <w:r w:rsidRPr="0099225F">
              <w:rPr>
                <w:sz w:val="20"/>
              </w:rPr>
              <w:t>Measure #</w:t>
            </w:r>
          </w:p>
        </w:tc>
        <w:tc>
          <w:tcPr>
            <w:tcW w:w="3265" w:type="dxa"/>
            <w:tcBorders>
              <w:top w:val="nil"/>
              <w:bottom w:val="single" w:sz="4" w:space="0" w:color="AF272F"/>
            </w:tcBorders>
            <w:shd w:val="clear" w:color="auto" w:fill="EDCDCF"/>
          </w:tcPr>
          <w:p w14:paraId="78C2DBE1" w14:textId="06A7BDB9" w:rsidR="00F768B7" w:rsidRPr="0099225F" w:rsidRDefault="00F768B7" w:rsidP="00876FD6">
            <w:pPr>
              <w:pStyle w:val="Tablecolhead"/>
              <w:rPr>
                <w:sz w:val="20"/>
              </w:rPr>
            </w:pPr>
            <w:r w:rsidRPr="0099225F">
              <w:rPr>
                <w:sz w:val="20"/>
              </w:rPr>
              <w:t>Description</w:t>
            </w:r>
          </w:p>
        </w:tc>
        <w:tc>
          <w:tcPr>
            <w:tcW w:w="2636" w:type="dxa"/>
            <w:tcBorders>
              <w:top w:val="nil"/>
              <w:bottom w:val="single" w:sz="4" w:space="0" w:color="AF272F"/>
            </w:tcBorders>
            <w:shd w:val="clear" w:color="auto" w:fill="EDCDCF"/>
          </w:tcPr>
          <w:p w14:paraId="667A3B2D" w14:textId="6A2A255B" w:rsidR="00F768B7" w:rsidRPr="0099225F" w:rsidRDefault="00F768B7" w:rsidP="00876FD6">
            <w:pPr>
              <w:pStyle w:val="Tablecolhead"/>
              <w:rPr>
                <w:sz w:val="20"/>
              </w:rPr>
            </w:pPr>
            <w:r w:rsidRPr="0099225F">
              <w:rPr>
                <w:sz w:val="20"/>
              </w:rPr>
              <w:t>Unit of measure</w:t>
            </w:r>
          </w:p>
        </w:tc>
        <w:tc>
          <w:tcPr>
            <w:tcW w:w="1786" w:type="dxa"/>
            <w:tcBorders>
              <w:top w:val="nil"/>
              <w:bottom w:val="single" w:sz="4" w:space="0" w:color="AF272F"/>
            </w:tcBorders>
            <w:shd w:val="clear" w:color="auto" w:fill="EDCDCF"/>
            <w:noWrap/>
          </w:tcPr>
          <w:p w14:paraId="6DE7F3F7" w14:textId="77777777" w:rsidR="00F768B7" w:rsidRPr="0099225F" w:rsidRDefault="00F768B7" w:rsidP="00876FD6">
            <w:pPr>
              <w:pStyle w:val="Tablecolhead"/>
              <w:rPr>
                <w:sz w:val="20"/>
              </w:rPr>
            </w:pPr>
            <w:r w:rsidRPr="0099225F">
              <w:rPr>
                <w:sz w:val="20"/>
              </w:rPr>
              <w:t>Baseline</w:t>
            </w:r>
          </w:p>
          <w:p w14:paraId="7A3D11AC" w14:textId="768737C0" w:rsidR="00F768B7" w:rsidRPr="0099225F" w:rsidRDefault="00F768B7" w:rsidP="00876FD6">
            <w:pPr>
              <w:pStyle w:val="Tablecolhead"/>
              <w:rPr>
                <w:sz w:val="20"/>
              </w:rPr>
            </w:pPr>
            <w:r w:rsidRPr="0099225F">
              <w:rPr>
                <w:sz w:val="20"/>
              </w:rPr>
              <w:t>(year)</w:t>
            </w:r>
          </w:p>
        </w:tc>
        <w:tc>
          <w:tcPr>
            <w:tcW w:w="1786" w:type="dxa"/>
            <w:tcBorders>
              <w:top w:val="nil"/>
              <w:bottom w:val="single" w:sz="4" w:space="0" w:color="AF272F"/>
            </w:tcBorders>
            <w:shd w:val="clear" w:color="auto" w:fill="EDCDCF"/>
            <w:noWrap/>
          </w:tcPr>
          <w:p w14:paraId="3C72A5AE" w14:textId="77777777" w:rsidR="00F768B7" w:rsidRPr="0099225F" w:rsidRDefault="00F768B7" w:rsidP="00876FD6">
            <w:pPr>
              <w:pStyle w:val="Tablecolhead"/>
              <w:rPr>
                <w:sz w:val="20"/>
              </w:rPr>
            </w:pPr>
            <w:r w:rsidRPr="0099225F">
              <w:rPr>
                <w:sz w:val="20"/>
              </w:rPr>
              <w:t>Most recent</w:t>
            </w:r>
          </w:p>
          <w:p w14:paraId="13DBFC02" w14:textId="154AD177" w:rsidR="00F768B7" w:rsidRPr="0099225F" w:rsidRDefault="00F768B7" w:rsidP="00876FD6">
            <w:pPr>
              <w:pStyle w:val="Tablecolhead"/>
              <w:rPr>
                <w:sz w:val="20"/>
              </w:rPr>
            </w:pPr>
            <w:r w:rsidRPr="0099225F">
              <w:rPr>
                <w:sz w:val="20"/>
              </w:rPr>
              <w:t>(year)</w:t>
            </w:r>
          </w:p>
        </w:tc>
        <w:tc>
          <w:tcPr>
            <w:tcW w:w="1786" w:type="dxa"/>
            <w:tcBorders>
              <w:top w:val="nil"/>
              <w:bottom w:val="single" w:sz="4" w:space="0" w:color="AF272F"/>
            </w:tcBorders>
            <w:shd w:val="clear" w:color="auto" w:fill="EDCDCF"/>
            <w:noWrap/>
          </w:tcPr>
          <w:p w14:paraId="795F8A67" w14:textId="7252801E" w:rsidR="00F768B7" w:rsidRPr="0099225F" w:rsidRDefault="00F768B7" w:rsidP="00876FD6">
            <w:pPr>
              <w:pStyle w:val="Tablecolhead"/>
              <w:rPr>
                <w:sz w:val="20"/>
              </w:rPr>
            </w:pPr>
            <w:r w:rsidRPr="0099225F">
              <w:rPr>
                <w:sz w:val="20"/>
              </w:rPr>
              <w:t>Target</w:t>
            </w:r>
          </w:p>
        </w:tc>
        <w:tc>
          <w:tcPr>
            <w:tcW w:w="1787" w:type="dxa"/>
            <w:tcBorders>
              <w:top w:val="nil"/>
              <w:bottom w:val="single" w:sz="4" w:space="0" w:color="AF272F"/>
            </w:tcBorders>
            <w:shd w:val="clear" w:color="auto" w:fill="EDCDCF"/>
          </w:tcPr>
          <w:p w14:paraId="614D7BAA" w14:textId="620A0073" w:rsidR="00F768B7" w:rsidRPr="0099225F" w:rsidRDefault="00F768B7" w:rsidP="00876FD6">
            <w:pPr>
              <w:pStyle w:val="Tablecolhead"/>
              <w:rPr>
                <w:sz w:val="20"/>
                <w:highlight w:val="yellow"/>
              </w:rPr>
            </w:pPr>
            <w:r w:rsidRPr="0099225F">
              <w:rPr>
                <w:sz w:val="20"/>
              </w:rPr>
              <w:t>Trend</w:t>
            </w:r>
          </w:p>
        </w:tc>
      </w:tr>
      <w:tr w:rsidR="00F768B7" w:rsidRPr="0099225F" w14:paraId="5BFDDCD0" w14:textId="77777777" w:rsidTr="004976DA">
        <w:trPr>
          <w:trHeight w:val="759"/>
        </w:trPr>
        <w:tc>
          <w:tcPr>
            <w:tcW w:w="1379" w:type="dxa"/>
            <w:tcBorders>
              <w:top w:val="single" w:sz="4" w:space="0" w:color="AF272F"/>
            </w:tcBorders>
            <w:hideMark/>
          </w:tcPr>
          <w:p w14:paraId="3CCEC1F7" w14:textId="38790E5D" w:rsidR="00F768B7" w:rsidRPr="0099225F" w:rsidRDefault="00000000" w:rsidP="0064412C">
            <w:pPr>
              <w:pStyle w:val="Tabletext"/>
              <w:rPr>
                <w:sz w:val="20"/>
              </w:rPr>
            </w:pPr>
            <w:hyperlink w:anchor="_Measure_1.1_–" w:history="1">
              <w:r w:rsidR="00F768B7" w:rsidRPr="0099225F">
                <w:rPr>
                  <w:rStyle w:val="Hyperlink"/>
                  <w:sz w:val="20"/>
                </w:rPr>
                <w:t>1.1</w:t>
              </w:r>
            </w:hyperlink>
          </w:p>
        </w:tc>
        <w:tc>
          <w:tcPr>
            <w:tcW w:w="3265" w:type="dxa"/>
            <w:tcBorders>
              <w:top w:val="single" w:sz="4" w:space="0" w:color="AF272F"/>
            </w:tcBorders>
            <w:hideMark/>
          </w:tcPr>
          <w:p w14:paraId="62F3EF2E" w14:textId="77777777" w:rsidR="00F768B7" w:rsidRPr="0099225F" w:rsidRDefault="00F768B7" w:rsidP="0064412C">
            <w:pPr>
              <w:pStyle w:val="Tabletext"/>
              <w:rPr>
                <w:sz w:val="20"/>
              </w:rPr>
            </w:pPr>
            <w:r w:rsidRPr="0099225F">
              <w:rPr>
                <w:sz w:val="20"/>
              </w:rPr>
              <w:t>Incidence of preventable cancers</w:t>
            </w:r>
          </w:p>
        </w:tc>
        <w:tc>
          <w:tcPr>
            <w:tcW w:w="2636" w:type="dxa"/>
            <w:tcBorders>
              <w:top w:val="single" w:sz="4" w:space="0" w:color="AF272F"/>
            </w:tcBorders>
          </w:tcPr>
          <w:p w14:paraId="7A81341F" w14:textId="52D36E82" w:rsidR="00F768B7" w:rsidRPr="0099225F" w:rsidRDefault="00F768B7" w:rsidP="0064412C">
            <w:pPr>
              <w:pStyle w:val="Tabletext"/>
              <w:rPr>
                <w:sz w:val="20"/>
              </w:rPr>
            </w:pPr>
            <w:r w:rsidRPr="0099225F">
              <w:rPr>
                <w:sz w:val="20"/>
              </w:rPr>
              <w:t>Rate (age-adjusted)</w:t>
            </w:r>
            <w:r w:rsidR="0064412C" w:rsidRPr="0099225F">
              <w:rPr>
                <w:sz w:val="20"/>
              </w:rPr>
              <w:t xml:space="preserve"> </w:t>
            </w:r>
            <w:r w:rsidRPr="0099225F">
              <w:rPr>
                <w:sz w:val="20"/>
              </w:rPr>
              <w:t>(per 100,000)</w:t>
            </w:r>
          </w:p>
        </w:tc>
        <w:tc>
          <w:tcPr>
            <w:tcW w:w="1786" w:type="dxa"/>
            <w:tcBorders>
              <w:top w:val="single" w:sz="4" w:space="0" w:color="AF272F"/>
            </w:tcBorders>
            <w:noWrap/>
            <w:hideMark/>
          </w:tcPr>
          <w:p w14:paraId="49B991A2" w14:textId="0A0F2AD6" w:rsidR="00F768B7" w:rsidRPr="0099225F" w:rsidRDefault="00F768B7" w:rsidP="0064412C">
            <w:pPr>
              <w:pStyle w:val="Tabletext"/>
              <w:rPr>
                <w:sz w:val="20"/>
              </w:rPr>
            </w:pPr>
            <w:r w:rsidRPr="0099225F">
              <w:rPr>
                <w:sz w:val="20"/>
              </w:rPr>
              <w:t>3</w:t>
            </w:r>
            <w:r w:rsidR="00DF0766" w:rsidRPr="0099225F">
              <w:rPr>
                <w:sz w:val="20"/>
              </w:rPr>
              <w:t>39</w:t>
            </w:r>
            <w:r w:rsidR="0064412C" w:rsidRPr="0099225F">
              <w:rPr>
                <w:sz w:val="20"/>
              </w:rPr>
              <w:br/>
            </w:r>
            <w:r w:rsidRPr="0099225F">
              <w:rPr>
                <w:sz w:val="20"/>
              </w:rPr>
              <w:t>(201</w:t>
            </w:r>
            <w:r w:rsidR="00F028DD" w:rsidRPr="0099225F">
              <w:rPr>
                <w:sz w:val="20"/>
              </w:rPr>
              <w:t>4</w:t>
            </w:r>
            <w:r w:rsidRPr="0099225F">
              <w:rPr>
                <w:sz w:val="20"/>
              </w:rPr>
              <w:t>)</w:t>
            </w:r>
          </w:p>
        </w:tc>
        <w:tc>
          <w:tcPr>
            <w:tcW w:w="1786" w:type="dxa"/>
            <w:tcBorders>
              <w:top w:val="single" w:sz="4" w:space="0" w:color="AF272F"/>
            </w:tcBorders>
            <w:noWrap/>
            <w:hideMark/>
          </w:tcPr>
          <w:p w14:paraId="6F14BDCE" w14:textId="395FE936" w:rsidR="00F768B7" w:rsidRPr="0099225F" w:rsidRDefault="00F768B7" w:rsidP="0064412C">
            <w:pPr>
              <w:pStyle w:val="Tabletext"/>
              <w:rPr>
                <w:sz w:val="20"/>
              </w:rPr>
            </w:pPr>
            <w:r w:rsidRPr="0099225F">
              <w:rPr>
                <w:sz w:val="20"/>
              </w:rPr>
              <w:t>3</w:t>
            </w:r>
            <w:r w:rsidR="0040662E" w:rsidRPr="0099225F">
              <w:rPr>
                <w:sz w:val="20"/>
              </w:rPr>
              <w:t>21</w:t>
            </w:r>
            <w:r w:rsidR="0064412C" w:rsidRPr="0099225F">
              <w:rPr>
                <w:sz w:val="20"/>
              </w:rPr>
              <w:br/>
            </w:r>
            <w:r w:rsidRPr="0099225F">
              <w:rPr>
                <w:sz w:val="20"/>
              </w:rPr>
              <w:t>(20</w:t>
            </w:r>
            <w:r w:rsidR="00DF0766" w:rsidRPr="0099225F">
              <w:rPr>
                <w:sz w:val="20"/>
              </w:rPr>
              <w:t>2</w:t>
            </w:r>
            <w:r w:rsidR="0040662E" w:rsidRPr="0099225F">
              <w:rPr>
                <w:sz w:val="20"/>
              </w:rPr>
              <w:t>1</w:t>
            </w:r>
            <w:r w:rsidRPr="0099225F">
              <w:rPr>
                <w:sz w:val="20"/>
              </w:rPr>
              <w:t>)</w:t>
            </w:r>
          </w:p>
        </w:tc>
        <w:tc>
          <w:tcPr>
            <w:tcW w:w="1786" w:type="dxa"/>
            <w:tcBorders>
              <w:top w:val="single" w:sz="4" w:space="0" w:color="AF272F"/>
            </w:tcBorders>
            <w:noWrap/>
            <w:hideMark/>
          </w:tcPr>
          <w:p w14:paraId="09C26C65" w14:textId="59E9966D" w:rsidR="00F768B7" w:rsidRPr="0099225F" w:rsidRDefault="00F768B7" w:rsidP="0064412C">
            <w:pPr>
              <w:pStyle w:val="Tabletext"/>
              <w:rPr>
                <w:sz w:val="20"/>
              </w:rPr>
            </w:pPr>
            <w:r w:rsidRPr="0099225F">
              <w:rPr>
                <w:sz w:val="20"/>
              </w:rPr>
              <w:t>50</w:t>
            </w:r>
            <w:r w:rsidR="0054537F">
              <w:rPr>
                <w:sz w:val="20"/>
              </w:rPr>
              <w:t>%</w:t>
            </w:r>
            <w:r w:rsidRPr="0099225F">
              <w:rPr>
                <w:sz w:val="20"/>
              </w:rPr>
              <w:t xml:space="preserve"> decrease from baseline to 2040</w:t>
            </w:r>
          </w:p>
        </w:tc>
        <w:tc>
          <w:tcPr>
            <w:tcW w:w="1787" w:type="dxa"/>
            <w:tcBorders>
              <w:top w:val="single" w:sz="4" w:space="0" w:color="AF272F"/>
            </w:tcBorders>
          </w:tcPr>
          <w:p w14:paraId="02C5092E" w14:textId="4C16F78B" w:rsidR="0064412C" w:rsidRPr="0099225F" w:rsidRDefault="0006568D" w:rsidP="0064412C">
            <w:pPr>
              <w:pStyle w:val="Tabletext"/>
              <w:rPr>
                <w:sz w:val="20"/>
                <w:highlight w:val="yellow"/>
              </w:rPr>
            </w:pPr>
            <w:r w:rsidRPr="0099225F">
              <w:rPr>
                <w:sz w:val="20"/>
              </w:rPr>
              <w:t>▼</w:t>
            </w:r>
            <w:r w:rsidRPr="0099225F">
              <w:rPr>
                <w:sz w:val="20"/>
              </w:rPr>
              <w:br/>
              <w:t>Downward</w:t>
            </w:r>
          </w:p>
        </w:tc>
      </w:tr>
      <w:tr w:rsidR="00F768B7" w:rsidRPr="0099225F" w14:paraId="409A0D80" w14:textId="77777777" w:rsidTr="004976DA">
        <w:trPr>
          <w:trHeight w:val="421"/>
        </w:trPr>
        <w:tc>
          <w:tcPr>
            <w:tcW w:w="1379" w:type="dxa"/>
            <w:hideMark/>
          </w:tcPr>
          <w:p w14:paraId="350CECC2" w14:textId="1828D081" w:rsidR="00F768B7" w:rsidRPr="0099225F" w:rsidRDefault="00000000" w:rsidP="0064412C">
            <w:pPr>
              <w:pStyle w:val="Tabletext"/>
              <w:rPr>
                <w:sz w:val="20"/>
              </w:rPr>
            </w:pPr>
            <w:hyperlink w:anchor="_Measure_1.2_–" w:history="1">
              <w:r w:rsidR="00F768B7" w:rsidRPr="0099225F">
                <w:rPr>
                  <w:rStyle w:val="Hyperlink"/>
                  <w:sz w:val="20"/>
                </w:rPr>
                <w:t>1.2</w:t>
              </w:r>
            </w:hyperlink>
          </w:p>
        </w:tc>
        <w:tc>
          <w:tcPr>
            <w:tcW w:w="3265" w:type="dxa"/>
          </w:tcPr>
          <w:p w14:paraId="4BE3AD1C" w14:textId="77777777" w:rsidR="00F768B7" w:rsidRPr="0099225F" w:rsidRDefault="00F768B7" w:rsidP="0064412C">
            <w:pPr>
              <w:pStyle w:val="Tabletext"/>
              <w:rPr>
                <w:sz w:val="20"/>
              </w:rPr>
            </w:pPr>
            <w:r w:rsidRPr="0099225F">
              <w:rPr>
                <w:sz w:val="20"/>
              </w:rPr>
              <w:t>Lifetime risk of cancer before the age of 85 years</w:t>
            </w:r>
          </w:p>
        </w:tc>
        <w:tc>
          <w:tcPr>
            <w:tcW w:w="2636" w:type="dxa"/>
          </w:tcPr>
          <w:p w14:paraId="39E0FA7A" w14:textId="44DC059B" w:rsidR="00F768B7" w:rsidRPr="0099225F" w:rsidRDefault="0078246F" w:rsidP="0064412C">
            <w:pPr>
              <w:pStyle w:val="Tabletext"/>
              <w:rPr>
                <w:sz w:val="20"/>
              </w:rPr>
            </w:pPr>
            <w:r w:rsidRPr="0099225F">
              <w:rPr>
                <w:sz w:val="20"/>
              </w:rPr>
              <w:t>Cumulative risk</w:t>
            </w:r>
          </w:p>
        </w:tc>
        <w:tc>
          <w:tcPr>
            <w:tcW w:w="1786" w:type="dxa"/>
            <w:noWrap/>
            <w:hideMark/>
          </w:tcPr>
          <w:p w14:paraId="06F5DA3D" w14:textId="7D70B7E4" w:rsidR="00F768B7" w:rsidRPr="0099225F" w:rsidRDefault="00F768B7" w:rsidP="004976DA">
            <w:pPr>
              <w:pStyle w:val="Tabletext"/>
              <w:rPr>
                <w:sz w:val="20"/>
              </w:rPr>
            </w:pPr>
            <w:r w:rsidRPr="0099225F">
              <w:rPr>
                <w:sz w:val="20"/>
              </w:rPr>
              <w:t>1/2.</w:t>
            </w:r>
            <w:r w:rsidR="0078246F" w:rsidRPr="0099225F">
              <w:rPr>
                <w:sz w:val="20"/>
              </w:rPr>
              <w:t>2</w:t>
            </w:r>
            <w:r w:rsidR="004976DA" w:rsidRPr="0099225F">
              <w:rPr>
                <w:sz w:val="20"/>
              </w:rPr>
              <w:br/>
            </w:r>
            <w:r w:rsidRPr="0099225F">
              <w:rPr>
                <w:sz w:val="20"/>
              </w:rPr>
              <w:t>(201</w:t>
            </w:r>
            <w:r w:rsidR="00D011BD" w:rsidRPr="0099225F">
              <w:rPr>
                <w:sz w:val="20"/>
              </w:rPr>
              <w:t>4</w:t>
            </w:r>
            <w:r w:rsidRPr="0099225F">
              <w:rPr>
                <w:sz w:val="20"/>
              </w:rPr>
              <w:t>)</w:t>
            </w:r>
          </w:p>
        </w:tc>
        <w:tc>
          <w:tcPr>
            <w:tcW w:w="1786" w:type="dxa"/>
            <w:noWrap/>
          </w:tcPr>
          <w:p w14:paraId="20C20751" w14:textId="7FF11FFE" w:rsidR="00F768B7" w:rsidRPr="0099225F" w:rsidRDefault="00F768B7" w:rsidP="0064412C">
            <w:pPr>
              <w:pStyle w:val="Tabletext"/>
              <w:rPr>
                <w:sz w:val="20"/>
              </w:rPr>
            </w:pPr>
            <w:r w:rsidRPr="0099225F">
              <w:rPr>
                <w:sz w:val="20"/>
              </w:rPr>
              <w:t>1/2.</w:t>
            </w:r>
            <w:r w:rsidR="0040662E" w:rsidRPr="0099225F">
              <w:rPr>
                <w:sz w:val="20"/>
              </w:rPr>
              <w:t>2</w:t>
            </w:r>
            <w:r w:rsidR="0064412C" w:rsidRPr="0099225F">
              <w:rPr>
                <w:sz w:val="20"/>
              </w:rPr>
              <w:br/>
            </w:r>
            <w:r w:rsidRPr="0099225F">
              <w:rPr>
                <w:sz w:val="20"/>
              </w:rPr>
              <w:t>(20</w:t>
            </w:r>
            <w:r w:rsidR="00DF0766" w:rsidRPr="0099225F">
              <w:rPr>
                <w:sz w:val="20"/>
              </w:rPr>
              <w:t>2</w:t>
            </w:r>
            <w:r w:rsidR="0040662E" w:rsidRPr="0099225F">
              <w:rPr>
                <w:sz w:val="20"/>
              </w:rPr>
              <w:t>1</w:t>
            </w:r>
            <w:r w:rsidRPr="0099225F">
              <w:rPr>
                <w:sz w:val="20"/>
              </w:rPr>
              <w:t>)</w:t>
            </w:r>
          </w:p>
        </w:tc>
        <w:tc>
          <w:tcPr>
            <w:tcW w:w="1786" w:type="dxa"/>
            <w:noWrap/>
          </w:tcPr>
          <w:p w14:paraId="4E9F67E5" w14:textId="43E941DB" w:rsidR="00F768B7" w:rsidRPr="0099225F" w:rsidRDefault="00F768B7" w:rsidP="0064412C">
            <w:pPr>
              <w:pStyle w:val="Tabletext"/>
              <w:rPr>
                <w:sz w:val="20"/>
              </w:rPr>
            </w:pPr>
            <w:r w:rsidRPr="0099225F">
              <w:rPr>
                <w:sz w:val="20"/>
              </w:rPr>
              <w:t>N/S</w:t>
            </w:r>
          </w:p>
        </w:tc>
        <w:tc>
          <w:tcPr>
            <w:tcW w:w="1787" w:type="dxa"/>
          </w:tcPr>
          <w:p w14:paraId="5461A23E" w14:textId="638968C4" w:rsidR="00F768B7" w:rsidRPr="0099225F" w:rsidRDefault="00F768B7" w:rsidP="0064412C">
            <w:pPr>
              <w:pStyle w:val="Tabletext"/>
              <w:rPr>
                <w:b/>
                <w:sz w:val="20"/>
                <w:highlight w:val="yellow"/>
              </w:rPr>
            </w:pPr>
            <w:r w:rsidRPr="0099225F">
              <w:rPr>
                <w:sz w:val="20"/>
              </w:rPr>
              <w:t>■</w:t>
            </w:r>
            <w:r w:rsidR="0064412C" w:rsidRPr="0099225F">
              <w:rPr>
                <w:sz w:val="20"/>
              </w:rPr>
              <w:br/>
              <w:t>No change</w:t>
            </w:r>
          </w:p>
        </w:tc>
      </w:tr>
      <w:tr w:rsidR="00F768B7" w:rsidRPr="0099225F" w14:paraId="579CB825" w14:textId="77777777" w:rsidTr="004976DA">
        <w:trPr>
          <w:trHeight w:val="576"/>
        </w:trPr>
        <w:tc>
          <w:tcPr>
            <w:tcW w:w="1379" w:type="dxa"/>
            <w:hideMark/>
          </w:tcPr>
          <w:p w14:paraId="7104AD55" w14:textId="7E7B0040" w:rsidR="00F768B7" w:rsidRPr="0099225F" w:rsidRDefault="00000000" w:rsidP="0064412C">
            <w:pPr>
              <w:pStyle w:val="Tabletext"/>
              <w:rPr>
                <w:sz w:val="20"/>
              </w:rPr>
            </w:pPr>
            <w:hyperlink w:anchor="_Measure_1.3_–" w:history="1">
              <w:r w:rsidR="00F768B7" w:rsidRPr="0099225F">
                <w:rPr>
                  <w:rStyle w:val="Hyperlink"/>
                  <w:sz w:val="20"/>
                </w:rPr>
                <w:t>1.3</w:t>
              </w:r>
            </w:hyperlink>
          </w:p>
        </w:tc>
        <w:tc>
          <w:tcPr>
            <w:tcW w:w="3265" w:type="dxa"/>
          </w:tcPr>
          <w:p w14:paraId="5B7A7ACE" w14:textId="77777777" w:rsidR="00F768B7" w:rsidRPr="0099225F" w:rsidRDefault="00F768B7" w:rsidP="0064412C">
            <w:pPr>
              <w:pStyle w:val="Tabletext"/>
              <w:rPr>
                <w:sz w:val="20"/>
              </w:rPr>
            </w:pPr>
            <w:r w:rsidRPr="0099225F">
              <w:rPr>
                <w:sz w:val="20"/>
              </w:rPr>
              <w:t>Incidence of lung cancer</w:t>
            </w:r>
          </w:p>
        </w:tc>
        <w:tc>
          <w:tcPr>
            <w:tcW w:w="2636" w:type="dxa"/>
          </w:tcPr>
          <w:p w14:paraId="40713408" w14:textId="44743A09" w:rsidR="00F768B7" w:rsidRPr="0099225F" w:rsidRDefault="00F768B7" w:rsidP="0064412C">
            <w:pPr>
              <w:pStyle w:val="Tabletext"/>
              <w:rPr>
                <w:sz w:val="20"/>
              </w:rPr>
            </w:pPr>
            <w:r w:rsidRPr="0099225F">
              <w:rPr>
                <w:sz w:val="20"/>
              </w:rPr>
              <w:t>Rate</w:t>
            </w:r>
            <w:r w:rsidR="0064412C" w:rsidRPr="0099225F">
              <w:rPr>
                <w:sz w:val="20"/>
              </w:rPr>
              <w:t xml:space="preserve"> </w:t>
            </w:r>
            <w:r w:rsidRPr="0099225F">
              <w:rPr>
                <w:sz w:val="20"/>
              </w:rPr>
              <w:t>(age-adjusted,</w:t>
            </w:r>
            <w:r w:rsidR="0064412C" w:rsidRPr="0099225F">
              <w:rPr>
                <w:sz w:val="20"/>
              </w:rPr>
              <w:t xml:space="preserve"> </w:t>
            </w:r>
            <w:r w:rsidRPr="0099225F">
              <w:rPr>
                <w:sz w:val="20"/>
              </w:rPr>
              <w:t>per 100,000)</w:t>
            </w:r>
          </w:p>
        </w:tc>
        <w:tc>
          <w:tcPr>
            <w:tcW w:w="1786" w:type="dxa"/>
            <w:noWrap/>
          </w:tcPr>
          <w:p w14:paraId="51E5F218" w14:textId="15E84EE7" w:rsidR="00F768B7" w:rsidRPr="0099225F" w:rsidRDefault="00F768B7" w:rsidP="004976DA">
            <w:pPr>
              <w:pStyle w:val="Tabletext"/>
              <w:rPr>
                <w:sz w:val="20"/>
              </w:rPr>
            </w:pPr>
            <w:r w:rsidRPr="0099225F">
              <w:rPr>
                <w:sz w:val="20"/>
              </w:rPr>
              <w:t>4</w:t>
            </w:r>
            <w:r w:rsidR="00DF0766" w:rsidRPr="0099225F">
              <w:rPr>
                <w:sz w:val="20"/>
              </w:rPr>
              <w:t>3</w:t>
            </w:r>
            <w:r w:rsidR="004976DA" w:rsidRPr="0099225F">
              <w:rPr>
                <w:sz w:val="20"/>
              </w:rPr>
              <w:br/>
            </w:r>
            <w:r w:rsidRPr="0099225F">
              <w:rPr>
                <w:sz w:val="20"/>
              </w:rPr>
              <w:t>(201</w:t>
            </w:r>
            <w:r w:rsidR="00F028DD" w:rsidRPr="0099225F">
              <w:rPr>
                <w:sz w:val="20"/>
              </w:rPr>
              <w:t>4</w:t>
            </w:r>
            <w:r w:rsidRPr="0099225F">
              <w:rPr>
                <w:sz w:val="20"/>
              </w:rPr>
              <w:t>)</w:t>
            </w:r>
          </w:p>
        </w:tc>
        <w:tc>
          <w:tcPr>
            <w:tcW w:w="1786" w:type="dxa"/>
            <w:noWrap/>
          </w:tcPr>
          <w:p w14:paraId="7D855EBA" w14:textId="2990E908" w:rsidR="00F768B7" w:rsidRPr="0099225F" w:rsidRDefault="00F768B7" w:rsidP="0064412C">
            <w:pPr>
              <w:pStyle w:val="Tabletext"/>
              <w:rPr>
                <w:sz w:val="20"/>
              </w:rPr>
            </w:pPr>
            <w:r w:rsidRPr="0099225F">
              <w:rPr>
                <w:sz w:val="20"/>
              </w:rPr>
              <w:t>4</w:t>
            </w:r>
            <w:r w:rsidR="00DF0766" w:rsidRPr="0099225F">
              <w:rPr>
                <w:sz w:val="20"/>
              </w:rPr>
              <w:t>0</w:t>
            </w:r>
            <w:r w:rsidR="0064412C" w:rsidRPr="0099225F">
              <w:rPr>
                <w:sz w:val="20"/>
              </w:rPr>
              <w:t xml:space="preserve"> </w:t>
            </w:r>
            <w:r w:rsidR="0064412C" w:rsidRPr="0099225F">
              <w:rPr>
                <w:sz w:val="20"/>
              </w:rPr>
              <w:br/>
            </w:r>
            <w:r w:rsidRPr="0099225F">
              <w:rPr>
                <w:sz w:val="20"/>
              </w:rPr>
              <w:t>(20</w:t>
            </w:r>
            <w:r w:rsidR="00DF0766" w:rsidRPr="0099225F">
              <w:rPr>
                <w:sz w:val="20"/>
              </w:rPr>
              <w:t>2</w:t>
            </w:r>
            <w:r w:rsidR="0040662E" w:rsidRPr="0099225F">
              <w:rPr>
                <w:sz w:val="20"/>
              </w:rPr>
              <w:t>1</w:t>
            </w:r>
            <w:r w:rsidRPr="0099225F">
              <w:rPr>
                <w:sz w:val="20"/>
              </w:rPr>
              <w:t>)</w:t>
            </w:r>
          </w:p>
        </w:tc>
        <w:tc>
          <w:tcPr>
            <w:tcW w:w="1786" w:type="dxa"/>
            <w:noWrap/>
          </w:tcPr>
          <w:p w14:paraId="009007E0" w14:textId="523D2162" w:rsidR="00F768B7" w:rsidRPr="0099225F" w:rsidRDefault="00F768B7" w:rsidP="0064412C">
            <w:pPr>
              <w:pStyle w:val="Tabletext"/>
              <w:rPr>
                <w:sz w:val="20"/>
              </w:rPr>
            </w:pPr>
            <w:r w:rsidRPr="0099225F">
              <w:rPr>
                <w:sz w:val="20"/>
              </w:rPr>
              <w:t>N/S</w:t>
            </w:r>
          </w:p>
        </w:tc>
        <w:tc>
          <w:tcPr>
            <w:tcW w:w="1787" w:type="dxa"/>
          </w:tcPr>
          <w:p w14:paraId="308ACB0E" w14:textId="0EDD2690" w:rsidR="0064412C" w:rsidRPr="0099225F" w:rsidRDefault="0006568D" w:rsidP="0064412C">
            <w:pPr>
              <w:pStyle w:val="Tabletext"/>
              <w:rPr>
                <w:sz w:val="20"/>
              </w:rPr>
            </w:pPr>
            <w:r w:rsidRPr="0099225F">
              <w:rPr>
                <w:sz w:val="20"/>
              </w:rPr>
              <w:t>▼</w:t>
            </w:r>
            <w:r w:rsidRPr="0099225F">
              <w:rPr>
                <w:sz w:val="20"/>
              </w:rPr>
              <w:br/>
              <w:t>Downward</w:t>
            </w:r>
          </w:p>
        </w:tc>
      </w:tr>
      <w:tr w:rsidR="00F768B7" w:rsidRPr="0099225F" w14:paraId="451A1C31" w14:textId="77777777" w:rsidTr="004976DA">
        <w:trPr>
          <w:trHeight w:val="663"/>
        </w:trPr>
        <w:tc>
          <w:tcPr>
            <w:tcW w:w="1379" w:type="dxa"/>
            <w:hideMark/>
          </w:tcPr>
          <w:p w14:paraId="3251438A" w14:textId="44BAB4DC" w:rsidR="00F768B7" w:rsidRPr="0099225F" w:rsidRDefault="00000000" w:rsidP="0064412C">
            <w:pPr>
              <w:pStyle w:val="Tabletext"/>
              <w:rPr>
                <w:sz w:val="20"/>
              </w:rPr>
            </w:pPr>
            <w:hyperlink w:anchor="_Measure_1.4_–" w:history="1">
              <w:r w:rsidR="00F768B7" w:rsidRPr="0099225F">
                <w:rPr>
                  <w:rStyle w:val="Hyperlink"/>
                  <w:sz w:val="20"/>
                </w:rPr>
                <w:t>1.4</w:t>
              </w:r>
            </w:hyperlink>
          </w:p>
        </w:tc>
        <w:tc>
          <w:tcPr>
            <w:tcW w:w="3265" w:type="dxa"/>
          </w:tcPr>
          <w:p w14:paraId="7298CA10" w14:textId="77777777" w:rsidR="00F768B7" w:rsidRPr="0099225F" w:rsidRDefault="00F768B7" w:rsidP="0064412C">
            <w:pPr>
              <w:pStyle w:val="Tabletext"/>
              <w:rPr>
                <w:sz w:val="20"/>
              </w:rPr>
            </w:pPr>
            <w:r w:rsidRPr="0099225F">
              <w:rPr>
                <w:sz w:val="20"/>
              </w:rPr>
              <w:t>Incidence of colorectal cancer</w:t>
            </w:r>
          </w:p>
        </w:tc>
        <w:tc>
          <w:tcPr>
            <w:tcW w:w="2636" w:type="dxa"/>
          </w:tcPr>
          <w:p w14:paraId="36830BF5" w14:textId="52734E37" w:rsidR="00F768B7" w:rsidRPr="0099225F" w:rsidRDefault="00F768B7" w:rsidP="0064412C">
            <w:pPr>
              <w:pStyle w:val="Tabletext"/>
              <w:rPr>
                <w:sz w:val="20"/>
              </w:rPr>
            </w:pPr>
            <w:r w:rsidRPr="0099225F">
              <w:rPr>
                <w:sz w:val="20"/>
              </w:rPr>
              <w:t>Rate</w:t>
            </w:r>
            <w:r w:rsidR="0064412C" w:rsidRPr="0099225F">
              <w:rPr>
                <w:sz w:val="20"/>
              </w:rPr>
              <w:t xml:space="preserve"> </w:t>
            </w:r>
            <w:r w:rsidRPr="0099225F">
              <w:rPr>
                <w:sz w:val="20"/>
              </w:rPr>
              <w:t>(age-adjusted,</w:t>
            </w:r>
            <w:r w:rsidR="0064412C" w:rsidRPr="0099225F">
              <w:rPr>
                <w:sz w:val="20"/>
              </w:rPr>
              <w:t xml:space="preserve"> </w:t>
            </w:r>
            <w:r w:rsidRPr="0099225F">
              <w:rPr>
                <w:sz w:val="20"/>
              </w:rPr>
              <w:t>per 100,000)</w:t>
            </w:r>
          </w:p>
        </w:tc>
        <w:tc>
          <w:tcPr>
            <w:tcW w:w="1786" w:type="dxa"/>
            <w:noWrap/>
          </w:tcPr>
          <w:p w14:paraId="5C6E95C3" w14:textId="0ADE4EED" w:rsidR="00F768B7" w:rsidRPr="0099225F" w:rsidRDefault="00F028DD" w:rsidP="004976DA">
            <w:pPr>
              <w:pStyle w:val="Tabletext"/>
              <w:rPr>
                <w:sz w:val="20"/>
              </w:rPr>
            </w:pPr>
            <w:r w:rsidRPr="0099225F">
              <w:rPr>
                <w:sz w:val="20"/>
              </w:rPr>
              <w:t>56</w:t>
            </w:r>
            <w:r w:rsidR="00F768B7" w:rsidRPr="0099225F">
              <w:rPr>
                <w:sz w:val="20"/>
              </w:rPr>
              <w:t xml:space="preserve"> </w:t>
            </w:r>
            <w:r w:rsidR="004976DA" w:rsidRPr="0099225F">
              <w:rPr>
                <w:sz w:val="20"/>
              </w:rPr>
              <w:br/>
            </w:r>
            <w:r w:rsidR="00F768B7" w:rsidRPr="0099225F">
              <w:rPr>
                <w:sz w:val="20"/>
              </w:rPr>
              <w:t>(201</w:t>
            </w:r>
            <w:r w:rsidRPr="0099225F">
              <w:rPr>
                <w:sz w:val="20"/>
              </w:rPr>
              <w:t>4</w:t>
            </w:r>
            <w:r w:rsidR="00F768B7" w:rsidRPr="0099225F">
              <w:rPr>
                <w:sz w:val="20"/>
              </w:rPr>
              <w:t>)</w:t>
            </w:r>
          </w:p>
        </w:tc>
        <w:tc>
          <w:tcPr>
            <w:tcW w:w="1786" w:type="dxa"/>
            <w:noWrap/>
          </w:tcPr>
          <w:p w14:paraId="197438ED" w14:textId="08479266" w:rsidR="00F768B7" w:rsidRPr="0099225F" w:rsidRDefault="00DF0766" w:rsidP="0064412C">
            <w:pPr>
              <w:pStyle w:val="Tabletext"/>
              <w:rPr>
                <w:sz w:val="20"/>
              </w:rPr>
            </w:pPr>
            <w:r w:rsidRPr="0099225F">
              <w:rPr>
                <w:sz w:val="20"/>
              </w:rPr>
              <w:t>4</w:t>
            </w:r>
            <w:r w:rsidR="0040662E" w:rsidRPr="0099225F">
              <w:rPr>
                <w:sz w:val="20"/>
              </w:rPr>
              <w:t>7</w:t>
            </w:r>
            <w:r w:rsidR="0064412C" w:rsidRPr="0099225F">
              <w:rPr>
                <w:sz w:val="20"/>
              </w:rPr>
              <w:br/>
            </w:r>
            <w:r w:rsidR="00F768B7" w:rsidRPr="0099225F">
              <w:rPr>
                <w:sz w:val="20"/>
              </w:rPr>
              <w:t>(20</w:t>
            </w:r>
            <w:r w:rsidRPr="0099225F">
              <w:rPr>
                <w:sz w:val="20"/>
              </w:rPr>
              <w:t>2</w:t>
            </w:r>
            <w:r w:rsidR="0040662E" w:rsidRPr="0099225F">
              <w:rPr>
                <w:sz w:val="20"/>
              </w:rPr>
              <w:t>1</w:t>
            </w:r>
            <w:r w:rsidR="00F768B7" w:rsidRPr="0099225F">
              <w:rPr>
                <w:sz w:val="20"/>
              </w:rPr>
              <w:t>)</w:t>
            </w:r>
          </w:p>
        </w:tc>
        <w:tc>
          <w:tcPr>
            <w:tcW w:w="1786" w:type="dxa"/>
            <w:noWrap/>
          </w:tcPr>
          <w:p w14:paraId="1AB8A2D5" w14:textId="0E368E76" w:rsidR="00F768B7" w:rsidRPr="0099225F" w:rsidRDefault="00F768B7" w:rsidP="0064412C">
            <w:pPr>
              <w:pStyle w:val="Tabletext"/>
              <w:rPr>
                <w:sz w:val="20"/>
              </w:rPr>
            </w:pPr>
            <w:r w:rsidRPr="0099225F">
              <w:rPr>
                <w:sz w:val="20"/>
              </w:rPr>
              <w:t>N/S</w:t>
            </w:r>
          </w:p>
        </w:tc>
        <w:tc>
          <w:tcPr>
            <w:tcW w:w="1787" w:type="dxa"/>
          </w:tcPr>
          <w:p w14:paraId="384B8AD7" w14:textId="58F1FE27" w:rsidR="00F768B7" w:rsidRPr="0099225F" w:rsidRDefault="00F768B7" w:rsidP="0064412C">
            <w:pPr>
              <w:pStyle w:val="Tabletext"/>
              <w:rPr>
                <w:sz w:val="20"/>
                <w:highlight w:val="yellow"/>
              </w:rPr>
            </w:pPr>
            <w:bookmarkStart w:id="42" w:name="_Hlk122590810"/>
            <w:r w:rsidRPr="0099225F">
              <w:rPr>
                <w:sz w:val="20"/>
              </w:rPr>
              <w:t>▼</w:t>
            </w:r>
            <w:r w:rsidR="0064412C" w:rsidRPr="0099225F">
              <w:rPr>
                <w:sz w:val="20"/>
              </w:rPr>
              <w:br/>
              <w:t>Downward</w:t>
            </w:r>
            <w:bookmarkEnd w:id="42"/>
          </w:p>
        </w:tc>
      </w:tr>
      <w:tr w:rsidR="00F768B7" w:rsidRPr="0099225F" w14:paraId="267B2F23" w14:textId="77777777" w:rsidTr="004976DA">
        <w:trPr>
          <w:trHeight w:val="531"/>
        </w:trPr>
        <w:tc>
          <w:tcPr>
            <w:tcW w:w="1379" w:type="dxa"/>
            <w:hideMark/>
          </w:tcPr>
          <w:p w14:paraId="15B86596" w14:textId="1AAA92DD" w:rsidR="00F768B7" w:rsidRPr="0099225F" w:rsidRDefault="00000000" w:rsidP="0064412C">
            <w:pPr>
              <w:pStyle w:val="Tabletext"/>
              <w:rPr>
                <w:sz w:val="20"/>
              </w:rPr>
            </w:pPr>
            <w:hyperlink w:anchor="_Measure_1.5_–" w:history="1">
              <w:r w:rsidR="00F768B7" w:rsidRPr="0099225F">
                <w:rPr>
                  <w:rStyle w:val="Hyperlink"/>
                  <w:sz w:val="20"/>
                </w:rPr>
                <w:t>1.5</w:t>
              </w:r>
            </w:hyperlink>
          </w:p>
        </w:tc>
        <w:tc>
          <w:tcPr>
            <w:tcW w:w="3265" w:type="dxa"/>
          </w:tcPr>
          <w:p w14:paraId="5E1DE08A" w14:textId="77777777" w:rsidR="00F768B7" w:rsidRPr="0099225F" w:rsidRDefault="00F768B7" w:rsidP="0064412C">
            <w:pPr>
              <w:pStyle w:val="Tabletext"/>
              <w:rPr>
                <w:sz w:val="20"/>
              </w:rPr>
            </w:pPr>
            <w:r w:rsidRPr="0099225F">
              <w:rPr>
                <w:sz w:val="20"/>
              </w:rPr>
              <w:t>Incidence of melanoma</w:t>
            </w:r>
          </w:p>
        </w:tc>
        <w:tc>
          <w:tcPr>
            <w:tcW w:w="2636" w:type="dxa"/>
          </w:tcPr>
          <w:p w14:paraId="07B4654D" w14:textId="5051C8C2" w:rsidR="00F768B7" w:rsidRPr="0099225F" w:rsidRDefault="00F768B7" w:rsidP="0064412C">
            <w:pPr>
              <w:pStyle w:val="Tabletext"/>
              <w:rPr>
                <w:sz w:val="20"/>
              </w:rPr>
            </w:pPr>
            <w:r w:rsidRPr="0099225F">
              <w:rPr>
                <w:sz w:val="20"/>
              </w:rPr>
              <w:t>Rate</w:t>
            </w:r>
            <w:r w:rsidR="0064412C" w:rsidRPr="0099225F">
              <w:rPr>
                <w:sz w:val="20"/>
              </w:rPr>
              <w:t xml:space="preserve"> </w:t>
            </w:r>
            <w:r w:rsidRPr="0099225F">
              <w:rPr>
                <w:sz w:val="20"/>
              </w:rPr>
              <w:t>(age-adjusted,</w:t>
            </w:r>
            <w:r w:rsidR="0064412C" w:rsidRPr="0099225F">
              <w:rPr>
                <w:sz w:val="20"/>
              </w:rPr>
              <w:t xml:space="preserve"> </w:t>
            </w:r>
            <w:r w:rsidRPr="0099225F">
              <w:rPr>
                <w:sz w:val="20"/>
              </w:rPr>
              <w:t>per 100,000)</w:t>
            </w:r>
          </w:p>
        </w:tc>
        <w:tc>
          <w:tcPr>
            <w:tcW w:w="1786" w:type="dxa"/>
            <w:noWrap/>
          </w:tcPr>
          <w:p w14:paraId="2E9EEAB4" w14:textId="33E470F9" w:rsidR="00F768B7" w:rsidRPr="0099225F" w:rsidRDefault="00F768B7" w:rsidP="004976DA">
            <w:pPr>
              <w:pStyle w:val="Tabletext"/>
              <w:rPr>
                <w:sz w:val="20"/>
              </w:rPr>
            </w:pPr>
            <w:r w:rsidRPr="0099225F">
              <w:rPr>
                <w:sz w:val="20"/>
              </w:rPr>
              <w:t>3</w:t>
            </w:r>
            <w:r w:rsidR="00F028DD" w:rsidRPr="0099225F">
              <w:rPr>
                <w:sz w:val="20"/>
              </w:rPr>
              <w:t>8</w:t>
            </w:r>
            <w:r w:rsidR="004976DA" w:rsidRPr="0099225F">
              <w:rPr>
                <w:sz w:val="20"/>
              </w:rPr>
              <w:br/>
            </w:r>
            <w:r w:rsidRPr="0099225F">
              <w:rPr>
                <w:sz w:val="20"/>
              </w:rPr>
              <w:t>(201</w:t>
            </w:r>
            <w:r w:rsidR="00F028DD" w:rsidRPr="0099225F">
              <w:rPr>
                <w:sz w:val="20"/>
              </w:rPr>
              <w:t>4</w:t>
            </w:r>
            <w:r w:rsidRPr="0099225F">
              <w:rPr>
                <w:sz w:val="20"/>
              </w:rPr>
              <w:t>)</w:t>
            </w:r>
          </w:p>
        </w:tc>
        <w:tc>
          <w:tcPr>
            <w:tcW w:w="1786" w:type="dxa"/>
            <w:noWrap/>
          </w:tcPr>
          <w:p w14:paraId="219EC9EB" w14:textId="6A4099D7" w:rsidR="00F768B7" w:rsidRPr="0099225F" w:rsidRDefault="00DF0766" w:rsidP="0064412C">
            <w:pPr>
              <w:pStyle w:val="Tabletext"/>
              <w:rPr>
                <w:sz w:val="20"/>
              </w:rPr>
            </w:pPr>
            <w:r w:rsidRPr="0099225F">
              <w:rPr>
                <w:sz w:val="20"/>
              </w:rPr>
              <w:t>3</w:t>
            </w:r>
            <w:r w:rsidR="0040662E" w:rsidRPr="0099225F">
              <w:rPr>
                <w:sz w:val="20"/>
              </w:rPr>
              <w:t>6</w:t>
            </w:r>
            <w:r w:rsidR="0064412C" w:rsidRPr="0099225F">
              <w:rPr>
                <w:sz w:val="20"/>
              </w:rPr>
              <w:br/>
            </w:r>
            <w:r w:rsidR="00F768B7" w:rsidRPr="0099225F">
              <w:rPr>
                <w:sz w:val="20"/>
              </w:rPr>
              <w:t>(20</w:t>
            </w:r>
            <w:r w:rsidRPr="0099225F">
              <w:rPr>
                <w:sz w:val="20"/>
              </w:rPr>
              <w:t>2</w:t>
            </w:r>
            <w:r w:rsidR="0040662E" w:rsidRPr="0099225F">
              <w:rPr>
                <w:sz w:val="20"/>
              </w:rPr>
              <w:t>1</w:t>
            </w:r>
            <w:r w:rsidR="00F768B7" w:rsidRPr="0099225F">
              <w:rPr>
                <w:sz w:val="20"/>
              </w:rPr>
              <w:t>)</w:t>
            </w:r>
          </w:p>
        </w:tc>
        <w:tc>
          <w:tcPr>
            <w:tcW w:w="1786" w:type="dxa"/>
            <w:noWrap/>
          </w:tcPr>
          <w:p w14:paraId="63B4FDA2" w14:textId="5E0400E2" w:rsidR="00F768B7" w:rsidRPr="0099225F" w:rsidRDefault="00F768B7" w:rsidP="0064412C">
            <w:pPr>
              <w:pStyle w:val="Tabletext"/>
              <w:rPr>
                <w:sz w:val="20"/>
              </w:rPr>
            </w:pPr>
            <w:r w:rsidRPr="0099225F">
              <w:rPr>
                <w:sz w:val="20"/>
              </w:rPr>
              <w:t>N/S</w:t>
            </w:r>
          </w:p>
        </w:tc>
        <w:tc>
          <w:tcPr>
            <w:tcW w:w="1787" w:type="dxa"/>
          </w:tcPr>
          <w:p w14:paraId="317311B6" w14:textId="57301FAF" w:rsidR="0064412C" w:rsidRPr="0099225F" w:rsidRDefault="0006568D" w:rsidP="00425C31">
            <w:pPr>
              <w:pStyle w:val="Tabletext"/>
              <w:rPr>
                <w:sz w:val="20"/>
                <w:highlight w:val="yellow"/>
              </w:rPr>
            </w:pPr>
            <w:r w:rsidRPr="0099225F">
              <w:rPr>
                <w:sz w:val="20"/>
              </w:rPr>
              <w:t>▼</w:t>
            </w:r>
            <w:r w:rsidRPr="0099225F">
              <w:rPr>
                <w:sz w:val="20"/>
              </w:rPr>
              <w:br/>
              <w:t>Downward</w:t>
            </w:r>
          </w:p>
        </w:tc>
      </w:tr>
      <w:tr w:rsidR="00F768B7" w:rsidRPr="0099225F" w14:paraId="6FDCC4DA" w14:textId="77777777" w:rsidTr="0040662E">
        <w:trPr>
          <w:trHeight w:val="241"/>
        </w:trPr>
        <w:tc>
          <w:tcPr>
            <w:tcW w:w="1379" w:type="dxa"/>
            <w:hideMark/>
          </w:tcPr>
          <w:p w14:paraId="5ECC1825" w14:textId="04673B0E" w:rsidR="00F768B7" w:rsidRPr="0099225F" w:rsidRDefault="00000000" w:rsidP="0064412C">
            <w:pPr>
              <w:pStyle w:val="Tabletext"/>
              <w:rPr>
                <w:sz w:val="20"/>
              </w:rPr>
            </w:pPr>
            <w:hyperlink w:anchor="_Measure_1.6_–" w:history="1">
              <w:r w:rsidR="00F768B7" w:rsidRPr="0099225F">
                <w:rPr>
                  <w:rStyle w:val="Hyperlink"/>
                  <w:sz w:val="20"/>
                </w:rPr>
                <w:t>1.6</w:t>
              </w:r>
            </w:hyperlink>
          </w:p>
        </w:tc>
        <w:tc>
          <w:tcPr>
            <w:tcW w:w="3265" w:type="dxa"/>
          </w:tcPr>
          <w:p w14:paraId="56C739C1" w14:textId="77777777" w:rsidR="00F768B7" w:rsidRPr="0099225F" w:rsidRDefault="00F768B7" w:rsidP="0064412C">
            <w:pPr>
              <w:pStyle w:val="Tabletext"/>
              <w:rPr>
                <w:sz w:val="20"/>
              </w:rPr>
            </w:pPr>
            <w:r w:rsidRPr="0099225F">
              <w:rPr>
                <w:sz w:val="20"/>
              </w:rPr>
              <w:t>Incidence of female breast cancer</w:t>
            </w:r>
          </w:p>
        </w:tc>
        <w:tc>
          <w:tcPr>
            <w:tcW w:w="2636" w:type="dxa"/>
          </w:tcPr>
          <w:p w14:paraId="6A05E0DB" w14:textId="2F8FB109" w:rsidR="00F768B7" w:rsidRPr="0099225F" w:rsidRDefault="00F768B7" w:rsidP="0064412C">
            <w:pPr>
              <w:pStyle w:val="Tabletext"/>
              <w:rPr>
                <w:sz w:val="20"/>
              </w:rPr>
            </w:pPr>
            <w:r w:rsidRPr="0099225F">
              <w:rPr>
                <w:sz w:val="20"/>
              </w:rPr>
              <w:t>Rate</w:t>
            </w:r>
            <w:r w:rsidR="0064412C" w:rsidRPr="0099225F">
              <w:rPr>
                <w:sz w:val="20"/>
              </w:rPr>
              <w:t xml:space="preserve"> </w:t>
            </w:r>
            <w:r w:rsidRPr="0099225F">
              <w:rPr>
                <w:sz w:val="20"/>
              </w:rPr>
              <w:t>(age-adjusted,</w:t>
            </w:r>
            <w:r w:rsidR="0064412C" w:rsidRPr="0099225F">
              <w:rPr>
                <w:sz w:val="20"/>
              </w:rPr>
              <w:t xml:space="preserve"> </w:t>
            </w:r>
            <w:r w:rsidRPr="0099225F">
              <w:rPr>
                <w:sz w:val="20"/>
              </w:rPr>
              <w:t>per 100,000)</w:t>
            </w:r>
          </w:p>
        </w:tc>
        <w:tc>
          <w:tcPr>
            <w:tcW w:w="1786" w:type="dxa"/>
            <w:noWrap/>
          </w:tcPr>
          <w:p w14:paraId="7E901B0E" w14:textId="09671F09" w:rsidR="00F768B7" w:rsidRPr="0099225F" w:rsidRDefault="00F768B7" w:rsidP="004976DA">
            <w:pPr>
              <w:pStyle w:val="Tabletext"/>
              <w:rPr>
                <w:sz w:val="20"/>
              </w:rPr>
            </w:pPr>
            <w:r w:rsidRPr="0099225F">
              <w:rPr>
                <w:sz w:val="20"/>
              </w:rPr>
              <w:t>1</w:t>
            </w:r>
            <w:r w:rsidR="00F028DD" w:rsidRPr="0099225F">
              <w:rPr>
                <w:sz w:val="20"/>
              </w:rPr>
              <w:t>2</w:t>
            </w:r>
            <w:r w:rsidR="00DF0766" w:rsidRPr="0099225F">
              <w:rPr>
                <w:sz w:val="20"/>
              </w:rPr>
              <w:t>7</w:t>
            </w:r>
            <w:r w:rsidR="004976DA" w:rsidRPr="0099225F">
              <w:rPr>
                <w:sz w:val="20"/>
              </w:rPr>
              <w:br/>
            </w:r>
            <w:r w:rsidRPr="0099225F">
              <w:rPr>
                <w:sz w:val="20"/>
              </w:rPr>
              <w:t>(201</w:t>
            </w:r>
            <w:r w:rsidR="00F028DD" w:rsidRPr="0099225F">
              <w:rPr>
                <w:sz w:val="20"/>
              </w:rPr>
              <w:t>4</w:t>
            </w:r>
            <w:r w:rsidRPr="0099225F">
              <w:rPr>
                <w:sz w:val="20"/>
              </w:rPr>
              <w:t>)</w:t>
            </w:r>
          </w:p>
        </w:tc>
        <w:tc>
          <w:tcPr>
            <w:tcW w:w="1786" w:type="dxa"/>
            <w:noWrap/>
          </w:tcPr>
          <w:p w14:paraId="796ADEB2" w14:textId="7808C8EE" w:rsidR="00F768B7" w:rsidRPr="0099225F" w:rsidRDefault="00F768B7" w:rsidP="0064412C">
            <w:pPr>
              <w:pStyle w:val="Tabletext"/>
              <w:rPr>
                <w:sz w:val="20"/>
              </w:rPr>
            </w:pPr>
            <w:r w:rsidRPr="0099225F">
              <w:rPr>
                <w:sz w:val="20"/>
              </w:rPr>
              <w:t>1</w:t>
            </w:r>
            <w:r w:rsidR="0040662E" w:rsidRPr="0099225F">
              <w:rPr>
                <w:sz w:val="20"/>
              </w:rPr>
              <w:t>27</w:t>
            </w:r>
            <w:r w:rsidR="0064412C" w:rsidRPr="0099225F">
              <w:rPr>
                <w:sz w:val="20"/>
              </w:rPr>
              <w:br/>
            </w:r>
            <w:r w:rsidRPr="0099225F">
              <w:rPr>
                <w:sz w:val="20"/>
              </w:rPr>
              <w:t>(20</w:t>
            </w:r>
            <w:r w:rsidR="00DF0766" w:rsidRPr="0099225F">
              <w:rPr>
                <w:sz w:val="20"/>
              </w:rPr>
              <w:t>2</w:t>
            </w:r>
            <w:r w:rsidR="0040662E" w:rsidRPr="0099225F">
              <w:rPr>
                <w:sz w:val="20"/>
              </w:rPr>
              <w:t>1</w:t>
            </w:r>
            <w:r w:rsidRPr="0099225F">
              <w:rPr>
                <w:sz w:val="20"/>
              </w:rPr>
              <w:t>)</w:t>
            </w:r>
          </w:p>
        </w:tc>
        <w:tc>
          <w:tcPr>
            <w:tcW w:w="1786" w:type="dxa"/>
            <w:noWrap/>
          </w:tcPr>
          <w:p w14:paraId="13EE4130" w14:textId="5AA2CAE5" w:rsidR="00F768B7" w:rsidRPr="0099225F" w:rsidRDefault="00F768B7" w:rsidP="0064412C">
            <w:pPr>
              <w:pStyle w:val="Tabletext"/>
              <w:rPr>
                <w:sz w:val="20"/>
              </w:rPr>
            </w:pPr>
            <w:r w:rsidRPr="0099225F">
              <w:rPr>
                <w:sz w:val="20"/>
              </w:rPr>
              <w:t>N/S</w:t>
            </w:r>
          </w:p>
        </w:tc>
        <w:tc>
          <w:tcPr>
            <w:tcW w:w="1787" w:type="dxa"/>
          </w:tcPr>
          <w:p w14:paraId="36477EEB" w14:textId="376DDC81" w:rsidR="00F768B7" w:rsidRPr="0099225F" w:rsidRDefault="0040662E" w:rsidP="0064412C">
            <w:pPr>
              <w:pStyle w:val="Tabletext"/>
              <w:rPr>
                <w:sz w:val="20"/>
                <w:highlight w:val="yellow"/>
              </w:rPr>
            </w:pPr>
            <w:r w:rsidRPr="0099225F">
              <w:rPr>
                <w:sz w:val="20"/>
              </w:rPr>
              <w:t>■</w:t>
            </w:r>
            <w:r w:rsidRPr="0099225F">
              <w:rPr>
                <w:sz w:val="20"/>
              </w:rPr>
              <w:br/>
              <w:t>No change</w:t>
            </w:r>
          </w:p>
        </w:tc>
      </w:tr>
      <w:tr w:rsidR="00F768B7" w:rsidRPr="0099225F" w14:paraId="1ADB16E6" w14:textId="77777777" w:rsidTr="004976DA">
        <w:trPr>
          <w:trHeight w:val="619"/>
        </w:trPr>
        <w:tc>
          <w:tcPr>
            <w:tcW w:w="1379" w:type="dxa"/>
            <w:tcBorders>
              <w:bottom w:val="single" w:sz="4" w:space="0" w:color="AF272F"/>
            </w:tcBorders>
            <w:hideMark/>
          </w:tcPr>
          <w:p w14:paraId="0378C3FA" w14:textId="5050C22D" w:rsidR="00F768B7" w:rsidRPr="0099225F" w:rsidRDefault="00000000" w:rsidP="0064412C">
            <w:pPr>
              <w:pStyle w:val="Tabletext"/>
              <w:rPr>
                <w:sz w:val="20"/>
              </w:rPr>
            </w:pPr>
            <w:hyperlink w:anchor="_Measure_1.7_–" w:history="1">
              <w:r w:rsidR="00F768B7" w:rsidRPr="0099225F">
                <w:rPr>
                  <w:rStyle w:val="Hyperlink"/>
                  <w:sz w:val="20"/>
                </w:rPr>
                <w:t>1.7</w:t>
              </w:r>
            </w:hyperlink>
          </w:p>
        </w:tc>
        <w:tc>
          <w:tcPr>
            <w:tcW w:w="3265" w:type="dxa"/>
            <w:tcBorders>
              <w:bottom w:val="single" w:sz="4" w:space="0" w:color="AF272F"/>
            </w:tcBorders>
          </w:tcPr>
          <w:p w14:paraId="4B030D22" w14:textId="1CBEC6A0" w:rsidR="00F768B7" w:rsidRPr="0099225F" w:rsidRDefault="00F768B7" w:rsidP="0064412C">
            <w:pPr>
              <w:pStyle w:val="Tabletext"/>
              <w:rPr>
                <w:sz w:val="20"/>
              </w:rPr>
            </w:pPr>
            <w:r w:rsidRPr="0099225F">
              <w:rPr>
                <w:sz w:val="20"/>
              </w:rPr>
              <w:t>Incidence of cancer of the cervix</w:t>
            </w:r>
          </w:p>
        </w:tc>
        <w:tc>
          <w:tcPr>
            <w:tcW w:w="2636" w:type="dxa"/>
            <w:tcBorders>
              <w:bottom w:val="single" w:sz="4" w:space="0" w:color="AF272F"/>
            </w:tcBorders>
          </w:tcPr>
          <w:p w14:paraId="764F0844" w14:textId="356AB3D4" w:rsidR="00F768B7" w:rsidRPr="0099225F" w:rsidRDefault="00F768B7" w:rsidP="0064412C">
            <w:pPr>
              <w:pStyle w:val="Tabletext"/>
              <w:rPr>
                <w:sz w:val="20"/>
              </w:rPr>
            </w:pPr>
            <w:r w:rsidRPr="0099225F">
              <w:rPr>
                <w:sz w:val="20"/>
              </w:rPr>
              <w:t>Rate</w:t>
            </w:r>
            <w:r w:rsidR="0064412C" w:rsidRPr="0099225F">
              <w:rPr>
                <w:sz w:val="20"/>
              </w:rPr>
              <w:t xml:space="preserve"> </w:t>
            </w:r>
            <w:r w:rsidRPr="0099225F">
              <w:rPr>
                <w:sz w:val="20"/>
              </w:rPr>
              <w:t>(age-adjusted,</w:t>
            </w:r>
            <w:r w:rsidR="0064412C" w:rsidRPr="0099225F">
              <w:rPr>
                <w:sz w:val="20"/>
              </w:rPr>
              <w:t xml:space="preserve"> </w:t>
            </w:r>
            <w:r w:rsidRPr="0099225F">
              <w:rPr>
                <w:sz w:val="20"/>
              </w:rPr>
              <w:t>per 100,000)</w:t>
            </w:r>
          </w:p>
        </w:tc>
        <w:tc>
          <w:tcPr>
            <w:tcW w:w="1786" w:type="dxa"/>
            <w:tcBorders>
              <w:bottom w:val="single" w:sz="4" w:space="0" w:color="AF272F"/>
            </w:tcBorders>
            <w:noWrap/>
          </w:tcPr>
          <w:p w14:paraId="50FD221F" w14:textId="7DA3323F" w:rsidR="00F768B7" w:rsidRPr="0099225F" w:rsidRDefault="00F768B7" w:rsidP="004976DA">
            <w:pPr>
              <w:pStyle w:val="Tabletext"/>
              <w:rPr>
                <w:sz w:val="20"/>
              </w:rPr>
            </w:pPr>
            <w:r w:rsidRPr="0099225F">
              <w:rPr>
                <w:sz w:val="20"/>
              </w:rPr>
              <w:t>6</w:t>
            </w:r>
            <w:r w:rsidR="005D5BDD" w:rsidRPr="0099225F">
              <w:rPr>
                <w:sz w:val="20"/>
              </w:rPr>
              <w:t>.0</w:t>
            </w:r>
            <w:r w:rsidR="004976DA" w:rsidRPr="0099225F">
              <w:rPr>
                <w:sz w:val="20"/>
              </w:rPr>
              <w:br/>
            </w:r>
            <w:r w:rsidRPr="0099225F">
              <w:rPr>
                <w:sz w:val="20"/>
              </w:rPr>
              <w:t>(201</w:t>
            </w:r>
            <w:r w:rsidR="00F028DD" w:rsidRPr="0099225F">
              <w:rPr>
                <w:sz w:val="20"/>
              </w:rPr>
              <w:t>4</w:t>
            </w:r>
            <w:r w:rsidRPr="0099225F">
              <w:rPr>
                <w:sz w:val="20"/>
              </w:rPr>
              <w:t>)</w:t>
            </w:r>
          </w:p>
        </w:tc>
        <w:tc>
          <w:tcPr>
            <w:tcW w:w="1786" w:type="dxa"/>
            <w:tcBorders>
              <w:bottom w:val="single" w:sz="4" w:space="0" w:color="AF272F"/>
            </w:tcBorders>
            <w:noWrap/>
          </w:tcPr>
          <w:p w14:paraId="1A12DE33" w14:textId="3ACE8987" w:rsidR="00F768B7" w:rsidRPr="0099225F" w:rsidRDefault="0040662E" w:rsidP="004976DA">
            <w:pPr>
              <w:pStyle w:val="Tabletext"/>
              <w:rPr>
                <w:sz w:val="20"/>
              </w:rPr>
            </w:pPr>
            <w:r w:rsidRPr="0099225F">
              <w:rPr>
                <w:sz w:val="20"/>
              </w:rPr>
              <w:t>6.0</w:t>
            </w:r>
            <w:r w:rsidR="004976DA" w:rsidRPr="0099225F">
              <w:rPr>
                <w:sz w:val="20"/>
              </w:rPr>
              <w:br/>
            </w:r>
            <w:r w:rsidR="00F768B7" w:rsidRPr="0099225F">
              <w:rPr>
                <w:sz w:val="20"/>
              </w:rPr>
              <w:t>(20</w:t>
            </w:r>
            <w:r w:rsidR="00DF0766" w:rsidRPr="0099225F">
              <w:rPr>
                <w:sz w:val="20"/>
              </w:rPr>
              <w:t>2</w:t>
            </w:r>
            <w:r w:rsidRPr="0099225F">
              <w:rPr>
                <w:sz w:val="20"/>
              </w:rPr>
              <w:t>1</w:t>
            </w:r>
            <w:r w:rsidR="00F768B7" w:rsidRPr="0099225F">
              <w:rPr>
                <w:sz w:val="20"/>
              </w:rPr>
              <w:t>)</w:t>
            </w:r>
          </w:p>
        </w:tc>
        <w:tc>
          <w:tcPr>
            <w:tcW w:w="1786" w:type="dxa"/>
            <w:tcBorders>
              <w:bottom w:val="single" w:sz="4" w:space="0" w:color="AF272F"/>
            </w:tcBorders>
            <w:noWrap/>
          </w:tcPr>
          <w:p w14:paraId="60E30352" w14:textId="324EA981" w:rsidR="00F768B7" w:rsidRPr="0099225F" w:rsidRDefault="00F768B7" w:rsidP="0064412C">
            <w:pPr>
              <w:pStyle w:val="Tabletext"/>
              <w:rPr>
                <w:sz w:val="20"/>
              </w:rPr>
            </w:pPr>
            <w:r w:rsidRPr="0099225F">
              <w:rPr>
                <w:sz w:val="20"/>
              </w:rPr>
              <w:t>N/S</w:t>
            </w:r>
          </w:p>
        </w:tc>
        <w:tc>
          <w:tcPr>
            <w:tcW w:w="1787" w:type="dxa"/>
            <w:tcBorders>
              <w:bottom w:val="single" w:sz="4" w:space="0" w:color="AF272F"/>
            </w:tcBorders>
          </w:tcPr>
          <w:p w14:paraId="000354DB" w14:textId="74707B65" w:rsidR="00F768B7" w:rsidRPr="0099225F" w:rsidRDefault="00F768B7" w:rsidP="0064412C">
            <w:pPr>
              <w:pStyle w:val="Tabletext"/>
              <w:rPr>
                <w:sz w:val="20"/>
                <w:highlight w:val="yellow"/>
              </w:rPr>
            </w:pPr>
            <w:r w:rsidRPr="0099225F">
              <w:rPr>
                <w:sz w:val="20"/>
              </w:rPr>
              <w:t>■</w:t>
            </w:r>
            <w:r w:rsidR="0064412C" w:rsidRPr="0099225F">
              <w:rPr>
                <w:sz w:val="20"/>
              </w:rPr>
              <w:br/>
              <w:t>No change</w:t>
            </w:r>
          </w:p>
        </w:tc>
      </w:tr>
      <w:tr w:rsidR="00F768B7" w:rsidRPr="0099225F" w14:paraId="0A57FAD2" w14:textId="77777777" w:rsidTr="004976DA">
        <w:trPr>
          <w:trHeight w:val="138"/>
        </w:trPr>
        <w:tc>
          <w:tcPr>
            <w:tcW w:w="1379" w:type="dxa"/>
            <w:tcBorders>
              <w:top w:val="single" w:sz="4" w:space="0" w:color="AF272F"/>
              <w:bottom w:val="single" w:sz="4" w:space="0" w:color="AF272F"/>
            </w:tcBorders>
            <w:hideMark/>
          </w:tcPr>
          <w:p w14:paraId="620A3804" w14:textId="03FCBAC0" w:rsidR="00F768B7" w:rsidRPr="0099225F" w:rsidRDefault="00000000" w:rsidP="0064412C">
            <w:pPr>
              <w:pStyle w:val="Tabletext"/>
              <w:rPr>
                <w:sz w:val="20"/>
              </w:rPr>
            </w:pPr>
            <w:hyperlink w:anchor="_Measure_1.8_–" w:history="1">
              <w:r w:rsidR="00F768B7" w:rsidRPr="0099225F">
                <w:rPr>
                  <w:rStyle w:val="Hyperlink"/>
                  <w:sz w:val="20"/>
                </w:rPr>
                <w:t>1.8</w:t>
              </w:r>
            </w:hyperlink>
          </w:p>
        </w:tc>
        <w:tc>
          <w:tcPr>
            <w:tcW w:w="3265" w:type="dxa"/>
            <w:tcBorders>
              <w:top w:val="single" w:sz="4" w:space="0" w:color="AF272F"/>
              <w:bottom w:val="single" w:sz="4" w:space="0" w:color="AF272F"/>
            </w:tcBorders>
          </w:tcPr>
          <w:p w14:paraId="3D13DD8A" w14:textId="6079DB8A" w:rsidR="00F768B7" w:rsidRPr="0099225F" w:rsidRDefault="00F768B7" w:rsidP="0064412C">
            <w:pPr>
              <w:pStyle w:val="Tabletext"/>
              <w:rPr>
                <w:sz w:val="20"/>
              </w:rPr>
            </w:pPr>
            <w:r w:rsidRPr="0099225F">
              <w:rPr>
                <w:sz w:val="20"/>
              </w:rPr>
              <w:t>Incidence of liver cancer</w:t>
            </w:r>
            <w:r w:rsidR="008F6F4E" w:rsidRPr="0099225F">
              <w:rPr>
                <w:sz w:val="20"/>
              </w:rPr>
              <w:t xml:space="preserve"> (primary)</w:t>
            </w:r>
          </w:p>
        </w:tc>
        <w:tc>
          <w:tcPr>
            <w:tcW w:w="2636" w:type="dxa"/>
            <w:tcBorders>
              <w:top w:val="single" w:sz="4" w:space="0" w:color="AF272F"/>
              <w:bottom w:val="single" w:sz="4" w:space="0" w:color="AF272F"/>
            </w:tcBorders>
          </w:tcPr>
          <w:p w14:paraId="6F65B212" w14:textId="5BC4EB40" w:rsidR="00F768B7" w:rsidRPr="0099225F" w:rsidRDefault="00F768B7" w:rsidP="0064412C">
            <w:pPr>
              <w:pStyle w:val="Tabletext"/>
              <w:rPr>
                <w:sz w:val="20"/>
              </w:rPr>
            </w:pPr>
            <w:r w:rsidRPr="0099225F">
              <w:rPr>
                <w:sz w:val="20"/>
              </w:rPr>
              <w:t>Rate</w:t>
            </w:r>
            <w:r w:rsidR="0064412C" w:rsidRPr="0099225F">
              <w:rPr>
                <w:sz w:val="20"/>
              </w:rPr>
              <w:t xml:space="preserve"> </w:t>
            </w:r>
            <w:r w:rsidRPr="0099225F">
              <w:rPr>
                <w:sz w:val="20"/>
              </w:rPr>
              <w:t>(age-adjusted,</w:t>
            </w:r>
            <w:r w:rsidR="0064412C" w:rsidRPr="0099225F">
              <w:rPr>
                <w:sz w:val="20"/>
              </w:rPr>
              <w:t xml:space="preserve"> </w:t>
            </w:r>
            <w:r w:rsidRPr="0099225F">
              <w:rPr>
                <w:sz w:val="20"/>
              </w:rPr>
              <w:t>per 100,000)</w:t>
            </w:r>
          </w:p>
        </w:tc>
        <w:tc>
          <w:tcPr>
            <w:tcW w:w="1786" w:type="dxa"/>
            <w:tcBorders>
              <w:top w:val="single" w:sz="4" w:space="0" w:color="AF272F"/>
              <w:bottom w:val="single" w:sz="4" w:space="0" w:color="AF272F"/>
            </w:tcBorders>
            <w:noWrap/>
          </w:tcPr>
          <w:p w14:paraId="2B6D4A63" w14:textId="7529CCDA" w:rsidR="00F768B7" w:rsidRPr="0099225F" w:rsidRDefault="00F028DD" w:rsidP="004976DA">
            <w:pPr>
              <w:pStyle w:val="Tabletext"/>
              <w:rPr>
                <w:sz w:val="20"/>
              </w:rPr>
            </w:pPr>
            <w:r w:rsidRPr="0099225F">
              <w:rPr>
                <w:sz w:val="20"/>
              </w:rPr>
              <w:t>8.</w:t>
            </w:r>
            <w:r w:rsidR="00DF0766" w:rsidRPr="0099225F">
              <w:rPr>
                <w:sz w:val="20"/>
              </w:rPr>
              <w:t>3</w:t>
            </w:r>
            <w:r w:rsidR="004976DA" w:rsidRPr="0099225F">
              <w:rPr>
                <w:sz w:val="20"/>
              </w:rPr>
              <w:br/>
            </w:r>
            <w:r w:rsidR="00F768B7" w:rsidRPr="0099225F">
              <w:rPr>
                <w:sz w:val="20"/>
              </w:rPr>
              <w:t>(201</w:t>
            </w:r>
            <w:r w:rsidRPr="0099225F">
              <w:rPr>
                <w:sz w:val="20"/>
              </w:rPr>
              <w:t>4</w:t>
            </w:r>
            <w:r w:rsidR="00F768B7" w:rsidRPr="0099225F">
              <w:rPr>
                <w:sz w:val="20"/>
              </w:rPr>
              <w:t>)</w:t>
            </w:r>
          </w:p>
        </w:tc>
        <w:tc>
          <w:tcPr>
            <w:tcW w:w="1786" w:type="dxa"/>
            <w:tcBorders>
              <w:top w:val="single" w:sz="4" w:space="0" w:color="AF272F"/>
              <w:bottom w:val="single" w:sz="4" w:space="0" w:color="AF272F"/>
            </w:tcBorders>
            <w:noWrap/>
          </w:tcPr>
          <w:p w14:paraId="1ACB7688" w14:textId="2708820D" w:rsidR="00F768B7" w:rsidRPr="0099225F" w:rsidRDefault="00F768B7" w:rsidP="004976DA">
            <w:pPr>
              <w:pStyle w:val="Tabletext"/>
              <w:rPr>
                <w:sz w:val="20"/>
              </w:rPr>
            </w:pPr>
            <w:r w:rsidRPr="0099225F">
              <w:rPr>
                <w:sz w:val="20"/>
              </w:rPr>
              <w:t>7</w:t>
            </w:r>
            <w:r w:rsidR="00F028DD" w:rsidRPr="0099225F">
              <w:rPr>
                <w:sz w:val="20"/>
              </w:rPr>
              <w:t>.</w:t>
            </w:r>
            <w:r w:rsidR="005F082F" w:rsidRPr="0099225F">
              <w:rPr>
                <w:sz w:val="20"/>
              </w:rPr>
              <w:t>4</w:t>
            </w:r>
            <w:r w:rsidR="004976DA" w:rsidRPr="0099225F">
              <w:rPr>
                <w:sz w:val="20"/>
              </w:rPr>
              <w:br/>
            </w:r>
            <w:r w:rsidRPr="0099225F">
              <w:rPr>
                <w:sz w:val="20"/>
              </w:rPr>
              <w:t>(20</w:t>
            </w:r>
            <w:r w:rsidR="005F082F" w:rsidRPr="0099225F">
              <w:rPr>
                <w:sz w:val="20"/>
              </w:rPr>
              <w:t>21</w:t>
            </w:r>
            <w:r w:rsidRPr="0099225F">
              <w:rPr>
                <w:sz w:val="20"/>
              </w:rPr>
              <w:t>)</w:t>
            </w:r>
          </w:p>
        </w:tc>
        <w:tc>
          <w:tcPr>
            <w:tcW w:w="1786" w:type="dxa"/>
            <w:tcBorders>
              <w:top w:val="single" w:sz="4" w:space="0" w:color="AF272F"/>
              <w:bottom w:val="single" w:sz="4" w:space="0" w:color="AF272F"/>
            </w:tcBorders>
            <w:noWrap/>
            <w:hideMark/>
          </w:tcPr>
          <w:p w14:paraId="0A8F0C96" w14:textId="651D5E9B" w:rsidR="00F768B7" w:rsidRPr="0099225F" w:rsidRDefault="00F768B7" w:rsidP="0064412C">
            <w:pPr>
              <w:pStyle w:val="Tabletext"/>
              <w:rPr>
                <w:sz w:val="20"/>
              </w:rPr>
            </w:pPr>
            <w:r w:rsidRPr="0099225F">
              <w:rPr>
                <w:sz w:val="20"/>
              </w:rPr>
              <w:t>N/S</w:t>
            </w:r>
          </w:p>
        </w:tc>
        <w:tc>
          <w:tcPr>
            <w:tcW w:w="1787" w:type="dxa"/>
            <w:tcBorders>
              <w:top w:val="single" w:sz="4" w:space="0" w:color="AF272F"/>
              <w:bottom w:val="single" w:sz="4" w:space="0" w:color="AF272F"/>
            </w:tcBorders>
          </w:tcPr>
          <w:p w14:paraId="2CE28D6B" w14:textId="59AF97F1" w:rsidR="0064412C" w:rsidRPr="0099225F" w:rsidRDefault="00481DF0" w:rsidP="00425C31">
            <w:pPr>
              <w:pStyle w:val="Tabletext"/>
              <w:rPr>
                <w:sz w:val="20"/>
              </w:rPr>
            </w:pPr>
            <w:r w:rsidRPr="0099225F">
              <w:rPr>
                <w:rFonts w:ascii="Symbol" w:eastAsia="Symbol" w:hAnsi="Symbol" w:cs="Symbol"/>
                <w:b/>
                <w:sz w:val="20"/>
              </w:rPr>
              <w:t>ð</w:t>
            </w:r>
            <w:r w:rsidR="00425C31" w:rsidRPr="0099225F">
              <w:rPr>
                <w:sz w:val="20"/>
              </w:rPr>
              <w:br/>
            </w:r>
            <w:r w:rsidR="0064412C" w:rsidRPr="0099225F">
              <w:rPr>
                <w:sz w:val="20"/>
              </w:rPr>
              <w:t>No change</w:t>
            </w:r>
          </w:p>
        </w:tc>
      </w:tr>
    </w:tbl>
    <w:p w14:paraId="2AEB1AAD" w14:textId="38126774" w:rsidR="00F768B7" w:rsidRDefault="00F768B7" w:rsidP="00C1114C">
      <w:pPr>
        <w:pStyle w:val="Heading5"/>
      </w:pPr>
      <w:r w:rsidRPr="004A5EC9">
        <w:lastRenderedPageBreak/>
        <w:t>Key result: Decrease deaths due to cancer</w:t>
      </w:r>
    </w:p>
    <w:tbl>
      <w:tblPr>
        <w:tblStyle w:val="TableGrid"/>
        <w:tblW w:w="14459" w:type="dxa"/>
        <w:tblInd w:w="0" w:type="dxa"/>
        <w:tblBorders>
          <w:top w:val="none" w:sz="0" w:space="0" w:color="auto"/>
          <w:left w:val="none" w:sz="0" w:space="0" w:color="auto"/>
          <w:bottom w:val="none" w:sz="0" w:space="0" w:color="auto"/>
          <w:right w:val="none" w:sz="0" w:space="0" w:color="auto"/>
          <w:insideH w:val="single" w:sz="4" w:space="0" w:color="AF272F"/>
          <w:insideV w:val="none" w:sz="0" w:space="0" w:color="auto"/>
        </w:tblBorders>
        <w:tblLayout w:type="fixed"/>
        <w:tblLook w:val="04A0" w:firstRow="1" w:lastRow="0" w:firstColumn="1" w:lastColumn="0" w:noHBand="0" w:noVBand="1"/>
      </w:tblPr>
      <w:tblGrid>
        <w:gridCol w:w="1436"/>
        <w:gridCol w:w="3312"/>
        <w:gridCol w:w="2593"/>
        <w:gridCol w:w="1835"/>
        <w:gridCol w:w="1612"/>
        <w:gridCol w:w="1835"/>
        <w:gridCol w:w="1836"/>
      </w:tblGrid>
      <w:tr w:rsidR="0064412C" w:rsidRPr="0099225F" w14:paraId="75F3D266" w14:textId="77777777" w:rsidTr="00AE69AF">
        <w:trPr>
          <w:trHeight w:val="672"/>
          <w:tblHeader/>
        </w:trPr>
        <w:tc>
          <w:tcPr>
            <w:tcW w:w="1436" w:type="dxa"/>
            <w:tcBorders>
              <w:top w:val="nil"/>
              <w:bottom w:val="single" w:sz="4" w:space="0" w:color="AF272F"/>
            </w:tcBorders>
            <w:shd w:val="clear" w:color="auto" w:fill="EDCDCF"/>
          </w:tcPr>
          <w:p w14:paraId="689D7BD8" w14:textId="48AB8134" w:rsidR="0064412C" w:rsidRPr="0099225F" w:rsidRDefault="0064412C" w:rsidP="00A44D67">
            <w:pPr>
              <w:pStyle w:val="Tablecolhead"/>
              <w:rPr>
                <w:sz w:val="20"/>
              </w:rPr>
            </w:pPr>
            <w:r w:rsidRPr="0099225F">
              <w:rPr>
                <w:sz w:val="20"/>
              </w:rPr>
              <w:t>Measure #</w:t>
            </w:r>
          </w:p>
        </w:tc>
        <w:tc>
          <w:tcPr>
            <w:tcW w:w="3312" w:type="dxa"/>
            <w:tcBorders>
              <w:top w:val="nil"/>
              <w:bottom w:val="single" w:sz="4" w:space="0" w:color="AF272F"/>
            </w:tcBorders>
            <w:shd w:val="clear" w:color="auto" w:fill="EDCDCF"/>
          </w:tcPr>
          <w:p w14:paraId="7CA4ED39" w14:textId="34F15C1B" w:rsidR="0064412C" w:rsidRPr="0099225F" w:rsidRDefault="0064412C" w:rsidP="00A44D67">
            <w:pPr>
              <w:pStyle w:val="Tablecolhead"/>
              <w:rPr>
                <w:sz w:val="20"/>
              </w:rPr>
            </w:pPr>
            <w:r w:rsidRPr="0099225F">
              <w:rPr>
                <w:sz w:val="20"/>
              </w:rPr>
              <w:t>Description</w:t>
            </w:r>
          </w:p>
        </w:tc>
        <w:tc>
          <w:tcPr>
            <w:tcW w:w="2593" w:type="dxa"/>
            <w:tcBorders>
              <w:top w:val="nil"/>
              <w:bottom w:val="single" w:sz="4" w:space="0" w:color="AF272F"/>
            </w:tcBorders>
            <w:shd w:val="clear" w:color="auto" w:fill="EDCDCF"/>
          </w:tcPr>
          <w:p w14:paraId="5E2DA927" w14:textId="2A674C7B" w:rsidR="0064412C" w:rsidRPr="0099225F" w:rsidRDefault="0064412C" w:rsidP="00A44D67">
            <w:pPr>
              <w:pStyle w:val="Tablecolhead"/>
              <w:rPr>
                <w:sz w:val="20"/>
              </w:rPr>
            </w:pPr>
            <w:r w:rsidRPr="0099225F">
              <w:rPr>
                <w:sz w:val="20"/>
              </w:rPr>
              <w:t>Unit of measure</w:t>
            </w:r>
          </w:p>
        </w:tc>
        <w:tc>
          <w:tcPr>
            <w:tcW w:w="1835" w:type="dxa"/>
            <w:tcBorders>
              <w:top w:val="nil"/>
              <w:bottom w:val="single" w:sz="4" w:space="0" w:color="AF272F"/>
            </w:tcBorders>
            <w:shd w:val="clear" w:color="auto" w:fill="EDCDCF"/>
            <w:noWrap/>
          </w:tcPr>
          <w:p w14:paraId="57EDC7E6" w14:textId="77777777" w:rsidR="0064412C" w:rsidRPr="0099225F" w:rsidRDefault="0064412C" w:rsidP="00A44D67">
            <w:pPr>
              <w:pStyle w:val="Tablecolhead"/>
              <w:rPr>
                <w:sz w:val="20"/>
              </w:rPr>
            </w:pPr>
            <w:r w:rsidRPr="0099225F">
              <w:rPr>
                <w:sz w:val="20"/>
              </w:rPr>
              <w:t>Baseline</w:t>
            </w:r>
          </w:p>
          <w:p w14:paraId="18BF2A57" w14:textId="581AABC1" w:rsidR="0064412C" w:rsidRPr="0099225F" w:rsidRDefault="0064412C" w:rsidP="00A44D67">
            <w:pPr>
              <w:pStyle w:val="Tablecolhead"/>
              <w:rPr>
                <w:sz w:val="20"/>
              </w:rPr>
            </w:pPr>
            <w:r w:rsidRPr="0099225F">
              <w:rPr>
                <w:sz w:val="20"/>
              </w:rPr>
              <w:t>(year)</w:t>
            </w:r>
          </w:p>
        </w:tc>
        <w:tc>
          <w:tcPr>
            <w:tcW w:w="1612" w:type="dxa"/>
            <w:tcBorders>
              <w:top w:val="nil"/>
              <w:bottom w:val="single" w:sz="4" w:space="0" w:color="AF272F"/>
            </w:tcBorders>
            <w:shd w:val="clear" w:color="auto" w:fill="EDCDCF"/>
            <w:noWrap/>
          </w:tcPr>
          <w:p w14:paraId="123BE5DB" w14:textId="77777777" w:rsidR="0064412C" w:rsidRPr="0099225F" w:rsidRDefault="0064412C" w:rsidP="00A44D67">
            <w:pPr>
              <w:pStyle w:val="Tablecolhead"/>
              <w:rPr>
                <w:sz w:val="20"/>
              </w:rPr>
            </w:pPr>
            <w:r w:rsidRPr="0099225F">
              <w:rPr>
                <w:sz w:val="20"/>
              </w:rPr>
              <w:t>Most recent</w:t>
            </w:r>
          </w:p>
          <w:p w14:paraId="78C81807" w14:textId="1EEDB4C3" w:rsidR="0064412C" w:rsidRPr="0099225F" w:rsidRDefault="0064412C" w:rsidP="00A44D67">
            <w:pPr>
              <w:pStyle w:val="Tablecolhead"/>
              <w:rPr>
                <w:sz w:val="20"/>
              </w:rPr>
            </w:pPr>
            <w:r w:rsidRPr="0099225F">
              <w:rPr>
                <w:sz w:val="20"/>
              </w:rPr>
              <w:t>(year)</w:t>
            </w:r>
          </w:p>
        </w:tc>
        <w:tc>
          <w:tcPr>
            <w:tcW w:w="1835" w:type="dxa"/>
            <w:tcBorders>
              <w:top w:val="nil"/>
              <w:bottom w:val="single" w:sz="4" w:space="0" w:color="AF272F"/>
            </w:tcBorders>
            <w:shd w:val="clear" w:color="auto" w:fill="EDCDCF"/>
            <w:noWrap/>
          </w:tcPr>
          <w:p w14:paraId="2F4ECF3D" w14:textId="203C6B24" w:rsidR="0064412C" w:rsidRPr="0099225F" w:rsidRDefault="0064412C" w:rsidP="00A44D67">
            <w:pPr>
              <w:pStyle w:val="Tablecolhead"/>
              <w:rPr>
                <w:sz w:val="20"/>
              </w:rPr>
            </w:pPr>
            <w:r w:rsidRPr="0099225F">
              <w:rPr>
                <w:sz w:val="20"/>
              </w:rPr>
              <w:t>Target</w:t>
            </w:r>
          </w:p>
        </w:tc>
        <w:tc>
          <w:tcPr>
            <w:tcW w:w="1836" w:type="dxa"/>
            <w:tcBorders>
              <w:top w:val="nil"/>
              <w:bottom w:val="single" w:sz="4" w:space="0" w:color="AF272F"/>
            </w:tcBorders>
            <w:shd w:val="clear" w:color="auto" w:fill="EDCDCF"/>
          </w:tcPr>
          <w:p w14:paraId="7D711306" w14:textId="48E716CC" w:rsidR="0064412C" w:rsidRPr="0099225F" w:rsidRDefault="0064412C" w:rsidP="00A44D67">
            <w:pPr>
              <w:pStyle w:val="Tablecolhead"/>
              <w:rPr>
                <w:sz w:val="20"/>
              </w:rPr>
            </w:pPr>
            <w:r w:rsidRPr="0099225F">
              <w:rPr>
                <w:sz w:val="20"/>
              </w:rPr>
              <w:t>Trend</w:t>
            </w:r>
          </w:p>
        </w:tc>
      </w:tr>
      <w:tr w:rsidR="0064412C" w:rsidRPr="0099225F" w14:paraId="3F5C00E5" w14:textId="77777777" w:rsidTr="00AE69AF">
        <w:trPr>
          <w:trHeight w:val="672"/>
        </w:trPr>
        <w:tc>
          <w:tcPr>
            <w:tcW w:w="1436" w:type="dxa"/>
            <w:tcBorders>
              <w:top w:val="single" w:sz="4" w:space="0" w:color="AF272F"/>
            </w:tcBorders>
            <w:hideMark/>
          </w:tcPr>
          <w:p w14:paraId="2673CB3F" w14:textId="6D304AC5" w:rsidR="0064412C" w:rsidRPr="0099225F" w:rsidRDefault="00000000" w:rsidP="00C1114C">
            <w:pPr>
              <w:pStyle w:val="Tabletext"/>
              <w:rPr>
                <w:sz w:val="20"/>
              </w:rPr>
            </w:pPr>
            <w:hyperlink w:anchor="_Measure_2.1_–" w:history="1">
              <w:r w:rsidR="0064412C" w:rsidRPr="0099225F">
                <w:rPr>
                  <w:rStyle w:val="Hyperlink"/>
                  <w:sz w:val="20"/>
                </w:rPr>
                <w:t>2.1</w:t>
              </w:r>
            </w:hyperlink>
          </w:p>
        </w:tc>
        <w:tc>
          <w:tcPr>
            <w:tcW w:w="3312" w:type="dxa"/>
            <w:tcBorders>
              <w:top w:val="single" w:sz="4" w:space="0" w:color="AF272F"/>
            </w:tcBorders>
          </w:tcPr>
          <w:p w14:paraId="43490694" w14:textId="77777777" w:rsidR="0064412C" w:rsidRPr="0099225F" w:rsidRDefault="0064412C" w:rsidP="00C1114C">
            <w:pPr>
              <w:pStyle w:val="Tabletext"/>
              <w:rPr>
                <w:sz w:val="20"/>
              </w:rPr>
            </w:pPr>
            <w:r w:rsidRPr="0099225F">
              <w:rPr>
                <w:sz w:val="20"/>
              </w:rPr>
              <w:t>Death rate due to cancer</w:t>
            </w:r>
          </w:p>
        </w:tc>
        <w:tc>
          <w:tcPr>
            <w:tcW w:w="2593" w:type="dxa"/>
            <w:tcBorders>
              <w:top w:val="single" w:sz="4" w:space="0" w:color="AF272F"/>
            </w:tcBorders>
          </w:tcPr>
          <w:p w14:paraId="62942281" w14:textId="0D255B0E" w:rsidR="0064412C" w:rsidRPr="0099225F" w:rsidRDefault="0064412C" w:rsidP="00C1114C">
            <w:pPr>
              <w:pStyle w:val="Tabletext"/>
              <w:rPr>
                <w:sz w:val="20"/>
              </w:rPr>
            </w:pPr>
            <w:r w:rsidRPr="0099225F">
              <w:rPr>
                <w:sz w:val="20"/>
              </w:rPr>
              <w:t>Rate (age-adjusted, per 100,000)</w:t>
            </w:r>
          </w:p>
        </w:tc>
        <w:tc>
          <w:tcPr>
            <w:tcW w:w="1835" w:type="dxa"/>
            <w:tcBorders>
              <w:top w:val="single" w:sz="4" w:space="0" w:color="AF272F"/>
            </w:tcBorders>
            <w:noWrap/>
          </w:tcPr>
          <w:p w14:paraId="67FC93B7" w14:textId="549D8F82" w:rsidR="0064412C" w:rsidRPr="0099225F" w:rsidRDefault="0064412C" w:rsidP="004976DA">
            <w:pPr>
              <w:pStyle w:val="Tabletext"/>
              <w:rPr>
                <w:sz w:val="20"/>
              </w:rPr>
            </w:pPr>
            <w:r w:rsidRPr="0099225F">
              <w:rPr>
                <w:sz w:val="20"/>
              </w:rPr>
              <w:t>17</w:t>
            </w:r>
            <w:r w:rsidR="007E2129" w:rsidRPr="0099225F">
              <w:rPr>
                <w:sz w:val="20"/>
              </w:rPr>
              <w:t>3</w:t>
            </w:r>
            <w:r w:rsidR="004976DA" w:rsidRPr="0099225F">
              <w:rPr>
                <w:sz w:val="20"/>
              </w:rPr>
              <w:br/>
            </w:r>
            <w:r w:rsidRPr="0099225F">
              <w:rPr>
                <w:sz w:val="20"/>
              </w:rPr>
              <w:t>(2010)</w:t>
            </w:r>
          </w:p>
        </w:tc>
        <w:tc>
          <w:tcPr>
            <w:tcW w:w="1612" w:type="dxa"/>
            <w:tcBorders>
              <w:top w:val="single" w:sz="4" w:space="0" w:color="AF272F"/>
            </w:tcBorders>
            <w:noWrap/>
          </w:tcPr>
          <w:p w14:paraId="5FBBC00D" w14:textId="6A44B710" w:rsidR="0064412C" w:rsidRPr="0099225F" w:rsidRDefault="0064412C" w:rsidP="004976DA">
            <w:pPr>
              <w:pStyle w:val="Tabletext"/>
              <w:rPr>
                <w:sz w:val="20"/>
              </w:rPr>
            </w:pPr>
            <w:r w:rsidRPr="0099225F">
              <w:rPr>
                <w:sz w:val="20"/>
              </w:rPr>
              <w:t>1</w:t>
            </w:r>
            <w:r w:rsidR="007E2129" w:rsidRPr="0099225F">
              <w:rPr>
                <w:sz w:val="20"/>
              </w:rPr>
              <w:t>3</w:t>
            </w:r>
            <w:r w:rsidR="005F082F" w:rsidRPr="0099225F">
              <w:rPr>
                <w:sz w:val="20"/>
              </w:rPr>
              <w:t>8</w:t>
            </w:r>
            <w:r w:rsidR="004976DA" w:rsidRPr="0099225F">
              <w:rPr>
                <w:sz w:val="20"/>
              </w:rPr>
              <w:br/>
            </w:r>
            <w:r w:rsidRPr="0099225F">
              <w:rPr>
                <w:sz w:val="20"/>
              </w:rPr>
              <w:t>(20</w:t>
            </w:r>
            <w:r w:rsidR="007E2129" w:rsidRPr="0099225F">
              <w:rPr>
                <w:sz w:val="20"/>
              </w:rPr>
              <w:t>2</w:t>
            </w:r>
            <w:r w:rsidR="005F082F" w:rsidRPr="0099225F">
              <w:rPr>
                <w:sz w:val="20"/>
              </w:rPr>
              <w:t>1</w:t>
            </w:r>
            <w:r w:rsidRPr="0099225F">
              <w:rPr>
                <w:sz w:val="20"/>
              </w:rPr>
              <w:t>)</w:t>
            </w:r>
          </w:p>
        </w:tc>
        <w:tc>
          <w:tcPr>
            <w:tcW w:w="1835" w:type="dxa"/>
            <w:tcBorders>
              <w:top w:val="single" w:sz="4" w:space="0" w:color="AF272F"/>
            </w:tcBorders>
            <w:noWrap/>
          </w:tcPr>
          <w:p w14:paraId="40C39421" w14:textId="77777777" w:rsidR="0064412C" w:rsidRPr="0099225F" w:rsidRDefault="0064412C" w:rsidP="00C1114C">
            <w:pPr>
              <w:pStyle w:val="Tabletext"/>
              <w:rPr>
                <w:sz w:val="20"/>
              </w:rPr>
            </w:pPr>
            <w:r w:rsidRPr="0099225F">
              <w:rPr>
                <w:sz w:val="20"/>
              </w:rPr>
              <w:t>N/S</w:t>
            </w:r>
          </w:p>
        </w:tc>
        <w:tc>
          <w:tcPr>
            <w:tcW w:w="1836" w:type="dxa"/>
            <w:tcBorders>
              <w:top w:val="single" w:sz="4" w:space="0" w:color="AF272F"/>
            </w:tcBorders>
          </w:tcPr>
          <w:p w14:paraId="2A1694ED" w14:textId="69565196" w:rsidR="0064412C" w:rsidRPr="0099225F" w:rsidRDefault="0064412C" w:rsidP="00C1114C">
            <w:pPr>
              <w:pStyle w:val="Tabletext"/>
              <w:rPr>
                <w:sz w:val="20"/>
              </w:rPr>
            </w:pPr>
            <w:r w:rsidRPr="0099225F">
              <w:rPr>
                <w:sz w:val="20"/>
              </w:rPr>
              <w:t>▼</w:t>
            </w:r>
            <w:r w:rsidRPr="0099225F">
              <w:rPr>
                <w:sz w:val="20"/>
              </w:rPr>
              <w:br/>
              <w:t>Downward</w:t>
            </w:r>
          </w:p>
        </w:tc>
      </w:tr>
      <w:tr w:rsidR="0064412C" w:rsidRPr="0099225F" w14:paraId="65EE2935" w14:textId="77777777" w:rsidTr="00AE69AF">
        <w:trPr>
          <w:trHeight w:val="710"/>
        </w:trPr>
        <w:tc>
          <w:tcPr>
            <w:tcW w:w="1436" w:type="dxa"/>
            <w:tcBorders>
              <w:bottom w:val="single" w:sz="4" w:space="0" w:color="AF272F"/>
            </w:tcBorders>
            <w:hideMark/>
          </w:tcPr>
          <w:p w14:paraId="479B1EE4" w14:textId="71A4B627" w:rsidR="0064412C" w:rsidRPr="0099225F" w:rsidRDefault="00000000" w:rsidP="00C1114C">
            <w:pPr>
              <w:pStyle w:val="Tabletext"/>
              <w:rPr>
                <w:sz w:val="20"/>
              </w:rPr>
            </w:pPr>
            <w:hyperlink w:anchor="_Measure_2.2_–" w:history="1">
              <w:r w:rsidR="0064412C" w:rsidRPr="0099225F">
                <w:rPr>
                  <w:rStyle w:val="Hyperlink"/>
                  <w:sz w:val="20"/>
                </w:rPr>
                <w:t>2.2</w:t>
              </w:r>
            </w:hyperlink>
          </w:p>
        </w:tc>
        <w:tc>
          <w:tcPr>
            <w:tcW w:w="3312" w:type="dxa"/>
            <w:tcBorders>
              <w:bottom w:val="single" w:sz="4" w:space="0" w:color="AF272F"/>
            </w:tcBorders>
          </w:tcPr>
          <w:p w14:paraId="24FCF888" w14:textId="77777777" w:rsidR="0064412C" w:rsidRPr="0099225F" w:rsidRDefault="0064412C" w:rsidP="00C1114C">
            <w:pPr>
              <w:pStyle w:val="Tabletext"/>
              <w:rPr>
                <w:sz w:val="20"/>
              </w:rPr>
            </w:pPr>
            <w:r w:rsidRPr="0099225F">
              <w:rPr>
                <w:sz w:val="20"/>
              </w:rPr>
              <w:t>Premature death rate due to cancer</w:t>
            </w:r>
          </w:p>
        </w:tc>
        <w:tc>
          <w:tcPr>
            <w:tcW w:w="2593" w:type="dxa"/>
            <w:tcBorders>
              <w:bottom w:val="single" w:sz="4" w:space="0" w:color="AF272F"/>
            </w:tcBorders>
          </w:tcPr>
          <w:p w14:paraId="372091E9" w14:textId="2493E149" w:rsidR="0064412C" w:rsidRPr="0099225F" w:rsidRDefault="0064412C" w:rsidP="00C1114C">
            <w:pPr>
              <w:pStyle w:val="Tabletext"/>
              <w:rPr>
                <w:sz w:val="20"/>
              </w:rPr>
            </w:pPr>
            <w:r w:rsidRPr="0099225F">
              <w:rPr>
                <w:sz w:val="20"/>
              </w:rPr>
              <w:t>Rate (age-adjusted, per 100,000)</w:t>
            </w:r>
          </w:p>
        </w:tc>
        <w:tc>
          <w:tcPr>
            <w:tcW w:w="1835" w:type="dxa"/>
            <w:tcBorders>
              <w:bottom w:val="single" w:sz="4" w:space="0" w:color="AF272F"/>
            </w:tcBorders>
            <w:noWrap/>
          </w:tcPr>
          <w:p w14:paraId="778A5E73" w14:textId="43462991" w:rsidR="0064412C" w:rsidRPr="0099225F" w:rsidRDefault="0064412C" w:rsidP="004976DA">
            <w:pPr>
              <w:pStyle w:val="Tabletext"/>
              <w:rPr>
                <w:sz w:val="20"/>
              </w:rPr>
            </w:pPr>
            <w:r w:rsidRPr="0099225F">
              <w:rPr>
                <w:sz w:val="20"/>
              </w:rPr>
              <w:t>9</w:t>
            </w:r>
            <w:r w:rsidR="007E2129" w:rsidRPr="0099225F">
              <w:rPr>
                <w:sz w:val="20"/>
              </w:rPr>
              <w:t>2</w:t>
            </w:r>
            <w:r w:rsidR="004976DA" w:rsidRPr="0099225F">
              <w:rPr>
                <w:sz w:val="20"/>
              </w:rPr>
              <w:br/>
            </w:r>
            <w:r w:rsidRPr="0099225F">
              <w:rPr>
                <w:sz w:val="20"/>
              </w:rPr>
              <w:t>(2010)</w:t>
            </w:r>
          </w:p>
        </w:tc>
        <w:tc>
          <w:tcPr>
            <w:tcW w:w="1612" w:type="dxa"/>
            <w:tcBorders>
              <w:bottom w:val="single" w:sz="4" w:space="0" w:color="AF272F"/>
            </w:tcBorders>
            <w:noWrap/>
          </w:tcPr>
          <w:p w14:paraId="12565492" w14:textId="3B137CD7" w:rsidR="0064412C" w:rsidRPr="0099225F" w:rsidRDefault="005F082F" w:rsidP="004976DA">
            <w:pPr>
              <w:pStyle w:val="Tabletext"/>
              <w:rPr>
                <w:sz w:val="20"/>
              </w:rPr>
            </w:pPr>
            <w:r w:rsidRPr="0099225F">
              <w:rPr>
                <w:sz w:val="20"/>
              </w:rPr>
              <w:t>70</w:t>
            </w:r>
            <w:r w:rsidR="004976DA" w:rsidRPr="0099225F">
              <w:rPr>
                <w:sz w:val="20"/>
              </w:rPr>
              <w:br/>
            </w:r>
            <w:r w:rsidR="0064412C" w:rsidRPr="0099225F">
              <w:rPr>
                <w:sz w:val="20"/>
              </w:rPr>
              <w:t>(20</w:t>
            </w:r>
            <w:r w:rsidR="007E2129" w:rsidRPr="0099225F">
              <w:rPr>
                <w:sz w:val="20"/>
              </w:rPr>
              <w:t>2</w:t>
            </w:r>
            <w:r w:rsidRPr="0099225F">
              <w:rPr>
                <w:sz w:val="20"/>
              </w:rPr>
              <w:t>1</w:t>
            </w:r>
            <w:r w:rsidR="0064412C" w:rsidRPr="0099225F">
              <w:rPr>
                <w:sz w:val="20"/>
              </w:rPr>
              <w:t>)</w:t>
            </w:r>
          </w:p>
        </w:tc>
        <w:tc>
          <w:tcPr>
            <w:tcW w:w="1835" w:type="dxa"/>
            <w:tcBorders>
              <w:bottom w:val="single" w:sz="4" w:space="0" w:color="AF272F"/>
            </w:tcBorders>
            <w:noWrap/>
          </w:tcPr>
          <w:p w14:paraId="14F72302" w14:textId="713CC111" w:rsidR="0064412C" w:rsidRPr="0099225F" w:rsidRDefault="0064412C" w:rsidP="00C1114C">
            <w:pPr>
              <w:pStyle w:val="Tabletext"/>
              <w:rPr>
                <w:sz w:val="20"/>
              </w:rPr>
            </w:pPr>
            <w:r w:rsidRPr="0099225F">
              <w:rPr>
                <w:sz w:val="20"/>
              </w:rPr>
              <w:t>25</w:t>
            </w:r>
            <w:r w:rsidR="0054537F">
              <w:rPr>
                <w:sz w:val="20"/>
              </w:rPr>
              <w:t>%</w:t>
            </w:r>
            <w:r w:rsidRPr="0099225F">
              <w:rPr>
                <w:sz w:val="20"/>
              </w:rPr>
              <w:t xml:space="preserve"> decrease (2025)</w:t>
            </w:r>
          </w:p>
        </w:tc>
        <w:tc>
          <w:tcPr>
            <w:tcW w:w="1836" w:type="dxa"/>
            <w:tcBorders>
              <w:bottom w:val="single" w:sz="4" w:space="0" w:color="AF272F"/>
            </w:tcBorders>
          </w:tcPr>
          <w:p w14:paraId="6806BF84" w14:textId="13C9D483" w:rsidR="0064412C" w:rsidRPr="0099225F" w:rsidRDefault="0064412C" w:rsidP="00425C31">
            <w:pPr>
              <w:pStyle w:val="Tabletext"/>
              <w:rPr>
                <w:sz w:val="20"/>
              </w:rPr>
            </w:pPr>
            <w:r w:rsidRPr="0099225F">
              <w:rPr>
                <w:sz w:val="20"/>
              </w:rPr>
              <w:t>▼</w:t>
            </w:r>
            <w:r w:rsidR="00425C31" w:rsidRPr="0099225F">
              <w:rPr>
                <w:sz w:val="20"/>
              </w:rPr>
              <w:br/>
            </w:r>
            <w:r w:rsidRPr="0099225F">
              <w:rPr>
                <w:sz w:val="20"/>
              </w:rPr>
              <w:t>Downward</w:t>
            </w:r>
          </w:p>
        </w:tc>
      </w:tr>
      <w:tr w:rsidR="0064412C" w:rsidRPr="0099225F" w14:paraId="116D9429" w14:textId="77777777" w:rsidTr="00AE69AF">
        <w:trPr>
          <w:trHeight w:val="548"/>
        </w:trPr>
        <w:tc>
          <w:tcPr>
            <w:tcW w:w="1436" w:type="dxa"/>
            <w:tcBorders>
              <w:top w:val="single" w:sz="4" w:space="0" w:color="AF272F"/>
              <w:bottom w:val="single" w:sz="4" w:space="0" w:color="AF272F"/>
            </w:tcBorders>
            <w:hideMark/>
          </w:tcPr>
          <w:p w14:paraId="7CAFB290" w14:textId="76AE715A" w:rsidR="0064412C" w:rsidRPr="0099225F" w:rsidRDefault="00000000" w:rsidP="00C1114C">
            <w:pPr>
              <w:pStyle w:val="Tabletext"/>
              <w:rPr>
                <w:sz w:val="20"/>
              </w:rPr>
            </w:pPr>
            <w:hyperlink w:anchor="_Measure_2.3_–" w:history="1">
              <w:r w:rsidR="0064412C" w:rsidRPr="0099225F">
                <w:rPr>
                  <w:rStyle w:val="Hyperlink"/>
                  <w:sz w:val="20"/>
                </w:rPr>
                <w:t>2.3</w:t>
              </w:r>
            </w:hyperlink>
          </w:p>
        </w:tc>
        <w:tc>
          <w:tcPr>
            <w:tcW w:w="3312" w:type="dxa"/>
            <w:tcBorders>
              <w:top w:val="single" w:sz="4" w:space="0" w:color="AF272F"/>
              <w:bottom w:val="single" w:sz="4" w:space="0" w:color="AF272F"/>
            </w:tcBorders>
          </w:tcPr>
          <w:p w14:paraId="7B62361F" w14:textId="77777777" w:rsidR="0064412C" w:rsidRPr="0099225F" w:rsidRDefault="0064412C" w:rsidP="00C1114C">
            <w:pPr>
              <w:pStyle w:val="Tabletext"/>
              <w:rPr>
                <w:sz w:val="20"/>
              </w:rPr>
            </w:pPr>
            <w:r w:rsidRPr="0099225F">
              <w:rPr>
                <w:sz w:val="20"/>
              </w:rPr>
              <w:t>Number of deaths averted</w:t>
            </w:r>
          </w:p>
        </w:tc>
        <w:tc>
          <w:tcPr>
            <w:tcW w:w="2593" w:type="dxa"/>
            <w:tcBorders>
              <w:top w:val="single" w:sz="4" w:space="0" w:color="AF272F"/>
              <w:bottom w:val="single" w:sz="4" w:space="0" w:color="AF272F"/>
            </w:tcBorders>
          </w:tcPr>
          <w:p w14:paraId="01C32E30" w14:textId="77777777" w:rsidR="0064412C" w:rsidRPr="0099225F" w:rsidRDefault="0064412C" w:rsidP="00C1114C">
            <w:pPr>
              <w:pStyle w:val="Tabletext"/>
              <w:rPr>
                <w:sz w:val="20"/>
              </w:rPr>
            </w:pPr>
            <w:r w:rsidRPr="0099225F">
              <w:rPr>
                <w:sz w:val="20"/>
              </w:rPr>
              <w:t>Number (’000)</w:t>
            </w:r>
          </w:p>
        </w:tc>
        <w:tc>
          <w:tcPr>
            <w:tcW w:w="1835" w:type="dxa"/>
            <w:tcBorders>
              <w:top w:val="single" w:sz="4" w:space="0" w:color="AF272F"/>
              <w:bottom w:val="single" w:sz="4" w:space="0" w:color="AF272F"/>
            </w:tcBorders>
            <w:noWrap/>
          </w:tcPr>
          <w:p w14:paraId="37CFA2B5" w14:textId="11E8D674" w:rsidR="0064412C" w:rsidRPr="0099225F" w:rsidRDefault="0018796E" w:rsidP="004976DA">
            <w:pPr>
              <w:pStyle w:val="Tabletext"/>
              <w:rPr>
                <w:sz w:val="20"/>
              </w:rPr>
            </w:pPr>
            <w:r w:rsidRPr="0099225F">
              <w:rPr>
                <w:sz w:val="20"/>
              </w:rPr>
              <w:t>N/A</w:t>
            </w:r>
          </w:p>
        </w:tc>
        <w:tc>
          <w:tcPr>
            <w:tcW w:w="1612" w:type="dxa"/>
            <w:tcBorders>
              <w:top w:val="single" w:sz="4" w:space="0" w:color="AF272F"/>
              <w:bottom w:val="single" w:sz="4" w:space="0" w:color="AF272F"/>
            </w:tcBorders>
            <w:noWrap/>
          </w:tcPr>
          <w:p w14:paraId="33A1C73C" w14:textId="282C0B23" w:rsidR="0064412C" w:rsidRPr="0099225F" w:rsidRDefault="005F082F" w:rsidP="004976DA">
            <w:pPr>
              <w:pStyle w:val="Tabletext"/>
              <w:rPr>
                <w:sz w:val="20"/>
              </w:rPr>
            </w:pPr>
            <w:r w:rsidRPr="0099225F">
              <w:rPr>
                <w:sz w:val="20"/>
              </w:rPr>
              <w:t>10</w:t>
            </w:r>
            <w:r w:rsidR="0018796E" w:rsidRPr="0099225F">
              <w:rPr>
                <w:sz w:val="20"/>
              </w:rPr>
              <w:t>,</w:t>
            </w:r>
            <w:r w:rsidRPr="0099225F">
              <w:rPr>
                <w:sz w:val="20"/>
              </w:rPr>
              <w:t>529</w:t>
            </w:r>
            <w:r w:rsidR="004976DA" w:rsidRPr="0099225F">
              <w:rPr>
                <w:sz w:val="20"/>
              </w:rPr>
              <w:br/>
            </w:r>
            <w:r w:rsidR="0064412C" w:rsidRPr="0099225F">
              <w:rPr>
                <w:sz w:val="20"/>
              </w:rPr>
              <w:t>(</w:t>
            </w:r>
            <w:r w:rsidR="0018796E" w:rsidRPr="0099225F">
              <w:rPr>
                <w:sz w:val="20"/>
              </w:rPr>
              <w:t>2015</w:t>
            </w:r>
            <w:r w:rsidR="00587C1D" w:rsidRPr="0099225F">
              <w:rPr>
                <w:sz w:val="20"/>
              </w:rPr>
              <w:t>–</w:t>
            </w:r>
            <w:r w:rsidR="0064412C" w:rsidRPr="0099225F">
              <w:rPr>
                <w:sz w:val="20"/>
              </w:rPr>
              <w:t>20</w:t>
            </w:r>
            <w:r w:rsidR="007E2129" w:rsidRPr="0099225F">
              <w:rPr>
                <w:sz w:val="20"/>
              </w:rPr>
              <w:t>2</w:t>
            </w:r>
            <w:r w:rsidRPr="0099225F">
              <w:rPr>
                <w:sz w:val="20"/>
              </w:rPr>
              <w:t>1</w:t>
            </w:r>
            <w:r w:rsidR="0064412C" w:rsidRPr="0099225F">
              <w:rPr>
                <w:sz w:val="20"/>
              </w:rPr>
              <w:t>)</w:t>
            </w:r>
          </w:p>
        </w:tc>
        <w:tc>
          <w:tcPr>
            <w:tcW w:w="1835" w:type="dxa"/>
            <w:tcBorders>
              <w:top w:val="single" w:sz="4" w:space="0" w:color="AF272F"/>
              <w:bottom w:val="single" w:sz="4" w:space="0" w:color="AF272F"/>
            </w:tcBorders>
            <w:noWrap/>
          </w:tcPr>
          <w:p w14:paraId="1F931F8F" w14:textId="21EFA954" w:rsidR="0064412C" w:rsidRPr="0099225F" w:rsidRDefault="0064412C" w:rsidP="004976DA">
            <w:pPr>
              <w:pStyle w:val="Tabletext"/>
              <w:rPr>
                <w:sz w:val="20"/>
              </w:rPr>
            </w:pPr>
            <w:r w:rsidRPr="0099225F">
              <w:rPr>
                <w:sz w:val="20"/>
              </w:rPr>
              <w:t xml:space="preserve">10,000 lives saved </w:t>
            </w:r>
            <w:r w:rsidR="004976DA" w:rsidRPr="0099225F">
              <w:rPr>
                <w:sz w:val="20"/>
              </w:rPr>
              <w:br/>
            </w:r>
            <w:r w:rsidRPr="0099225F">
              <w:rPr>
                <w:sz w:val="20"/>
              </w:rPr>
              <w:t>(2025)</w:t>
            </w:r>
          </w:p>
        </w:tc>
        <w:tc>
          <w:tcPr>
            <w:tcW w:w="1836" w:type="dxa"/>
            <w:tcBorders>
              <w:top w:val="single" w:sz="4" w:space="0" w:color="AF272F"/>
              <w:bottom w:val="single" w:sz="4" w:space="0" w:color="AF272F"/>
            </w:tcBorders>
          </w:tcPr>
          <w:p w14:paraId="6A2E688B" w14:textId="27E767DD" w:rsidR="0064412C" w:rsidRPr="0099225F" w:rsidRDefault="00243CD9" w:rsidP="00425C31">
            <w:pPr>
              <w:pStyle w:val="Tabletext"/>
              <w:rPr>
                <w:sz w:val="20"/>
              </w:rPr>
            </w:pPr>
            <w:r w:rsidRPr="0099225F">
              <w:rPr>
                <w:rFonts w:ascii="Wingdings" w:eastAsia="Wingdings" w:hAnsi="Wingdings" w:cs="Wingdings"/>
                <w:sz w:val="20"/>
              </w:rPr>
              <w:t>þ</w:t>
            </w:r>
            <w:r w:rsidR="00425C31" w:rsidRPr="0099225F">
              <w:rPr>
                <w:sz w:val="20"/>
              </w:rPr>
              <w:br/>
            </w:r>
            <w:r w:rsidRPr="0099225F">
              <w:rPr>
                <w:sz w:val="20"/>
              </w:rPr>
              <w:t>Target has been met</w:t>
            </w:r>
          </w:p>
        </w:tc>
      </w:tr>
    </w:tbl>
    <w:p w14:paraId="673D5C7F" w14:textId="3C8EB1C8" w:rsidR="0064412C" w:rsidRDefault="0064412C" w:rsidP="00C1114C">
      <w:pPr>
        <w:pStyle w:val="Heading5"/>
      </w:pPr>
      <w:r w:rsidRPr="00CD7A1C">
        <w:t>Key result: I</w:t>
      </w:r>
      <w:r>
        <w:t>ncrease</w:t>
      </w:r>
      <w:r w:rsidRPr="00CD7A1C">
        <w:t xml:space="preserve"> survivorship quality of life</w:t>
      </w:r>
    </w:p>
    <w:tbl>
      <w:tblPr>
        <w:tblStyle w:val="TableGrid"/>
        <w:tblW w:w="14596" w:type="dxa"/>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1418"/>
        <w:gridCol w:w="3260"/>
        <w:gridCol w:w="142"/>
        <w:gridCol w:w="2410"/>
        <w:gridCol w:w="142"/>
        <w:gridCol w:w="1695"/>
        <w:gridCol w:w="142"/>
        <w:gridCol w:w="1701"/>
        <w:gridCol w:w="142"/>
        <w:gridCol w:w="1564"/>
        <w:gridCol w:w="142"/>
        <w:gridCol w:w="1696"/>
        <w:gridCol w:w="142"/>
      </w:tblGrid>
      <w:tr w:rsidR="00C1114C" w:rsidRPr="0099225F" w14:paraId="62AFF9F8" w14:textId="77777777" w:rsidTr="00012942">
        <w:trPr>
          <w:gridAfter w:val="1"/>
          <w:wAfter w:w="142" w:type="dxa"/>
          <w:trHeight w:val="587"/>
        </w:trPr>
        <w:tc>
          <w:tcPr>
            <w:tcW w:w="1418" w:type="dxa"/>
            <w:tcBorders>
              <w:top w:val="nil"/>
            </w:tcBorders>
            <w:shd w:val="clear" w:color="auto" w:fill="EDCDCF"/>
          </w:tcPr>
          <w:p w14:paraId="5A445828" w14:textId="08D9AF0D" w:rsidR="00C1114C" w:rsidRPr="0099225F" w:rsidRDefault="00C1114C" w:rsidP="00727B64">
            <w:pPr>
              <w:pStyle w:val="Tablecolhead"/>
              <w:rPr>
                <w:rFonts w:cs="Arial"/>
                <w:sz w:val="20"/>
              </w:rPr>
            </w:pPr>
            <w:r w:rsidRPr="0099225F">
              <w:rPr>
                <w:sz w:val="20"/>
              </w:rPr>
              <w:t>Measure #</w:t>
            </w:r>
          </w:p>
        </w:tc>
        <w:tc>
          <w:tcPr>
            <w:tcW w:w="3260" w:type="dxa"/>
            <w:tcBorders>
              <w:top w:val="nil"/>
            </w:tcBorders>
            <w:shd w:val="clear" w:color="auto" w:fill="EDCDCF"/>
          </w:tcPr>
          <w:p w14:paraId="0AF6EEB8" w14:textId="2F7FC74A" w:rsidR="00C1114C" w:rsidRPr="0099225F" w:rsidRDefault="00C1114C" w:rsidP="00727B64">
            <w:pPr>
              <w:pStyle w:val="Tablecolhead"/>
              <w:rPr>
                <w:rFonts w:cs="Arial"/>
                <w:sz w:val="20"/>
              </w:rPr>
            </w:pPr>
            <w:r w:rsidRPr="0099225F">
              <w:rPr>
                <w:sz w:val="20"/>
              </w:rPr>
              <w:t>Description</w:t>
            </w:r>
          </w:p>
        </w:tc>
        <w:tc>
          <w:tcPr>
            <w:tcW w:w="2552" w:type="dxa"/>
            <w:gridSpan w:val="2"/>
            <w:tcBorders>
              <w:top w:val="nil"/>
            </w:tcBorders>
            <w:shd w:val="clear" w:color="auto" w:fill="EDCDCF"/>
          </w:tcPr>
          <w:p w14:paraId="3E30C9CF" w14:textId="540D2F5C" w:rsidR="00C1114C" w:rsidRPr="0099225F" w:rsidRDefault="00C1114C" w:rsidP="00727B64">
            <w:pPr>
              <w:pStyle w:val="Tablecolhead"/>
              <w:rPr>
                <w:rFonts w:cs="Arial"/>
                <w:color w:val="00B0F0"/>
                <w:sz w:val="20"/>
              </w:rPr>
            </w:pPr>
            <w:r w:rsidRPr="0099225F">
              <w:rPr>
                <w:sz w:val="20"/>
              </w:rPr>
              <w:t>Unit of measure</w:t>
            </w:r>
          </w:p>
        </w:tc>
        <w:tc>
          <w:tcPr>
            <w:tcW w:w="1837" w:type="dxa"/>
            <w:gridSpan w:val="2"/>
            <w:tcBorders>
              <w:top w:val="nil"/>
            </w:tcBorders>
            <w:shd w:val="clear" w:color="auto" w:fill="EDCDCF"/>
            <w:noWrap/>
          </w:tcPr>
          <w:p w14:paraId="18DEAF38" w14:textId="77777777" w:rsidR="00C1114C" w:rsidRPr="0099225F" w:rsidRDefault="00C1114C" w:rsidP="00727B64">
            <w:pPr>
              <w:pStyle w:val="Tablecolhead"/>
              <w:rPr>
                <w:sz w:val="20"/>
              </w:rPr>
            </w:pPr>
            <w:r w:rsidRPr="0099225F">
              <w:rPr>
                <w:sz w:val="20"/>
              </w:rPr>
              <w:t>Baseline</w:t>
            </w:r>
          </w:p>
          <w:p w14:paraId="70BAD02E" w14:textId="31F4C62B" w:rsidR="00C1114C" w:rsidRPr="0099225F" w:rsidRDefault="00C1114C" w:rsidP="00727B64">
            <w:pPr>
              <w:pStyle w:val="Tablecolhead"/>
              <w:rPr>
                <w:rFonts w:cs="Arial"/>
                <w:sz w:val="20"/>
              </w:rPr>
            </w:pPr>
            <w:r w:rsidRPr="0099225F">
              <w:rPr>
                <w:sz w:val="20"/>
              </w:rPr>
              <w:t>(year)</w:t>
            </w:r>
          </w:p>
        </w:tc>
        <w:tc>
          <w:tcPr>
            <w:tcW w:w="1843" w:type="dxa"/>
            <w:gridSpan w:val="2"/>
            <w:tcBorders>
              <w:top w:val="nil"/>
            </w:tcBorders>
            <w:shd w:val="clear" w:color="auto" w:fill="EDCDCF"/>
            <w:noWrap/>
          </w:tcPr>
          <w:p w14:paraId="16633CC3" w14:textId="77777777" w:rsidR="00C1114C" w:rsidRPr="0099225F" w:rsidRDefault="00C1114C" w:rsidP="00727B64">
            <w:pPr>
              <w:pStyle w:val="Tablecolhead"/>
              <w:rPr>
                <w:sz w:val="20"/>
              </w:rPr>
            </w:pPr>
            <w:r w:rsidRPr="0099225F">
              <w:rPr>
                <w:sz w:val="20"/>
              </w:rPr>
              <w:t>Most recent</w:t>
            </w:r>
          </w:p>
          <w:p w14:paraId="49D16793" w14:textId="781EAFD8" w:rsidR="00C1114C" w:rsidRPr="0099225F" w:rsidRDefault="00C1114C" w:rsidP="00727B64">
            <w:pPr>
              <w:pStyle w:val="Tablecolhead"/>
              <w:rPr>
                <w:rFonts w:cs="Arial"/>
                <w:sz w:val="20"/>
              </w:rPr>
            </w:pPr>
            <w:r w:rsidRPr="0099225F">
              <w:rPr>
                <w:sz w:val="20"/>
              </w:rPr>
              <w:t>(year)</w:t>
            </w:r>
          </w:p>
        </w:tc>
        <w:tc>
          <w:tcPr>
            <w:tcW w:w="1706" w:type="dxa"/>
            <w:gridSpan w:val="2"/>
            <w:tcBorders>
              <w:top w:val="nil"/>
            </w:tcBorders>
            <w:shd w:val="clear" w:color="auto" w:fill="EDCDCF"/>
            <w:noWrap/>
          </w:tcPr>
          <w:p w14:paraId="017F5DC7" w14:textId="4C4CFBB6" w:rsidR="00C1114C" w:rsidRPr="0099225F" w:rsidRDefault="00C1114C" w:rsidP="00727B64">
            <w:pPr>
              <w:pStyle w:val="Tablecolhead"/>
              <w:rPr>
                <w:rFonts w:cs="Arial"/>
                <w:sz w:val="20"/>
              </w:rPr>
            </w:pPr>
            <w:r w:rsidRPr="0099225F">
              <w:rPr>
                <w:sz w:val="20"/>
              </w:rPr>
              <w:t>Target</w:t>
            </w:r>
          </w:p>
        </w:tc>
        <w:tc>
          <w:tcPr>
            <w:tcW w:w="1838" w:type="dxa"/>
            <w:gridSpan w:val="2"/>
            <w:tcBorders>
              <w:top w:val="nil"/>
            </w:tcBorders>
            <w:shd w:val="clear" w:color="auto" w:fill="EDCDCF"/>
          </w:tcPr>
          <w:p w14:paraId="0E3D59F0" w14:textId="406153E7" w:rsidR="00C1114C" w:rsidRPr="0099225F" w:rsidRDefault="00C1114C" w:rsidP="00727B64">
            <w:pPr>
              <w:pStyle w:val="Tablecolhead"/>
              <w:rPr>
                <w:rFonts w:cs="Arial"/>
                <w:sz w:val="20"/>
              </w:rPr>
            </w:pPr>
            <w:r w:rsidRPr="0099225F">
              <w:rPr>
                <w:sz w:val="20"/>
              </w:rPr>
              <w:t>Trend</w:t>
            </w:r>
          </w:p>
        </w:tc>
      </w:tr>
      <w:tr w:rsidR="00C1114C" w:rsidRPr="0099225F" w14:paraId="5A36F41A" w14:textId="77777777" w:rsidTr="00012942">
        <w:trPr>
          <w:trHeight w:val="587"/>
        </w:trPr>
        <w:tc>
          <w:tcPr>
            <w:tcW w:w="1418" w:type="dxa"/>
            <w:hideMark/>
          </w:tcPr>
          <w:p w14:paraId="702CB614" w14:textId="240EF907" w:rsidR="00C1114C" w:rsidRPr="0099225F" w:rsidRDefault="00000000" w:rsidP="00876FD6">
            <w:pPr>
              <w:pStyle w:val="Tabletext"/>
              <w:rPr>
                <w:sz w:val="20"/>
              </w:rPr>
            </w:pPr>
            <w:hyperlink w:anchor="_Appendix_1:_Measures" w:history="1">
              <w:r w:rsidR="00C1114C" w:rsidRPr="0099225F">
                <w:rPr>
                  <w:rStyle w:val="Hyperlink"/>
                  <w:sz w:val="20"/>
                </w:rPr>
                <w:t>3.1</w:t>
              </w:r>
            </w:hyperlink>
          </w:p>
        </w:tc>
        <w:tc>
          <w:tcPr>
            <w:tcW w:w="3402" w:type="dxa"/>
            <w:gridSpan w:val="2"/>
          </w:tcPr>
          <w:p w14:paraId="7E52161F" w14:textId="14E287A0" w:rsidR="00C1114C" w:rsidRPr="0099225F" w:rsidRDefault="00C1114C" w:rsidP="00876FD6">
            <w:pPr>
              <w:pStyle w:val="Tabletext"/>
              <w:rPr>
                <w:sz w:val="20"/>
              </w:rPr>
            </w:pPr>
            <w:r w:rsidRPr="0099225F">
              <w:rPr>
                <w:sz w:val="20"/>
              </w:rPr>
              <w:t>Long-term quality of life</w:t>
            </w:r>
          </w:p>
        </w:tc>
        <w:tc>
          <w:tcPr>
            <w:tcW w:w="2552" w:type="dxa"/>
            <w:gridSpan w:val="2"/>
          </w:tcPr>
          <w:p w14:paraId="1706765C" w14:textId="77777777" w:rsidR="0071348F" w:rsidRDefault="00012942" w:rsidP="0071348F">
            <w:pPr>
              <w:pStyle w:val="Tabletext"/>
              <w:rPr>
                <w:sz w:val="20"/>
              </w:rPr>
            </w:pPr>
            <w:r w:rsidRPr="00012942">
              <w:rPr>
                <w:bCs/>
                <w:color w:val="000000" w:themeColor="text1"/>
                <w:sz w:val="20"/>
              </w:rPr>
              <w:t>Per cent</w:t>
            </w:r>
            <w:r w:rsidR="0071348F">
              <w:rPr>
                <w:bCs/>
                <w:color w:val="000000" w:themeColor="text1"/>
                <w:sz w:val="20"/>
              </w:rPr>
              <w:t xml:space="preserve"> </w:t>
            </w:r>
            <w:r w:rsidR="0071348F">
              <w:rPr>
                <w:sz w:val="20"/>
              </w:rPr>
              <w:t>(61-100 scoring)</w:t>
            </w:r>
          </w:p>
          <w:p w14:paraId="2E27A304" w14:textId="6DF76BE7" w:rsidR="00C1114C" w:rsidRPr="00653A31" w:rsidRDefault="00C1114C" w:rsidP="00876FD6">
            <w:pPr>
              <w:pStyle w:val="Tabletext"/>
              <w:rPr>
                <w:bCs/>
                <w:sz w:val="20"/>
              </w:rPr>
            </w:pPr>
          </w:p>
        </w:tc>
        <w:tc>
          <w:tcPr>
            <w:tcW w:w="1837" w:type="dxa"/>
            <w:gridSpan w:val="2"/>
            <w:noWrap/>
          </w:tcPr>
          <w:p w14:paraId="5A237F31" w14:textId="5B45AFFD" w:rsidR="00803A9F" w:rsidRDefault="00803A9F" w:rsidP="00876FD6">
            <w:pPr>
              <w:pStyle w:val="Tabletext"/>
              <w:rPr>
                <w:sz w:val="20"/>
              </w:rPr>
            </w:pPr>
            <w:r>
              <w:rPr>
                <w:sz w:val="20"/>
              </w:rPr>
              <w:t xml:space="preserve">79.7 </w:t>
            </w:r>
          </w:p>
          <w:p w14:paraId="41A59EC1" w14:textId="5101FA63" w:rsidR="00C1114C" w:rsidRPr="0099225F" w:rsidRDefault="00C96C80" w:rsidP="00876FD6">
            <w:pPr>
              <w:pStyle w:val="Tabletext"/>
              <w:rPr>
                <w:sz w:val="20"/>
              </w:rPr>
            </w:pPr>
            <w:r>
              <w:rPr>
                <w:sz w:val="20"/>
              </w:rPr>
              <w:t>(2019)</w:t>
            </w:r>
          </w:p>
        </w:tc>
        <w:tc>
          <w:tcPr>
            <w:tcW w:w="1843" w:type="dxa"/>
            <w:gridSpan w:val="2"/>
            <w:noWrap/>
          </w:tcPr>
          <w:p w14:paraId="3669A7E6" w14:textId="77777777" w:rsidR="00C1114C" w:rsidRDefault="0071348F" w:rsidP="00876FD6">
            <w:pPr>
              <w:pStyle w:val="Tabletext"/>
              <w:rPr>
                <w:sz w:val="20"/>
              </w:rPr>
            </w:pPr>
            <w:r>
              <w:rPr>
                <w:sz w:val="20"/>
              </w:rPr>
              <w:t xml:space="preserve">80.1 </w:t>
            </w:r>
          </w:p>
          <w:p w14:paraId="09C824D6" w14:textId="40154620" w:rsidR="0071348F" w:rsidRPr="0099225F" w:rsidRDefault="0071348F" w:rsidP="00876FD6">
            <w:pPr>
              <w:pStyle w:val="Tabletext"/>
              <w:rPr>
                <w:sz w:val="20"/>
              </w:rPr>
            </w:pPr>
            <w:r>
              <w:rPr>
                <w:sz w:val="20"/>
              </w:rPr>
              <w:t>(202</w:t>
            </w:r>
            <w:r w:rsidR="001871B8">
              <w:rPr>
                <w:sz w:val="20"/>
              </w:rPr>
              <w:t>2</w:t>
            </w:r>
            <w:r>
              <w:rPr>
                <w:sz w:val="20"/>
              </w:rPr>
              <w:t>)</w:t>
            </w:r>
          </w:p>
        </w:tc>
        <w:tc>
          <w:tcPr>
            <w:tcW w:w="1706" w:type="dxa"/>
            <w:gridSpan w:val="2"/>
            <w:noWrap/>
          </w:tcPr>
          <w:p w14:paraId="5E39ED99" w14:textId="77777777" w:rsidR="00C1114C" w:rsidRPr="0099225F" w:rsidRDefault="00C1114C" w:rsidP="00876FD6">
            <w:pPr>
              <w:pStyle w:val="Tabletext"/>
              <w:rPr>
                <w:sz w:val="20"/>
              </w:rPr>
            </w:pPr>
            <w:r w:rsidRPr="0099225F">
              <w:rPr>
                <w:sz w:val="20"/>
              </w:rPr>
              <w:t>N/S</w:t>
            </w:r>
          </w:p>
        </w:tc>
        <w:tc>
          <w:tcPr>
            <w:tcW w:w="1838" w:type="dxa"/>
            <w:gridSpan w:val="2"/>
          </w:tcPr>
          <w:p w14:paraId="6F5CE7D6" w14:textId="748DF9D0" w:rsidR="00C1114C" w:rsidRPr="0099225F" w:rsidRDefault="0071348F" w:rsidP="00876FD6">
            <w:pPr>
              <w:pStyle w:val="Tabletext"/>
              <w:rPr>
                <w:sz w:val="20"/>
              </w:rPr>
            </w:pPr>
            <w:r w:rsidRPr="0099225F">
              <w:rPr>
                <w:sz w:val="20"/>
              </w:rPr>
              <w:t>■</w:t>
            </w:r>
            <w:r w:rsidRPr="0099225F">
              <w:rPr>
                <w:sz w:val="20"/>
              </w:rPr>
              <w:br/>
              <w:t>No change</w:t>
            </w:r>
          </w:p>
        </w:tc>
      </w:tr>
    </w:tbl>
    <w:p w14:paraId="4B6A5B4F" w14:textId="77777777" w:rsidR="00C1114C" w:rsidRDefault="00C1114C" w:rsidP="007C7F00">
      <w:pPr>
        <w:pStyle w:val="Heading4"/>
      </w:pPr>
      <w:r w:rsidRPr="00854D56">
        <w:t xml:space="preserve">Outcome: </w:t>
      </w:r>
      <w:r>
        <w:t xml:space="preserve">Equitable outcomes for all Victorians </w:t>
      </w:r>
    </w:p>
    <w:p w14:paraId="3A72B89A" w14:textId="54E76068" w:rsidR="00C1114C" w:rsidRDefault="00C1114C" w:rsidP="00C1114C">
      <w:pPr>
        <w:pStyle w:val="Heading5"/>
      </w:pPr>
      <w:r>
        <w:t>Key result: Equitably reduce cancer incidence</w:t>
      </w:r>
      <w:r w:rsidRPr="00854D56">
        <w:t xml:space="preserve"> </w:t>
      </w:r>
    </w:p>
    <w:tbl>
      <w:tblPr>
        <w:tblStyle w:val="TableGrid"/>
        <w:tblW w:w="14497" w:type="dxa"/>
        <w:tblInd w:w="0" w:type="dxa"/>
        <w:tblBorders>
          <w:top w:val="single" w:sz="4" w:space="0" w:color="C00000"/>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1452"/>
        <w:gridCol w:w="3339"/>
        <w:gridCol w:w="2439"/>
        <w:gridCol w:w="1885"/>
        <w:gridCol w:w="1886"/>
        <w:gridCol w:w="1615"/>
        <w:gridCol w:w="1881"/>
      </w:tblGrid>
      <w:tr w:rsidR="00727B64" w:rsidRPr="0099225F" w14:paraId="4005C930" w14:textId="77777777" w:rsidTr="00741157">
        <w:trPr>
          <w:trHeight w:val="666"/>
          <w:tblHeader/>
        </w:trPr>
        <w:tc>
          <w:tcPr>
            <w:tcW w:w="1452" w:type="dxa"/>
            <w:tcBorders>
              <w:top w:val="nil"/>
            </w:tcBorders>
            <w:shd w:val="clear" w:color="auto" w:fill="EDCDCF"/>
          </w:tcPr>
          <w:p w14:paraId="10F28B01" w14:textId="52CDC1C6" w:rsidR="00727B64" w:rsidRPr="0099225F" w:rsidRDefault="00727B64" w:rsidP="00425C31">
            <w:pPr>
              <w:pStyle w:val="Tablecolhead"/>
              <w:rPr>
                <w:sz w:val="20"/>
              </w:rPr>
            </w:pPr>
            <w:r w:rsidRPr="0099225F">
              <w:rPr>
                <w:sz w:val="20"/>
              </w:rPr>
              <w:t>Measure #</w:t>
            </w:r>
          </w:p>
        </w:tc>
        <w:tc>
          <w:tcPr>
            <w:tcW w:w="3339" w:type="dxa"/>
            <w:tcBorders>
              <w:top w:val="nil"/>
            </w:tcBorders>
            <w:shd w:val="clear" w:color="auto" w:fill="EDCDCF"/>
          </w:tcPr>
          <w:p w14:paraId="43CB6D12" w14:textId="3A8FAB29" w:rsidR="00727B64" w:rsidRPr="0099225F" w:rsidRDefault="00727B64" w:rsidP="00425C31">
            <w:pPr>
              <w:pStyle w:val="Tablecolhead"/>
              <w:rPr>
                <w:sz w:val="20"/>
              </w:rPr>
            </w:pPr>
            <w:r w:rsidRPr="0099225F">
              <w:rPr>
                <w:sz w:val="20"/>
              </w:rPr>
              <w:t>Description</w:t>
            </w:r>
          </w:p>
        </w:tc>
        <w:tc>
          <w:tcPr>
            <w:tcW w:w="2439" w:type="dxa"/>
            <w:tcBorders>
              <w:top w:val="nil"/>
            </w:tcBorders>
            <w:shd w:val="clear" w:color="auto" w:fill="EDCDCF"/>
          </w:tcPr>
          <w:p w14:paraId="6E241EDB" w14:textId="0DA5AAEB" w:rsidR="00727B64" w:rsidRPr="0099225F" w:rsidRDefault="00727B64" w:rsidP="00425C31">
            <w:pPr>
              <w:pStyle w:val="Tablecolhead"/>
              <w:rPr>
                <w:sz w:val="20"/>
              </w:rPr>
            </w:pPr>
            <w:r w:rsidRPr="0099225F">
              <w:rPr>
                <w:sz w:val="20"/>
              </w:rPr>
              <w:t>Unit of measure</w:t>
            </w:r>
          </w:p>
        </w:tc>
        <w:tc>
          <w:tcPr>
            <w:tcW w:w="1885" w:type="dxa"/>
            <w:tcBorders>
              <w:top w:val="nil"/>
            </w:tcBorders>
            <w:shd w:val="clear" w:color="auto" w:fill="EDCDCF"/>
            <w:noWrap/>
          </w:tcPr>
          <w:p w14:paraId="279AB384" w14:textId="77777777" w:rsidR="00727B64" w:rsidRPr="0099225F" w:rsidRDefault="00727B64" w:rsidP="00425C31">
            <w:pPr>
              <w:pStyle w:val="Tablecolhead"/>
              <w:rPr>
                <w:sz w:val="20"/>
              </w:rPr>
            </w:pPr>
            <w:r w:rsidRPr="0099225F">
              <w:rPr>
                <w:sz w:val="20"/>
              </w:rPr>
              <w:t>Baseline</w:t>
            </w:r>
          </w:p>
          <w:p w14:paraId="7AC0B729" w14:textId="74E5A6FE" w:rsidR="00727B64" w:rsidRPr="0099225F" w:rsidRDefault="00727B64" w:rsidP="00425C31">
            <w:pPr>
              <w:pStyle w:val="Tablecolhead"/>
              <w:rPr>
                <w:sz w:val="20"/>
              </w:rPr>
            </w:pPr>
            <w:r w:rsidRPr="0099225F">
              <w:rPr>
                <w:sz w:val="20"/>
              </w:rPr>
              <w:t>(year)</w:t>
            </w:r>
          </w:p>
        </w:tc>
        <w:tc>
          <w:tcPr>
            <w:tcW w:w="1886" w:type="dxa"/>
            <w:tcBorders>
              <w:top w:val="nil"/>
            </w:tcBorders>
            <w:shd w:val="clear" w:color="auto" w:fill="EDCDCF"/>
            <w:noWrap/>
          </w:tcPr>
          <w:p w14:paraId="29444886" w14:textId="77777777" w:rsidR="00727B64" w:rsidRPr="0099225F" w:rsidRDefault="00727B64" w:rsidP="00425C31">
            <w:pPr>
              <w:pStyle w:val="Tablecolhead"/>
              <w:rPr>
                <w:sz w:val="20"/>
              </w:rPr>
            </w:pPr>
            <w:r w:rsidRPr="0099225F">
              <w:rPr>
                <w:sz w:val="20"/>
              </w:rPr>
              <w:t>Most recent</w:t>
            </w:r>
          </w:p>
          <w:p w14:paraId="4E3F869F" w14:textId="3B9F0609" w:rsidR="00727B64" w:rsidRPr="0099225F" w:rsidRDefault="00727B64" w:rsidP="00425C31">
            <w:pPr>
              <w:pStyle w:val="Tablecolhead"/>
              <w:rPr>
                <w:sz w:val="20"/>
              </w:rPr>
            </w:pPr>
            <w:r w:rsidRPr="0099225F">
              <w:rPr>
                <w:sz w:val="20"/>
              </w:rPr>
              <w:t>(year)</w:t>
            </w:r>
          </w:p>
        </w:tc>
        <w:tc>
          <w:tcPr>
            <w:tcW w:w="1615" w:type="dxa"/>
            <w:tcBorders>
              <w:top w:val="nil"/>
            </w:tcBorders>
            <w:shd w:val="clear" w:color="auto" w:fill="EDCDCF"/>
            <w:noWrap/>
          </w:tcPr>
          <w:p w14:paraId="761C5CCC" w14:textId="5EB75A70" w:rsidR="00727B64" w:rsidRPr="0099225F" w:rsidRDefault="00727B64" w:rsidP="00425C31">
            <w:pPr>
              <w:pStyle w:val="Tablecolhead"/>
              <w:rPr>
                <w:sz w:val="20"/>
              </w:rPr>
            </w:pPr>
            <w:r w:rsidRPr="0099225F">
              <w:rPr>
                <w:sz w:val="20"/>
              </w:rPr>
              <w:t>Target</w:t>
            </w:r>
          </w:p>
        </w:tc>
        <w:tc>
          <w:tcPr>
            <w:tcW w:w="1881" w:type="dxa"/>
            <w:tcBorders>
              <w:top w:val="nil"/>
            </w:tcBorders>
            <w:shd w:val="clear" w:color="auto" w:fill="EDCDCF"/>
          </w:tcPr>
          <w:p w14:paraId="3920F28C" w14:textId="3B156C5B" w:rsidR="00727B64" w:rsidRPr="0099225F" w:rsidRDefault="00727B64" w:rsidP="00425C31">
            <w:pPr>
              <w:pStyle w:val="Tablecolhead"/>
              <w:rPr>
                <w:sz w:val="20"/>
              </w:rPr>
            </w:pPr>
            <w:r w:rsidRPr="0099225F">
              <w:rPr>
                <w:sz w:val="20"/>
              </w:rPr>
              <w:t>Trend</w:t>
            </w:r>
          </w:p>
        </w:tc>
      </w:tr>
      <w:tr w:rsidR="0064412C" w:rsidRPr="0099225F" w14:paraId="52FC87A4" w14:textId="77777777" w:rsidTr="00741157">
        <w:trPr>
          <w:trHeight w:val="666"/>
        </w:trPr>
        <w:tc>
          <w:tcPr>
            <w:tcW w:w="1452" w:type="dxa"/>
            <w:tcBorders>
              <w:bottom w:val="single" w:sz="4" w:space="0" w:color="C00000"/>
            </w:tcBorders>
          </w:tcPr>
          <w:p w14:paraId="0A65F147" w14:textId="0D89391B" w:rsidR="0064412C" w:rsidRPr="0099225F" w:rsidRDefault="00000000" w:rsidP="00087F40">
            <w:pPr>
              <w:pStyle w:val="Tabletext"/>
              <w:rPr>
                <w:sz w:val="20"/>
              </w:rPr>
            </w:pPr>
            <w:hyperlink w:anchor="_Measure_4.1_–" w:history="1">
              <w:r w:rsidR="0064412C" w:rsidRPr="0099225F">
                <w:rPr>
                  <w:rStyle w:val="Hyperlink"/>
                  <w:sz w:val="20"/>
                </w:rPr>
                <w:t>4.1</w:t>
              </w:r>
            </w:hyperlink>
          </w:p>
        </w:tc>
        <w:tc>
          <w:tcPr>
            <w:tcW w:w="3339" w:type="dxa"/>
            <w:tcBorders>
              <w:bottom w:val="single" w:sz="4" w:space="0" w:color="C00000"/>
            </w:tcBorders>
          </w:tcPr>
          <w:p w14:paraId="03E5F62E" w14:textId="3CB3FC5B" w:rsidR="0064412C" w:rsidRPr="0099225F" w:rsidRDefault="0064412C" w:rsidP="00087F40">
            <w:pPr>
              <w:pStyle w:val="Tabletext"/>
              <w:rPr>
                <w:sz w:val="20"/>
              </w:rPr>
            </w:pPr>
            <w:r w:rsidRPr="0099225F">
              <w:rPr>
                <w:sz w:val="20"/>
              </w:rPr>
              <w:t xml:space="preserve">Rate ratio of preventable cancer incidence between </w:t>
            </w:r>
            <w:r w:rsidR="00980E1F" w:rsidRPr="0099225F">
              <w:rPr>
                <w:sz w:val="20"/>
              </w:rPr>
              <w:t>ICS</w:t>
            </w:r>
          </w:p>
        </w:tc>
        <w:tc>
          <w:tcPr>
            <w:tcW w:w="2439" w:type="dxa"/>
            <w:tcBorders>
              <w:bottom w:val="single" w:sz="4" w:space="0" w:color="C00000"/>
            </w:tcBorders>
          </w:tcPr>
          <w:p w14:paraId="1E4DCDE9" w14:textId="77777777" w:rsidR="0064412C" w:rsidRPr="0099225F" w:rsidRDefault="0064412C" w:rsidP="00087F40">
            <w:pPr>
              <w:pStyle w:val="Tabletext"/>
              <w:rPr>
                <w:sz w:val="20"/>
              </w:rPr>
            </w:pPr>
            <w:r w:rsidRPr="0099225F">
              <w:rPr>
                <w:sz w:val="20"/>
              </w:rPr>
              <w:t>Rate ratio</w:t>
            </w:r>
          </w:p>
          <w:p w14:paraId="2821FDD5" w14:textId="036C825A" w:rsidR="0064412C" w:rsidRPr="0099225F" w:rsidRDefault="0064412C" w:rsidP="00087F40">
            <w:pPr>
              <w:pStyle w:val="Tabletext"/>
              <w:rPr>
                <w:sz w:val="20"/>
              </w:rPr>
            </w:pPr>
            <w:r w:rsidRPr="0099225F">
              <w:rPr>
                <w:sz w:val="20"/>
              </w:rPr>
              <w:t>(maximum)</w:t>
            </w:r>
          </w:p>
        </w:tc>
        <w:tc>
          <w:tcPr>
            <w:tcW w:w="1885" w:type="dxa"/>
            <w:tcBorders>
              <w:bottom w:val="single" w:sz="4" w:space="0" w:color="C00000"/>
            </w:tcBorders>
            <w:noWrap/>
          </w:tcPr>
          <w:p w14:paraId="090D7043" w14:textId="40D209A9" w:rsidR="0064412C" w:rsidRPr="0099225F" w:rsidRDefault="0064412C" w:rsidP="00087F40">
            <w:pPr>
              <w:pStyle w:val="Tabletext"/>
              <w:rPr>
                <w:sz w:val="20"/>
              </w:rPr>
            </w:pPr>
            <w:r w:rsidRPr="0099225F">
              <w:rPr>
                <w:sz w:val="20"/>
              </w:rPr>
              <w:t>1.1</w:t>
            </w:r>
          </w:p>
          <w:p w14:paraId="3B1393EB" w14:textId="2DA1CBA5" w:rsidR="0064412C" w:rsidRPr="0099225F" w:rsidRDefault="0064412C" w:rsidP="00087F40">
            <w:pPr>
              <w:pStyle w:val="Tabletext"/>
              <w:rPr>
                <w:sz w:val="20"/>
              </w:rPr>
            </w:pPr>
            <w:r w:rsidRPr="0099225F">
              <w:rPr>
                <w:sz w:val="20"/>
              </w:rPr>
              <w:t>(201</w:t>
            </w:r>
            <w:r w:rsidR="00546C05" w:rsidRPr="0099225F">
              <w:rPr>
                <w:sz w:val="20"/>
              </w:rPr>
              <w:t>4</w:t>
            </w:r>
            <w:r w:rsidRPr="0099225F">
              <w:rPr>
                <w:sz w:val="20"/>
              </w:rPr>
              <w:t>)</w:t>
            </w:r>
          </w:p>
        </w:tc>
        <w:tc>
          <w:tcPr>
            <w:tcW w:w="1886" w:type="dxa"/>
            <w:tcBorders>
              <w:bottom w:val="single" w:sz="4" w:space="0" w:color="C00000"/>
            </w:tcBorders>
            <w:noWrap/>
          </w:tcPr>
          <w:p w14:paraId="4E1F25C1" w14:textId="6DFE3C2A" w:rsidR="0064412C" w:rsidRPr="0099225F" w:rsidRDefault="0064412C" w:rsidP="00087F40">
            <w:pPr>
              <w:pStyle w:val="Tabletext"/>
              <w:rPr>
                <w:sz w:val="20"/>
              </w:rPr>
            </w:pPr>
            <w:r w:rsidRPr="0099225F">
              <w:rPr>
                <w:sz w:val="20"/>
              </w:rPr>
              <w:t>1</w:t>
            </w:r>
            <w:r w:rsidR="004F5E53" w:rsidRPr="0099225F">
              <w:rPr>
                <w:sz w:val="20"/>
              </w:rPr>
              <w:t>.</w:t>
            </w:r>
            <w:r w:rsidRPr="0099225F">
              <w:rPr>
                <w:sz w:val="20"/>
              </w:rPr>
              <w:t>2</w:t>
            </w:r>
          </w:p>
          <w:p w14:paraId="791E7968" w14:textId="502D6CDE" w:rsidR="0064412C" w:rsidRPr="0099225F" w:rsidRDefault="0064412C" w:rsidP="00087F40">
            <w:pPr>
              <w:pStyle w:val="Tabletext"/>
              <w:rPr>
                <w:sz w:val="20"/>
              </w:rPr>
            </w:pPr>
            <w:r w:rsidRPr="0099225F">
              <w:rPr>
                <w:sz w:val="20"/>
              </w:rPr>
              <w:t>(20</w:t>
            </w:r>
            <w:r w:rsidR="00D23EA5" w:rsidRPr="0099225F">
              <w:rPr>
                <w:sz w:val="20"/>
              </w:rPr>
              <w:t>2</w:t>
            </w:r>
            <w:r w:rsidR="00243CD9" w:rsidRPr="0099225F">
              <w:rPr>
                <w:sz w:val="20"/>
              </w:rPr>
              <w:t>1</w:t>
            </w:r>
            <w:r w:rsidRPr="0099225F">
              <w:rPr>
                <w:sz w:val="20"/>
              </w:rPr>
              <w:t>)</w:t>
            </w:r>
          </w:p>
        </w:tc>
        <w:tc>
          <w:tcPr>
            <w:tcW w:w="1615" w:type="dxa"/>
            <w:tcBorders>
              <w:bottom w:val="single" w:sz="4" w:space="0" w:color="C00000"/>
            </w:tcBorders>
            <w:noWrap/>
          </w:tcPr>
          <w:p w14:paraId="21247F39" w14:textId="74500B27" w:rsidR="0064412C" w:rsidRPr="0099225F" w:rsidRDefault="0064412C" w:rsidP="00087F40">
            <w:pPr>
              <w:pStyle w:val="Tabletext"/>
              <w:rPr>
                <w:sz w:val="20"/>
              </w:rPr>
            </w:pPr>
            <w:r w:rsidRPr="0099225F">
              <w:rPr>
                <w:sz w:val="20"/>
              </w:rPr>
              <w:t>N/S</w:t>
            </w:r>
          </w:p>
        </w:tc>
        <w:tc>
          <w:tcPr>
            <w:tcW w:w="1881" w:type="dxa"/>
            <w:tcBorders>
              <w:bottom w:val="single" w:sz="4" w:space="0" w:color="C00000"/>
            </w:tcBorders>
          </w:tcPr>
          <w:p w14:paraId="10316BAD" w14:textId="6ED0AA21" w:rsidR="00087F40" w:rsidRPr="0099225F" w:rsidRDefault="0064412C" w:rsidP="00087F40">
            <w:pPr>
              <w:pStyle w:val="Tabletext"/>
              <w:rPr>
                <w:sz w:val="20"/>
              </w:rPr>
            </w:pPr>
            <w:r w:rsidRPr="0099225F">
              <w:rPr>
                <w:sz w:val="20"/>
              </w:rPr>
              <w:t>■</w:t>
            </w:r>
            <w:r w:rsidR="00425C31" w:rsidRPr="0099225F">
              <w:rPr>
                <w:sz w:val="20"/>
              </w:rPr>
              <w:br/>
              <w:t>No change</w:t>
            </w:r>
          </w:p>
        </w:tc>
      </w:tr>
      <w:tr w:rsidR="0064412C" w:rsidRPr="0099225F" w14:paraId="12002397" w14:textId="77777777" w:rsidTr="00741157">
        <w:trPr>
          <w:trHeight w:val="666"/>
        </w:trPr>
        <w:tc>
          <w:tcPr>
            <w:tcW w:w="1452" w:type="dxa"/>
            <w:tcBorders>
              <w:bottom w:val="single" w:sz="4" w:space="0" w:color="C00000"/>
            </w:tcBorders>
          </w:tcPr>
          <w:p w14:paraId="3CEC7678" w14:textId="7E0A099D" w:rsidR="0064412C" w:rsidRPr="0099225F" w:rsidRDefault="00000000" w:rsidP="00087F40">
            <w:pPr>
              <w:pStyle w:val="Tabletext"/>
              <w:rPr>
                <w:sz w:val="20"/>
              </w:rPr>
            </w:pPr>
            <w:hyperlink w:anchor="_Measure_4.2_–" w:history="1">
              <w:r w:rsidR="0064412C" w:rsidRPr="0099225F">
                <w:rPr>
                  <w:rStyle w:val="Hyperlink"/>
                  <w:sz w:val="20"/>
                </w:rPr>
                <w:t>4.2</w:t>
              </w:r>
            </w:hyperlink>
          </w:p>
        </w:tc>
        <w:tc>
          <w:tcPr>
            <w:tcW w:w="3339" w:type="dxa"/>
            <w:tcBorders>
              <w:bottom w:val="single" w:sz="4" w:space="0" w:color="C00000"/>
            </w:tcBorders>
          </w:tcPr>
          <w:p w14:paraId="5689B5E8" w14:textId="39204B30" w:rsidR="0064412C" w:rsidRPr="0099225F" w:rsidRDefault="0064412C" w:rsidP="00087F40">
            <w:pPr>
              <w:pStyle w:val="Tabletext"/>
              <w:rPr>
                <w:sz w:val="20"/>
              </w:rPr>
            </w:pPr>
            <w:r w:rsidRPr="0099225F">
              <w:rPr>
                <w:sz w:val="20"/>
              </w:rPr>
              <w:t>Rate ratio of preventable cancer incidence between socioeconomic quintiles</w:t>
            </w:r>
          </w:p>
        </w:tc>
        <w:tc>
          <w:tcPr>
            <w:tcW w:w="2439" w:type="dxa"/>
            <w:tcBorders>
              <w:bottom w:val="single" w:sz="4" w:space="0" w:color="C00000"/>
            </w:tcBorders>
          </w:tcPr>
          <w:p w14:paraId="318399C2" w14:textId="77777777" w:rsidR="0064412C" w:rsidRPr="0099225F" w:rsidRDefault="0064412C" w:rsidP="00087F40">
            <w:pPr>
              <w:pStyle w:val="Tabletext"/>
              <w:rPr>
                <w:sz w:val="20"/>
              </w:rPr>
            </w:pPr>
            <w:r w:rsidRPr="0099225F">
              <w:rPr>
                <w:sz w:val="20"/>
              </w:rPr>
              <w:t xml:space="preserve">Rate ratio </w:t>
            </w:r>
          </w:p>
          <w:p w14:paraId="7C1456BA" w14:textId="228978A6" w:rsidR="0064412C" w:rsidRPr="0099225F" w:rsidRDefault="0064412C" w:rsidP="00087F40">
            <w:pPr>
              <w:pStyle w:val="Tabletext"/>
              <w:rPr>
                <w:sz w:val="20"/>
              </w:rPr>
            </w:pPr>
            <w:r w:rsidRPr="0099225F">
              <w:rPr>
                <w:sz w:val="20"/>
              </w:rPr>
              <w:t>(maximum)</w:t>
            </w:r>
          </w:p>
        </w:tc>
        <w:tc>
          <w:tcPr>
            <w:tcW w:w="1885" w:type="dxa"/>
            <w:tcBorders>
              <w:bottom w:val="single" w:sz="4" w:space="0" w:color="C00000"/>
            </w:tcBorders>
            <w:noWrap/>
          </w:tcPr>
          <w:p w14:paraId="1CC8A182" w14:textId="569E2B03" w:rsidR="0064412C" w:rsidRPr="0099225F" w:rsidRDefault="0064412C" w:rsidP="00087F40">
            <w:pPr>
              <w:pStyle w:val="Tabletext"/>
              <w:rPr>
                <w:sz w:val="20"/>
              </w:rPr>
            </w:pPr>
            <w:r w:rsidRPr="0099225F">
              <w:rPr>
                <w:sz w:val="20"/>
              </w:rPr>
              <w:t>1.1</w:t>
            </w:r>
          </w:p>
          <w:p w14:paraId="3350086B" w14:textId="0CD4934A" w:rsidR="0064412C" w:rsidRPr="0099225F" w:rsidRDefault="0064412C" w:rsidP="00087F40">
            <w:pPr>
              <w:pStyle w:val="Tabletext"/>
              <w:rPr>
                <w:sz w:val="20"/>
              </w:rPr>
            </w:pPr>
            <w:r w:rsidRPr="0099225F">
              <w:rPr>
                <w:sz w:val="20"/>
              </w:rPr>
              <w:t>(201</w:t>
            </w:r>
            <w:r w:rsidR="00546C05" w:rsidRPr="0099225F">
              <w:rPr>
                <w:sz w:val="20"/>
              </w:rPr>
              <w:t>4</w:t>
            </w:r>
            <w:r w:rsidRPr="0099225F">
              <w:rPr>
                <w:sz w:val="20"/>
              </w:rPr>
              <w:t>)</w:t>
            </w:r>
          </w:p>
        </w:tc>
        <w:tc>
          <w:tcPr>
            <w:tcW w:w="1886" w:type="dxa"/>
            <w:tcBorders>
              <w:bottom w:val="single" w:sz="4" w:space="0" w:color="C00000"/>
            </w:tcBorders>
            <w:noWrap/>
          </w:tcPr>
          <w:p w14:paraId="44D45FCA" w14:textId="184764B9" w:rsidR="0064412C" w:rsidRPr="0099225F" w:rsidRDefault="0064412C" w:rsidP="00087F40">
            <w:pPr>
              <w:pStyle w:val="Tabletext"/>
              <w:rPr>
                <w:sz w:val="20"/>
              </w:rPr>
            </w:pPr>
            <w:r w:rsidRPr="0099225F">
              <w:rPr>
                <w:sz w:val="20"/>
              </w:rPr>
              <w:t>1.1</w:t>
            </w:r>
          </w:p>
          <w:p w14:paraId="205FCB9D" w14:textId="6604A4B3" w:rsidR="0064412C" w:rsidRPr="0099225F" w:rsidRDefault="0064412C" w:rsidP="00087F40">
            <w:pPr>
              <w:pStyle w:val="Tabletext"/>
              <w:rPr>
                <w:sz w:val="20"/>
              </w:rPr>
            </w:pPr>
            <w:r w:rsidRPr="0099225F">
              <w:rPr>
                <w:sz w:val="20"/>
              </w:rPr>
              <w:t>(20</w:t>
            </w:r>
            <w:r w:rsidR="00D23EA5" w:rsidRPr="0099225F">
              <w:rPr>
                <w:sz w:val="20"/>
              </w:rPr>
              <w:t>2</w:t>
            </w:r>
            <w:r w:rsidR="00243CD9" w:rsidRPr="0099225F">
              <w:rPr>
                <w:sz w:val="20"/>
              </w:rPr>
              <w:t>1</w:t>
            </w:r>
            <w:r w:rsidRPr="0099225F">
              <w:rPr>
                <w:sz w:val="20"/>
              </w:rPr>
              <w:t>)</w:t>
            </w:r>
          </w:p>
        </w:tc>
        <w:tc>
          <w:tcPr>
            <w:tcW w:w="1615" w:type="dxa"/>
            <w:tcBorders>
              <w:bottom w:val="single" w:sz="4" w:space="0" w:color="C00000"/>
            </w:tcBorders>
            <w:noWrap/>
          </w:tcPr>
          <w:p w14:paraId="1612F83D" w14:textId="3DC8CEFB" w:rsidR="0064412C" w:rsidRPr="0099225F" w:rsidRDefault="0064412C" w:rsidP="00087F40">
            <w:pPr>
              <w:pStyle w:val="Tabletext"/>
              <w:rPr>
                <w:sz w:val="20"/>
              </w:rPr>
            </w:pPr>
            <w:r w:rsidRPr="0099225F">
              <w:rPr>
                <w:sz w:val="20"/>
              </w:rPr>
              <w:t>N/S</w:t>
            </w:r>
          </w:p>
        </w:tc>
        <w:tc>
          <w:tcPr>
            <w:tcW w:w="1881" w:type="dxa"/>
            <w:tcBorders>
              <w:bottom w:val="single" w:sz="4" w:space="0" w:color="C00000"/>
            </w:tcBorders>
          </w:tcPr>
          <w:p w14:paraId="70CA0A75" w14:textId="482837C8" w:rsidR="0064412C" w:rsidRPr="0099225F" w:rsidRDefault="0064412C" w:rsidP="00087F40">
            <w:pPr>
              <w:pStyle w:val="Tabletext"/>
              <w:rPr>
                <w:sz w:val="20"/>
              </w:rPr>
            </w:pPr>
            <w:r w:rsidRPr="0099225F">
              <w:rPr>
                <w:sz w:val="20"/>
              </w:rPr>
              <w:t>■</w:t>
            </w:r>
            <w:r w:rsidR="00425C31" w:rsidRPr="0099225F">
              <w:rPr>
                <w:sz w:val="20"/>
              </w:rPr>
              <w:t xml:space="preserve"> </w:t>
            </w:r>
            <w:r w:rsidR="00425C31" w:rsidRPr="0099225F">
              <w:rPr>
                <w:sz w:val="20"/>
              </w:rPr>
              <w:br/>
              <w:t>No change</w:t>
            </w:r>
          </w:p>
        </w:tc>
      </w:tr>
      <w:tr w:rsidR="0064412C" w:rsidRPr="0099225F" w14:paraId="1DA21177" w14:textId="77777777" w:rsidTr="00741157">
        <w:trPr>
          <w:trHeight w:val="666"/>
        </w:trPr>
        <w:tc>
          <w:tcPr>
            <w:tcW w:w="1452" w:type="dxa"/>
            <w:tcBorders>
              <w:top w:val="single" w:sz="4" w:space="0" w:color="C00000"/>
            </w:tcBorders>
          </w:tcPr>
          <w:p w14:paraId="2A621FB7" w14:textId="5A44627C" w:rsidR="0064412C" w:rsidRPr="0099225F" w:rsidRDefault="00000000" w:rsidP="00087F40">
            <w:pPr>
              <w:pStyle w:val="Tabletext"/>
              <w:rPr>
                <w:sz w:val="20"/>
              </w:rPr>
            </w:pPr>
            <w:hyperlink w:anchor="_Measure_4.3_–" w:history="1">
              <w:r w:rsidR="0064412C" w:rsidRPr="0099225F">
                <w:rPr>
                  <w:rStyle w:val="Hyperlink"/>
                  <w:sz w:val="20"/>
                </w:rPr>
                <w:t>4.3</w:t>
              </w:r>
            </w:hyperlink>
          </w:p>
        </w:tc>
        <w:tc>
          <w:tcPr>
            <w:tcW w:w="3339" w:type="dxa"/>
            <w:tcBorders>
              <w:top w:val="single" w:sz="4" w:space="0" w:color="C00000"/>
            </w:tcBorders>
          </w:tcPr>
          <w:p w14:paraId="11676A61" w14:textId="1EC4A6F8" w:rsidR="0064412C" w:rsidRPr="0099225F" w:rsidRDefault="0064412C" w:rsidP="00087F40">
            <w:pPr>
              <w:pStyle w:val="Tabletext"/>
              <w:rPr>
                <w:sz w:val="20"/>
              </w:rPr>
            </w:pPr>
            <w:r w:rsidRPr="0099225F">
              <w:rPr>
                <w:sz w:val="20"/>
              </w:rPr>
              <w:t>Rate ratio of preventable cancer incidence between Aboriginal and non-Aboriginal Victorians</w:t>
            </w:r>
          </w:p>
        </w:tc>
        <w:tc>
          <w:tcPr>
            <w:tcW w:w="2439" w:type="dxa"/>
            <w:tcBorders>
              <w:top w:val="single" w:sz="4" w:space="0" w:color="C00000"/>
            </w:tcBorders>
          </w:tcPr>
          <w:p w14:paraId="4768B5DF" w14:textId="5655D2C7" w:rsidR="0064412C" w:rsidRPr="0099225F" w:rsidRDefault="0064412C" w:rsidP="00087F40">
            <w:pPr>
              <w:pStyle w:val="Tabletext"/>
              <w:rPr>
                <w:sz w:val="20"/>
              </w:rPr>
            </w:pPr>
            <w:r w:rsidRPr="0099225F">
              <w:rPr>
                <w:sz w:val="20"/>
              </w:rPr>
              <w:t>Rate ratio</w:t>
            </w:r>
          </w:p>
        </w:tc>
        <w:tc>
          <w:tcPr>
            <w:tcW w:w="1885" w:type="dxa"/>
            <w:tcBorders>
              <w:top w:val="single" w:sz="4" w:space="0" w:color="C00000"/>
            </w:tcBorders>
            <w:noWrap/>
          </w:tcPr>
          <w:p w14:paraId="00A77352" w14:textId="2487A234" w:rsidR="0064412C" w:rsidRPr="0099225F" w:rsidRDefault="0064412C" w:rsidP="00087F40">
            <w:pPr>
              <w:pStyle w:val="Tabletext"/>
              <w:rPr>
                <w:sz w:val="20"/>
              </w:rPr>
            </w:pPr>
            <w:r w:rsidRPr="0099225F">
              <w:rPr>
                <w:sz w:val="20"/>
              </w:rPr>
              <w:t>1.</w:t>
            </w:r>
            <w:r w:rsidR="00C96C80">
              <w:rPr>
                <w:sz w:val="20"/>
              </w:rPr>
              <w:t>4</w:t>
            </w:r>
          </w:p>
          <w:p w14:paraId="1716136A" w14:textId="54612CF0" w:rsidR="0064412C" w:rsidRPr="0099225F" w:rsidRDefault="0064412C" w:rsidP="00087F40">
            <w:pPr>
              <w:pStyle w:val="Tabletext"/>
              <w:rPr>
                <w:sz w:val="20"/>
              </w:rPr>
            </w:pPr>
            <w:r w:rsidRPr="0099225F">
              <w:rPr>
                <w:sz w:val="20"/>
              </w:rPr>
              <w:t>(201</w:t>
            </w:r>
            <w:r w:rsidR="00095A40" w:rsidRPr="0099225F">
              <w:rPr>
                <w:sz w:val="20"/>
              </w:rPr>
              <w:t>4</w:t>
            </w:r>
            <w:r w:rsidRPr="0099225F">
              <w:rPr>
                <w:sz w:val="20"/>
              </w:rPr>
              <w:t>)</w:t>
            </w:r>
          </w:p>
        </w:tc>
        <w:tc>
          <w:tcPr>
            <w:tcW w:w="1886" w:type="dxa"/>
            <w:tcBorders>
              <w:top w:val="single" w:sz="4" w:space="0" w:color="C00000"/>
            </w:tcBorders>
            <w:noWrap/>
          </w:tcPr>
          <w:p w14:paraId="0047AD3A" w14:textId="6BAD780B" w:rsidR="0064412C" w:rsidRPr="0099225F" w:rsidRDefault="0064412C" w:rsidP="00087F40">
            <w:pPr>
              <w:pStyle w:val="Tabletext"/>
              <w:rPr>
                <w:sz w:val="20"/>
              </w:rPr>
            </w:pPr>
            <w:r w:rsidRPr="0099225F">
              <w:rPr>
                <w:sz w:val="20"/>
              </w:rPr>
              <w:t>1.</w:t>
            </w:r>
            <w:r w:rsidR="00243CD9" w:rsidRPr="0099225F">
              <w:rPr>
                <w:sz w:val="20"/>
              </w:rPr>
              <w:t>4</w:t>
            </w:r>
          </w:p>
          <w:p w14:paraId="44F39676" w14:textId="409C7EDC" w:rsidR="0064412C" w:rsidRPr="0099225F" w:rsidRDefault="0064412C" w:rsidP="00087F40">
            <w:pPr>
              <w:pStyle w:val="Tabletext"/>
              <w:rPr>
                <w:sz w:val="20"/>
              </w:rPr>
            </w:pPr>
            <w:r w:rsidRPr="0099225F">
              <w:rPr>
                <w:sz w:val="20"/>
              </w:rPr>
              <w:t>(20</w:t>
            </w:r>
            <w:r w:rsidR="00D23EA5" w:rsidRPr="0099225F">
              <w:rPr>
                <w:sz w:val="20"/>
              </w:rPr>
              <w:t>2</w:t>
            </w:r>
            <w:r w:rsidR="00243CD9" w:rsidRPr="0099225F">
              <w:rPr>
                <w:sz w:val="20"/>
              </w:rPr>
              <w:t>1</w:t>
            </w:r>
            <w:r w:rsidRPr="0099225F">
              <w:rPr>
                <w:sz w:val="20"/>
              </w:rPr>
              <w:t>)</w:t>
            </w:r>
          </w:p>
        </w:tc>
        <w:tc>
          <w:tcPr>
            <w:tcW w:w="1615" w:type="dxa"/>
            <w:tcBorders>
              <w:top w:val="single" w:sz="4" w:space="0" w:color="C00000"/>
            </w:tcBorders>
            <w:noWrap/>
          </w:tcPr>
          <w:p w14:paraId="4FDFF53F" w14:textId="5BB937BE" w:rsidR="0064412C" w:rsidRPr="0099225F" w:rsidRDefault="0064412C" w:rsidP="00087F40">
            <w:pPr>
              <w:pStyle w:val="Tabletext"/>
              <w:rPr>
                <w:sz w:val="20"/>
              </w:rPr>
            </w:pPr>
            <w:r w:rsidRPr="0099225F">
              <w:rPr>
                <w:sz w:val="20"/>
              </w:rPr>
              <w:t>N/S</w:t>
            </w:r>
          </w:p>
        </w:tc>
        <w:tc>
          <w:tcPr>
            <w:tcW w:w="1881" w:type="dxa"/>
            <w:tcBorders>
              <w:top w:val="single" w:sz="4" w:space="0" w:color="C00000"/>
            </w:tcBorders>
          </w:tcPr>
          <w:p w14:paraId="5DD05D8F" w14:textId="5AACD689" w:rsidR="00425C31" w:rsidRPr="0099225F" w:rsidRDefault="00584FEB" w:rsidP="00425C31">
            <w:pPr>
              <w:pStyle w:val="Tabletext"/>
              <w:rPr>
                <w:sz w:val="20"/>
              </w:rPr>
            </w:pPr>
            <w:r w:rsidRPr="0099225F">
              <w:rPr>
                <w:rFonts w:ascii="Symbol" w:eastAsia="Symbol" w:hAnsi="Symbol" w:cs="Symbol"/>
                <w:b/>
                <w:sz w:val="20"/>
              </w:rPr>
              <w:t>ð</w:t>
            </w:r>
            <w:r w:rsidR="00425C31" w:rsidRPr="0099225F">
              <w:rPr>
                <w:sz w:val="20"/>
              </w:rPr>
              <w:br/>
            </w:r>
            <w:r w:rsidR="00A82CBA" w:rsidRPr="0099225F">
              <w:rPr>
                <w:sz w:val="20"/>
              </w:rPr>
              <w:t>No change</w:t>
            </w:r>
          </w:p>
        </w:tc>
      </w:tr>
    </w:tbl>
    <w:p w14:paraId="06A76A4E" w14:textId="72778FFA" w:rsidR="00087F40" w:rsidRDefault="00087F40" w:rsidP="00087F40">
      <w:pPr>
        <w:pStyle w:val="Heading5"/>
      </w:pPr>
      <w:r w:rsidRPr="00CD7A1C">
        <w:t>Key result: Equitably reduce cancer deaths</w:t>
      </w:r>
    </w:p>
    <w:tbl>
      <w:tblPr>
        <w:tblStyle w:val="TableGrid"/>
        <w:tblW w:w="14459" w:type="dxa"/>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1418"/>
        <w:gridCol w:w="3260"/>
        <w:gridCol w:w="2552"/>
        <w:gridCol w:w="1842"/>
        <w:gridCol w:w="1843"/>
        <w:gridCol w:w="1701"/>
        <w:gridCol w:w="1843"/>
      </w:tblGrid>
      <w:tr w:rsidR="00727B64" w:rsidRPr="0099225F" w14:paraId="6E9FABE4" w14:textId="77777777" w:rsidTr="00957CB6">
        <w:trPr>
          <w:trHeight w:val="587"/>
        </w:trPr>
        <w:tc>
          <w:tcPr>
            <w:tcW w:w="1418" w:type="dxa"/>
            <w:shd w:val="clear" w:color="auto" w:fill="EDCDCF"/>
          </w:tcPr>
          <w:p w14:paraId="7A2BEB81" w14:textId="3AE6582C" w:rsidR="00727B64" w:rsidRPr="0099225F" w:rsidRDefault="00727B64" w:rsidP="00D6450C">
            <w:pPr>
              <w:pStyle w:val="Tablecolhead"/>
              <w:rPr>
                <w:sz w:val="20"/>
              </w:rPr>
            </w:pPr>
            <w:r w:rsidRPr="0099225F">
              <w:rPr>
                <w:sz w:val="20"/>
              </w:rPr>
              <w:t>Measure #</w:t>
            </w:r>
          </w:p>
        </w:tc>
        <w:tc>
          <w:tcPr>
            <w:tcW w:w="3260" w:type="dxa"/>
            <w:shd w:val="clear" w:color="auto" w:fill="EDCDCF"/>
          </w:tcPr>
          <w:p w14:paraId="01F6B3D8" w14:textId="31D16CBF" w:rsidR="00727B64" w:rsidRPr="0099225F" w:rsidRDefault="00727B64" w:rsidP="00D6450C">
            <w:pPr>
              <w:pStyle w:val="Tablecolhead"/>
              <w:rPr>
                <w:sz w:val="20"/>
              </w:rPr>
            </w:pPr>
            <w:r w:rsidRPr="0099225F">
              <w:rPr>
                <w:sz w:val="20"/>
              </w:rPr>
              <w:t>Description</w:t>
            </w:r>
          </w:p>
        </w:tc>
        <w:tc>
          <w:tcPr>
            <w:tcW w:w="2552" w:type="dxa"/>
            <w:shd w:val="clear" w:color="auto" w:fill="EDCDCF"/>
          </w:tcPr>
          <w:p w14:paraId="705E223C" w14:textId="710103CC" w:rsidR="00727B64" w:rsidRPr="0099225F" w:rsidRDefault="00727B64" w:rsidP="00D6450C">
            <w:pPr>
              <w:pStyle w:val="Tablecolhead"/>
              <w:rPr>
                <w:sz w:val="20"/>
              </w:rPr>
            </w:pPr>
            <w:r w:rsidRPr="0099225F">
              <w:rPr>
                <w:sz w:val="20"/>
              </w:rPr>
              <w:t>Unit of measure</w:t>
            </w:r>
          </w:p>
        </w:tc>
        <w:tc>
          <w:tcPr>
            <w:tcW w:w="1842" w:type="dxa"/>
            <w:shd w:val="clear" w:color="auto" w:fill="EDCDCF"/>
            <w:noWrap/>
          </w:tcPr>
          <w:p w14:paraId="4EFB9F6C" w14:textId="77777777" w:rsidR="00727B64" w:rsidRPr="0099225F" w:rsidRDefault="00727B64" w:rsidP="00D6450C">
            <w:pPr>
              <w:pStyle w:val="Tablecolhead"/>
              <w:rPr>
                <w:sz w:val="20"/>
              </w:rPr>
            </w:pPr>
            <w:r w:rsidRPr="0099225F">
              <w:rPr>
                <w:sz w:val="20"/>
              </w:rPr>
              <w:t>Baseline</w:t>
            </w:r>
          </w:p>
          <w:p w14:paraId="66543D8D" w14:textId="261FC4E2" w:rsidR="00727B64" w:rsidRPr="0099225F" w:rsidRDefault="00727B64" w:rsidP="00D6450C">
            <w:pPr>
              <w:pStyle w:val="Tablecolhead"/>
              <w:rPr>
                <w:sz w:val="20"/>
              </w:rPr>
            </w:pPr>
            <w:r w:rsidRPr="0099225F">
              <w:rPr>
                <w:sz w:val="20"/>
              </w:rPr>
              <w:t>(year)</w:t>
            </w:r>
          </w:p>
        </w:tc>
        <w:tc>
          <w:tcPr>
            <w:tcW w:w="1843" w:type="dxa"/>
            <w:shd w:val="clear" w:color="auto" w:fill="EDCDCF"/>
            <w:noWrap/>
          </w:tcPr>
          <w:p w14:paraId="2BD0D2FE" w14:textId="77777777" w:rsidR="00727B64" w:rsidRPr="0099225F" w:rsidRDefault="00727B64" w:rsidP="00D6450C">
            <w:pPr>
              <w:pStyle w:val="Tablecolhead"/>
              <w:rPr>
                <w:sz w:val="20"/>
              </w:rPr>
            </w:pPr>
            <w:r w:rsidRPr="0099225F">
              <w:rPr>
                <w:sz w:val="20"/>
              </w:rPr>
              <w:t>Most recent</w:t>
            </w:r>
          </w:p>
          <w:p w14:paraId="48CA2E67" w14:textId="053B194B" w:rsidR="00727B64" w:rsidRPr="0099225F" w:rsidRDefault="00727B64" w:rsidP="00D6450C">
            <w:pPr>
              <w:pStyle w:val="Tablecolhead"/>
              <w:rPr>
                <w:sz w:val="20"/>
              </w:rPr>
            </w:pPr>
            <w:r w:rsidRPr="0099225F">
              <w:rPr>
                <w:sz w:val="20"/>
              </w:rPr>
              <w:t>(year)</w:t>
            </w:r>
          </w:p>
        </w:tc>
        <w:tc>
          <w:tcPr>
            <w:tcW w:w="1701" w:type="dxa"/>
            <w:shd w:val="clear" w:color="auto" w:fill="EDCDCF"/>
            <w:noWrap/>
          </w:tcPr>
          <w:p w14:paraId="0F62F9A4" w14:textId="4745FC81" w:rsidR="00727B64" w:rsidRPr="0099225F" w:rsidRDefault="00727B64" w:rsidP="00D6450C">
            <w:pPr>
              <w:pStyle w:val="Tablecolhead"/>
              <w:rPr>
                <w:sz w:val="20"/>
              </w:rPr>
            </w:pPr>
            <w:r w:rsidRPr="0099225F">
              <w:rPr>
                <w:sz w:val="20"/>
              </w:rPr>
              <w:t>Target</w:t>
            </w:r>
          </w:p>
        </w:tc>
        <w:tc>
          <w:tcPr>
            <w:tcW w:w="1843" w:type="dxa"/>
            <w:shd w:val="clear" w:color="auto" w:fill="EDCDCF"/>
          </w:tcPr>
          <w:p w14:paraId="630FC259" w14:textId="62F4CBC9" w:rsidR="00727B64" w:rsidRPr="0099225F" w:rsidRDefault="00727B64" w:rsidP="00D6450C">
            <w:pPr>
              <w:pStyle w:val="Tablecolhead"/>
              <w:rPr>
                <w:sz w:val="20"/>
              </w:rPr>
            </w:pPr>
            <w:r w:rsidRPr="0099225F">
              <w:rPr>
                <w:sz w:val="20"/>
              </w:rPr>
              <w:t>Trend</w:t>
            </w:r>
          </w:p>
        </w:tc>
      </w:tr>
      <w:tr w:rsidR="0064412C" w:rsidRPr="0099225F" w14:paraId="6B538DA8" w14:textId="77777777" w:rsidTr="00957CB6">
        <w:trPr>
          <w:trHeight w:val="587"/>
        </w:trPr>
        <w:tc>
          <w:tcPr>
            <w:tcW w:w="1418" w:type="dxa"/>
          </w:tcPr>
          <w:p w14:paraId="27BF05E4" w14:textId="30A4A9D7" w:rsidR="0064412C" w:rsidRPr="0099225F" w:rsidRDefault="00000000" w:rsidP="00425C31">
            <w:pPr>
              <w:pStyle w:val="Tabletext"/>
              <w:rPr>
                <w:sz w:val="20"/>
              </w:rPr>
            </w:pPr>
            <w:hyperlink w:anchor="_Measure_5.1_–" w:history="1">
              <w:r w:rsidR="0064412C" w:rsidRPr="0099225F">
                <w:rPr>
                  <w:rStyle w:val="Hyperlink"/>
                  <w:sz w:val="20"/>
                </w:rPr>
                <w:t>5.1</w:t>
              </w:r>
            </w:hyperlink>
          </w:p>
        </w:tc>
        <w:tc>
          <w:tcPr>
            <w:tcW w:w="3260" w:type="dxa"/>
          </w:tcPr>
          <w:p w14:paraId="6651B299" w14:textId="5FE50334" w:rsidR="0064412C" w:rsidRPr="0099225F" w:rsidRDefault="0064412C" w:rsidP="00425C31">
            <w:pPr>
              <w:pStyle w:val="Tabletext"/>
              <w:rPr>
                <w:sz w:val="20"/>
              </w:rPr>
            </w:pPr>
            <w:r w:rsidRPr="0099225F">
              <w:rPr>
                <w:sz w:val="20"/>
              </w:rPr>
              <w:t xml:space="preserve">Rate ratio of premature death rate due to cancer between </w:t>
            </w:r>
            <w:r w:rsidR="00980E1F" w:rsidRPr="0099225F">
              <w:rPr>
                <w:sz w:val="20"/>
              </w:rPr>
              <w:t>ICS</w:t>
            </w:r>
          </w:p>
        </w:tc>
        <w:tc>
          <w:tcPr>
            <w:tcW w:w="2552" w:type="dxa"/>
          </w:tcPr>
          <w:p w14:paraId="6320EFDD" w14:textId="77777777" w:rsidR="0064412C" w:rsidRPr="0099225F" w:rsidRDefault="0064412C" w:rsidP="00425C31">
            <w:pPr>
              <w:pStyle w:val="Tabletext"/>
              <w:rPr>
                <w:sz w:val="20"/>
              </w:rPr>
            </w:pPr>
            <w:r w:rsidRPr="0099225F">
              <w:rPr>
                <w:sz w:val="20"/>
              </w:rPr>
              <w:t>Rate ratio</w:t>
            </w:r>
          </w:p>
          <w:p w14:paraId="673D8F51" w14:textId="2A147CAE" w:rsidR="0064412C" w:rsidRPr="0099225F" w:rsidRDefault="0064412C" w:rsidP="00425C31">
            <w:pPr>
              <w:pStyle w:val="Tabletext"/>
              <w:rPr>
                <w:sz w:val="20"/>
              </w:rPr>
            </w:pPr>
            <w:r w:rsidRPr="0099225F">
              <w:rPr>
                <w:sz w:val="20"/>
              </w:rPr>
              <w:t>(maximum)</w:t>
            </w:r>
          </w:p>
        </w:tc>
        <w:tc>
          <w:tcPr>
            <w:tcW w:w="1842" w:type="dxa"/>
            <w:noWrap/>
          </w:tcPr>
          <w:p w14:paraId="617F4025" w14:textId="43527CA3" w:rsidR="0064412C" w:rsidRPr="0099225F" w:rsidRDefault="0064412C" w:rsidP="00425C31">
            <w:pPr>
              <w:pStyle w:val="Tabletext"/>
              <w:rPr>
                <w:sz w:val="20"/>
              </w:rPr>
            </w:pPr>
            <w:r w:rsidRPr="0099225F">
              <w:rPr>
                <w:sz w:val="20"/>
              </w:rPr>
              <w:t>1.2</w:t>
            </w:r>
          </w:p>
          <w:p w14:paraId="3FAFFA4E" w14:textId="046A0BD4" w:rsidR="0064412C" w:rsidRPr="0099225F" w:rsidRDefault="0064412C" w:rsidP="00425C31">
            <w:pPr>
              <w:pStyle w:val="Tabletext"/>
              <w:rPr>
                <w:sz w:val="20"/>
              </w:rPr>
            </w:pPr>
            <w:r w:rsidRPr="0099225F">
              <w:rPr>
                <w:sz w:val="20"/>
              </w:rPr>
              <w:t>(201</w:t>
            </w:r>
            <w:r w:rsidR="00546C05" w:rsidRPr="0099225F">
              <w:rPr>
                <w:sz w:val="20"/>
              </w:rPr>
              <w:t>4</w:t>
            </w:r>
            <w:r w:rsidRPr="0099225F">
              <w:rPr>
                <w:sz w:val="20"/>
              </w:rPr>
              <w:t>)</w:t>
            </w:r>
          </w:p>
        </w:tc>
        <w:tc>
          <w:tcPr>
            <w:tcW w:w="1843" w:type="dxa"/>
            <w:noWrap/>
          </w:tcPr>
          <w:p w14:paraId="6E55A697" w14:textId="7245F2B9" w:rsidR="0064412C" w:rsidRPr="0099225F" w:rsidRDefault="0064412C" w:rsidP="00425C31">
            <w:pPr>
              <w:pStyle w:val="Tabletext"/>
              <w:rPr>
                <w:sz w:val="20"/>
              </w:rPr>
            </w:pPr>
            <w:r w:rsidRPr="0099225F">
              <w:rPr>
                <w:sz w:val="20"/>
              </w:rPr>
              <w:t>1.</w:t>
            </w:r>
            <w:r w:rsidR="007D0C3E" w:rsidRPr="0099225F">
              <w:rPr>
                <w:sz w:val="20"/>
              </w:rPr>
              <w:t>3</w:t>
            </w:r>
          </w:p>
          <w:p w14:paraId="5D22610B" w14:textId="3F4B5126" w:rsidR="0064412C" w:rsidRPr="0099225F" w:rsidRDefault="0064412C" w:rsidP="00425C31">
            <w:pPr>
              <w:pStyle w:val="Tabletext"/>
              <w:rPr>
                <w:sz w:val="20"/>
              </w:rPr>
            </w:pPr>
            <w:r w:rsidRPr="0099225F">
              <w:rPr>
                <w:sz w:val="20"/>
              </w:rPr>
              <w:t>(20</w:t>
            </w:r>
            <w:r w:rsidR="00D23EA5" w:rsidRPr="0099225F">
              <w:rPr>
                <w:sz w:val="20"/>
              </w:rPr>
              <w:t>2</w:t>
            </w:r>
            <w:r w:rsidR="00243CD9" w:rsidRPr="0099225F">
              <w:rPr>
                <w:sz w:val="20"/>
              </w:rPr>
              <w:t>1</w:t>
            </w:r>
            <w:r w:rsidRPr="0099225F">
              <w:rPr>
                <w:sz w:val="20"/>
              </w:rPr>
              <w:t>)</w:t>
            </w:r>
          </w:p>
        </w:tc>
        <w:tc>
          <w:tcPr>
            <w:tcW w:w="1701" w:type="dxa"/>
            <w:noWrap/>
          </w:tcPr>
          <w:p w14:paraId="0AF1D39E" w14:textId="6B9C5594" w:rsidR="0064412C" w:rsidRPr="0099225F" w:rsidRDefault="0064412C" w:rsidP="00425C31">
            <w:pPr>
              <w:pStyle w:val="Tabletext"/>
              <w:rPr>
                <w:sz w:val="20"/>
              </w:rPr>
            </w:pPr>
            <w:r w:rsidRPr="0099225F">
              <w:rPr>
                <w:sz w:val="20"/>
              </w:rPr>
              <w:t>N/S</w:t>
            </w:r>
          </w:p>
        </w:tc>
        <w:tc>
          <w:tcPr>
            <w:tcW w:w="1843" w:type="dxa"/>
          </w:tcPr>
          <w:p w14:paraId="7A500819" w14:textId="7B43BB5A" w:rsidR="00425C31" w:rsidRPr="0099225F" w:rsidRDefault="003A6602" w:rsidP="00425C31">
            <w:pPr>
              <w:pStyle w:val="Tabletext"/>
              <w:rPr>
                <w:sz w:val="20"/>
              </w:rPr>
            </w:pPr>
            <w:r w:rsidRPr="0099225F">
              <w:rPr>
                <w:sz w:val="20"/>
              </w:rPr>
              <w:t>■</w:t>
            </w:r>
            <w:r w:rsidRPr="0099225F">
              <w:rPr>
                <w:sz w:val="20"/>
              </w:rPr>
              <w:br/>
              <w:t>No change</w:t>
            </w:r>
          </w:p>
        </w:tc>
      </w:tr>
      <w:tr w:rsidR="0064412C" w:rsidRPr="0099225F" w14:paraId="049D4277" w14:textId="77777777" w:rsidTr="00957CB6">
        <w:trPr>
          <w:trHeight w:val="587"/>
        </w:trPr>
        <w:tc>
          <w:tcPr>
            <w:tcW w:w="1418" w:type="dxa"/>
          </w:tcPr>
          <w:p w14:paraId="7F6E597E" w14:textId="611A46DB" w:rsidR="0064412C" w:rsidRPr="0099225F" w:rsidRDefault="00000000" w:rsidP="00425C31">
            <w:pPr>
              <w:pStyle w:val="Tabletext"/>
              <w:rPr>
                <w:sz w:val="20"/>
              </w:rPr>
            </w:pPr>
            <w:hyperlink w:anchor="_Measure_5.2_–" w:history="1">
              <w:r w:rsidR="0064412C" w:rsidRPr="0099225F">
                <w:rPr>
                  <w:rStyle w:val="Hyperlink"/>
                  <w:sz w:val="20"/>
                </w:rPr>
                <w:t>5.2</w:t>
              </w:r>
            </w:hyperlink>
          </w:p>
        </w:tc>
        <w:tc>
          <w:tcPr>
            <w:tcW w:w="3260" w:type="dxa"/>
          </w:tcPr>
          <w:p w14:paraId="476C3387" w14:textId="12F1EB38" w:rsidR="0064412C" w:rsidRPr="0099225F" w:rsidRDefault="0064412C" w:rsidP="00425C31">
            <w:pPr>
              <w:pStyle w:val="Tabletext"/>
              <w:rPr>
                <w:sz w:val="20"/>
              </w:rPr>
            </w:pPr>
            <w:r w:rsidRPr="0099225F">
              <w:rPr>
                <w:sz w:val="20"/>
              </w:rPr>
              <w:t>Rate ratio of premature death rate due to cancer between socioeconomic quintiles</w:t>
            </w:r>
          </w:p>
        </w:tc>
        <w:tc>
          <w:tcPr>
            <w:tcW w:w="2552" w:type="dxa"/>
          </w:tcPr>
          <w:p w14:paraId="2DE2E291" w14:textId="77777777" w:rsidR="0064412C" w:rsidRPr="0099225F" w:rsidRDefault="0064412C" w:rsidP="00425C31">
            <w:pPr>
              <w:pStyle w:val="Tabletext"/>
              <w:rPr>
                <w:sz w:val="20"/>
              </w:rPr>
            </w:pPr>
            <w:r w:rsidRPr="0099225F">
              <w:rPr>
                <w:sz w:val="20"/>
              </w:rPr>
              <w:t>Rate ratio</w:t>
            </w:r>
          </w:p>
          <w:p w14:paraId="1D01AC85" w14:textId="7454F13B" w:rsidR="0064412C" w:rsidRPr="0099225F" w:rsidRDefault="0064412C" w:rsidP="00425C31">
            <w:pPr>
              <w:pStyle w:val="Tabletext"/>
              <w:rPr>
                <w:sz w:val="20"/>
              </w:rPr>
            </w:pPr>
            <w:r w:rsidRPr="0099225F">
              <w:rPr>
                <w:sz w:val="20"/>
              </w:rPr>
              <w:t>(</w:t>
            </w:r>
            <w:r w:rsidR="0078246F" w:rsidRPr="0099225F">
              <w:rPr>
                <w:sz w:val="20"/>
              </w:rPr>
              <w:t xml:space="preserve">extreme quintile </w:t>
            </w:r>
            <w:r w:rsidR="00E533A3" w:rsidRPr="0099225F">
              <w:rPr>
                <w:sz w:val="20"/>
              </w:rPr>
              <w:t>i.e.</w:t>
            </w:r>
            <w:r w:rsidR="0078246F" w:rsidRPr="0099225F">
              <w:rPr>
                <w:sz w:val="20"/>
              </w:rPr>
              <w:t xml:space="preserve"> lowest to highest</w:t>
            </w:r>
            <w:r w:rsidRPr="0099225F">
              <w:rPr>
                <w:sz w:val="20"/>
              </w:rPr>
              <w:t>)</w:t>
            </w:r>
          </w:p>
        </w:tc>
        <w:tc>
          <w:tcPr>
            <w:tcW w:w="1842" w:type="dxa"/>
            <w:noWrap/>
          </w:tcPr>
          <w:p w14:paraId="47EB754E" w14:textId="2C5B942F" w:rsidR="0064412C" w:rsidRPr="0099225F" w:rsidRDefault="0064412C" w:rsidP="00425C31">
            <w:pPr>
              <w:pStyle w:val="Tabletext"/>
              <w:rPr>
                <w:sz w:val="20"/>
              </w:rPr>
            </w:pPr>
            <w:r w:rsidRPr="0099225F">
              <w:rPr>
                <w:sz w:val="20"/>
              </w:rPr>
              <w:t>1.</w:t>
            </w:r>
            <w:r w:rsidR="00C96C80">
              <w:rPr>
                <w:sz w:val="20"/>
              </w:rPr>
              <w:t>5</w:t>
            </w:r>
          </w:p>
          <w:p w14:paraId="64442210" w14:textId="654FB66F" w:rsidR="0064412C" w:rsidRPr="0099225F" w:rsidRDefault="0064412C" w:rsidP="00425C31">
            <w:pPr>
              <w:pStyle w:val="Tabletext"/>
              <w:rPr>
                <w:sz w:val="20"/>
              </w:rPr>
            </w:pPr>
            <w:r w:rsidRPr="0099225F">
              <w:rPr>
                <w:sz w:val="20"/>
              </w:rPr>
              <w:t>(201</w:t>
            </w:r>
            <w:r w:rsidR="00546C05" w:rsidRPr="0099225F">
              <w:rPr>
                <w:sz w:val="20"/>
              </w:rPr>
              <w:t>4</w:t>
            </w:r>
            <w:r w:rsidRPr="0099225F">
              <w:rPr>
                <w:sz w:val="20"/>
              </w:rPr>
              <w:t>)</w:t>
            </w:r>
          </w:p>
        </w:tc>
        <w:tc>
          <w:tcPr>
            <w:tcW w:w="1843" w:type="dxa"/>
            <w:noWrap/>
          </w:tcPr>
          <w:p w14:paraId="11A607C0" w14:textId="1772C15A" w:rsidR="0064412C" w:rsidRPr="0099225F" w:rsidRDefault="0064412C" w:rsidP="00425C31">
            <w:pPr>
              <w:pStyle w:val="Tabletext"/>
              <w:rPr>
                <w:sz w:val="20"/>
              </w:rPr>
            </w:pPr>
            <w:r w:rsidRPr="0099225F">
              <w:rPr>
                <w:sz w:val="20"/>
              </w:rPr>
              <w:t>1.</w:t>
            </w:r>
            <w:r w:rsidR="007D0C3E" w:rsidRPr="0099225F">
              <w:rPr>
                <w:sz w:val="20"/>
              </w:rPr>
              <w:t>9</w:t>
            </w:r>
          </w:p>
          <w:p w14:paraId="24DB9F0C" w14:textId="6C97200C" w:rsidR="0064412C" w:rsidRPr="0099225F" w:rsidRDefault="0064412C" w:rsidP="00425C31">
            <w:pPr>
              <w:pStyle w:val="Tabletext"/>
              <w:rPr>
                <w:sz w:val="20"/>
              </w:rPr>
            </w:pPr>
            <w:r w:rsidRPr="0099225F">
              <w:rPr>
                <w:sz w:val="20"/>
              </w:rPr>
              <w:t>(20</w:t>
            </w:r>
            <w:r w:rsidR="00D23EA5" w:rsidRPr="0099225F">
              <w:rPr>
                <w:sz w:val="20"/>
              </w:rPr>
              <w:t>2</w:t>
            </w:r>
            <w:r w:rsidR="007D0C3E" w:rsidRPr="0099225F">
              <w:rPr>
                <w:sz w:val="20"/>
              </w:rPr>
              <w:t>1</w:t>
            </w:r>
            <w:r w:rsidRPr="0099225F">
              <w:rPr>
                <w:sz w:val="20"/>
              </w:rPr>
              <w:t>)</w:t>
            </w:r>
          </w:p>
        </w:tc>
        <w:tc>
          <w:tcPr>
            <w:tcW w:w="1701" w:type="dxa"/>
            <w:noWrap/>
          </w:tcPr>
          <w:p w14:paraId="18716408" w14:textId="678BFBA2" w:rsidR="0064412C" w:rsidRPr="0099225F" w:rsidRDefault="0064412C" w:rsidP="00425C31">
            <w:pPr>
              <w:pStyle w:val="Tabletext"/>
              <w:rPr>
                <w:sz w:val="20"/>
              </w:rPr>
            </w:pPr>
            <w:r w:rsidRPr="0099225F">
              <w:rPr>
                <w:sz w:val="20"/>
              </w:rPr>
              <w:t>N/S</w:t>
            </w:r>
          </w:p>
        </w:tc>
        <w:tc>
          <w:tcPr>
            <w:tcW w:w="1843" w:type="dxa"/>
          </w:tcPr>
          <w:p w14:paraId="5117441F" w14:textId="7E8B2687" w:rsidR="00D95BD6" w:rsidRPr="0099225F" w:rsidRDefault="00D23EA5" w:rsidP="00425C31">
            <w:pPr>
              <w:pStyle w:val="Tabletext"/>
              <w:rPr>
                <w:sz w:val="20"/>
              </w:rPr>
            </w:pPr>
            <w:r w:rsidRPr="0099225F">
              <w:rPr>
                <w:sz w:val="20"/>
              </w:rPr>
              <w:t>▲</w:t>
            </w:r>
            <w:r w:rsidRPr="0099225F">
              <w:rPr>
                <w:sz w:val="20"/>
              </w:rPr>
              <w:br/>
              <w:t>Upward</w:t>
            </w:r>
          </w:p>
        </w:tc>
      </w:tr>
      <w:tr w:rsidR="0064412C" w:rsidRPr="0099225F" w14:paraId="6B14B3B3" w14:textId="77777777" w:rsidTr="00957CB6">
        <w:trPr>
          <w:trHeight w:val="587"/>
        </w:trPr>
        <w:tc>
          <w:tcPr>
            <w:tcW w:w="1418" w:type="dxa"/>
          </w:tcPr>
          <w:p w14:paraId="200B839C" w14:textId="20E3BF82" w:rsidR="0064412C" w:rsidRPr="0099225F" w:rsidRDefault="00000000" w:rsidP="00425C31">
            <w:pPr>
              <w:pStyle w:val="Tabletext"/>
              <w:rPr>
                <w:sz w:val="20"/>
              </w:rPr>
            </w:pPr>
            <w:hyperlink w:anchor="_Measure_5.3_–" w:history="1">
              <w:r w:rsidR="0064412C" w:rsidRPr="0099225F">
                <w:rPr>
                  <w:rStyle w:val="Hyperlink"/>
                  <w:sz w:val="20"/>
                </w:rPr>
                <w:t>5.3</w:t>
              </w:r>
            </w:hyperlink>
          </w:p>
        </w:tc>
        <w:tc>
          <w:tcPr>
            <w:tcW w:w="3260" w:type="dxa"/>
          </w:tcPr>
          <w:p w14:paraId="74C4A9DF" w14:textId="77777777" w:rsidR="0064412C" w:rsidRPr="0099225F" w:rsidRDefault="0064412C" w:rsidP="00425C31">
            <w:pPr>
              <w:pStyle w:val="Tabletext"/>
              <w:rPr>
                <w:sz w:val="20"/>
              </w:rPr>
            </w:pPr>
            <w:r w:rsidRPr="0099225F">
              <w:rPr>
                <w:sz w:val="20"/>
              </w:rPr>
              <w:t>Rate ratio of premature death between Aboriginal and non-Aboriginal Victorians</w:t>
            </w:r>
          </w:p>
        </w:tc>
        <w:tc>
          <w:tcPr>
            <w:tcW w:w="2552" w:type="dxa"/>
          </w:tcPr>
          <w:p w14:paraId="37B5C4AD" w14:textId="69A4121A" w:rsidR="0064412C" w:rsidRPr="0099225F" w:rsidRDefault="0064412C" w:rsidP="00425C31">
            <w:pPr>
              <w:pStyle w:val="Tabletext"/>
              <w:rPr>
                <w:sz w:val="20"/>
              </w:rPr>
            </w:pPr>
            <w:r w:rsidRPr="0099225F">
              <w:rPr>
                <w:sz w:val="20"/>
              </w:rPr>
              <w:t>Rate ratio</w:t>
            </w:r>
          </w:p>
        </w:tc>
        <w:tc>
          <w:tcPr>
            <w:tcW w:w="1842" w:type="dxa"/>
            <w:noWrap/>
          </w:tcPr>
          <w:p w14:paraId="13118F3C" w14:textId="7AB17B99" w:rsidR="0064412C" w:rsidRPr="0099225F" w:rsidRDefault="00D23EA5" w:rsidP="00425C31">
            <w:pPr>
              <w:pStyle w:val="Tabletext"/>
              <w:rPr>
                <w:sz w:val="20"/>
              </w:rPr>
            </w:pPr>
            <w:r w:rsidRPr="0099225F">
              <w:rPr>
                <w:sz w:val="20"/>
              </w:rPr>
              <w:t>2.</w:t>
            </w:r>
            <w:r w:rsidR="007D0C3E" w:rsidRPr="0099225F">
              <w:rPr>
                <w:sz w:val="20"/>
              </w:rPr>
              <w:t>1</w:t>
            </w:r>
          </w:p>
          <w:p w14:paraId="5346F3A4" w14:textId="19E14757" w:rsidR="0064412C" w:rsidRPr="0099225F" w:rsidRDefault="0064412C" w:rsidP="00425C31">
            <w:pPr>
              <w:pStyle w:val="Tabletext"/>
              <w:rPr>
                <w:sz w:val="20"/>
              </w:rPr>
            </w:pPr>
            <w:r w:rsidRPr="0099225F">
              <w:rPr>
                <w:sz w:val="20"/>
              </w:rPr>
              <w:t>(201</w:t>
            </w:r>
            <w:r w:rsidR="00546C05" w:rsidRPr="0099225F">
              <w:rPr>
                <w:sz w:val="20"/>
              </w:rPr>
              <w:t>4</w:t>
            </w:r>
            <w:r w:rsidRPr="0099225F">
              <w:rPr>
                <w:sz w:val="20"/>
              </w:rPr>
              <w:t>)</w:t>
            </w:r>
          </w:p>
        </w:tc>
        <w:tc>
          <w:tcPr>
            <w:tcW w:w="1843" w:type="dxa"/>
            <w:noWrap/>
          </w:tcPr>
          <w:p w14:paraId="75FDA191" w14:textId="64A2CE54" w:rsidR="0064412C" w:rsidRPr="0099225F" w:rsidRDefault="007D0C3E" w:rsidP="00425C31">
            <w:pPr>
              <w:pStyle w:val="Tabletext"/>
              <w:rPr>
                <w:sz w:val="20"/>
              </w:rPr>
            </w:pPr>
            <w:r w:rsidRPr="0099225F">
              <w:rPr>
                <w:sz w:val="20"/>
              </w:rPr>
              <w:t>1.9</w:t>
            </w:r>
          </w:p>
          <w:p w14:paraId="63FDCFC4" w14:textId="55831F80" w:rsidR="0064412C" w:rsidRPr="0099225F" w:rsidRDefault="0064412C" w:rsidP="00425C31">
            <w:pPr>
              <w:pStyle w:val="Tabletext"/>
              <w:rPr>
                <w:sz w:val="20"/>
              </w:rPr>
            </w:pPr>
            <w:r w:rsidRPr="0099225F">
              <w:rPr>
                <w:sz w:val="20"/>
              </w:rPr>
              <w:t>(20</w:t>
            </w:r>
            <w:r w:rsidR="00D23EA5" w:rsidRPr="0099225F">
              <w:rPr>
                <w:sz w:val="20"/>
              </w:rPr>
              <w:t>2</w:t>
            </w:r>
            <w:r w:rsidR="007D0C3E" w:rsidRPr="0099225F">
              <w:rPr>
                <w:sz w:val="20"/>
              </w:rPr>
              <w:t>1</w:t>
            </w:r>
            <w:r w:rsidRPr="0099225F">
              <w:rPr>
                <w:sz w:val="20"/>
              </w:rPr>
              <w:t>)</w:t>
            </w:r>
          </w:p>
        </w:tc>
        <w:tc>
          <w:tcPr>
            <w:tcW w:w="1701" w:type="dxa"/>
            <w:noWrap/>
          </w:tcPr>
          <w:p w14:paraId="1B186F57" w14:textId="00417336" w:rsidR="0064412C" w:rsidRPr="0099225F" w:rsidRDefault="0064412C" w:rsidP="00425C31">
            <w:pPr>
              <w:pStyle w:val="Tabletext"/>
              <w:rPr>
                <w:sz w:val="20"/>
              </w:rPr>
            </w:pPr>
            <w:r w:rsidRPr="0099225F">
              <w:rPr>
                <w:sz w:val="20"/>
              </w:rPr>
              <w:t>N/S</w:t>
            </w:r>
          </w:p>
        </w:tc>
        <w:tc>
          <w:tcPr>
            <w:tcW w:w="1843" w:type="dxa"/>
          </w:tcPr>
          <w:p w14:paraId="13742DFB" w14:textId="56AAA0D9" w:rsidR="00425C31" w:rsidRPr="0099225F" w:rsidRDefault="00546C05" w:rsidP="00425C31">
            <w:pPr>
              <w:pStyle w:val="Tabletext"/>
              <w:rPr>
                <w:sz w:val="20"/>
              </w:rPr>
            </w:pPr>
            <w:r w:rsidRPr="0099225F">
              <w:rPr>
                <w:sz w:val="20"/>
              </w:rPr>
              <w:t>■</w:t>
            </w:r>
            <w:r w:rsidR="00425C31" w:rsidRPr="0099225F">
              <w:rPr>
                <w:sz w:val="20"/>
              </w:rPr>
              <w:br/>
            </w:r>
            <w:r w:rsidRPr="0099225F">
              <w:rPr>
                <w:sz w:val="20"/>
              </w:rPr>
              <w:t>No change</w:t>
            </w:r>
          </w:p>
        </w:tc>
      </w:tr>
    </w:tbl>
    <w:p w14:paraId="2405BB38" w14:textId="5B9527B7" w:rsidR="00087F40" w:rsidRDefault="00087F40" w:rsidP="007C7F00">
      <w:pPr>
        <w:pStyle w:val="Heading4"/>
      </w:pPr>
      <w:r w:rsidRPr="00CD7A1C">
        <w:t>Outcome: Prevent cancers</w:t>
      </w:r>
    </w:p>
    <w:p w14:paraId="04218242" w14:textId="148ECB3C" w:rsidR="00425C31" w:rsidRPr="00425C31" w:rsidRDefault="00425C31" w:rsidP="00425C31">
      <w:pPr>
        <w:pStyle w:val="Heading5"/>
      </w:pPr>
      <w:r w:rsidRPr="00CD7A1C">
        <w:t>Key result: Decrease smoking and harmful alcohol consumption</w:t>
      </w:r>
    </w:p>
    <w:tbl>
      <w:tblPr>
        <w:tblStyle w:val="TableGrid"/>
        <w:tblW w:w="14459" w:type="dxa"/>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1418"/>
        <w:gridCol w:w="3260"/>
        <w:gridCol w:w="2552"/>
        <w:gridCol w:w="1842"/>
        <w:gridCol w:w="1843"/>
        <w:gridCol w:w="1701"/>
        <w:gridCol w:w="1843"/>
      </w:tblGrid>
      <w:tr w:rsidR="00087F40" w:rsidRPr="0099225F" w14:paraId="59F44419" w14:textId="77777777" w:rsidTr="000970D5">
        <w:trPr>
          <w:trHeight w:val="583"/>
          <w:tblHeader/>
        </w:trPr>
        <w:tc>
          <w:tcPr>
            <w:tcW w:w="1418" w:type="dxa"/>
            <w:shd w:val="clear" w:color="auto" w:fill="EDCDCF"/>
          </w:tcPr>
          <w:p w14:paraId="634CB809" w14:textId="0E8D5D29" w:rsidR="00087F40" w:rsidRPr="0099225F" w:rsidRDefault="00087F40" w:rsidP="00D6450C">
            <w:pPr>
              <w:pStyle w:val="Tablecolhead"/>
              <w:rPr>
                <w:sz w:val="20"/>
              </w:rPr>
            </w:pPr>
            <w:r w:rsidRPr="0099225F">
              <w:rPr>
                <w:sz w:val="20"/>
              </w:rPr>
              <w:t>Measure #</w:t>
            </w:r>
          </w:p>
        </w:tc>
        <w:tc>
          <w:tcPr>
            <w:tcW w:w="3260" w:type="dxa"/>
            <w:shd w:val="clear" w:color="auto" w:fill="EDCDCF"/>
          </w:tcPr>
          <w:p w14:paraId="113D0DE2" w14:textId="603BA1F8" w:rsidR="00087F40" w:rsidRPr="0099225F" w:rsidRDefault="00087F40" w:rsidP="00D6450C">
            <w:pPr>
              <w:pStyle w:val="Tablecolhead"/>
              <w:rPr>
                <w:sz w:val="20"/>
              </w:rPr>
            </w:pPr>
            <w:r w:rsidRPr="0099225F">
              <w:rPr>
                <w:sz w:val="20"/>
              </w:rPr>
              <w:t>Description</w:t>
            </w:r>
          </w:p>
        </w:tc>
        <w:tc>
          <w:tcPr>
            <w:tcW w:w="2552" w:type="dxa"/>
            <w:shd w:val="clear" w:color="auto" w:fill="EDCDCF"/>
          </w:tcPr>
          <w:p w14:paraId="6E4A5E0E" w14:textId="25E25CC2" w:rsidR="00087F40" w:rsidRPr="0099225F" w:rsidRDefault="00087F40" w:rsidP="00D6450C">
            <w:pPr>
              <w:pStyle w:val="Tablecolhead"/>
              <w:rPr>
                <w:sz w:val="20"/>
              </w:rPr>
            </w:pPr>
            <w:r w:rsidRPr="0099225F">
              <w:rPr>
                <w:sz w:val="20"/>
              </w:rPr>
              <w:t>Unit of measure</w:t>
            </w:r>
          </w:p>
        </w:tc>
        <w:tc>
          <w:tcPr>
            <w:tcW w:w="1842" w:type="dxa"/>
            <w:shd w:val="clear" w:color="auto" w:fill="EDCDCF"/>
            <w:noWrap/>
          </w:tcPr>
          <w:p w14:paraId="780D3D57" w14:textId="77777777" w:rsidR="00087F40" w:rsidRPr="0099225F" w:rsidRDefault="00087F40" w:rsidP="00D6450C">
            <w:pPr>
              <w:pStyle w:val="Tablecolhead"/>
              <w:rPr>
                <w:sz w:val="20"/>
              </w:rPr>
            </w:pPr>
            <w:r w:rsidRPr="0099225F">
              <w:rPr>
                <w:sz w:val="20"/>
              </w:rPr>
              <w:t>Baseline</w:t>
            </w:r>
          </w:p>
          <w:p w14:paraId="36073FD0" w14:textId="2EF71BA8" w:rsidR="00087F40" w:rsidRPr="0099225F" w:rsidRDefault="00087F40" w:rsidP="00D6450C">
            <w:pPr>
              <w:pStyle w:val="Tablecolhead"/>
              <w:rPr>
                <w:sz w:val="20"/>
              </w:rPr>
            </w:pPr>
            <w:r w:rsidRPr="0099225F">
              <w:rPr>
                <w:sz w:val="20"/>
              </w:rPr>
              <w:t>(year)</w:t>
            </w:r>
          </w:p>
        </w:tc>
        <w:tc>
          <w:tcPr>
            <w:tcW w:w="1843" w:type="dxa"/>
            <w:shd w:val="clear" w:color="auto" w:fill="EDCDCF"/>
            <w:noWrap/>
          </w:tcPr>
          <w:p w14:paraId="58ECC8FB" w14:textId="77777777" w:rsidR="00087F40" w:rsidRPr="0099225F" w:rsidRDefault="00087F40" w:rsidP="00D6450C">
            <w:pPr>
              <w:pStyle w:val="Tablecolhead"/>
              <w:rPr>
                <w:sz w:val="20"/>
              </w:rPr>
            </w:pPr>
            <w:r w:rsidRPr="0099225F">
              <w:rPr>
                <w:sz w:val="20"/>
              </w:rPr>
              <w:t>Most recent</w:t>
            </w:r>
          </w:p>
          <w:p w14:paraId="4F27EACC" w14:textId="0EE733EE" w:rsidR="00087F40" w:rsidRPr="0099225F" w:rsidRDefault="00087F40" w:rsidP="00D6450C">
            <w:pPr>
              <w:pStyle w:val="Tablecolhead"/>
              <w:rPr>
                <w:sz w:val="20"/>
              </w:rPr>
            </w:pPr>
            <w:r w:rsidRPr="0099225F">
              <w:rPr>
                <w:sz w:val="20"/>
              </w:rPr>
              <w:t>(year)</w:t>
            </w:r>
          </w:p>
        </w:tc>
        <w:tc>
          <w:tcPr>
            <w:tcW w:w="1701" w:type="dxa"/>
            <w:shd w:val="clear" w:color="auto" w:fill="EDCDCF"/>
            <w:noWrap/>
          </w:tcPr>
          <w:p w14:paraId="56BFF6C5" w14:textId="77777777" w:rsidR="00087F40" w:rsidRPr="0099225F" w:rsidRDefault="00087F40" w:rsidP="00D6450C">
            <w:pPr>
              <w:pStyle w:val="Tablecolhead"/>
              <w:rPr>
                <w:sz w:val="20"/>
              </w:rPr>
            </w:pPr>
            <w:r w:rsidRPr="0099225F">
              <w:rPr>
                <w:sz w:val="20"/>
              </w:rPr>
              <w:t>Target</w:t>
            </w:r>
          </w:p>
          <w:p w14:paraId="496784F3" w14:textId="1D6ABE15" w:rsidR="00087F40" w:rsidRPr="0099225F" w:rsidRDefault="00087F40" w:rsidP="00D6450C">
            <w:pPr>
              <w:pStyle w:val="Tablecolhead"/>
              <w:rPr>
                <w:sz w:val="20"/>
              </w:rPr>
            </w:pPr>
            <w:r w:rsidRPr="0099225F">
              <w:rPr>
                <w:sz w:val="20"/>
              </w:rPr>
              <w:t>(year)</w:t>
            </w:r>
          </w:p>
        </w:tc>
        <w:tc>
          <w:tcPr>
            <w:tcW w:w="1843" w:type="dxa"/>
            <w:shd w:val="clear" w:color="auto" w:fill="EDCDCF"/>
          </w:tcPr>
          <w:p w14:paraId="23644D40" w14:textId="230AEF4B" w:rsidR="00087F40" w:rsidRPr="0099225F" w:rsidRDefault="00087F40" w:rsidP="00D6450C">
            <w:pPr>
              <w:pStyle w:val="Tablecolhead"/>
              <w:rPr>
                <w:sz w:val="20"/>
              </w:rPr>
            </w:pPr>
            <w:r w:rsidRPr="0099225F">
              <w:rPr>
                <w:sz w:val="20"/>
              </w:rPr>
              <w:t>Trend</w:t>
            </w:r>
          </w:p>
        </w:tc>
      </w:tr>
      <w:tr w:rsidR="0064412C" w:rsidRPr="0099225F" w14:paraId="48C24EFD" w14:textId="77777777" w:rsidTr="000970D5">
        <w:trPr>
          <w:trHeight w:val="583"/>
        </w:trPr>
        <w:tc>
          <w:tcPr>
            <w:tcW w:w="1418" w:type="dxa"/>
          </w:tcPr>
          <w:p w14:paraId="31547A51" w14:textId="70A262DB" w:rsidR="0064412C" w:rsidRPr="0099225F" w:rsidRDefault="00000000" w:rsidP="00425C31">
            <w:pPr>
              <w:pStyle w:val="Tabletext"/>
              <w:rPr>
                <w:sz w:val="20"/>
              </w:rPr>
            </w:pPr>
            <w:hyperlink w:anchor="_Measure_6.1_–" w:history="1">
              <w:r w:rsidR="0064412C" w:rsidRPr="0099225F">
                <w:rPr>
                  <w:rStyle w:val="Hyperlink"/>
                  <w:sz w:val="20"/>
                </w:rPr>
                <w:t>6.1</w:t>
              </w:r>
            </w:hyperlink>
          </w:p>
        </w:tc>
        <w:tc>
          <w:tcPr>
            <w:tcW w:w="3260" w:type="dxa"/>
          </w:tcPr>
          <w:p w14:paraId="10E55543" w14:textId="77777777" w:rsidR="0064412C" w:rsidRPr="0099225F" w:rsidRDefault="0064412C" w:rsidP="00425C31">
            <w:pPr>
              <w:pStyle w:val="Tabletext"/>
              <w:rPr>
                <w:sz w:val="20"/>
              </w:rPr>
            </w:pPr>
            <w:r w:rsidRPr="0099225F">
              <w:rPr>
                <w:sz w:val="20"/>
              </w:rPr>
              <w:t>Proportion of adults who smoke daily</w:t>
            </w:r>
          </w:p>
        </w:tc>
        <w:tc>
          <w:tcPr>
            <w:tcW w:w="2552" w:type="dxa"/>
          </w:tcPr>
          <w:p w14:paraId="4904AB07" w14:textId="77777777" w:rsidR="0064412C" w:rsidRPr="0099225F" w:rsidRDefault="0064412C" w:rsidP="00425C31">
            <w:pPr>
              <w:pStyle w:val="Tabletext"/>
              <w:rPr>
                <w:sz w:val="20"/>
              </w:rPr>
            </w:pPr>
            <w:r w:rsidRPr="0099225F">
              <w:rPr>
                <w:sz w:val="20"/>
              </w:rPr>
              <w:t>Per cent</w:t>
            </w:r>
          </w:p>
        </w:tc>
        <w:tc>
          <w:tcPr>
            <w:tcW w:w="1842" w:type="dxa"/>
            <w:noWrap/>
          </w:tcPr>
          <w:p w14:paraId="53221484" w14:textId="3FDA1B16" w:rsidR="0064412C" w:rsidRPr="0099225F" w:rsidRDefault="0064412C" w:rsidP="00425C31">
            <w:pPr>
              <w:pStyle w:val="Tabletext"/>
              <w:rPr>
                <w:sz w:val="20"/>
              </w:rPr>
            </w:pPr>
            <w:r w:rsidRPr="0099225F">
              <w:rPr>
                <w:sz w:val="20"/>
              </w:rPr>
              <w:t>1</w:t>
            </w:r>
            <w:r w:rsidR="00DC5D94" w:rsidRPr="0099225F">
              <w:rPr>
                <w:sz w:val="20"/>
              </w:rPr>
              <w:t>3</w:t>
            </w:r>
            <w:r w:rsidRPr="0099225F">
              <w:rPr>
                <w:sz w:val="20"/>
              </w:rPr>
              <w:t>.</w:t>
            </w:r>
            <w:r w:rsidR="00DC5D94" w:rsidRPr="0099225F">
              <w:rPr>
                <w:sz w:val="20"/>
              </w:rPr>
              <w:t>3</w:t>
            </w:r>
          </w:p>
          <w:p w14:paraId="5D79F826" w14:textId="20801A88" w:rsidR="0064412C" w:rsidRPr="0099225F" w:rsidRDefault="0064412C" w:rsidP="00425C31">
            <w:pPr>
              <w:pStyle w:val="Tabletext"/>
              <w:rPr>
                <w:sz w:val="20"/>
              </w:rPr>
            </w:pPr>
            <w:r w:rsidRPr="0099225F">
              <w:rPr>
                <w:sz w:val="20"/>
              </w:rPr>
              <w:t>(201</w:t>
            </w:r>
            <w:r w:rsidR="00DC5D94" w:rsidRPr="0099225F">
              <w:rPr>
                <w:sz w:val="20"/>
              </w:rPr>
              <w:t>5</w:t>
            </w:r>
            <w:r w:rsidRPr="0099225F">
              <w:rPr>
                <w:sz w:val="20"/>
              </w:rPr>
              <w:t>)</w:t>
            </w:r>
          </w:p>
        </w:tc>
        <w:tc>
          <w:tcPr>
            <w:tcW w:w="1843" w:type="dxa"/>
            <w:noWrap/>
          </w:tcPr>
          <w:p w14:paraId="2B31AEBC" w14:textId="3FE22F8F" w:rsidR="0064412C" w:rsidRPr="0099225F" w:rsidRDefault="0064412C" w:rsidP="00425C31">
            <w:pPr>
              <w:pStyle w:val="Tabletext"/>
              <w:rPr>
                <w:sz w:val="20"/>
              </w:rPr>
            </w:pPr>
            <w:r w:rsidRPr="0099225F">
              <w:rPr>
                <w:sz w:val="20"/>
              </w:rPr>
              <w:t>1</w:t>
            </w:r>
            <w:r w:rsidR="00D37F38">
              <w:rPr>
                <w:sz w:val="20"/>
              </w:rPr>
              <w:t>0</w:t>
            </w:r>
            <w:r w:rsidRPr="0099225F">
              <w:rPr>
                <w:sz w:val="20"/>
              </w:rPr>
              <w:t>.</w:t>
            </w:r>
            <w:r w:rsidR="00D37F38">
              <w:rPr>
                <w:sz w:val="20"/>
              </w:rPr>
              <w:t>1</w:t>
            </w:r>
          </w:p>
          <w:p w14:paraId="2C092F79" w14:textId="3EE10064" w:rsidR="0064412C" w:rsidRPr="0099225F" w:rsidRDefault="0064412C" w:rsidP="00425C31">
            <w:pPr>
              <w:pStyle w:val="Tabletext"/>
              <w:rPr>
                <w:sz w:val="20"/>
              </w:rPr>
            </w:pPr>
            <w:r w:rsidRPr="0099225F">
              <w:rPr>
                <w:sz w:val="20"/>
              </w:rPr>
              <w:t>(20</w:t>
            </w:r>
            <w:r w:rsidR="004F5E53" w:rsidRPr="0099225F">
              <w:rPr>
                <w:sz w:val="20"/>
              </w:rPr>
              <w:t>2</w:t>
            </w:r>
            <w:r w:rsidR="00D37F38">
              <w:rPr>
                <w:sz w:val="20"/>
              </w:rPr>
              <w:t>2</w:t>
            </w:r>
            <w:r w:rsidRPr="0099225F">
              <w:rPr>
                <w:sz w:val="20"/>
              </w:rPr>
              <w:t>)</w:t>
            </w:r>
          </w:p>
        </w:tc>
        <w:tc>
          <w:tcPr>
            <w:tcW w:w="1701" w:type="dxa"/>
            <w:noWrap/>
          </w:tcPr>
          <w:p w14:paraId="7B1BB3D4" w14:textId="0AFA4B6C" w:rsidR="0064412C" w:rsidRPr="0099225F" w:rsidRDefault="006F5075" w:rsidP="006F5075">
            <w:pPr>
              <w:pStyle w:val="Tabletext"/>
              <w:rPr>
                <w:sz w:val="20"/>
              </w:rPr>
            </w:pPr>
            <w:r w:rsidRPr="0099225F">
              <w:rPr>
                <w:sz w:val="20"/>
              </w:rPr>
              <w:t>N/S</w:t>
            </w:r>
          </w:p>
        </w:tc>
        <w:tc>
          <w:tcPr>
            <w:tcW w:w="1843" w:type="dxa"/>
          </w:tcPr>
          <w:p w14:paraId="70CECE03" w14:textId="319CE165" w:rsidR="0064412C" w:rsidRPr="0099225F" w:rsidRDefault="00D37F38" w:rsidP="00425C31">
            <w:pPr>
              <w:pStyle w:val="Tabletext"/>
              <w:rPr>
                <w:sz w:val="20"/>
              </w:rPr>
            </w:pPr>
            <w:r w:rsidRPr="0099225F">
              <w:rPr>
                <w:sz w:val="20"/>
              </w:rPr>
              <w:t>▼</w:t>
            </w:r>
            <w:r w:rsidRPr="0099225F">
              <w:rPr>
                <w:sz w:val="20"/>
              </w:rPr>
              <w:br/>
              <w:t>Downward</w:t>
            </w:r>
          </w:p>
        </w:tc>
      </w:tr>
      <w:tr w:rsidR="0064412C" w:rsidRPr="0099225F" w14:paraId="0887C48B" w14:textId="77777777" w:rsidTr="000970D5">
        <w:trPr>
          <w:trHeight w:val="583"/>
        </w:trPr>
        <w:tc>
          <w:tcPr>
            <w:tcW w:w="1418" w:type="dxa"/>
          </w:tcPr>
          <w:p w14:paraId="615D0A2A" w14:textId="0E007C28" w:rsidR="0064412C" w:rsidRPr="0099225F" w:rsidRDefault="00000000" w:rsidP="00425C31">
            <w:pPr>
              <w:pStyle w:val="Tabletext"/>
              <w:rPr>
                <w:sz w:val="20"/>
              </w:rPr>
            </w:pPr>
            <w:hyperlink w:anchor="_Measure_6.2_–" w:history="1">
              <w:r w:rsidR="0064412C" w:rsidRPr="0099225F">
                <w:rPr>
                  <w:rStyle w:val="Hyperlink"/>
                  <w:sz w:val="20"/>
                </w:rPr>
                <w:t>6.2</w:t>
              </w:r>
            </w:hyperlink>
          </w:p>
        </w:tc>
        <w:tc>
          <w:tcPr>
            <w:tcW w:w="3260" w:type="dxa"/>
          </w:tcPr>
          <w:p w14:paraId="495BC752" w14:textId="19C8092B" w:rsidR="0064412C" w:rsidRPr="0099225F" w:rsidRDefault="0064412C" w:rsidP="00425C31">
            <w:pPr>
              <w:pStyle w:val="Tabletext"/>
              <w:rPr>
                <w:sz w:val="20"/>
              </w:rPr>
            </w:pPr>
            <w:r w:rsidRPr="0099225F">
              <w:rPr>
                <w:sz w:val="20"/>
              </w:rPr>
              <w:t>Proportion of adolescents 12–17 years who currently smoke</w:t>
            </w:r>
          </w:p>
        </w:tc>
        <w:tc>
          <w:tcPr>
            <w:tcW w:w="2552" w:type="dxa"/>
          </w:tcPr>
          <w:p w14:paraId="60FA7B5D" w14:textId="77777777" w:rsidR="0064412C" w:rsidRPr="0099225F" w:rsidRDefault="0064412C" w:rsidP="00425C31">
            <w:pPr>
              <w:pStyle w:val="Tabletext"/>
              <w:rPr>
                <w:sz w:val="20"/>
                <w:highlight w:val="yellow"/>
              </w:rPr>
            </w:pPr>
            <w:r w:rsidRPr="0099225F">
              <w:rPr>
                <w:sz w:val="20"/>
              </w:rPr>
              <w:t>Per cent</w:t>
            </w:r>
          </w:p>
        </w:tc>
        <w:tc>
          <w:tcPr>
            <w:tcW w:w="1842" w:type="dxa"/>
            <w:noWrap/>
          </w:tcPr>
          <w:p w14:paraId="045B922E" w14:textId="373ADA4B" w:rsidR="0064412C" w:rsidRPr="0099225F" w:rsidRDefault="00D23EA5" w:rsidP="00425C31">
            <w:pPr>
              <w:pStyle w:val="Tabletext"/>
              <w:rPr>
                <w:sz w:val="20"/>
              </w:rPr>
            </w:pPr>
            <w:r w:rsidRPr="0099225F">
              <w:rPr>
                <w:sz w:val="20"/>
              </w:rPr>
              <w:t>5.1</w:t>
            </w:r>
          </w:p>
          <w:p w14:paraId="480397B2" w14:textId="77777777" w:rsidR="0064412C" w:rsidRPr="0099225F" w:rsidRDefault="0064412C" w:rsidP="00425C31">
            <w:pPr>
              <w:pStyle w:val="Tabletext"/>
              <w:rPr>
                <w:sz w:val="20"/>
              </w:rPr>
            </w:pPr>
            <w:r w:rsidRPr="0099225F">
              <w:rPr>
                <w:sz w:val="20"/>
              </w:rPr>
              <w:t>(2014)</w:t>
            </w:r>
          </w:p>
        </w:tc>
        <w:tc>
          <w:tcPr>
            <w:tcW w:w="1843" w:type="dxa"/>
            <w:noWrap/>
          </w:tcPr>
          <w:p w14:paraId="063CBE4A" w14:textId="77777777" w:rsidR="0064412C" w:rsidRPr="0099225F" w:rsidRDefault="00D23EA5" w:rsidP="00425C31">
            <w:pPr>
              <w:pStyle w:val="Tabletext"/>
              <w:rPr>
                <w:sz w:val="20"/>
              </w:rPr>
            </w:pPr>
            <w:r w:rsidRPr="0099225F">
              <w:rPr>
                <w:sz w:val="20"/>
              </w:rPr>
              <w:t>5.0</w:t>
            </w:r>
          </w:p>
          <w:p w14:paraId="4CDF6F37" w14:textId="3D4A1AF2" w:rsidR="00D23EA5" w:rsidRPr="0099225F" w:rsidRDefault="00D23EA5" w:rsidP="00425C31">
            <w:pPr>
              <w:pStyle w:val="Tabletext"/>
              <w:rPr>
                <w:sz w:val="20"/>
              </w:rPr>
            </w:pPr>
            <w:r w:rsidRPr="0099225F">
              <w:rPr>
                <w:sz w:val="20"/>
              </w:rPr>
              <w:t>(2017)</w:t>
            </w:r>
          </w:p>
        </w:tc>
        <w:tc>
          <w:tcPr>
            <w:tcW w:w="1701" w:type="dxa"/>
            <w:noWrap/>
          </w:tcPr>
          <w:p w14:paraId="32BA6BDF" w14:textId="2CB11E45" w:rsidR="0064412C" w:rsidRPr="0099225F" w:rsidRDefault="00712148" w:rsidP="00425C31">
            <w:pPr>
              <w:pStyle w:val="Tabletext"/>
              <w:rPr>
                <w:sz w:val="20"/>
              </w:rPr>
            </w:pPr>
            <w:r w:rsidRPr="0099225F">
              <w:rPr>
                <w:sz w:val="20"/>
              </w:rPr>
              <w:t>4.2</w:t>
            </w:r>
          </w:p>
          <w:p w14:paraId="34C90A27" w14:textId="77777777" w:rsidR="0064412C" w:rsidRPr="0099225F" w:rsidRDefault="0064412C" w:rsidP="00425C31">
            <w:pPr>
              <w:pStyle w:val="Tabletext"/>
              <w:rPr>
                <w:sz w:val="20"/>
              </w:rPr>
            </w:pPr>
            <w:r w:rsidRPr="0099225F">
              <w:rPr>
                <w:sz w:val="20"/>
              </w:rPr>
              <w:t>(2025)</w:t>
            </w:r>
          </w:p>
        </w:tc>
        <w:tc>
          <w:tcPr>
            <w:tcW w:w="1843" w:type="dxa"/>
          </w:tcPr>
          <w:p w14:paraId="1F97403A" w14:textId="4B07BD79" w:rsidR="0064412C" w:rsidRPr="0099225F" w:rsidRDefault="00D23EA5" w:rsidP="00425C31">
            <w:pPr>
              <w:pStyle w:val="Tabletext"/>
              <w:rPr>
                <w:sz w:val="20"/>
              </w:rPr>
            </w:pPr>
            <w:r w:rsidRPr="0099225F">
              <w:rPr>
                <w:sz w:val="20"/>
              </w:rPr>
              <w:t xml:space="preserve">■ </w:t>
            </w:r>
            <w:r w:rsidRPr="0099225F">
              <w:rPr>
                <w:sz w:val="20"/>
              </w:rPr>
              <w:br/>
              <w:t>No change</w:t>
            </w:r>
          </w:p>
        </w:tc>
      </w:tr>
      <w:tr w:rsidR="0064412C" w:rsidRPr="0099225F" w14:paraId="68ECA20E" w14:textId="77777777" w:rsidTr="000970D5">
        <w:trPr>
          <w:trHeight w:val="166"/>
        </w:trPr>
        <w:tc>
          <w:tcPr>
            <w:tcW w:w="1418" w:type="dxa"/>
          </w:tcPr>
          <w:p w14:paraId="5B8BC94F" w14:textId="3F7DB3BB" w:rsidR="0064412C" w:rsidRPr="0099225F" w:rsidRDefault="00000000" w:rsidP="00425C31">
            <w:pPr>
              <w:pStyle w:val="Tabletext"/>
              <w:rPr>
                <w:sz w:val="20"/>
              </w:rPr>
            </w:pPr>
            <w:hyperlink w:anchor="_Measure_6.3_–" w:history="1">
              <w:r w:rsidR="0064412C" w:rsidRPr="0099225F">
                <w:rPr>
                  <w:rStyle w:val="Hyperlink"/>
                  <w:sz w:val="20"/>
                </w:rPr>
                <w:t>6.3</w:t>
              </w:r>
            </w:hyperlink>
          </w:p>
        </w:tc>
        <w:tc>
          <w:tcPr>
            <w:tcW w:w="3260" w:type="dxa"/>
          </w:tcPr>
          <w:p w14:paraId="1CB6BA1D" w14:textId="77777777" w:rsidR="0064412C" w:rsidRPr="0099225F" w:rsidRDefault="0064412C" w:rsidP="00425C31">
            <w:pPr>
              <w:pStyle w:val="Tabletext"/>
              <w:rPr>
                <w:sz w:val="20"/>
              </w:rPr>
            </w:pPr>
            <w:r w:rsidRPr="0099225F">
              <w:rPr>
                <w:sz w:val="20"/>
              </w:rPr>
              <w:t>Proportion of adults who consume alcohol at lifetime risk of harm</w:t>
            </w:r>
          </w:p>
        </w:tc>
        <w:tc>
          <w:tcPr>
            <w:tcW w:w="2552" w:type="dxa"/>
          </w:tcPr>
          <w:p w14:paraId="290E98EB" w14:textId="77777777" w:rsidR="0064412C" w:rsidRPr="0099225F" w:rsidRDefault="0064412C" w:rsidP="00425C31">
            <w:pPr>
              <w:pStyle w:val="Tabletext"/>
              <w:rPr>
                <w:sz w:val="20"/>
              </w:rPr>
            </w:pPr>
            <w:r w:rsidRPr="0099225F">
              <w:rPr>
                <w:sz w:val="20"/>
              </w:rPr>
              <w:t>Per cent</w:t>
            </w:r>
          </w:p>
        </w:tc>
        <w:tc>
          <w:tcPr>
            <w:tcW w:w="1842" w:type="dxa"/>
            <w:noWrap/>
          </w:tcPr>
          <w:p w14:paraId="300D338F" w14:textId="2E151174" w:rsidR="0064412C" w:rsidRPr="0099225F" w:rsidRDefault="0064412C" w:rsidP="00425C31">
            <w:pPr>
              <w:pStyle w:val="Tabletext"/>
              <w:rPr>
                <w:sz w:val="20"/>
              </w:rPr>
            </w:pPr>
            <w:r w:rsidRPr="0099225F">
              <w:rPr>
                <w:sz w:val="20"/>
              </w:rPr>
              <w:t>5</w:t>
            </w:r>
            <w:r w:rsidR="004F5E53" w:rsidRPr="0099225F">
              <w:rPr>
                <w:sz w:val="20"/>
              </w:rPr>
              <w:t>8</w:t>
            </w:r>
            <w:r w:rsidRPr="0099225F">
              <w:rPr>
                <w:sz w:val="20"/>
              </w:rPr>
              <w:t>.</w:t>
            </w:r>
            <w:r w:rsidR="004F5E53" w:rsidRPr="0099225F">
              <w:rPr>
                <w:sz w:val="20"/>
              </w:rPr>
              <w:t>6</w:t>
            </w:r>
          </w:p>
          <w:p w14:paraId="057FB3AB" w14:textId="77777777" w:rsidR="0064412C" w:rsidRPr="0099225F" w:rsidRDefault="0064412C" w:rsidP="00425C31">
            <w:pPr>
              <w:pStyle w:val="Tabletext"/>
              <w:rPr>
                <w:sz w:val="20"/>
              </w:rPr>
            </w:pPr>
            <w:r w:rsidRPr="0099225F">
              <w:rPr>
                <w:sz w:val="20"/>
              </w:rPr>
              <w:t>(2014)</w:t>
            </w:r>
          </w:p>
        </w:tc>
        <w:tc>
          <w:tcPr>
            <w:tcW w:w="1843" w:type="dxa"/>
            <w:noWrap/>
          </w:tcPr>
          <w:p w14:paraId="0F1C5BE0" w14:textId="5A8073F4" w:rsidR="0064412C" w:rsidRPr="0099225F" w:rsidRDefault="0064412C" w:rsidP="00425C31">
            <w:pPr>
              <w:pStyle w:val="Tabletext"/>
              <w:rPr>
                <w:sz w:val="20"/>
              </w:rPr>
            </w:pPr>
            <w:r w:rsidRPr="0099225F">
              <w:rPr>
                <w:sz w:val="20"/>
              </w:rPr>
              <w:t>5</w:t>
            </w:r>
            <w:r w:rsidR="006E7422" w:rsidRPr="0099225F">
              <w:rPr>
                <w:sz w:val="20"/>
              </w:rPr>
              <w:t>9</w:t>
            </w:r>
            <w:r w:rsidRPr="0099225F">
              <w:rPr>
                <w:sz w:val="20"/>
              </w:rPr>
              <w:t>.</w:t>
            </w:r>
            <w:r w:rsidR="004F5E53" w:rsidRPr="0099225F">
              <w:rPr>
                <w:sz w:val="20"/>
              </w:rPr>
              <w:t>6</w:t>
            </w:r>
          </w:p>
          <w:p w14:paraId="4DFD4F0E" w14:textId="037BC2C1" w:rsidR="0064412C" w:rsidRPr="0099225F" w:rsidRDefault="0064412C" w:rsidP="00425C31">
            <w:pPr>
              <w:pStyle w:val="Tabletext"/>
              <w:rPr>
                <w:sz w:val="20"/>
              </w:rPr>
            </w:pPr>
            <w:r w:rsidRPr="0099225F">
              <w:rPr>
                <w:sz w:val="20"/>
              </w:rPr>
              <w:t>(201</w:t>
            </w:r>
            <w:r w:rsidR="004F5E53" w:rsidRPr="0099225F">
              <w:rPr>
                <w:sz w:val="20"/>
              </w:rPr>
              <w:t>9</w:t>
            </w:r>
            <w:r w:rsidRPr="0099225F">
              <w:rPr>
                <w:sz w:val="20"/>
              </w:rPr>
              <w:t>)</w:t>
            </w:r>
          </w:p>
        </w:tc>
        <w:tc>
          <w:tcPr>
            <w:tcW w:w="1701" w:type="dxa"/>
            <w:noWrap/>
          </w:tcPr>
          <w:p w14:paraId="09CEAC26" w14:textId="5F280E7C" w:rsidR="0064412C" w:rsidRPr="0099225F" w:rsidRDefault="00712148" w:rsidP="00425C31">
            <w:pPr>
              <w:pStyle w:val="Tabletext"/>
              <w:rPr>
                <w:sz w:val="20"/>
              </w:rPr>
            </w:pPr>
            <w:r w:rsidRPr="0099225F">
              <w:rPr>
                <w:sz w:val="20"/>
              </w:rPr>
              <w:t>53.3</w:t>
            </w:r>
          </w:p>
          <w:p w14:paraId="58AEDC09" w14:textId="77777777" w:rsidR="0064412C" w:rsidRPr="0099225F" w:rsidRDefault="0064412C" w:rsidP="00425C31">
            <w:pPr>
              <w:pStyle w:val="Tabletext"/>
              <w:rPr>
                <w:sz w:val="20"/>
              </w:rPr>
            </w:pPr>
            <w:r w:rsidRPr="0099225F">
              <w:rPr>
                <w:sz w:val="20"/>
              </w:rPr>
              <w:t>(2025)</w:t>
            </w:r>
          </w:p>
        </w:tc>
        <w:tc>
          <w:tcPr>
            <w:tcW w:w="1843" w:type="dxa"/>
          </w:tcPr>
          <w:p w14:paraId="473C21E1" w14:textId="3457ABAD" w:rsidR="0064412C" w:rsidRPr="0099225F" w:rsidRDefault="006E7422" w:rsidP="00425C31">
            <w:pPr>
              <w:pStyle w:val="Tabletext"/>
              <w:rPr>
                <w:sz w:val="20"/>
              </w:rPr>
            </w:pPr>
            <w:r w:rsidRPr="0099225F">
              <w:rPr>
                <w:sz w:val="20"/>
              </w:rPr>
              <w:t xml:space="preserve">■ </w:t>
            </w:r>
            <w:r w:rsidRPr="0099225F">
              <w:rPr>
                <w:sz w:val="20"/>
              </w:rPr>
              <w:br/>
              <w:t>No change</w:t>
            </w:r>
          </w:p>
        </w:tc>
      </w:tr>
      <w:tr w:rsidR="0064412C" w:rsidRPr="0099225F" w14:paraId="565B8162" w14:textId="77777777" w:rsidTr="000970D5">
        <w:trPr>
          <w:trHeight w:val="583"/>
        </w:trPr>
        <w:tc>
          <w:tcPr>
            <w:tcW w:w="1418" w:type="dxa"/>
          </w:tcPr>
          <w:p w14:paraId="5911F3D0" w14:textId="2BBF5D98" w:rsidR="0064412C" w:rsidRPr="0099225F" w:rsidRDefault="00000000" w:rsidP="00425C31">
            <w:pPr>
              <w:pStyle w:val="Tabletext"/>
              <w:rPr>
                <w:sz w:val="20"/>
              </w:rPr>
            </w:pPr>
            <w:hyperlink w:anchor="_Measure_6.4_–" w:history="1">
              <w:r w:rsidR="0064412C" w:rsidRPr="0099225F">
                <w:rPr>
                  <w:rStyle w:val="Hyperlink"/>
                  <w:sz w:val="20"/>
                </w:rPr>
                <w:t>6.4</w:t>
              </w:r>
            </w:hyperlink>
          </w:p>
        </w:tc>
        <w:tc>
          <w:tcPr>
            <w:tcW w:w="3260" w:type="dxa"/>
          </w:tcPr>
          <w:p w14:paraId="20C34EA7" w14:textId="6B6EEEB2" w:rsidR="0064412C" w:rsidRPr="0099225F" w:rsidRDefault="0064412C" w:rsidP="00425C31">
            <w:pPr>
              <w:pStyle w:val="Tabletext"/>
              <w:rPr>
                <w:sz w:val="20"/>
              </w:rPr>
            </w:pPr>
            <w:r w:rsidRPr="0099225F">
              <w:rPr>
                <w:sz w:val="20"/>
              </w:rPr>
              <w:t>Proportion of adolescents 12–17 years who consume alcohol at least monthly</w:t>
            </w:r>
          </w:p>
        </w:tc>
        <w:tc>
          <w:tcPr>
            <w:tcW w:w="2552" w:type="dxa"/>
          </w:tcPr>
          <w:p w14:paraId="7FAD1935" w14:textId="77777777" w:rsidR="0064412C" w:rsidRPr="0099225F" w:rsidRDefault="0064412C" w:rsidP="00425C31">
            <w:pPr>
              <w:pStyle w:val="Tabletext"/>
              <w:rPr>
                <w:sz w:val="20"/>
              </w:rPr>
            </w:pPr>
            <w:r w:rsidRPr="0099225F">
              <w:rPr>
                <w:sz w:val="20"/>
              </w:rPr>
              <w:t>Per cent</w:t>
            </w:r>
          </w:p>
        </w:tc>
        <w:tc>
          <w:tcPr>
            <w:tcW w:w="1842" w:type="dxa"/>
            <w:noWrap/>
          </w:tcPr>
          <w:p w14:paraId="2EACFD77" w14:textId="12A48635" w:rsidR="0064412C" w:rsidRPr="0099225F" w:rsidRDefault="004F5E53" w:rsidP="00425C31">
            <w:pPr>
              <w:pStyle w:val="Tabletext"/>
              <w:rPr>
                <w:sz w:val="20"/>
              </w:rPr>
            </w:pPr>
            <w:r w:rsidRPr="0099225F">
              <w:rPr>
                <w:sz w:val="20"/>
              </w:rPr>
              <w:t>20</w:t>
            </w:r>
            <w:r w:rsidR="0064412C" w:rsidRPr="0099225F">
              <w:rPr>
                <w:sz w:val="20"/>
              </w:rPr>
              <w:t>.6</w:t>
            </w:r>
          </w:p>
          <w:p w14:paraId="3D8497C5" w14:textId="77777777" w:rsidR="0064412C" w:rsidRPr="0099225F" w:rsidRDefault="0064412C" w:rsidP="00425C31">
            <w:pPr>
              <w:pStyle w:val="Tabletext"/>
              <w:rPr>
                <w:sz w:val="20"/>
              </w:rPr>
            </w:pPr>
            <w:r w:rsidRPr="0099225F">
              <w:rPr>
                <w:sz w:val="20"/>
              </w:rPr>
              <w:t>(2014)</w:t>
            </w:r>
          </w:p>
        </w:tc>
        <w:tc>
          <w:tcPr>
            <w:tcW w:w="1843" w:type="dxa"/>
            <w:noWrap/>
          </w:tcPr>
          <w:p w14:paraId="22BF3CBB" w14:textId="687D2BA6" w:rsidR="0064412C" w:rsidRPr="0099225F" w:rsidRDefault="004F5E53" w:rsidP="00425C31">
            <w:pPr>
              <w:pStyle w:val="Tabletext"/>
              <w:rPr>
                <w:sz w:val="20"/>
              </w:rPr>
            </w:pPr>
            <w:r w:rsidRPr="0099225F">
              <w:rPr>
                <w:sz w:val="20"/>
              </w:rPr>
              <w:t>17</w:t>
            </w:r>
            <w:r w:rsidR="0064412C" w:rsidRPr="0099225F">
              <w:rPr>
                <w:sz w:val="20"/>
              </w:rPr>
              <w:t>.7</w:t>
            </w:r>
          </w:p>
          <w:p w14:paraId="1D899572" w14:textId="1A88252F" w:rsidR="0064412C" w:rsidRPr="0099225F" w:rsidRDefault="0064412C" w:rsidP="00425C31">
            <w:pPr>
              <w:pStyle w:val="Tabletext"/>
              <w:rPr>
                <w:sz w:val="20"/>
              </w:rPr>
            </w:pPr>
            <w:r w:rsidRPr="0099225F">
              <w:rPr>
                <w:sz w:val="20"/>
              </w:rPr>
              <w:t>(201</w:t>
            </w:r>
            <w:r w:rsidR="004F5E53" w:rsidRPr="0099225F">
              <w:rPr>
                <w:sz w:val="20"/>
              </w:rPr>
              <w:t>8</w:t>
            </w:r>
            <w:r w:rsidRPr="0099225F">
              <w:rPr>
                <w:sz w:val="20"/>
              </w:rPr>
              <w:t>)</w:t>
            </w:r>
          </w:p>
        </w:tc>
        <w:tc>
          <w:tcPr>
            <w:tcW w:w="1701" w:type="dxa"/>
            <w:noWrap/>
          </w:tcPr>
          <w:p w14:paraId="42370324" w14:textId="6719DC99" w:rsidR="0064412C" w:rsidRPr="0099225F" w:rsidRDefault="00CF528E" w:rsidP="00425C31">
            <w:pPr>
              <w:pStyle w:val="Tabletext"/>
              <w:rPr>
                <w:sz w:val="20"/>
              </w:rPr>
            </w:pPr>
            <w:r w:rsidRPr="0099225F">
              <w:rPr>
                <w:sz w:val="20"/>
              </w:rPr>
              <w:t>18</w:t>
            </w:r>
            <w:r w:rsidR="00F90C56" w:rsidRPr="0099225F">
              <w:rPr>
                <w:sz w:val="20"/>
              </w:rPr>
              <w:t>.</w:t>
            </w:r>
            <w:r w:rsidRPr="0099225F">
              <w:rPr>
                <w:sz w:val="20"/>
              </w:rPr>
              <w:t>6</w:t>
            </w:r>
          </w:p>
          <w:p w14:paraId="538055EB" w14:textId="77777777" w:rsidR="0064412C" w:rsidRPr="0099225F" w:rsidRDefault="0064412C" w:rsidP="00425C31">
            <w:pPr>
              <w:pStyle w:val="Tabletext"/>
              <w:rPr>
                <w:sz w:val="20"/>
              </w:rPr>
            </w:pPr>
            <w:r w:rsidRPr="0099225F">
              <w:rPr>
                <w:sz w:val="20"/>
              </w:rPr>
              <w:t>(2025)</w:t>
            </w:r>
          </w:p>
        </w:tc>
        <w:tc>
          <w:tcPr>
            <w:tcW w:w="1843" w:type="dxa"/>
          </w:tcPr>
          <w:p w14:paraId="7D6CEA0A" w14:textId="77BC8D42" w:rsidR="0064412C" w:rsidRPr="0099225F" w:rsidRDefault="00254875" w:rsidP="006E7AD9">
            <w:pPr>
              <w:pStyle w:val="Tabletext"/>
              <w:rPr>
                <w:sz w:val="20"/>
              </w:rPr>
            </w:pPr>
            <w:r w:rsidRPr="0099225F">
              <w:rPr>
                <w:rFonts w:ascii="Wingdings" w:eastAsia="Wingdings" w:hAnsi="Wingdings" w:cs="Wingdings"/>
                <w:sz w:val="20"/>
              </w:rPr>
              <w:t>þ</w:t>
            </w:r>
            <w:r w:rsidR="00630C2A" w:rsidRPr="0099225F">
              <w:rPr>
                <w:sz w:val="20"/>
              </w:rPr>
              <w:br/>
            </w:r>
            <w:r>
              <w:rPr>
                <w:sz w:val="20"/>
              </w:rPr>
              <w:t>Target has been met</w:t>
            </w:r>
          </w:p>
        </w:tc>
      </w:tr>
    </w:tbl>
    <w:p w14:paraId="2614075B" w14:textId="49DBA293" w:rsidR="00D7510A" w:rsidRDefault="00D7510A" w:rsidP="00D7510A">
      <w:pPr>
        <w:pStyle w:val="Heading5"/>
      </w:pPr>
      <w:r w:rsidRPr="00CD7A1C">
        <w:t>Key result: Increase healthier eating and active living</w:t>
      </w:r>
    </w:p>
    <w:tbl>
      <w:tblPr>
        <w:tblStyle w:val="TableGrid"/>
        <w:tblW w:w="14454" w:type="dxa"/>
        <w:tblInd w:w="0" w:type="dxa"/>
        <w:tblLayout w:type="fixed"/>
        <w:tblLook w:val="04A0" w:firstRow="1" w:lastRow="0" w:firstColumn="1" w:lastColumn="0" w:noHBand="0" w:noVBand="1"/>
      </w:tblPr>
      <w:tblGrid>
        <w:gridCol w:w="1418"/>
        <w:gridCol w:w="3260"/>
        <w:gridCol w:w="2552"/>
        <w:gridCol w:w="1842"/>
        <w:gridCol w:w="1843"/>
        <w:gridCol w:w="1701"/>
        <w:gridCol w:w="1838"/>
      </w:tblGrid>
      <w:tr w:rsidR="00D7510A" w:rsidRPr="0099225F" w14:paraId="25C4CC8F" w14:textId="77777777" w:rsidTr="000970D5">
        <w:trPr>
          <w:trHeight w:val="690"/>
          <w:tblHeader/>
        </w:trPr>
        <w:tc>
          <w:tcPr>
            <w:tcW w:w="1418" w:type="dxa"/>
            <w:tcBorders>
              <w:top w:val="nil"/>
              <w:left w:val="nil"/>
              <w:bottom w:val="single" w:sz="4" w:space="0" w:color="C00000"/>
              <w:right w:val="nil"/>
            </w:tcBorders>
            <w:shd w:val="clear" w:color="auto" w:fill="EDCDCF"/>
          </w:tcPr>
          <w:p w14:paraId="534824D1" w14:textId="18608343" w:rsidR="00D7510A" w:rsidRPr="0099225F" w:rsidRDefault="00D7510A" w:rsidP="00D7510A">
            <w:pPr>
              <w:pStyle w:val="Tablecolhead"/>
              <w:rPr>
                <w:sz w:val="20"/>
              </w:rPr>
            </w:pPr>
            <w:r w:rsidRPr="0099225F">
              <w:rPr>
                <w:sz w:val="20"/>
              </w:rPr>
              <w:t>Measure #</w:t>
            </w:r>
          </w:p>
        </w:tc>
        <w:tc>
          <w:tcPr>
            <w:tcW w:w="3260" w:type="dxa"/>
            <w:tcBorders>
              <w:top w:val="nil"/>
              <w:left w:val="nil"/>
              <w:bottom w:val="single" w:sz="4" w:space="0" w:color="C00000"/>
              <w:right w:val="nil"/>
            </w:tcBorders>
            <w:shd w:val="clear" w:color="auto" w:fill="EDCDCF"/>
          </w:tcPr>
          <w:p w14:paraId="11B94F6E" w14:textId="49986753" w:rsidR="00D7510A" w:rsidRPr="0099225F" w:rsidRDefault="00D7510A" w:rsidP="00D7510A">
            <w:pPr>
              <w:pStyle w:val="Tablecolhead"/>
              <w:rPr>
                <w:sz w:val="20"/>
              </w:rPr>
            </w:pPr>
            <w:r w:rsidRPr="0099225F">
              <w:rPr>
                <w:sz w:val="20"/>
              </w:rPr>
              <w:t>Description</w:t>
            </w:r>
          </w:p>
        </w:tc>
        <w:tc>
          <w:tcPr>
            <w:tcW w:w="2552" w:type="dxa"/>
            <w:tcBorders>
              <w:top w:val="nil"/>
              <w:left w:val="nil"/>
              <w:bottom w:val="single" w:sz="4" w:space="0" w:color="C00000"/>
              <w:right w:val="nil"/>
            </w:tcBorders>
            <w:shd w:val="clear" w:color="auto" w:fill="EDCDCF"/>
          </w:tcPr>
          <w:p w14:paraId="0D28D8D9" w14:textId="6CE7E379" w:rsidR="00D7510A" w:rsidRPr="0099225F" w:rsidRDefault="00D7510A" w:rsidP="00D7510A">
            <w:pPr>
              <w:pStyle w:val="Tablecolhead"/>
              <w:rPr>
                <w:rStyle w:val="ilfuvd"/>
                <w:rFonts w:cs="Arial"/>
                <w:bCs/>
                <w:color w:val="C00000"/>
                <w:sz w:val="20"/>
              </w:rPr>
            </w:pPr>
            <w:r w:rsidRPr="0099225F">
              <w:rPr>
                <w:sz w:val="20"/>
              </w:rPr>
              <w:t>Unit of measure</w:t>
            </w:r>
          </w:p>
        </w:tc>
        <w:tc>
          <w:tcPr>
            <w:tcW w:w="1842" w:type="dxa"/>
            <w:tcBorders>
              <w:top w:val="nil"/>
              <w:left w:val="nil"/>
              <w:bottom w:val="single" w:sz="4" w:space="0" w:color="C00000"/>
              <w:right w:val="nil"/>
            </w:tcBorders>
            <w:shd w:val="clear" w:color="auto" w:fill="EDCDCF"/>
            <w:noWrap/>
          </w:tcPr>
          <w:p w14:paraId="170E823C" w14:textId="77777777" w:rsidR="00D7510A" w:rsidRPr="0099225F" w:rsidRDefault="00D7510A" w:rsidP="00D7510A">
            <w:pPr>
              <w:pStyle w:val="Tablecolhead"/>
              <w:rPr>
                <w:sz w:val="20"/>
              </w:rPr>
            </w:pPr>
            <w:r w:rsidRPr="0099225F">
              <w:rPr>
                <w:sz w:val="20"/>
              </w:rPr>
              <w:t>Baseline</w:t>
            </w:r>
          </w:p>
          <w:p w14:paraId="7313C4E9" w14:textId="22A6F338" w:rsidR="00D7510A" w:rsidRPr="0099225F" w:rsidRDefault="00D7510A" w:rsidP="00D7510A">
            <w:pPr>
              <w:pStyle w:val="Tablecolhead"/>
              <w:rPr>
                <w:sz w:val="20"/>
              </w:rPr>
            </w:pPr>
            <w:r w:rsidRPr="0099225F">
              <w:rPr>
                <w:sz w:val="20"/>
              </w:rPr>
              <w:t>(year)</w:t>
            </w:r>
          </w:p>
        </w:tc>
        <w:tc>
          <w:tcPr>
            <w:tcW w:w="1843" w:type="dxa"/>
            <w:tcBorders>
              <w:top w:val="nil"/>
              <w:left w:val="nil"/>
              <w:bottom w:val="single" w:sz="4" w:space="0" w:color="C00000"/>
              <w:right w:val="nil"/>
            </w:tcBorders>
            <w:shd w:val="clear" w:color="auto" w:fill="EDCDCF"/>
            <w:noWrap/>
          </w:tcPr>
          <w:p w14:paraId="79CD6064" w14:textId="77777777" w:rsidR="00D7510A" w:rsidRPr="0099225F" w:rsidRDefault="00D7510A" w:rsidP="00D7510A">
            <w:pPr>
              <w:pStyle w:val="Tablecolhead"/>
              <w:rPr>
                <w:sz w:val="20"/>
              </w:rPr>
            </w:pPr>
            <w:r w:rsidRPr="0099225F">
              <w:rPr>
                <w:sz w:val="20"/>
              </w:rPr>
              <w:t>Most recent</w:t>
            </w:r>
          </w:p>
          <w:p w14:paraId="587614CE" w14:textId="56F7CD3E" w:rsidR="00D7510A" w:rsidRPr="0099225F" w:rsidRDefault="00D7510A" w:rsidP="00D7510A">
            <w:pPr>
              <w:pStyle w:val="Tablecolhead"/>
              <w:rPr>
                <w:sz w:val="20"/>
              </w:rPr>
            </w:pPr>
            <w:r w:rsidRPr="0099225F">
              <w:rPr>
                <w:sz w:val="20"/>
              </w:rPr>
              <w:t>(year)</w:t>
            </w:r>
          </w:p>
        </w:tc>
        <w:tc>
          <w:tcPr>
            <w:tcW w:w="1701" w:type="dxa"/>
            <w:tcBorders>
              <w:top w:val="nil"/>
              <w:left w:val="nil"/>
              <w:bottom w:val="single" w:sz="4" w:space="0" w:color="C00000"/>
              <w:right w:val="nil"/>
            </w:tcBorders>
            <w:shd w:val="clear" w:color="auto" w:fill="EDCDCF"/>
            <w:noWrap/>
          </w:tcPr>
          <w:p w14:paraId="7B89B988" w14:textId="77777777" w:rsidR="00D7510A" w:rsidRPr="0099225F" w:rsidRDefault="00D7510A" w:rsidP="00D7510A">
            <w:pPr>
              <w:pStyle w:val="Tablecolhead"/>
              <w:rPr>
                <w:sz w:val="20"/>
              </w:rPr>
            </w:pPr>
            <w:r w:rsidRPr="0099225F">
              <w:rPr>
                <w:sz w:val="20"/>
              </w:rPr>
              <w:t>Target</w:t>
            </w:r>
          </w:p>
          <w:p w14:paraId="45090DE9" w14:textId="6D9F99D4" w:rsidR="00D7510A" w:rsidRPr="0099225F" w:rsidRDefault="00D7510A" w:rsidP="00D7510A">
            <w:pPr>
              <w:pStyle w:val="Tablecolhead"/>
              <w:rPr>
                <w:sz w:val="20"/>
              </w:rPr>
            </w:pPr>
            <w:r w:rsidRPr="0099225F">
              <w:rPr>
                <w:sz w:val="20"/>
              </w:rPr>
              <w:t>(year)</w:t>
            </w:r>
          </w:p>
        </w:tc>
        <w:tc>
          <w:tcPr>
            <w:tcW w:w="1838" w:type="dxa"/>
            <w:tcBorders>
              <w:top w:val="nil"/>
              <w:left w:val="nil"/>
              <w:bottom w:val="single" w:sz="4" w:space="0" w:color="C00000"/>
              <w:right w:val="nil"/>
            </w:tcBorders>
            <w:shd w:val="clear" w:color="auto" w:fill="EDCDCF"/>
          </w:tcPr>
          <w:p w14:paraId="07676CC7" w14:textId="1EDD4AEF" w:rsidR="00D7510A" w:rsidRPr="0099225F" w:rsidRDefault="00D7510A" w:rsidP="00D7510A">
            <w:pPr>
              <w:pStyle w:val="Tablecolhead"/>
              <w:rPr>
                <w:sz w:val="20"/>
              </w:rPr>
            </w:pPr>
            <w:r w:rsidRPr="0099225F">
              <w:rPr>
                <w:sz w:val="20"/>
              </w:rPr>
              <w:t>Trend</w:t>
            </w:r>
          </w:p>
        </w:tc>
      </w:tr>
      <w:tr w:rsidR="0064412C" w:rsidRPr="0099225F" w14:paraId="2FCB2B21" w14:textId="77777777" w:rsidTr="000970D5">
        <w:trPr>
          <w:trHeight w:val="690"/>
        </w:trPr>
        <w:tc>
          <w:tcPr>
            <w:tcW w:w="1418" w:type="dxa"/>
            <w:tcBorders>
              <w:top w:val="single" w:sz="4" w:space="0" w:color="C00000"/>
              <w:left w:val="nil"/>
              <w:bottom w:val="single" w:sz="4" w:space="0" w:color="C00000"/>
              <w:right w:val="nil"/>
            </w:tcBorders>
          </w:tcPr>
          <w:p w14:paraId="090F5562" w14:textId="513BD956" w:rsidR="0064412C" w:rsidRPr="0099225F" w:rsidRDefault="00000000" w:rsidP="00C1114C">
            <w:pPr>
              <w:pStyle w:val="Tabletext"/>
              <w:rPr>
                <w:sz w:val="20"/>
              </w:rPr>
            </w:pPr>
            <w:hyperlink w:anchor="_Measure_7.1_–" w:history="1">
              <w:r w:rsidR="0064412C" w:rsidRPr="0099225F">
                <w:rPr>
                  <w:rStyle w:val="Hyperlink"/>
                  <w:sz w:val="20"/>
                </w:rPr>
                <w:t>7.1</w:t>
              </w:r>
            </w:hyperlink>
          </w:p>
        </w:tc>
        <w:tc>
          <w:tcPr>
            <w:tcW w:w="3260" w:type="dxa"/>
            <w:tcBorders>
              <w:top w:val="single" w:sz="4" w:space="0" w:color="C00000"/>
              <w:left w:val="nil"/>
              <w:bottom w:val="single" w:sz="4" w:space="0" w:color="C00000"/>
              <w:right w:val="nil"/>
            </w:tcBorders>
          </w:tcPr>
          <w:p w14:paraId="2C4B4B7F" w14:textId="77777777" w:rsidR="0064412C" w:rsidRPr="0099225F" w:rsidRDefault="0064412C" w:rsidP="00C1114C">
            <w:pPr>
              <w:pStyle w:val="Tabletext"/>
              <w:rPr>
                <w:sz w:val="20"/>
              </w:rPr>
            </w:pPr>
            <w:r w:rsidRPr="0099225F">
              <w:rPr>
                <w:sz w:val="20"/>
              </w:rPr>
              <w:t>Mean daily serves of fruit in adults</w:t>
            </w:r>
          </w:p>
        </w:tc>
        <w:tc>
          <w:tcPr>
            <w:tcW w:w="2552" w:type="dxa"/>
            <w:tcBorders>
              <w:top w:val="single" w:sz="4" w:space="0" w:color="C00000"/>
              <w:left w:val="nil"/>
              <w:bottom w:val="single" w:sz="4" w:space="0" w:color="C00000"/>
              <w:right w:val="nil"/>
            </w:tcBorders>
          </w:tcPr>
          <w:p w14:paraId="5F9C1822" w14:textId="1EEC05EE" w:rsidR="0064412C" w:rsidRPr="0099225F" w:rsidRDefault="0064412C" w:rsidP="00C1114C">
            <w:pPr>
              <w:pStyle w:val="Tabletext"/>
              <w:rPr>
                <w:sz w:val="20"/>
              </w:rPr>
            </w:pPr>
            <w:r w:rsidRPr="0099225F">
              <w:rPr>
                <w:sz w:val="20"/>
              </w:rPr>
              <w:t>Arithmetic average</w:t>
            </w:r>
          </w:p>
        </w:tc>
        <w:tc>
          <w:tcPr>
            <w:tcW w:w="1842" w:type="dxa"/>
            <w:tcBorders>
              <w:top w:val="single" w:sz="4" w:space="0" w:color="C00000"/>
              <w:left w:val="nil"/>
              <w:bottom w:val="single" w:sz="4" w:space="0" w:color="C00000"/>
              <w:right w:val="nil"/>
            </w:tcBorders>
            <w:noWrap/>
          </w:tcPr>
          <w:p w14:paraId="53D43410" w14:textId="6F16AEB4" w:rsidR="0064412C" w:rsidRPr="0099225F" w:rsidRDefault="0064412C" w:rsidP="00C1114C">
            <w:pPr>
              <w:pStyle w:val="Tabletext"/>
              <w:rPr>
                <w:sz w:val="20"/>
              </w:rPr>
            </w:pPr>
            <w:r w:rsidRPr="0099225F">
              <w:rPr>
                <w:sz w:val="20"/>
              </w:rPr>
              <w:t>1.6</w:t>
            </w:r>
          </w:p>
          <w:p w14:paraId="7E2CA242" w14:textId="76764F73" w:rsidR="0064412C" w:rsidRPr="0099225F" w:rsidRDefault="0064412C" w:rsidP="00C1114C">
            <w:pPr>
              <w:pStyle w:val="Tabletext"/>
              <w:rPr>
                <w:sz w:val="20"/>
              </w:rPr>
            </w:pPr>
            <w:r w:rsidRPr="0099225F">
              <w:rPr>
                <w:sz w:val="20"/>
              </w:rPr>
              <w:t>(2011)</w:t>
            </w:r>
          </w:p>
        </w:tc>
        <w:tc>
          <w:tcPr>
            <w:tcW w:w="1843" w:type="dxa"/>
            <w:tcBorders>
              <w:top w:val="single" w:sz="4" w:space="0" w:color="C00000"/>
              <w:left w:val="nil"/>
              <w:bottom w:val="single" w:sz="4" w:space="0" w:color="C00000"/>
              <w:right w:val="nil"/>
            </w:tcBorders>
            <w:noWrap/>
          </w:tcPr>
          <w:p w14:paraId="1159B5CA" w14:textId="5DBB2210" w:rsidR="0064412C" w:rsidRPr="0099225F" w:rsidRDefault="0064412C" w:rsidP="00C1114C">
            <w:pPr>
              <w:pStyle w:val="Tabletext"/>
              <w:rPr>
                <w:sz w:val="20"/>
              </w:rPr>
            </w:pPr>
            <w:r w:rsidRPr="0099225F">
              <w:rPr>
                <w:sz w:val="20"/>
              </w:rPr>
              <w:t>1.5</w:t>
            </w:r>
          </w:p>
          <w:p w14:paraId="399FCAF1" w14:textId="32D2C4F9" w:rsidR="0064412C" w:rsidRPr="0099225F" w:rsidRDefault="0064412C" w:rsidP="00C1114C">
            <w:pPr>
              <w:pStyle w:val="Tabletext"/>
              <w:rPr>
                <w:sz w:val="20"/>
              </w:rPr>
            </w:pPr>
            <w:r w:rsidRPr="0099225F">
              <w:rPr>
                <w:sz w:val="20"/>
              </w:rPr>
              <w:t>(201</w:t>
            </w:r>
            <w:r w:rsidR="002B1185" w:rsidRPr="0099225F">
              <w:rPr>
                <w:sz w:val="20"/>
              </w:rPr>
              <w:t>9</w:t>
            </w:r>
            <w:r w:rsidRPr="0099225F">
              <w:rPr>
                <w:sz w:val="20"/>
              </w:rPr>
              <w:t>)</w:t>
            </w:r>
          </w:p>
        </w:tc>
        <w:tc>
          <w:tcPr>
            <w:tcW w:w="1701" w:type="dxa"/>
            <w:tcBorders>
              <w:top w:val="single" w:sz="4" w:space="0" w:color="C00000"/>
              <w:left w:val="nil"/>
              <w:bottom w:val="single" w:sz="4" w:space="0" w:color="C00000"/>
              <w:right w:val="nil"/>
            </w:tcBorders>
            <w:noWrap/>
          </w:tcPr>
          <w:p w14:paraId="4239611C" w14:textId="77777777" w:rsidR="0064412C" w:rsidRPr="0099225F" w:rsidRDefault="0064412C" w:rsidP="00C1114C">
            <w:pPr>
              <w:pStyle w:val="Tabletext"/>
              <w:rPr>
                <w:sz w:val="20"/>
                <w:highlight w:val="yellow"/>
              </w:rPr>
            </w:pPr>
            <w:r w:rsidRPr="0099225F">
              <w:rPr>
                <w:sz w:val="20"/>
              </w:rPr>
              <w:t>N/S</w:t>
            </w:r>
          </w:p>
        </w:tc>
        <w:tc>
          <w:tcPr>
            <w:tcW w:w="1838" w:type="dxa"/>
            <w:tcBorders>
              <w:top w:val="single" w:sz="4" w:space="0" w:color="C00000"/>
              <w:left w:val="nil"/>
              <w:bottom w:val="single" w:sz="4" w:space="0" w:color="C00000"/>
              <w:right w:val="nil"/>
            </w:tcBorders>
          </w:tcPr>
          <w:p w14:paraId="2E4F35AE" w14:textId="66D4DED4" w:rsidR="0064412C" w:rsidRPr="0099225F" w:rsidRDefault="00CF3B53" w:rsidP="00C1114C">
            <w:pPr>
              <w:pStyle w:val="Tabletext"/>
              <w:rPr>
                <w:sz w:val="20"/>
              </w:rPr>
            </w:pPr>
            <w:r w:rsidRPr="0099225F">
              <w:rPr>
                <w:sz w:val="20"/>
              </w:rPr>
              <w:t xml:space="preserve">■ </w:t>
            </w:r>
            <w:r w:rsidRPr="0099225F">
              <w:rPr>
                <w:sz w:val="20"/>
              </w:rPr>
              <w:br/>
              <w:t>No change</w:t>
            </w:r>
          </w:p>
        </w:tc>
      </w:tr>
      <w:tr w:rsidR="0064412C" w:rsidRPr="0099225F" w14:paraId="4B0BB08F" w14:textId="77777777" w:rsidTr="000970D5">
        <w:trPr>
          <w:trHeight w:val="690"/>
        </w:trPr>
        <w:tc>
          <w:tcPr>
            <w:tcW w:w="1418" w:type="dxa"/>
            <w:tcBorders>
              <w:top w:val="single" w:sz="4" w:space="0" w:color="C00000"/>
              <w:left w:val="nil"/>
              <w:bottom w:val="single" w:sz="4" w:space="0" w:color="C00000"/>
              <w:right w:val="nil"/>
            </w:tcBorders>
            <w:hideMark/>
          </w:tcPr>
          <w:p w14:paraId="20425F71" w14:textId="4F60B844" w:rsidR="0064412C" w:rsidRPr="0099225F" w:rsidRDefault="00000000" w:rsidP="00C1114C">
            <w:pPr>
              <w:pStyle w:val="Tabletext"/>
              <w:rPr>
                <w:sz w:val="20"/>
              </w:rPr>
            </w:pPr>
            <w:hyperlink w:anchor="_Measure_7.2_–" w:history="1">
              <w:r w:rsidR="0064412C" w:rsidRPr="0099225F">
                <w:rPr>
                  <w:rStyle w:val="Hyperlink"/>
                  <w:sz w:val="20"/>
                </w:rPr>
                <w:t>7.2</w:t>
              </w:r>
            </w:hyperlink>
          </w:p>
        </w:tc>
        <w:tc>
          <w:tcPr>
            <w:tcW w:w="3260" w:type="dxa"/>
            <w:tcBorders>
              <w:top w:val="single" w:sz="4" w:space="0" w:color="C00000"/>
              <w:left w:val="nil"/>
              <w:bottom w:val="single" w:sz="4" w:space="0" w:color="C00000"/>
              <w:right w:val="nil"/>
            </w:tcBorders>
          </w:tcPr>
          <w:p w14:paraId="2D542C59" w14:textId="4EED182F" w:rsidR="0064412C" w:rsidRPr="0099225F" w:rsidRDefault="0064412C" w:rsidP="00C1114C">
            <w:pPr>
              <w:pStyle w:val="Tabletext"/>
              <w:rPr>
                <w:sz w:val="20"/>
              </w:rPr>
            </w:pPr>
            <w:r w:rsidRPr="0099225F">
              <w:rPr>
                <w:sz w:val="20"/>
              </w:rPr>
              <w:t xml:space="preserve">Proportion of adolescents 10–17 years who eat the daily recommended serves of fruit </w:t>
            </w:r>
          </w:p>
        </w:tc>
        <w:tc>
          <w:tcPr>
            <w:tcW w:w="2552" w:type="dxa"/>
            <w:tcBorders>
              <w:top w:val="single" w:sz="4" w:space="0" w:color="C00000"/>
              <w:left w:val="nil"/>
              <w:bottom w:val="single" w:sz="4" w:space="0" w:color="C00000"/>
              <w:right w:val="nil"/>
            </w:tcBorders>
          </w:tcPr>
          <w:p w14:paraId="113611F3" w14:textId="72745DDF" w:rsidR="0064412C" w:rsidRPr="0099225F" w:rsidRDefault="0064412C" w:rsidP="00C1114C">
            <w:pPr>
              <w:pStyle w:val="Tabletext"/>
              <w:rPr>
                <w:sz w:val="20"/>
              </w:rPr>
            </w:pPr>
            <w:r w:rsidRPr="0099225F">
              <w:rPr>
                <w:sz w:val="20"/>
              </w:rPr>
              <w:t>Per cent</w:t>
            </w:r>
          </w:p>
        </w:tc>
        <w:tc>
          <w:tcPr>
            <w:tcW w:w="1842" w:type="dxa"/>
            <w:tcBorders>
              <w:top w:val="single" w:sz="4" w:space="0" w:color="C00000"/>
              <w:left w:val="nil"/>
              <w:bottom w:val="single" w:sz="4" w:space="0" w:color="C00000"/>
              <w:right w:val="nil"/>
            </w:tcBorders>
            <w:noWrap/>
          </w:tcPr>
          <w:p w14:paraId="3C067B80" w14:textId="788CBC40" w:rsidR="0064412C" w:rsidRPr="0099225F" w:rsidRDefault="00400409" w:rsidP="00C1114C">
            <w:pPr>
              <w:pStyle w:val="Tabletext"/>
              <w:rPr>
                <w:sz w:val="20"/>
              </w:rPr>
            </w:pPr>
            <w:r w:rsidRPr="0099225F">
              <w:rPr>
                <w:sz w:val="20"/>
              </w:rPr>
              <w:t>69.5</w:t>
            </w:r>
          </w:p>
          <w:p w14:paraId="625B52EB" w14:textId="61B6C73E" w:rsidR="0064412C" w:rsidRPr="0099225F" w:rsidRDefault="0064412C" w:rsidP="00C1114C">
            <w:pPr>
              <w:pStyle w:val="Tabletext"/>
              <w:rPr>
                <w:sz w:val="20"/>
              </w:rPr>
            </w:pPr>
            <w:r w:rsidRPr="0099225F">
              <w:rPr>
                <w:sz w:val="20"/>
              </w:rPr>
              <w:t>(2014)</w:t>
            </w:r>
          </w:p>
        </w:tc>
        <w:tc>
          <w:tcPr>
            <w:tcW w:w="1843" w:type="dxa"/>
            <w:tcBorders>
              <w:top w:val="single" w:sz="4" w:space="0" w:color="C00000"/>
              <w:left w:val="nil"/>
              <w:bottom w:val="single" w:sz="4" w:space="0" w:color="C00000"/>
              <w:right w:val="nil"/>
            </w:tcBorders>
            <w:noWrap/>
          </w:tcPr>
          <w:p w14:paraId="1D62115A" w14:textId="2D4FF4B0" w:rsidR="0064412C" w:rsidRPr="0099225F" w:rsidRDefault="00F64F96" w:rsidP="00C1114C">
            <w:pPr>
              <w:pStyle w:val="Tabletext"/>
              <w:rPr>
                <w:sz w:val="20"/>
              </w:rPr>
            </w:pPr>
            <w:r w:rsidRPr="0099225F">
              <w:rPr>
                <w:sz w:val="20"/>
              </w:rPr>
              <w:t>67.</w:t>
            </w:r>
            <w:r w:rsidR="002B1185" w:rsidRPr="0099225F">
              <w:rPr>
                <w:sz w:val="20"/>
              </w:rPr>
              <w:t>4</w:t>
            </w:r>
          </w:p>
          <w:p w14:paraId="6488F1B0" w14:textId="6EF96D6C" w:rsidR="0064412C" w:rsidRPr="0099225F" w:rsidRDefault="0064412C" w:rsidP="00C1114C">
            <w:pPr>
              <w:pStyle w:val="Tabletext"/>
              <w:rPr>
                <w:sz w:val="20"/>
              </w:rPr>
            </w:pPr>
            <w:r w:rsidRPr="0099225F">
              <w:rPr>
                <w:sz w:val="20"/>
              </w:rPr>
              <w:t>(201</w:t>
            </w:r>
            <w:r w:rsidR="002B1185" w:rsidRPr="0099225F">
              <w:rPr>
                <w:sz w:val="20"/>
              </w:rPr>
              <w:t>8</w:t>
            </w:r>
            <w:r w:rsidRPr="0099225F">
              <w:rPr>
                <w:sz w:val="20"/>
              </w:rPr>
              <w:t>)</w:t>
            </w:r>
          </w:p>
        </w:tc>
        <w:tc>
          <w:tcPr>
            <w:tcW w:w="1701" w:type="dxa"/>
            <w:tcBorders>
              <w:top w:val="single" w:sz="4" w:space="0" w:color="C00000"/>
              <w:left w:val="nil"/>
              <w:bottom w:val="single" w:sz="4" w:space="0" w:color="C00000"/>
              <w:right w:val="nil"/>
            </w:tcBorders>
            <w:noWrap/>
          </w:tcPr>
          <w:p w14:paraId="74ACD17D" w14:textId="71B9ABE3" w:rsidR="0064412C" w:rsidRPr="0099225F" w:rsidRDefault="0064412C" w:rsidP="00C1114C">
            <w:pPr>
              <w:pStyle w:val="Tabletext"/>
              <w:rPr>
                <w:sz w:val="20"/>
                <w:highlight w:val="yellow"/>
              </w:rPr>
            </w:pPr>
            <w:r w:rsidRPr="0099225F">
              <w:rPr>
                <w:sz w:val="20"/>
              </w:rPr>
              <w:t>N/S</w:t>
            </w:r>
          </w:p>
        </w:tc>
        <w:tc>
          <w:tcPr>
            <w:tcW w:w="1838" w:type="dxa"/>
            <w:tcBorders>
              <w:top w:val="single" w:sz="4" w:space="0" w:color="C00000"/>
              <w:left w:val="nil"/>
              <w:bottom w:val="single" w:sz="4" w:space="0" w:color="C00000"/>
              <w:right w:val="nil"/>
            </w:tcBorders>
          </w:tcPr>
          <w:p w14:paraId="24ED9F79" w14:textId="799EC441" w:rsidR="0064412C" w:rsidRPr="0099225F" w:rsidRDefault="00D7510A" w:rsidP="00C1114C">
            <w:pPr>
              <w:pStyle w:val="Tabletext"/>
              <w:rPr>
                <w:sz w:val="20"/>
              </w:rPr>
            </w:pPr>
            <w:r w:rsidRPr="0099225F">
              <w:rPr>
                <w:sz w:val="20"/>
              </w:rPr>
              <w:t>▼</w:t>
            </w:r>
            <w:r w:rsidRPr="0099225F">
              <w:rPr>
                <w:sz w:val="20"/>
              </w:rPr>
              <w:br/>
              <w:t>Downward</w:t>
            </w:r>
          </w:p>
        </w:tc>
      </w:tr>
      <w:tr w:rsidR="0064412C" w:rsidRPr="0099225F" w14:paraId="0AA503E0" w14:textId="77777777" w:rsidTr="000970D5">
        <w:trPr>
          <w:trHeight w:val="706"/>
        </w:trPr>
        <w:tc>
          <w:tcPr>
            <w:tcW w:w="1418" w:type="dxa"/>
            <w:tcBorders>
              <w:top w:val="single" w:sz="4" w:space="0" w:color="C00000"/>
              <w:left w:val="nil"/>
              <w:bottom w:val="single" w:sz="4" w:space="0" w:color="C00000"/>
              <w:right w:val="nil"/>
            </w:tcBorders>
            <w:hideMark/>
          </w:tcPr>
          <w:p w14:paraId="1A81425B" w14:textId="25E0A074" w:rsidR="0064412C" w:rsidRPr="0099225F" w:rsidRDefault="00000000" w:rsidP="00C1114C">
            <w:pPr>
              <w:pStyle w:val="Tabletext"/>
              <w:rPr>
                <w:sz w:val="20"/>
              </w:rPr>
            </w:pPr>
            <w:hyperlink w:anchor="_Measure_7.3_–" w:history="1">
              <w:r w:rsidR="0064412C" w:rsidRPr="0099225F">
                <w:rPr>
                  <w:rStyle w:val="Hyperlink"/>
                  <w:sz w:val="20"/>
                </w:rPr>
                <w:t>7.3</w:t>
              </w:r>
            </w:hyperlink>
          </w:p>
        </w:tc>
        <w:tc>
          <w:tcPr>
            <w:tcW w:w="3260" w:type="dxa"/>
            <w:tcBorders>
              <w:top w:val="single" w:sz="4" w:space="0" w:color="C00000"/>
              <w:left w:val="nil"/>
              <w:bottom w:val="single" w:sz="4" w:space="0" w:color="C00000"/>
              <w:right w:val="nil"/>
            </w:tcBorders>
          </w:tcPr>
          <w:p w14:paraId="6BDB5FD1" w14:textId="506F2812" w:rsidR="0064412C" w:rsidRPr="0099225F" w:rsidRDefault="0064412C" w:rsidP="00C1114C">
            <w:pPr>
              <w:pStyle w:val="Tabletext"/>
              <w:rPr>
                <w:sz w:val="20"/>
              </w:rPr>
            </w:pPr>
            <w:r w:rsidRPr="0099225F">
              <w:rPr>
                <w:sz w:val="20"/>
              </w:rPr>
              <w:t xml:space="preserve">Proportion of children 4–12 years who eat the daily recommended serves of fruit </w:t>
            </w:r>
          </w:p>
        </w:tc>
        <w:tc>
          <w:tcPr>
            <w:tcW w:w="2552" w:type="dxa"/>
            <w:tcBorders>
              <w:top w:val="single" w:sz="4" w:space="0" w:color="C00000"/>
              <w:left w:val="nil"/>
              <w:bottom w:val="single" w:sz="4" w:space="0" w:color="C00000"/>
              <w:right w:val="nil"/>
            </w:tcBorders>
          </w:tcPr>
          <w:p w14:paraId="59F7CF0F" w14:textId="33A23FBF" w:rsidR="0064412C" w:rsidRPr="0099225F" w:rsidRDefault="0064412C" w:rsidP="00C1114C">
            <w:pPr>
              <w:pStyle w:val="Tabletext"/>
              <w:rPr>
                <w:sz w:val="20"/>
              </w:rPr>
            </w:pPr>
            <w:r w:rsidRPr="0099225F">
              <w:rPr>
                <w:sz w:val="20"/>
              </w:rPr>
              <w:t>Per cent</w:t>
            </w:r>
          </w:p>
        </w:tc>
        <w:tc>
          <w:tcPr>
            <w:tcW w:w="1842" w:type="dxa"/>
            <w:tcBorders>
              <w:top w:val="single" w:sz="4" w:space="0" w:color="C00000"/>
              <w:left w:val="nil"/>
              <w:bottom w:val="single" w:sz="4" w:space="0" w:color="C00000"/>
              <w:right w:val="nil"/>
            </w:tcBorders>
            <w:noWrap/>
          </w:tcPr>
          <w:p w14:paraId="2525D3B0" w14:textId="77777777" w:rsidR="0064412C" w:rsidRPr="0099225F" w:rsidRDefault="0064412C" w:rsidP="00C1114C">
            <w:pPr>
              <w:pStyle w:val="Tabletext"/>
              <w:rPr>
                <w:sz w:val="20"/>
              </w:rPr>
            </w:pPr>
            <w:r w:rsidRPr="0099225F">
              <w:rPr>
                <w:sz w:val="20"/>
              </w:rPr>
              <w:t>73.2</w:t>
            </w:r>
          </w:p>
          <w:p w14:paraId="12CF4F4A" w14:textId="4AB6D960" w:rsidR="0064412C" w:rsidRPr="0099225F" w:rsidRDefault="0064412C" w:rsidP="00C1114C">
            <w:pPr>
              <w:pStyle w:val="Tabletext"/>
              <w:rPr>
                <w:sz w:val="20"/>
              </w:rPr>
            </w:pPr>
            <w:r w:rsidRPr="0099225F">
              <w:rPr>
                <w:sz w:val="20"/>
              </w:rPr>
              <w:t>(2013)</w:t>
            </w:r>
          </w:p>
        </w:tc>
        <w:tc>
          <w:tcPr>
            <w:tcW w:w="1843" w:type="dxa"/>
            <w:tcBorders>
              <w:top w:val="single" w:sz="4" w:space="0" w:color="C00000"/>
              <w:left w:val="nil"/>
              <w:bottom w:val="single" w:sz="4" w:space="0" w:color="C00000"/>
              <w:right w:val="nil"/>
            </w:tcBorders>
            <w:noWrap/>
          </w:tcPr>
          <w:p w14:paraId="6DD36993" w14:textId="7B25AC43" w:rsidR="0064412C" w:rsidRPr="0099225F" w:rsidRDefault="00521471" w:rsidP="00C1114C">
            <w:pPr>
              <w:pStyle w:val="Tabletext"/>
              <w:rPr>
                <w:sz w:val="20"/>
              </w:rPr>
            </w:pPr>
            <w:r w:rsidRPr="0099225F">
              <w:rPr>
                <w:sz w:val="20"/>
              </w:rPr>
              <w:t>7</w:t>
            </w:r>
            <w:r w:rsidR="00642449">
              <w:rPr>
                <w:sz w:val="20"/>
              </w:rPr>
              <w:t>2</w:t>
            </w:r>
            <w:r w:rsidRPr="0099225F">
              <w:rPr>
                <w:sz w:val="20"/>
              </w:rPr>
              <w:t>.</w:t>
            </w:r>
            <w:r w:rsidR="00642449">
              <w:rPr>
                <w:sz w:val="20"/>
              </w:rPr>
              <w:t>0</w:t>
            </w:r>
          </w:p>
          <w:p w14:paraId="36217F62" w14:textId="2CC6F52B" w:rsidR="00521471" w:rsidRPr="0099225F" w:rsidRDefault="00521471" w:rsidP="00C1114C">
            <w:pPr>
              <w:pStyle w:val="Tabletext"/>
              <w:rPr>
                <w:sz w:val="20"/>
              </w:rPr>
            </w:pPr>
            <w:r w:rsidRPr="0099225F">
              <w:rPr>
                <w:sz w:val="20"/>
              </w:rPr>
              <w:t>(20</w:t>
            </w:r>
            <w:r w:rsidR="00642449">
              <w:rPr>
                <w:sz w:val="20"/>
              </w:rPr>
              <w:t>21</w:t>
            </w:r>
            <w:r w:rsidRPr="0099225F">
              <w:rPr>
                <w:sz w:val="20"/>
              </w:rPr>
              <w:t>)</w:t>
            </w:r>
          </w:p>
        </w:tc>
        <w:tc>
          <w:tcPr>
            <w:tcW w:w="1701" w:type="dxa"/>
            <w:tcBorders>
              <w:top w:val="single" w:sz="4" w:space="0" w:color="C00000"/>
              <w:left w:val="nil"/>
              <w:bottom w:val="single" w:sz="4" w:space="0" w:color="C00000"/>
              <w:right w:val="nil"/>
            </w:tcBorders>
            <w:noWrap/>
          </w:tcPr>
          <w:p w14:paraId="3E20A09A" w14:textId="498440E0" w:rsidR="0064412C" w:rsidRPr="0099225F" w:rsidRDefault="0064412C" w:rsidP="00C1114C">
            <w:pPr>
              <w:pStyle w:val="Tabletext"/>
              <w:rPr>
                <w:sz w:val="20"/>
              </w:rPr>
            </w:pPr>
            <w:r w:rsidRPr="0099225F">
              <w:rPr>
                <w:sz w:val="20"/>
              </w:rPr>
              <w:t>N/S</w:t>
            </w:r>
          </w:p>
        </w:tc>
        <w:tc>
          <w:tcPr>
            <w:tcW w:w="1838" w:type="dxa"/>
            <w:tcBorders>
              <w:top w:val="single" w:sz="4" w:space="0" w:color="C00000"/>
              <w:left w:val="nil"/>
              <w:bottom w:val="single" w:sz="4" w:space="0" w:color="C00000"/>
              <w:right w:val="nil"/>
            </w:tcBorders>
          </w:tcPr>
          <w:p w14:paraId="04BE1129" w14:textId="2852CE3A" w:rsidR="00521471" w:rsidRPr="0099225F" w:rsidRDefault="00642449" w:rsidP="00C1114C">
            <w:pPr>
              <w:pStyle w:val="Tabletext"/>
              <w:rPr>
                <w:sz w:val="20"/>
              </w:rPr>
            </w:pPr>
            <w:r w:rsidRPr="0099225F">
              <w:rPr>
                <w:sz w:val="20"/>
              </w:rPr>
              <w:t xml:space="preserve">■ </w:t>
            </w:r>
            <w:r w:rsidRPr="0099225F">
              <w:rPr>
                <w:sz w:val="20"/>
              </w:rPr>
              <w:br/>
              <w:t>No change</w:t>
            </w:r>
          </w:p>
        </w:tc>
      </w:tr>
      <w:tr w:rsidR="0064412C" w:rsidRPr="0099225F" w14:paraId="3CCD8C2D" w14:textId="77777777" w:rsidTr="000970D5">
        <w:trPr>
          <w:trHeight w:val="690"/>
        </w:trPr>
        <w:tc>
          <w:tcPr>
            <w:tcW w:w="1418" w:type="dxa"/>
            <w:tcBorders>
              <w:top w:val="single" w:sz="4" w:space="0" w:color="C00000"/>
              <w:left w:val="nil"/>
              <w:bottom w:val="single" w:sz="4" w:space="0" w:color="C00000"/>
              <w:right w:val="nil"/>
            </w:tcBorders>
            <w:hideMark/>
          </w:tcPr>
          <w:p w14:paraId="779261C4" w14:textId="7BFE29CF" w:rsidR="0064412C" w:rsidRPr="0099225F" w:rsidRDefault="00000000" w:rsidP="00C1114C">
            <w:pPr>
              <w:pStyle w:val="Tabletext"/>
              <w:rPr>
                <w:sz w:val="20"/>
              </w:rPr>
            </w:pPr>
            <w:hyperlink w:anchor="_Measure_7.4_–" w:history="1">
              <w:r w:rsidR="0064412C" w:rsidRPr="0099225F">
                <w:rPr>
                  <w:rStyle w:val="Hyperlink"/>
                  <w:sz w:val="20"/>
                </w:rPr>
                <w:t>7.4</w:t>
              </w:r>
            </w:hyperlink>
          </w:p>
        </w:tc>
        <w:tc>
          <w:tcPr>
            <w:tcW w:w="3260" w:type="dxa"/>
            <w:tcBorders>
              <w:top w:val="single" w:sz="4" w:space="0" w:color="C00000"/>
              <w:left w:val="nil"/>
              <w:bottom w:val="single" w:sz="4" w:space="0" w:color="C00000"/>
              <w:right w:val="nil"/>
            </w:tcBorders>
          </w:tcPr>
          <w:p w14:paraId="45BDA1A7" w14:textId="77777777" w:rsidR="0064412C" w:rsidRPr="0099225F" w:rsidRDefault="0064412C" w:rsidP="00C1114C">
            <w:pPr>
              <w:pStyle w:val="Tabletext"/>
              <w:rPr>
                <w:sz w:val="20"/>
              </w:rPr>
            </w:pPr>
            <w:r w:rsidRPr="0099225F">
              <w:rPr>
                <w:sz w:val="20"/>
              </w:rPr>
              <w:t>Mean daily serves of vegetables in adults</w:t>
            </w:r>
          </w:p>
        </w:tc>
        <w:tc>
          <w:tcPr>
            <w:tcW w:w="2552" w:type="dxa"/>
            <w:tcBorders>
              <w:top w:val="single" w:sz="4" w:space="0" w:color="C00000"/>
              <w:left w:val="nil"/>
              <w:bottom w:val="single" w:sz="4" w:space="0" w:color="C00000"/>
              <w:right w:val="nil"/>
            </w:tcBorders>
          </w:tcPr>
          <w:p w14:paraId="16EF4A7A" w14:textId="0CBDCCC0" w:rsidR="0064412C" w:rsidRPr="0099225F" w:rsidRDefault="0064412C" w:rsidP="00C1114C">
            <w:pPr>
              <w:pStyle w:val="Tabletext"/>
              <w:rPr>
                <w:sz w:val="20"/>
              </w:rPr>
            </w:pPr>
            <w:r w:rsidRPr="0099225F">
              <w:rPr>
                <w:sz w:val="20"/>
              </w:rPr>
              <w:t>Arithmetic average</w:t>
            </w:r>
          </w:p>
        </w:tc>
        <w:tc>
          <w:tcPr>
            <w:tcW w:w="1842" w:type="dxa"/>
            <w:tcBorders>
              <w:top w:val="single" w:sz="4" w:space="0" w:color="C00000"/>
              <w:left w:val="nil"/>
              <w:bottom w:val="single" w:sz="4" w:space="0" w:color="C00000"/>
              <w:right w:val="nil"/>
            </w:tcBorders>
            <w:noWrap/>
          </w:tcPr>
          <w:p w14:paraId="7508F6BF" w14:textId="4DF1B10F" w:rsidR="0064412C" w:rsidRPr="0099225F" w:rsidRDefault="0064412C" w:rsidP="00C1114C">
            <w:pPr>
              <w:pStyle w:val="Tabletext"/>
              <w:rPr>
                <w:sz w:val="20"/>
              </w:rPr>
            </w:pPr>
            <w:r w:rsidRPr="0099225F">
              <w:rPr>
                <w:sz w:val="20"/>
              </w:rPr>
              <w:t>2.</w:t>
            </w:r>
            <w:r w:rsidR="00083613" w:rsidRPr="0099225F">
              <w:rPr>
                <w:sz w:val="20"/>
              </w:rPr>
              <w:t>3</w:t>
            </w:r>
          </w:p>
          <w:p w14:paraId="73EEE1B6" w14:textId="640B5A3E" w:rsidR="0064412C" w:rsidRPr="0099225F" w:rsidRDefault="0064412C" w:rsidP="00C1114C">
            <w:pPr>
              <w:pStyle w:val="Tabletext"/>
              <w:rPr>
                <w:sz w:val="20"/>
              </w:rPr>
            </w:pPr>
            <w:r w:rsidRPr="0099225F">
              <w:rPr>
                <w:sz w:val="20"/>
              </w:rPr>
              <w:t>(2011)</w:t>
            </w:r>
          </w:p>
        </w:tc>
        <w:tc>
          <w:tcPr>
            <w:tcW w:w="1843" w:type="dxa"/>
            <w:tcBorders>
              <w:top w:val="single" w:sz="4" w:space="0" w:color="C00000"/>
              <w:left w:val="nil"/>
              <w:bottom w:val="single" w:sz="4" w:space="0" w:color="C00000"/>
              <w:right w:val="nil"/>
            </w:tcBorders>
            <w:noWrap/>
          </w:tcPr>
          <w:p w14:paraId="2E560BB6" w14:textId="4C225F9F" w:rsidR="0064412C" w:rsidRPr="0099225F" w:rsidRDefault="0064412C" w:rsidP="00C1114C">
            <w:pPr>
              <w:pStyle w:val="Tabletext"/>
              <w:rPr>
                <w:sz w:val="20"/>
              </w:rPr>
            </w:pPr>
            <w:r w:rsidRPr="0099225F">
              <w:rPr>
                <w:sz w:val="20"/>
              </w:rPr>
              <w:t>2.1</w:t>
            </w:r>
          </w:p>
          <w:p w14:paraId="360C240D" w14:textId="1AD0FB94" w:rsidR="0064412C" w:rsidRPr="0099225F" w:rsidRDefault="0064412C" w:rsidP="00C1114C">
            <w:pPr>
              <w:pStyle w:val="Tabletext"/>
              <w:rPr>
                <w:sz w:val="20"/>
              </w:rPr>
            </w:pPr>
            <w:r w:rsidRPr="0099225F">
              <w:rPr>
                <w:sz w:val="20"/>
              </w:rPr>
              <w:t>(201</w:t>
            </w:r>
            <w:r w:rsidR="002B1185" w:rsidRPr="0099225F">
              <w:rPr>
                <w:sz w:val="20"/>
              </w:rPr>
              <w:t>9</w:t>
            </w:r>
            <w:r w:rsidRPr="0099225F">
              <w:rPr>
                <w:sz w:val="20"/>
              </w:rPr>
              <w:t>)</w:t>
            </w:r>
          </w:p>
        </w:tc>
        <w:tc>
          <w:tcPr>
            <w:tcW w:w="1701" w:type="dxa"/>
            <w:tcBorders>
              <w:top w:val="single" w:sz="4" w:space="0" w:color="C00000"/>
              <w:left w:val="nil"/>
              <w:bottom w:val="single" w:sz="4" w:space="0" w:color="C00000"/>
              <w:right w:val="nil"/>
            </w:tcBorders>
            <w:noWrap/>
          </w:tcPr>
          <w:p w14:paraId="0ACFE5E3" w14:textId="77777777" w:rsidR="0064412C" w:rsidRPr="0099225F" w:rsidRDefault="0064412C" w:rsidP="00C1114C">
            <w:pPr>
              <w:pStyle w:val="Tabletext"/>
              <w:rPr>
                <w:sz w:val="20"/>
              </w:rPr>
            </w:pPr>
            <w:r w:rsidRPr="0099225F">
              <w:rPr>
                <w:sz w:val="20"/>
              </w:rPr>
              <w:t>N/S</w:t>
            </w:r>
          </w:p>
        </w:tc>
        <w:tc>
          <w:tcPr>
            <w:tcW w:w="1838" w:type="dxa"/>
            <w:tcBorders>
              <w:top w:val="single" w:sz="4" w:space="0" w:color="C00000"/>
              <w:left w:val="nil"/>
              <w:bottom w:val="single" w:sz="4" w:space="0" w:color="C00000"/>
              <w:right w:val="nil"/>
            </w:tcBorders>
          </w:tcPr>
          <w:p w14:paraId="64B2DCCD" w14:textId="26099BBE" w:rsidR="0064412C" w:rsidRPr="0099225F" w:rsidRDefault="00CF3B53" w:rsidP="00C1114C">
            <w:pPr>
              <w:pStyle w:val="Tabletext"/>
              <w:rPr>
                <w:sz w:val="20"/>
              </w:rPr>
            </w:pPr>
            <w:r w:rsidRPr="0099225F">
              <w:rPr>
                <w:sz w:val="20"/>
              </w:rPr>
              <w:t xml:space="preserve">■ </w:t>
            </w:r>
            <w:r w:rsidRPr="0099225F">
              <w:rPr>
                <w:sz w:val="20"/>
              </w:rPr>
              <w:br/>
              <w:t>No change</w:t>
            </w:r>
          </w:p>
        </w:tc>
      </w:tr>
      <w:tr w:rsidR="0064412C" w:rsidRPr="0099225F" w14:paraId="42CCC556" w14:textId="77777777" w:rsidTr="000970D5">
        <w:trPr>
          <w:trHeight w:val="557"/>
        </w:trPr>
        <w:tc>
          <w:tcPr>
            <w:tcW w:w="1418" w:type="dxa"/>
            <w:tcBorders>
              <w:top w:val="single" w:sz="4" w:space="0" w:color="C00000"/>
              <w:left w:val="nil"/>
              <w:bottom w:val="single" w:sz="4" w:space="0" w:color="C00000"/>
              <w:right w:val="nil"/>
            </w:tcBorders>
            <w:hideMark/>
          </w:tcPr>
          <w:p w14:paraId="34875CCF" w14:textId="64D90593" w:rsidR="0064412C" w:rsidRPr="0099225F" w:rsidRDefault="00000000" w:rsidP="00C1114C">
            <w:pPr>
              <w:pStyle w:val="Tabletext"/>
              <w:rPr>
                <w:sz w:val="20"/>
              </w:rPr>
            </w:pPr>
            <w:hyperlink w:anchor="_Measure_7.5_–" w:history="1">
              <w:r w:rsidR="0064412C" w:rsidRPr="0099225F">
                <w:rPr>
                  <w:rStyle w:val="Hyperlink"/>
                  <w:sz w:val="20"/>
                </w:rPr>
                <w:t>7.5</w:t>
              </w:r>
            </w:hyperlink>
          </w:p>
        </w:tc>
        <w:tc>
          <w:tcPr>
            <w:tcW w:w="3260" w:type="dxa"/>
            <w:tcBorders>
              <w:top w:val="single" w:sz="4" w:space="0" w:color="C00000"/>
              <w:left w:val="nil"/>
              <w:bottom w:val="single" w:sz="4" w:space="0" w:color="C00000"/>
              <w:right w:val="nil"/>
            </w:tcBorders>
          </w:tcPr>
          <w:p w14:paraId="48004F75" w14:textId="74D953C2" w:rsidR="0064412C" w:rsidRPr="0099225F" w:rsidRDefault="0064412C" w:rsidP="00C1114C">
            <w:pPr>
              <w:pStyle w:val="Tabletext"/>
              <w:rPr>
                <w:sz w:val="20"/>
              </w:rPr>
            </w:pPr>
            <w:r w:rsidRPr="0099225F">
              <w:rPr>
                <w:sz w:val="20"/>
              </w:rPr>
              <w:t xml:space="preserve">Proportion of adolescents 10–17 years who eat the daily recommended serves of vegetables </w:t>
            </w:r>
          </w:p>
        </w:tc>
        <w:tc>
          <w:tcPr>
            <w:tcW w:w="2552" w:type="dxa"/>
            <w:tcBorders>
              <w:top w:val="single" w:sz="4" w:space="0" w:color="C00000"/>
              <w:left w:val="nil"/>
              <w:bottom w:val="single" w:sz="4" w:space="0" w:color="C00000"/>
              <w:right w:val="nil"/>
            </w:tcBorders>
          </w:tcPr>
          <w:p w14:paraId="4EF528AD" w14:textId="47521952" w:rsidR="0064412C" w:rsidRPr="0099225F" w:rsidRDefault="0064412C" w:rsidP="00C1114C">
            <w:pPr>
              <w:pStyle w:val="Tabletext"/>
              <w:rPr>
                <w:sz w:val="20"/>
              </w:rPr>
            </w:pPr>
            <w:r w:rsidRPr="0099225F">
              <w:rPr>
                <w:sz w:val="20"/>
              </w:rPr>
              <w:t>Per cent</w:t>
            </w:r>
          </w:p>
        </w:tc>
        <w:tc>
          <w:tcPr>
            <w:tcW w:w="1842" w:type="dxa"/>
            <w:tcBorders>
              <w:top w:val="single" w:sz="4" w:space="0" w:color="C00000"/>
              <w:left w:val="nil"/>
              <w:bottom w:val="single" w:sz="4" w:space="0" w:color="C00000"/>
              <w:right w:val="nil"/>
            </w:tcBorders>
            <w:noWrap/>
          </w:tcPr>
          <w:p w14:paraId="569DF175" w14:textId="5DE59F91" w:rsidR="0064412C" w:rsidRPr="0099225F" w:rsidRDefault="00F64F96" w:rsidP="00C1114C">
            <w:pPr>
              <w:pStyle w:val="Tabletext"/>
              <w:rPr>
                <w:sz w:val="20"/>
              </w:rPr>
            </w:pPr>
            <w:r w:rsidRPr="0099225F">
              <w:rPr>
                <w:sz w:val="20"/>
              </w:rPr>
              <w:t>12.8</w:t>
            </w:r>
          </w:p>
          <w:p w14:paraId="2E264147" w14:textId="7FBED27D" w:rsidR="0064412C" w:rsidRPr="0099225F" w:rsidRDefault="0064412C" w:rsidP="00C1114C">
            <w:pPr>
              <w:pStyle w:val="Tabletext"/>
              <w:rPr>
                <w:sz w:val="20"/>
              </w:rPr>
            </w:pPr>
            <w:r w:rsidRPr="0099225F">
              <w:rPr>
                <w:sz w:val="20"/>
              </w:rPr>
              <w:t>(2014)</w:t>
            </w:r>
          </w:p>
        </w:tc>
        <w:tc>
          <w:tcPr>
            <w:tcW w:w="1843" w:type="dxa"/>
            <w:tcBorders>
              <w:top w:val="single" w:sz="4" w:space="0" w:color="C00000"/>
              <w:left w:val="nil"/>
              <w:bottom w:val="single" w:sz="4" w:space="0" w:color="C00000"/>
              <w:right w:val="nil"/>
            </w:tcBorders>
            <w:noWrap/>
          </w:tcPr>
          <w:p w14:paraId="4149D442" w14:textId="481E78C6" w:rsidR="0064412C" w:rsidRPr="0099225F" w:rsidRDefault="00F64F96" w:rsidP="00C1114C">
            <w:pPr>
              <w:pStyle w:val="Tabletext"/>
              <w:rPr>
                <w:sz w:val="20"/>
              </w:rPr>
            </w:pPr>
            <w:r w:rsidRPr="0099225F">
              <w:rPr>
                <w:sz w:val="20"/>
              </w:rPr>
              <w:t>1</w:t>
            </w:r>
            <w:r w:rsidR="002B1185" w:rsidRPr="0099225F">
              <w:rPr>
                <w:sz w:val="20"/>
              </w:rPr>
              <w:t>3</w:t>
            </w:r>
            <w:r w:rsidRPr="0099225F">
              <w:rPr>
                <w:sz w:val="20"/>
              </w:rPr>
              <w:t>.</w:t>
            </w:r>
            <w:r w:rsidR="002B1185" w:rsidRPr="0099225F">
              <w:rPr>
                <w:sz w:val="20"/>
              </w:rPr>
              <w:t>1</w:t>
            </w:r>
          </w:p>
          <w:p w14:paraId="0CA2FEC3" w14:textId="711DF1E1" w:rsidR="0064412C" w:rsidRPr="0099225F" w:rsidRDefault="0064412C" w:rsidP="00C1114C">
            <w:pPr>
              <w:pStyle w:val="Tabletext"/>
              <w:rPr>
                <w:sz w:val="20"/>
              </w:rPr>
            </w:pPr>
            <w:r w:rsidRPr="0099225F">
              <w:rPr>
                <w:sz w:val="20"/>
              </w:rPr>
              <w:t>(201</w:t>
            </w:r>
            <w:r w:rsidR="002B1185" w:rsidRPr="0099225F">
              <w:rPr>
                <w:sz w:val="20"/>
              </w:rPr>
              <w:t>8</w:t>
            </w:r>
            <w:r w:rsidRPr="0099225F">
              <w:rPr>
                <w:sz w:val="20"/>
              </w:rPr>
              <w:t>)</w:t>
            </w:r>
          </w:p>
        </w:tc>
        <w:tc>
          <w:tcPr>
            <w:tcW w:w="1701" w:type="dxa"/>
            <w:tcBorders>
              <w:top w:val="single" w:sz="4" w:space="0" w:color="C00000"/>
              <w:left w:val="nil"/>
              <w:bottom w:val="single" w:sz="4" w:space="0" w:color="C00000"/>
              <w:right w:val="nil"/>
            </w:tcBorders>
            <w:noWrap/>
          </w:tcPr>
          <w:p w14:paraId="64143AA1" w14:textId="7B040D7C" w:rsidR="0064412C" w:rsidRPr="0099225F" w:rsidRDefault="0064412C" w:rsidP="00C1114C">
            <w:pPr>
              <w:pStyle w:val="Tabletext"/>
              <w:rPr>
                <w:sz w:val="20"/>
                <w:highlight w:val="yellow"/>
              </w:rPr>
            </w:pPr>
            <w:r w:rsidRPr="0099225F">
              <w:rPr>
                <w:sz w:val="20"/>
              </w:rPr>
              <w:t>N/S</w:t>
            </w:r>
          </w:p>
        </w:tc>
        <w:tc>
          <w:tcPr>
            <w:tcW w:w="1838" w:type="dxa"/>
            <w:tcBorders>
              <w:top w:val="single" w:sz="4" w:space="0" w:color="C00000"/>
              <w:left w:val="nil"/>
              <w:bottom w:val="single" w:sz="4" w:space="0" w:color="C00000"/>
              <w:right w:val="nil"/>
            </w:tcBorders>
          </w:tcPr>
          <w:p w14:paraId="771A30BD" w14:textId="001608A4" w:rsidR="0064412C" w:rsidRPr="0099225F" w:rsidRDefault="002B1185" w:rsidP="00C1114C">
            <w:pPr>
              <w:pStyle w:val="Tabletext"/>
              <w:rPr>
                <w:sz w:val="20"/>
              </w:rPr>
            </w:pPr>
            <w:r w:rsidRPr="0099225F">
              <w:rPr>
                <w:sz w:val="20"/>
              </w:rPr>
              <w:t>▲</w:t>
            </w:r>
            <w:r w:rsidR="0083358C" w:rsidRPr="0099225F">
              <w:rPr>
                <w:sz w:val="20"/>
              </w:rPr>
              <w:t xml:space="preserve"> </w:t>
            </w:r>
            <w:r w:rsidR="0083358C" w:rsidRPr="0099225F">
              <w:rPr>
                <w:sz w:val="20"/>
              </w:rPr>
              <w:br/>
            </w:r>
            <w:r w:rsidRPr="0099225F">
              <w:rPr>
                <w:sz w:val="20"/>
              </w:rPr>
              <w:t>Upward</w:t>
            </w:r>
          </w:p>
        </w:tc>
      </w:tr>
      <w:tr w:rsidR="0064412C" w:rsidRPr="0099225F" w14:paraId="432291E2" w14:textId="77777777" w:rsidTr="000970D5">
        <w:trPr>
          <w:trHeight w:val="707"/>
        </w:trPr>
        <w:tc>
          <w:tcPr>
            <w:tcW w:w="1418" w:type="dxa"/>
            <w:tcBorders>
              <w:top w:val="single" w:sz="4" w:space="0" w:color="C00000"/>
              <w:left w:val="nil"/>
              <w:bottom w:val="single" w:sz="4" w:space="0" w:color="C00000"/>
              <w:right w:val="nil"/>
            </w:tcBorders>
            <w:hideMark/>
          </w:tcPr>
          <w:p w14:paraId="44BB45B0" w14:textId="4AC0B704" w:rsidR="0064412C" w:rsidRPr="0099225F" w:rsidRDefault="00000000" w:rsidP="00C1114C">
            <w:pPr>
              <w:pStyle w:val="Tabletext"/>
              <w:rPr>
                <w:sz w:val="20"/>
              </w:rPr>
            </w:pPr>
            <w:hyperlink w:anchor="_Measure_7.6_–" w:history="1">
              <w:r w:rsidR="0064412C" w:rsidRPr="0099225F">
                <w:rPr>
                  <w:rStyle w:val="Hyperlink"/>
                  <w:sz w:val="20"/>
                </w:rPr>
                <w:t>7.6</w:t>
              </w:r>
            </w:hyperlink>
          </w:p>
        </w:tc>
        <w:tc>
          <w:tcPr>
            <w:tcW w:w="3260" w:type="dxa"/>
            <w:tcBorders>
              <w:top w:val="single" w:sz="4" w:space="0" w:color="C00000"/>
              <w:left w:val="nil"/>
              <w:bottom w:val="single" w:sz="4" w:space="0" w:color="C00000"/>
              <w:right w:val="nil"/>
            </w:tcBorders>
          </w:tcPr>
          <w:p w14:paraId="5F6D5BC9" w14:textId="53B8D53C" w:rsidR="0064412C" w:rsidRPr="0099225F" w:rsidRDefault="0064412C" w:rsidP="00C1114C">
            <w:pPr>
              <w:pStyle w:val="Tabletext"/>
              <w:rPr>
                <w:sz w:val="20"/>
              </w:rPr>
            </w:pPr>
            <w:r w:rsidRPr="0099225F">
              <w:rPr>
                <w:sz w:val="20"/>
              </w:rPr>
              <w:t xml:space="preserve">Proportion of children 4–12 years who eat the daily recommended serves of vegetables </w:t>
            </w:r>
          </w:p>
        </w:tc>
        <w:tc>
          <w:tcPr>
            <w:tcW w:w="2552" w:type="dxa"/>
            <w:tcBorders>
              <w:top w:val="single" w:sz="4" w:space="0" w:color="C00000"/>
              <w:left w:val="nil"/>
              <w:bottom w:val="single" w:sz="4" w:space="0" w:color="C00000"/>
              <w:right w:val="nil"/>
            </w:tcBorders>
          </w:tcPr>
          <w:p w14:paraId="0167089D" w14:textId="5388EF53" w:rsidR="0064412C" w:rsidRPr="0099225F" w:rsidRDefault="0064412C" w:rsidP="00C1114C">
            <w:pPr>
              <w:pStyle w:val="Tabletext"/>
              <w:rPr>
                <w:sz w:val="20"/>
              </w:rPr>
            </w:pPr>
            <w:r w:rsidRPr="0099225F">
              <w:rPr>
                <w:sz w:val="20"/>
              </w:rPr>
              <w:t>Per cent</w:t>
            </w:r>
          </w:p>
        </w:tc>
        <w:tc>
          <w:tcPr>
            <w:tcW w:w="1842" w:type="dxa"/>
            <w:tcBorders>
              <w:top w:val="single" w:sz="4" w:space="0" w:color="C00000"/>
              <w:left w:val="nil"/>
              <w:bottom w:val="single" w:sz="4" w:space="0" w:color="C00000"/>
              <w:right w:val="nil"/>
            </w:tcBorders>
            <w:noWrap/>
          </w:tcPr>
          <w:p w14:paraId="5EB0DAE0" w14:textId="2974E85B" w:rsidR="0064412C" w:rsidRPr="0099225F" w:rsidRDefault="0064412C" w:rsidP="00C1114C">
            <w:pPr>
              <w:pStyle w:val="Tabletext"/>
              <w:rPr>
                <w:sz w:val="20"/>
              </w:rPr>
            </w:pPr>
            <w:r w:rsidRPr="0099225F">
              <w:rPr>
                <w:sz w:val="20"/>
              </w:rPr>
              <w:t>2.9</w:t>
            </w:r>
          </w:p>
          <w:p w14:paraId="68C2134C" w14:textId="3B2D94C3" w:rsidR="0064412C" w:rsidRPr="0099225F" w:rsidRDefault="0064412C" w:rsidP="00C1114C">
            <w:pPr>
              <w:pStyle w:val="Tabletext"/>
              <w:rPr>
                <w:sz w:val="20"/>
              </w:rPr>
            </w:pPr>
            <w:r w:rsidRPr="0099225F">
              <w:rPr>
                <w:sz w:val="20"/>
              </w:rPr>
              <w:t>(2013)</w:t>
            </w:r>
          </w:p>
        </w:tc>
        <w:tc>
          <w:tcPr>
            <w:tcW w:w="1843" w:type="dxa"/>
            <w:tcBorders>
              <w:top w:val="single" w:sz="4" w:space="0" w:color="C00000"/>
              <w:left w:val="nil"/>
              <w:bottom w:val="single" w:sz="4" w:space="0" w:color="C00000"/>
              <w:right w:val="nil"/>
            </w:tcBorders>
            <w:noWrap/>
          </w:tcPr>
          <w:p w14:paraId="31F7A7AA" w14:textId="1F5DA113" w:rsidR="0064412C" w:rsidRPr="0099225F" w:rsidRDefault="002B1185" w:rsidP="00C1114C">
            <w:pPr>
              <w:pStyle w:val="Tabletext"/>
              <w:rPr>
                <w:sz w:val="20"/>
              </w:rPr>
            </w:pPr>
            <w:r w:rsidRPr="0099225F">
              <w:rPr>
                <w:sz w:val="20"/>
              </w:rPr>
              <w:t>2</w:t>
            </w:r>
            <w:r w:rsidR="00832CD4" w:rsidRPr="0099225F">
              <w:rPr>
                <w:sz w:val="20"/>
              </w:rPr>
              <w:t>.</w:t>
            </w:r>
            <w:r w:rsidR="00642449">
              <w:rPr>
                <w:sz w:val="20"/>
              </w:rPr>
              <w:t>9</w:t>
            </w:r>
          </w:p>
          <w:p w14:paraId="786B4783" w14:textId="506DB504" w:rsidR="00832CD4" w:rsidRPr="0099225F" w:rsidRDefault="00832CD4" w:rsidP="00C1114C">
            <w:pPr>
              <w:pStyle w:val="Tabletext"/>
              <w:rPr>
                <w:sz w:val="20"/>
              </w:rPr>
            </w:pPr>
            <w:r w:rsidRPr="0099225F">
              <w:rPr>
                <w:sz w:val="20"/>
              </w:rPr>
              <w:t>(20</w:t>
            </w:r>
            <w:r w:rsidR="00642449">
              <w:rPr>
                <w:sz w:val="20"/>
              </w:rPr>
              <w:t>21</w:t>
            </w:r>
            <w:r w:rsidRPr="0099225F">
              <w:rPr>
                <w:sz w:val="20"/>
              </w:rPr>
              <w:t>)</w:t>
            </w:r>
          </w:p>
        </w:tc>
        <w:tc>
          <w:tcPr>
            <w:tcW w:w="1701" w:type="dxa"/>
            <w:tcBorders>
              <w:top w:val="single" w:sz="4" w:space="0" w:color="C00000"/>
              <w:left w:val="nil"/>
              <w:bottom w:val="single" w:sz="4" w:space="0" w:color="C00000"/>
              <w:right w:val="nil"/>
            </w:tcBorders>
            <w:noWrap/>
          </w:tcPr>
          <w:p w14:paraId="46A37063" w14:textId="65864F25" w:rsidR="0064412C" w:rsidRPr="0099225F" w:rsidRDefault="0064412C" w:rsidP="00C1114C">
            <w:pPr>
              <w:pStyle w:val="Tabletext"/>
              <w:rPr>
                <w:sz w:val="20"/>
                <w:highlight w:val="yellow"/>
              </w:rPr>
            </w:pPr>
            <w:r w:rsidRPr="0099225F">
              <w:rPr>
                <w:sz w:val="20"/>
              </w:rPr>
              <w:t>N/S</w:t>
            </w:r>
          </w:p>
        </w:tc>
        <w:tc>
          <w:tcPr>
            <w:tcW w:w="1838" w:type="dxa"/>
            <w:tcBorders>
              <w:top w:val="single" w:sz="4" w:space="0" w:color="C00000"/>
              <w:left w:val="nil"/>
              <w:bottom w:val="single" w:sz="4" w:space="0" w:color="C00000"/>
              <w:right w:val="nil"/>
            </w:tcBorders>
          </w:tcPr>
          <w:p w14:paraId="071B734A" w14:textId="3F5B8387" w:rsidR="0064412C" w:rsidRPr="0099225F" w:rsidRDefault="00642449" w:rsidP="00C1114C">
            <w:pPr>
              <w:pStyle w:val="Tabletext"/>
              <w:rPr>
                <w:sz w:val="20"/>
              </w:rPr>
            </w:pPr>
            <w:r w:rsidRPr="0099225F">
              <w:rPr>
                <w:sz w:val="20"/>
              </w:rPr>
              <w:t xml:space="preserve">■ </w:t>
            </w:r>
            <w:r w:rsidRPr="0099225F">
              <w:rPr>
                <w:sz w:val="20"/>
              </w:rPr>
              <w:br/>
              <w:t>No change</w:t>
            </w:r>
          </w:p>
        </w:tc>
      </w:tr>
      <w:tr w:rsidR="0064412C" w:rsidRPr="0099225F" w14:paraId="02AB3B64" w14:textId="77777777" w:rsidTr="000970D5">
        <w:trPr>
          <w:trHeight w:val="429"/>
        </w:trPr>
        <w:tc>
          <w:tcPr>
            <w:tcW w:w="1418" w:type="dxa"/>
            <w:tcBorders>
              <w:top w:val="single" w:sz="4" w:space="0" w:color="C00000"/>
              <w:left w:val="nil"/>
              <w:bottom w:val="single" w:sz="4" w:space="0" w:color="C00000"/>
              <w:right w:val="nil"/>
            </w:tcBorders>
            <w:hideMark/>
          </w:tcPr>
          <w:p w14:paraId="20436731" w14:textId="5A7D4F07" w:rsidR="0064412C" w:rsidRPr="0099225F" w:rsidRDefault="00000000" w:rsidP="00C1114C">
            <w:pPr>
              <w:pStyle w:val="Tabletext"/>
              <w:rPr>
                <w:sz w:val="20"/>
              </w:rPr>
            </w:pPr>
            <w:hyperlink w:anchor="_Appendix_1:_Measures" w:history="1">
              <w:r w:rsidR="0064412C" w:rsidRPr="0099225F">
                <w:rPr>
                  <w:rStyle w:val="Hyperlink"/>
                  <w:sz w:val="20"/>
                </w:rPr>
                <w:t>7.7</w:t>
              </w:r>
            </w:hyperlink>
          </w:p>
        </w:tc>
        <w:tc>
          <w:tcPr>
            <w:tcW w:w="3260" w:type="dxa"/>
            <w:tcBorders>
              <w:top w:val="single" w:sz="4" w:space="0" w:color="C00000"/>
              <w:left w:val="nil"/>
              <w:bottom w:val="single" w:sz="4" w:space="0" w:color="C00000"/>
              <w:right w:val="nil"/>
            </w:tcBorders>
          </w:tcPr>
          <w:p w14:paraId="54DA7F58" w14:textId="77777777" w:rsidR="0064412C" w:rsidRPr="0099225F" w:rsidRDefault="0064412C" w:rsidP="00C1114C">
            <w:pPr>
              <w:pStyle w:val="Tabletext"/>
              <w:rPr>
                <w:sz w:val="20"/>
              </w:rPr>
            </w:pPr>
            <w:r w:rsidRPr="0099225F">
              <w:rPr>
                <w:sz w:val="20"/>
              </w:rPr>
              <w:t>Mean number of times per week that adults eat red meat</w:t>
            </w:r>
          </w:p>
        </w:tc>
        <w:tc>
          <w:tcPr>
            <w:tcW w:w="2552" w:type="dxa"/>
            <w:tcBorders>
              <w:top w:val="single" w:sz="4" w:space="0" w:color="C00000"/>
              <w:left w:val="nil"/>
              <w:bottom w:val="single" w:sz="4" w:space="0" w:color="C00000"/>
              <w:right w:val="nil"/>
            </w:tcBorders>
          </w:tcPr>
          <w:p w14:paraId="644D2048" w14:textId="77777777" w:rsidR="0064412C" w:rsidRPr="0099225F" w:rsidRDefault="0064412C" w:rsidP="00C1114C">
            <w:pPr>
              <w:pStyle w:val="Tabletext"/>
              <w:rPr>
                <w:color w:val="87189D"/>
                <w:sz w:val="20"/>
              </w:rPr>
            </w:pPr>
            <w:r w:rsidRPr="0099225F">
              <w:rPr>
                <w:color w:val="87189D"/>
                <w:sz w:val="20"/>
              </w:rPr>
              <w:t>No data available (refer to Appendix 1)</w:t>
            </w:r>
          </w:p>
        </w:tc>
        <w:tc>
          <w:tcPr>
            <w:tcW w:w="1842" w:type="dxa"/>
            <w:tcBorders>
              <w:top w:val="single" w:sz="4" w:space="0" w:color="C00000"/>
              <w:left w:val="nil"/>
              <w:bottom w:val="single" w:sz="4" w:space="0" w:color="C00000"/>
              <w:right w:val="nil"/>
            </w:tcBorders>
          </w:tcPr>
          <w:p w14:paraId="7DDC4AA9" w14:textId="66F853F4" w:rsidR="0064412C" w:rsidRPr="0099225F" w:rsidRDefault="0064412C" w:rsidP="00C1114C">
            <w:pPr>
              <w:pStyle w:val="Tabletext"/>
              <w:rPr>
                <w:color w:val="87189D"/>
                <w:sz w:val="20"/>
              </w:rPr>
            </w:pPr>
            <w:r w:rsidRPr="0099225F">
              <w:rPr>
                <w:color w:val="87189D"/>
                <w:sz w:val="20"/>
              </w:rPr>
              <w:t>No data available (refer to Appendix 1)</w:t>
            </w:r>
          </w:p>
        </w:tc>
        <w:tc>
          <w:tcPr>
            <w:tcW w:w="1843" w:type="dxa"/>
            <w:tcBorders>
              <w:top w:val="single" w:sz="4" w:space="0" w:color="C00000"/>
              <w:left w:val="nil"/>
              <w:bottom w:val="single" w:sz="4" w:space="0" w:color="C00000"/>
              <w:right w:val="nil"/>
            </w:tcBorders>
          </w:tcPr>
          <w:p w14:paraId="5D5423D1" w14:textId="1FDF6B04" w:rsidR="0064412C" w:rsidRPr="0099225F" w:rsidRDefault="0064412C" w:rsidP="00C1114C">
            <w:pPr>
              <w:pStyle w:val="Tabletext"/>
              <w:rPr>
                <w:color w:val="87189D"/>
                <w:sz w:val="20"/>
              </w:rPr>
            </w:pPr>
            <w:r w:rsidRPr="0099225F">
              <w:rPr>
                <w:color w:val="87189D"/>
                <w:sz w:val="20"/>
              </w:rPr>
              <w:t>No data available (refer to Appendix 1)</w:t>
            </w:r>
          </w:p>
        </w:tc>
        <w:tc>
          <w:tcPr>
            <w:tcW w:w="1701" w:type="dxa"/>
            <w:tcBorders>
              <w:top w:val="single" w:sz="4" w:space="0" w:color="C00000"/>
              <w:left w:val="nil"/>
              <w:bottom w:val="single" w:sz="4" w:space="0" w:color="C00000"/>
              <w:right w:val="nil"/>
            </w:tcBorders>
            <w:noWrap/>
          </w:tcPr>
          <w:p w14:paraId="7FEEE263" w14:textId="77777777" w:rsidR="0064412C" w:rsidRPr="0099225F" w:rsidRDefault="0064412C" w:rsidP="00C1114C">
            <w:pPr>
              <w:pStyle w:val="Tabletext"/>
              <w:rPr>
                <w:sz w:val="20"/>
              </w:rPr>
            </w:pPr>
            <w:r w:rsidRPr="0099225F">
              <w:rPr>
                <w:sz w:val="20"/>
              </w:rPr>
              <w:t>N/S</w:t>
            </w:r>
          </w:p>
        </w:tc>
        <w:tc>
          <w:tcPr>
            <w:tcW w:w="1838" w:type="dxa"/>
            <w:tcBorders>
              <w:top w:val="single" w:sz="4" w:space="0" w:color="C00000"/>
              <w:left w:val="nil"/>
              <w:bottom w:val="single" w:sz="4" w:space="0" w:color="C00000"/>
              <w:right w:val="nil"/>
            </w:tcBorders>
          </w:tcPr>
          <w:p w14:paraId="0A6FEB86" w14:textId="77777777" w:rsidR="0064412C" w:rsidRPr="0099225F" w:rsidRDefault="0064412C" w:rsidP="00C1114C">
            <w:pPr>
              <w:pStyle w:val="Tabletext"/>
              <w:rPr>
                <w:sz w:val="20"/>
              </w:rPr>
            </w:pPr>
            <w:r w:rsidRPr="0099225F">
              <w:rPr>
                <w:sz w:val="20"/>
              </w:rPr>
              <w:t>N/A</w:t>
            </w:r>
          </w:p>
        </w:tc>
      </w:tr>
      <w:tr w:rsidR="0064412C" w:rsidRPr="0099225F" w14:paraId="7A89331A" w14:textId="77777777" w:rsidTr="000970D5">
        <w:trPr>
          <w:trHeight w:val="581"/>
        </w:trPr>
        <w:tc>
          <w:tcPr>
            <w:tcW w:w="1418" w:type="dxa"/>
            <w:tcBorders>
              <w:top w:val="single" w:sz="4" w:space="0" w:color="C00000"/>
              <w:left w:val="nil"/>
              <w:bottom w:val="single" w:sz="4" w:space="0" w:color="C00000"/>
              <w:right w:val="nil"/>
            </w:tcBorders>
            <w:hideMark/>
          </w:tcPr>
          <w:p w14:paraId="7E121848" w14:textId="50911236" w:rsidR="0064412C" w:rsidRPr="0099225F" w:rsidRDefault="00000000" w:rsidP="00C1114C">
            <w:pPr>
              <w:pStyle w:val="Tabletext"/>
              <w:rPr>
                <w:sz w:val="20"/>
              </w:rPr>
            </w:pPr>
            <w:hyperlink w:anchor="_Appendix_1:_Measures" w:history="1">
              <w:r w:rsidR="0064412C" w:rsidRPr="0099225F">
                <w:rPr>
                  <w:rStyle w:val="Hyperlink"/>
                  <w:sz w:val="20"/>
                </w:rPr>
                <w:t>7.8</w:t>
              </w:r>
            </w:hyperlink>
          </w:p>
        </w:tc>
        <w:tc>
          <w:tcPr>
            <w:tcW w:w="3260" w:type="dxa"/>
            <w:tcBorders>
              <w:top w:val="single" w:sz="4" w:space="0" w:color="C00000"/>
              <w:left w:val="nil"/>
              <w:bottom w:val="single" w:sz="4" w:space="0" w:color="C00000"/>
              <w:right w:val="nil"/>
            </w:tcBorders>
          </w:tcPr>
          <w:p w14:paraId="173A81C4" w14:textId="77777777" w:rsidR="0064412C" w:rsidRPr="0099225F" w:rsidRDefault="0064412C" w:rsidP="00C1114C">
            <w:pPr>
              <w:pStyle w:val="Tabletext"/>
              <w:rPr>
                <w:sz w:val="20"/>
              </w:rPr>
            </w:pPr>
            <w:r w:rsidRPr="0099225F">
              <w:rPr>
                <w:sz w:val="20"/>
              </w:rPr>
              <w:t>Mean number of times per week that adults eat processed meat</w:t>
            </w:r>
          </w:p>
        </w:tc>
        <w:tc>
          <w:tcPr>
            <w:tcW w:w="2552" w:type="dxa"/>
            <w:tcBorders>
              <w:top w:val="single" w:sz="4" w:space="0" w:color="C00000"/>
              <w:left w:val="nil"/>
              <w:bottom w:val="single" w:sz="4" w:space="0" w:color="C00000"/>
              <w:right w:val="nil"/>
            </w:tcBorders>
          </w:tcPr>
          <w:p w14:paraId="144904CC" w14:textId="77777777" w:rsidR="0064412C" w:rsidRPr="0099225F" w:rsidRDefault="0064412C" w:rsidP="00C1114C">
            <w:pPr>
              <w:pStyle w:val="Tabletext"/>
              <w:rPr>
                <w:color w:val="87189D"/>
                <w:sz w:val="20"/>
              </w:rPr>
            </w:pPr>
            <w:r w:rsidRPr="0099225F">
              <w:rPr>
                <w:color w:val="87189D"/>
                <w:sz w:val="20"/>
              </w:rPr>
              <w:t>No data available (refer to Appendix 1)</w:t>
            </w:r>
          </w:p>
        </w:tc>
        <w:tc>
          <w:tcPr>
            <w:tcW w:w="1842" w:type="dxa"/>
            <w:tcBorders>
              <w:top w:val="single" w:sz="4" w:space="0" w:color="C00000"/>
              <w:left w:val="nil"/>
              <w:bottom w:val="single" w:sz="4" w:space="0" w:color="C00000"/>
              <w:right w:val="nil"/>
            </w:tcBorders>
          </w:tcPr>
          <w:p w14:paraId="5049B444" w14:textId="5A9DA97A" w:rsidR="0064412C" w:rsidRPr="0099225F" w:rsidRDefault="0064412C" w:rsidP="00C1114C">
            <w:pPr>
              <w:pStyle w:val="Tabletext"/>
              <w:rPr>
                <w:color w:val="87189D"/>
                <w:sz w:val="20"/>
              </w:rPr>
            </w:pPr>
            <w:r w:rsidRPr="0099225F">
              <w:rPr>
                <w:color w:val="87189D"/>
                <w:sz w:val="20"/>
              </w:rPr>
              <w:t>No data available (refer to Appendix 1)</w:t>
            </w:r>
          </w:p>
        </w:tc>
        <w:tc>
          <w:tcPr>
            <w:tcW w:w="1843" w:type="dxa"/>
            <w:tcBorders>
              <w:top w:val="single" w:sz="4" w:space="0" w:color="C00000"/>
              <w:left w:val="nil"/>
              <w:bottom w:val="single" w:sz="4" w:space="0" w:color="C00000"/>
              <w:right w:val="nil"/>
            </w:tcBorders>
          </w:tcPr>
          <w:p w14:paraId="3A90ED22" w14:textId="6D7B9757" w:rsidR="0064412C" w:rsidRPr="0099225F" w:rsidRDefault="0064412C" w:rsidP="00C1114C">
            <w:pPr>
              <w:pStyle w:val="Tabletext"/>
              <w:rPr>
                <w:color w:val="87189D"/>
                <w:sz w:val="20"/>
              </w:rPr>
            </w:pPr>
            <w:r w:rsidRPr="0099225F">
              <w:rPr>
                <w:color w:val="87189D"/>
                <w:sz w:val="20"/>
              </w:rPr>
              <w:t>No data available (refer to Appendix 1)</w:t>
            </w:r>
          </w:p>
        </w:tc>
        <w:tc>
          <w:tcPr>
            <w:tcW w:w="1701" w:type="dxa"/>
            <w:tcBorders>
              <w:top w:val="single" w:sz="4" w:space="0" w:color="C00000"/>
              <w:left w:val="nil"/>
              <w:bottom w:val="single" w:sz="4" w:space="0" w:color="C00000"/>
              <w:right w:val="nil"/>
            </w:tcBorders>
            <w:noWrap/>
          </w:tcPr>
          <w:p w14:paraId="64E5FC47" w14:textId="77777777" w:rsidR="0064412C" w:rsidRPr="0099225F" w:rsidRDefault="0064412C" w:rsidP="00C1114C">
            <w:pPr>
              <w:pStyle w:val="Tabletext"/>
              <w:rPr>
                <w:sz w:val="20"/>
              </w:rPr>
            </w:pPr>
            <w:r w:rsidRPr="0099225F">
              <w:rPr>
                <w:sz w:val="20"/>
              </w:rPr>
              <w:t>N/S</w:t>
            </w:r>
          </w:p>
        </w:tc>
        <w:tc>
          <w:tcPr>
            <w:tcW w:w="1838" w:type="dxa"/>
            <w:tcBorders>
              <w:top w:val="single" w:sz="4" w:space="0" w:color="C00000"/>
              <w:left w:val="nil"/>
              <w:bottom w:val="single" w:sz="4" w:space="0" w:color="C00000"/>
              <w:right w:val="nil"/>
            </w:tcBorders>
          </w:tcPr>
          <w:p w14:paraId="660C2235" w14:textId="77777777" w:rsidR="0064412C" w:rsidRPr="0099225F" w:rsidRDefault="0064412C" w:rsidP="00C1114C">
            <w:pPr>
              <w:pStyle w:val="Tabletext"/>
              <w:rPr>
                <w:sz w:val="20"/>
              </w:rPr>
            </w:pPr>
            <w:r w:rsidRPr="0099225F">
              <w:rPr>
                <w:sz w:val="20"/>
              </w:rPr>
              <w:t>N/A</w:t>
            </w:r>
          </w:p>
        </w:tc>
      </w:tr>
      <w:tr w:rsidR="0064412C" w:rsidRPr="0099225F" w14:paraId="03A2BD81" w14:textId="77777777" w:rsidTr="000970D5">
        <w:trPr>
          <w:trHeight w:val="691"/>
        </w:trPr>
        <w:tc>
          <w:tcPr>
            <w:tcW w:w="1418" w:type="dxa"/>
            <w:tcBorders>
              <w:top w:val="single" w:sz="4" w:space="0" w:color="C00000"/>
              <w:left w:val="nil"/>
              <w:bottom w:val="single" w:sz="4" w:space="0" w:color="C00000"/>
              <w:right w:val="nil"/>
            </w:tcBorders>
          </w:tcPr>
          <w:p w14:paraId="7C7A6334" w14:textId="418B88DD" w:rsidR="0064412C" w:rsidRPr="0099225F" w:rsidRDefault="00000000" w:rsidP="00C1114C">
            <w:pPr>
              <w:pStyle w:val="Tabletext"/>
              <w:rPr>
                <w:sz w:val="20"/>
              </w:rPr>
            </w:pPr>
            <w:hyperlink w:anchor="_Measure_7.9_–" w:history="1">
              <w:r w:rsidR="0064412C" w:rsidRPr="0099225F">
                <w:rPr>
                  <w:rStyle w:val="Hyperlink"/>
                  <w:sz w:val="20"/>
                </w:rPr>
                <w:t>7.9</w:t>
              </w:r>
            </w:hyperlink>
          </w:p>
        </w:tc>
        <w:tc>
          <w:tcPr>
            <w:tcW w:w="3260" w:type="dxa"/>
            <w:tcBorders>
              <w:top w:val="single" w:sz="4" w:space="0" w:color="C00000"/>
              <w:left w:val="nil"/>
              <w:bottom w:val="single" w:sz="4" w:space="0" w:color="C00000"/>
              <w:right w:val="nil"/>
            </w:tcBorders>
          </w:tcPr>
          <w:p w14:paraId="7E3CBE58" w14:textId="214B4AB6" w:rsidR="0064412C" w:rsidRPr="0099225F" w:rsidRDefault="0064412C" w:rsidP="00C1114C">
            <w:pPr>
              <w:pStyle w:val="Tabletext"/>
              <w:rPr>
                <w:sz w:val="20"/>
              </w:rPr>
            </w:pPr>
            <w:r w:rsidRPr="0099225F">
              <w:rPr>
                <w:sz w:val="20"/>
              </w:rPr>
              <w:t xml:space="preserve">Proportion </w:t>
            </w:r>
            <w:r w:rsidR="00980E1F" w:rsidRPr="0099225F">
              <w:rPr>
                <w:sz w:val="20"/>
              </w:rPr>
              <w:t xml:space="preserve">of </w:t>
            </w:r>
            <w:r w:rsidRPr="0099225F">
              <w:rPr>
                <w:sz w:val="20"/>
              </w:rPr>
              <w:t>adults who are sufficiently physically active</w:t>
            </w:r>
          </w:p>
        </w:tc>
        <w:tc>
          <w:tcPr>
            <w:tcW w:w="2552" w:type="dxa"/>
            <w:tcBorders>
              <w:top w:val="single" w:sz="4" w:space="0" w:color="C00000"/>
              <w:left w:val="nil"/>
              <w:bottom w:val="single" w:sz="4" w:space="0" w:color="C00000"/>
              <w:right w:val="nil"/>
            </w:tcBorders>
          </w:tcPr>
          <w:p w14:paraId="7B5F2AEE" w14:textId="77777777" w:rsidR="0064412C" w:rsidRPr="0099225F" w:rsidRDefault="0064412C" w:rsidP="00C1114C">
            <w:pPr>
              <w:pStyle w:val="Tabletext"/>
              <w:rPr>
                <w:sz w:val="20"/>
              </w:rPr>
            </w:pPr>
            <w:r w:rsidRPr="0099225F">
              <w:rPr>
                <w:sz w:val="20"/>
              </w:rPr>
              <w:t>Per cent</w:t>
            </w:r>
          </w:p>
        </w:tc>
        <w:tc>
          <w:tcPr>
            <w:tcW w:w="1842" w:type="dxa"/>
            <w:tcBorders>
              <w:top w:val="single" w:sz="4" w:space="0" w:color="C00000"/>
              <w:left w:val="nil"/>
              <w:bottom w:val="single" w:sz="4" w:space="0" w:color="C00000"/>
              <w:right w:val="nil"/>
            </w:tcBorders>
            <w:noWrap/>
          </w:tcPr>
          <w:p w14:paraId="0CFEDB22" w14:textId="7F515D31" w:rsidR="0064412C" w:rsidRPr="0099225F" w:rsidRDefault="007E3F2F" w:rsidP="00C1114C">
            <w:pPr>
              <w:pStyle w:val="Tabletext"/>
              <w:rPr>
                <w:sz w:val="20"/>
              </w:rPr>
            </w:pPr>
            <w:r w:rsidRPr="0099225F">
              <w:rPr>
                <w:sz w:val="20"/>
              </w:rPr>
              <w:t>4</w:t>
            </w:r>
            <w:r w:rsidR="00AD50CB" w:rsidRPr="0099225F">
              <w:rPr>
                <w:sz w:val="20"/>
              </w:rPr>
              <w:t>7</w:t>
            </w:r>
            <w:r w:rsidRPr="0099225F">
              <w:rPr>
                <w:sz w:val="20"/>
              </w:rPr>
              <w:t>.</w:t>
            </w:r>
            <w:r w:rsidR="00AD50CB" w:rsidRPr="0099225F">
              <w:rPr>
                <w:sz w:val="20"/>
              </w:rPr>
              <w:t>0</w:t>
            </w:r>
          </w:p>
          <w:p w14:paraId="282965C5" w14:textId="0AA35F76" w:rsidR="0064412C" w:rsidRPr="0099225F" w:rsidRDefault="0064412C" w:rsidP="00C1114C">
            <w:pPr>
              <w:pStyle w:val="Tabletext"/>
              <w:rPr>
                <w:sz w:val="20"/>
              </w:rPr>
            </w:pPr>
            <w:r w:rsidRPr="0099225F">
              <w:rPr>
                <w:sz w:val="20"/>
              </w:rPr>
              <w:t>(201</w:t>
            </w:r>
            <w:r w:rsidR="00AD50CB" w:rsidRPr="0099225F">
              <w:rPr>
                <w:sz w:val="20"/>
              </w:rPr>
              <w:t>5</w:t>
            </w:r>
            <w:r w:rsidRPr="0099225F">
              <w:rPr>
                <w:sz w:val="20"/>
              </w:rPr>
              <w:t>)</w:t>
            </w:r>
          </w:p>
        </w:tc>
        <w:tc>
          <w:tcPr>
            <w:tcW w:w="1843" w:type="dxa"/>
            <w:tcBorders>
              <w:top w:val="single" w:sz="4" w:space="0" w:color="C00000"/>
              <w:left w:val="nil"/>
              <w:bottom w:val="single" w:sz="4" w:space="0" w:color="C00000"/>
              <w:right w:val="nil"/>
            </w:tcBorders>
            <w:noWrap/>
          </w:tcPr>
          <w:p w14:paraId="5731F5CE" w14:textId="34FF807B" w:rsidR="0064412C" w:rsidRPr="0099225F" w:rsidRDefault="007F75FC" w:rsidP="00C1114C">
            <w:pPr>
              <w:pStyle w:val="Tabletext"/>
              <w:rPr>
                <w:sz w:val="20"/>
              </w:rPr>
            </w:pPr>
            <w:r w:rsidRPr="0099225F">
              <w:rPr>
                <w:sz w:val="20"/>
              </w:rPr>
              <w:t>5</w:t>
            </w:r>
            <w:r w:rsidR="00C96C80">
              <w:rPr>
                <w:sz w:val="20"/>
              </w:rPr>
              <w:t>1</w:t>
            </w:r>
            <w:r w:rsidR="0064412C" w:rsidRPr="0099225F">
              <w:rPr>
                <w:sz w:val="20"/>
              </w:rPr>
              <w:t>.</w:t>
            </w:r>
            <w:r w:rsidR="00C96C80">
              <w:rPr>
                <w:sz w:val="20"/>
              </w:rPr>
              <w:t>1</w:t>
            </w:r>
          </w:p>
          <w:p w14:paraId="32AFC55D" w14:textId="3D84AEB0" w:rsidR="0064412C" w:rsidRPr="0099225F" w:rsidRDefault="0064412C" w:rsidP="00C1114C">
            <w:pPr>
              <w:pStyle w:val="Tabletext"/>
              <w:rPr>
                <w:sz w:val="20"/>
              </w:rPr>
            </w:pPr>
            <w:r w:rsidRPr="0099225F">
              <w:rPr>
                <w:sz w:val="20"/>
              </w:rPr>
              <w:t>(201</w:t>
            </w:r>
            <w:r w:rsidR="00C96C80">
              <w:rPr>
                <w:sz w:val="20"/>
              </w:rPr>
              <w:t>9</w:t>
            </w:r>
            <w:r w:rsidRPr="0099225F">
              <w:rPr>
                <w:sz w:val="20"/>
              </w:rPr>
              <w:t>)</w:t>
            </w:r>
          </w:p>
        </w:tc>
        <w:tc>
          <w:tcPr>
            <w:tcW w:w="1701" w:type="dxa"/>
            <w:tcBorders>
              <w:top w:val="single" w:sz="4" w:space="0" w:color="C00000"/>
              <w:left w:val="nil"/>
              <w:bottom w:val="single" w:sz="4" w:space="0" w:color="C00000"/>
              <w:right w:val="nil"/>
            </w:tcBorders>
            <w:noWrap/>
          </w:tcPr>
          <w:p w14:paraId="79DD95A5" w14:textId="2A926EA2" w:rsidR="0064412C" w:rsidRPr="0099225F" w:rsidRDefault="007F75FC" w:rsidP="00C1114C">
            <w:pPr>
              <w:pStyle w:val="Tabletext"/>
              <w:rPr>
                <w:sz w:val="20"/>
              </w:rPr>
            </w:pPr>
            <w:r w:rsidRPr="0099225F">
              <w:rPr>
                <w:sz w:val="20"/>
              </w:rPr>
              <w:t>N/S</w:t>
            </w:r>
          </w:p>
        </w:tc>
        <w:tc>
          <w:tcPr>
            <w:tcW w:w="1838" w:type="dxa"/>
            <w:tcBorders>
              <w:top w:val="single" w:sz="4" w:space="0" w:color="C00000"/>
              <w:left w:val="nil"/>
              <w:bottom w:val="single" w:sz="4" w:space="0" w:color="C00000"/>
              <w:right w:val="nil"/>
            </w:tcBorders>
          </w:tcPr>
          <w:p w14:paraId="44C2E39C" w14:textId="3DF23F1B" w:rsidR="0064412C" w:rsidRPr="0099225F" w:rsidRDefault="00A04037" w:rsidP="00C1114C">
            <w:pPr>
              <w:pStyle w:val="Tabletext"/>
              <w:rPr>
                <w:sz w:val="20"/>
              </w:rPr>
            </w:pPr>
            <w:r w:rsidRPr="0099225F">
              <w:rPr>
                <w:sz w:val="20"/>
              </w:rPr>
              <w:t>▲</w:t>
            </w:r>
            <w:r w:rsidRPr="0099225F">
              <w:rPr>
                <w:sz w:val="20"/>
              </w:rPr>
              <w:br/>
              <w:t>Upward</w:t>
            </w:r>
          </w:p>
        </w:tc>
      </w:tr>
      <w:tr w:rsidR="0064412C" w:rsidRPr="0099225F" w14:paraId="18E412D4" w14:textId="77777777" w:rsidTr="000970D5">
        <w:trPr>
          <w:trHeight w:val="691"/>
        </w:trPr>
        <w:tc>
          <w:tcPr>
            <w:tcW w:w="1418" w:type="dxa"/>
            <w:tcBorders>
              <w:top w:val="single" w:sz="4" w:space="0" w:color="C00000"/>
              <w:left w:val="nil"/>
              <w:bottom w:val="single" w:sz="4" w:space="0" w:color="C00000"/>
              <w:right w:val="nil"/>
            </w:tcBorders>
          </w:tcPr>
          <w:p w14:paraId="154CAB93" w14:textId="3B53FAB4" w:rsidR="0064412C" w:rsidRPr="0099225F" w:rsidRDefault="00000000" w:rsidP="00C1114C">
            <w:pPr>
              <w:pStyle w:val="Tabletext"/>
              <w:rPr>
                <w:sz w:val="20"/>
              </w:rPr>
            </w:pPr>
            <w:hyperlink w:anchor="_Measure_7.10_–" w:history="1">
              <w:r w:rsidR="0064412C" w:rsidRPr="0099225F">
                <w:rPr>
                  <w:rStyle w:val="Hyperlink"/>
                  <w:sz w:val="20"/>
                </w:rPr>
                <w:t>7.10</w:t>
              </w:r>
            </w:hyperlink>
          </w:p>
        </w:tc>
        <w:tc>
          <w:tcPr>
            <w:tcW w:w="3260" w:type="dxa"/>
            <w:tcBorders>
              <w:top w:val="single" w:sz="4" w:space="0" w:color="C00000"/>
              <w:left w:val="nil"/>
              <w:bottom w:val="single" w:sz="4" w:space="0" w:color="C00000"/>
              <w:right w:val="nil"/>
            </w:tcBorders>
          </w:tcPr>
          <w:p w14:paraId="395ED23C" w14:textId="5C28B90D" w:rsidR="0064412C" w:rsidRPr="0099225F" w:rsidRDefault="0064412C" w:rsidP="00C1114C">
            <w:pPr>
              <w:pStyle w:val="Tabletext"/>
              <w:rPr>
                <w:sz w:val="20"/>
              </w:rPr>
            </w:pPr>
            <w:r w:rsidRPr="0099225F">
              <w:rPr>
                <w:sz w:val="20"/>
              </w:rPr>
              <w:t>Proportion of adolescents 10–17 years who are sufficiently physically active</w:t>
            </w:r>
          </w:p>
        </w:tc>
        <w:tc>
          <w:tcPr>
            <w:tcW w:w="2552" w:type="dxa"/>
            <w:tcBorders>
              <w:top w:val="single" w:sz="4" w:space="0" w:color="C00000"/>
              <w:left w:val="nil"/>
              <w:bottom w:val="single" w:sz="4" w:space="0" w:color="C00000"/>
              <w:right w:val="nil"/>
            </w:tcBorders>
          </w:tcPr>
          <w:p w14:paraId="05B42B9B" w14:textId="77777777" w:rsidR="0064412C" w:rsidRPr="0099225F" w:rsidRDefault="0064412C" w:rsidP="00C1114C">
            <w:pPr>
              <w:pStyle w:val="Tabletext"/>
              <w:rPr>
                <w:sz w:val="20"/>
              </w:rPr>
            </w:pPr>
            <w:r w:rsidRPr="0099225F">
              <w:rPr>
                <w:sz w:val="20"/>
              </w:rPr>
              <w:t>Per cent</w:t>
            </w:r>
          </w:p>
        </w:tc>
        <w:tc>
          <w:tcPr>
            <w:tcW w:w="1842" w:type="dxa"/>
            <w:tcBorders>
              <w:top w:val="single" w:sz="4" w:space="0" w:color="C00000"/>
              <w:left w:val="nil"/>
              <w:bottom w:val="single" w:sz="4" w:space="0" w:color="C00000"/>
              <w:right w:val="nil"/>
            </w:tcBorders>
            <w:noWrap/>
          </w:tcPr>
          <w:p w14:paraId="6BF98AAF" w14:textId="77777777" w:rsidR="0064412C" w:rsidRPr="0099225F" w:rsidRDefault="0064412C" w:rsidP="00C1114C">
            <w:pPr>
              <w:pStyle w:val="Tabletext"/>
              <w:rPr>
                <w:sz w:val="20"/>
              </w:rPr>
            </w:pPr>
            <w:r w:rsidRPr="0099225F">
              <w:rPr>
                <w:sz w:val="20"/>
              </w:rPr>
              <w:t>26.0</w:t>
            </w:r>
          </w:p>
          <w:p w14:paraId="5F4A5050" w14:textId="77777777" w:rsidR="0064412C" w:rsidRPr="0099225F" w:rsidRDefault="0064412C" w:rsidP="00C1114C">
            <w:pPr>
              <w:pStyle w:val="Tabletext"/>
              <w:rPr>
                <w:sz w:val="20"/>
              </w:rPr>
            </w:pPr>
            <w:r w:rsidRPr="0099225F">
              <w:rPr>
                <w:sz w:val="20"/>
              </w:rPr>
              <w:t>(2014)</w:t>
            </w:r>
          </w:p>
        </w:tc>
        <w:tc>
          <w:tcPr>
            <w:tcW w:w="1843" w:type="dxa"/>
            <w:tcBorders>
              <w:top w:val="single" w:sz="4" w:space="0" w:color="C00000"/>
              <w:left w:val="nil"/>
              <w:bottom w:val="single" w:sz="4" w:space="0" w:color="C00000"/>
              <w:right w:val="nil"/>
            </w:tcBorders>
            <w:noWrap/>
          </w:tcPr>
          <w:p w14:paraId="40F7E6E7" w14:textId="2B297A89" w:rsidR="0064412C" w:rsidRPr="0099225F" w:rsidRDefault="0064412C" w:rsidP="00C1114C">
            <w:pPr>
              <w:pStyle w:val="Tabletext"/>
              <w:rPr>
                <w:sz w:val="20"/>
              </w:rPr>
            </w:pPr>
            <w:r w:rsidRPr="0099225F">
              <w:rPr>
                <w:sz w:val="20"/>
              </w:rPr>
              <w:t>23.</w:t>
            </w:r>
            <w:r w:rsidR="00BE0199" w:rsidRPr="0099225F">
              <w:rPr>
                <w:sz w:val="20"/>
              </w:rPr>
              <w:t>4</w:t>
            </w:r>
          </w:p>
          <w:p w14:paraId="274A633F" w14:textId="70D1F5EC" w:rsidR="0064412C" w:rsidRPr="0099225F" w:rsidRDefault="0064412C" w:rsidP="00C1114C">
            <w:pPr>
              <w:pStyle w:val="Tabletext"/>
              <w:rPr>
                <w:sz w:val="20"/>
              </w:rPr>
            </w:pPr>
            <w:r w:rsidRPr="0099225F">
              <w:rPr>
                <w:sz w:val="20"/>
              </w:rPr>
              <w:t>(201</w:t>
            </w:r>
            <w:r w:rsidR="00BE0199" w:rsidRPr="0099225F">
              <w:rPr>
                <w:sz w:val="20"/>
              </w:rPr>
              <w:t>8</w:t>
            </w:r>
            <w:r w:rsidRPr="0099225F">
              <w:rPr>
                <w:sz w:val="20"/>
              </w:rPr>
              <w:t>)</w:t>
            </w:r>
          </w:p>
        </w:tc>
        <w:tc>
          <w:tcPr>
            <w:tcW w:w="1701" w:type="dxa"/>
            <w:tcBorders>
              <w:top w:val="single" w:sz="4" w:space="0" w:color="C00000"/>
              <w:left w:val="nil"/>
              <w:bottom w:val="single" w:sz="4" w:space="0" w:color="C00000"/>
              <w:right w:val="nil"/>
            </w:tcBorders>
            <w:noWrap/>
          </w:tcPr>
          <w:p w14:paraId="6BCE361C" w14:textId="78692768" w:rsidR="0064412C" w:rsidRPr="0099225F" w:rsidRDefault="00F90C56" w:rsidP="00C1114C">
            <w:pPr>
              <w:pStyle w:val="Tabletext"/>
              <w:rPr>
                <w:sz w:val="20"/>
              </w:rPr>
            </w:pPr>
            <w:r w:rsidRPr="0099225F">
              <w:rPr>
                <w:sz w:val="20"/>
              </w:rPr>
              <w:t>31.2</w:t>
            </w:r>
          </w:p>
          <w:p w14:paraId="60FECDCA" w14:textId="77777777" w:rsidR="0064412C" w:rsidRPr="0099225F" w:rsidRDefault="0064412C" w:rsidP="00C1114C">
            <w:pPr>
              <w:pStyle w:val="Tabletext"/>
              <w:rPr>
                <w:sz w:val="20"/>
              </w:rPr>
            </w:pPr>
            <w:r w:rsidRPr="0099225F">
              <w:rPr>
                <w:sz w:val="20"/>
              </w:rPr>
              <w:t>(2025)</w:t>
            </w:r>
          </w:p>
        </w:tc>
        <w:tc>
          <w:tcPr>
            <w:tcW w:w="1838" w:type="dxa"/>
            <w:tcBorders>
              <w:top w:val="single" w:sz="4" w:space="0" w:color="C00000"/>
              <w:left w:val="nil"/>
              <w:bottom w:val="single" w:sz="4" w:space="0" w:color="C00000"/>
              <w:right w:val="nil"/>
            </w:tcBorders>
          </w:tcPr>
          <w:p w14:paraId="2A29991F" w14:textId="10233046" w:rsidR="0064412C" w:rsidRPr="0099225F" w:rsidRDefault="00D7510A" w:rsidP="00C1114C">
            <w:pPr>
              <w:pStyle w:val="Tabletext"/>
              <w:rPr>
                <w:sz w:val="20"/>
              </w:rPr>
            </w:pPr>
            <w:r w:rsidRPr="0099225F">
              <w:rPr>
                <w:sz w:val="20"/>
              </w:rPr>
              <w:t>▼</w:t>
            </w:r>
            <w:r w:rsidRPr="0099225F">
              <w:rPr>
                <w:sz w:val="20"/>
              </w:rPr>
              <w:br/>
              <w:t>Downward</w:t>
            </w:r>
          </w:p>
        </w:tc>
      </w:tr>
      <w:tr w:rsidR="0064412C" w:rsidRPr="0099225F" w14:paraId="01DBB1D8" w14:textId="77777777" w:rsidTr="000970D5">
        <w:trPr>
          <w:trHeight w:val="691"/>
        </w:trPr>
        <w:tc>
          <w:tcPr>
            <w:tcW w:w="1418" w:type="dxa"/>
            <w:tcBorders>
              <w:top w:val="single" w:sz="4" w:space="0" w:color="C00000"/>
              <w:left w:val="nil"/>
              <w:bottom w:val="single" w:sz="4" w:space="0" w:color="C00000"/>
              <w:right w:val="nil"/>
            </w:tcBorders>
            <w:hideMark/>
          </w:tcPr>
          <w:p w14:paraId="00B31D52" w14:textId="3934CBD1" w:rsidR="0064412C" w:rsidRPr="0099225F" w:rsidRDefault="00000000" w:rsidP="00C1114C">
            <w:pPr>
              <w:pStyle w:val="Tabletext"/>
              <w:rPr>
                <w:sz w:val="20"/>
              </w:rPr>
            </w:pPr>
            <w:hyperlink w:anchor="_Measure_7.11_–" w:history="1">
              <w:r w:rsidR="0064412C" w:rsidRPr="0099225F">
                <w:rPr>
                  <w:rStyle w:val="Hyperlink"/>
                  <w:sz w:val="20"/>
                </w:rPr>
                <w:t>7.11</w:t>
              </w:r>
            </w:hyperlink>
          </w:p>
        </w:tc>
        <w:tc>
          <w:tcPr>
            <w:tcW w:w="3260" w:type="dxa"/>
            <w:tcBorders>
              <w:top w:val="single" w:sz="4" w:space="0" w:color="C00000"/>
              <w:left w:val="nil"/>
              <w:bottom w:val="single" w:sz="4" w:space="0" w:color="C00000"/>
              <w:right w:val="nil"/>
            </w:tcBorders>
          </w:tcPr>
          <w:p w14:paraId="72787F25" w14:textId="2150133F" w:rsidR="0064412C" w:rsidRPr="0099225F" w:rsidRDefault="0064412C" w:rsidP="00C1114C">
            <w:pPr>
              <w:pStyle w:val="Tabletext"/>
              <w:rPr>
                <w:sz w:val="20"/>
              </w:rPr>
            </w:pPr>
            <w:r w:rsidRPr="0099225F">
              <w:rPr>
                <w:sz w:val="20"/>
              </w:rPr>
              <w:t>Proportion of children 5–12 years who are sufficiently physically active</w:t>
            </w:r>
          </w:p>
        </w:tc>
        <w:tc>
          <w:tcPr>
            <w:tcW w:w="2552" w:type="dxa"/>
            <w:tcBorders>
              <w:top w:val="single" w:sz="4" w:space="0" w:color="C00000"/>
              <w:left w:val="nil"/>
              <w:bottom w:val="single" w:sz="4" w:space="0" w:color="C00000"/>
              <w:right w:val="nil"/>
            </w:tcBorders>
          </w:tcPr>
          <w:p w14:paraId="13B29CAA" w14:textId="77777777" w:rsidR="0064412C" w:rsidRPr="0099225F" w:rsidRDefault="0064412C" w:rsidP="00C1114C">
            <w:pPr>
              <w:pStyle w:val="Tabletext"/>
              <w:rPr>
                <w:sz w:val="20"/>
              </w:rPr>
            </w:pPr>
            <w:r w:rsidRPr="0099225F">
              <w:rPr>
                <w:sz w:val="20"/>
              </w:rPr>
              <w:t>Per cent</w:t>
            </w:r>
          </w:p>
        </w:tc>
        <w:tc>
          <w:tcPr>
            <w:tcW w:w="1842" w:type="dxa"/>
            <w:tcBorders>
              <w:top w:val="single" w:sz="4" w:space="0" w:color="C00000"/>
              <w:left w:val="nil"/>
              <w:bottom w:val="single" w:sz="4" w:space="0" w:color="C00000"/>
              <w:right w:val="nil"/>
            </w:tcBorders>
            <w:noWrap/>
          </w:tcPr>
          <w:p w14:paraId="4630EC44" w14:textId="4DB41386" w:rsidR="0064412C" w:rsidRPr="0099225F" w:rsidRDefault="0064412C" w:rsidP="00C1114C">
            <w:pPr>
              <w:pStyle w:val="Tabletext"/>
              <w:rPr>
                <w:sz w:val="20"/>
              </w:rPr>
            </w:pPr>
            <w:r w:rsidRPr="0099225F">
              <w:rPr>
                <w:sz w:val="20"/>
              </w:rPr>
              <w:t>62.</w:t>
            </w:r>
            <w:r w:rsidR="00083613" w:rsidRPr="0099225F">
              <w:rPr>
                <w:sz w:val="20"/>
              </w:rPr>
              <w:t>2</w:t>
            </w:r>
          </w:p>
          <w:p w14:paraId="5DE4C39E" w14:textId="77777777" w:rsidR="0064412C" w:rsidRPr="0099225F" w:rsidRDefault="0064412C" w:rsidP="00C1114C">
            <w:pPr>
              <w:pStyle w:val="Tabletext"/>
              <w:rPr>
                <w:sz w:val="20"/>
              </w:rPr>
            </w:pPr>
            <w:r w:rsidRPr="0099225F">
              <w:rPr>
                <w:sz w:val="20"/>
              </w:rPr>
              <w:t>(2013)</w:t>
            </w:r>
          </w:p>
        </w:tc>
        <w:tc>
          <w:tcPr>
            <w:tcW w:w="1843" w:type="dxa"/>
            <w:tcBorders>
              <w:top w:val="single" w:sz="4" w:space="0" w:color="C00000"/>
              <w:left w:val="nil"/>
              <w:bottom w:val="single" w:sz="4" w:space="0" w:color="C00000"/>
              <w:right w:val="nil"/>
            </w:tcBorders>
            <w:noWrap/>
          </w:tcPr>
          <w:p w14:paraId="2C317937" w14:textId="26215E41" w:rsidR="0064412C" w:rsidRPr="0099225F" w:rsidRDefault="005D5F8A" w:rsidP="00C1114C">
            <w:pPr>
              <w:pStyle w:val="Tabletext"/>
              <w:rPr>
                <w:sz w:val="20"/>
              </w:rPr>
            </w:pPr>
            <w:r>
              <w:rPr>
                <w:sz w:val="20"/>
              </w:rPr>
              <w:t>47</w:t>
            </w:r>
            <w:r w:rsidR="0064412C" w:rsidRPr="0099225F">
              <w:rPr>
                <w:sz w:val="20"/>
              </w:rPr>
              <w:t>.</w:t>
            </w:r>
            <w:r>
              <w:rPr>
                <w:sz w:val="20"/>
              </w:rPr>
              <w:t>3</w:t>
            </w:r>
          </w:p>
          <w:p w14:paraId="0103ED47" w14:textId="60221CB6" w:rsidR="0064412C" w:rsidRPr="0099225F" w:rsidRDefault="0064412C" w:rsidP="00C1114C">
            <w:pPr>
              <w:pStyle w:val="Tabletext"/>
              <w:rPr>
                <w:sz w:val="20"/>
              </w:rPr>
            </w:pPr>
            <w:r w:rsidRPr="0099225F">
              <w:rPr>
                <w:sz w:val="20"/>
              </w:rPr>
              <w:t>(20</w:t>
            </w:r>
            <w:r w:rsidR="005D5F8A">
              <w:rPr>
                <w:sz w:val="20"/>
              </w:rPr>
              <w:t>21</w:t>
            </w:r>
            <w:r w:rsidRPr="0099225F">
              <w:rPr>
                <w:sz w:val="20"/>
              </w:rPr>
              <w:t>)</w:t>
            </w:r>
          </w:p>
        </w:tc>
        <w:tc>
          <w:tcPr>
            <w:tcW w:w="1701" w:type="dxa"/>
            <w:tcBorders>
              <w:top w:val="single" w:sz="4" w:space="0" w:color="C00000"/>
              <w:left w:val="nil"/>
              <w:bottom w:val="single" w:sz="4" w:space="0" w:color="C00000"/>
              <w:right w:val="nil"/>
            </w:tcBorders>
            <w:noWrap/>
          </w:tcPr>
          <w:p w14:paraId="0EB27C69" w14:textId="77777777" w:rsidR="0064412C" w:rsidRPr="0099225F" w:rsidRDefault="0064412C" w:rsidP="00C1114C">
            <w:pPr>
              <w:pStyle w:val="Tabletext"/>
              <w:rPr>
                <w:sz w:val="20"/>
              </w:rPr>
            </w:pPr>
            <w:r w:rsidRPr="0099225F">
              <w:rPr>
                <w:sz w:val="20"/>
              </w:rPr>
              <w:t>N/S</w:t>
            </w:r>
          </w:p>
        </w:tc>
        <w:tc>
          <w:tcPr>
            <w:tcW w:w="1838" w:type="dxa"/>
            <w:tcBorders>
              <w:top w:val="single" w:sz="4" w:space="0" w:color="C00000"/>
              <w:left w:val="nil"/>
              <w:bottom w:val="single" w:sz="4" w:space="0" w:color="C00000"/>
              <w:right w:val="nil"/>
            </w:tcBorders>
          </w:tcPr>
          <w:p w14:paraId="705B83C9" w14:textId="584E6727" w:rsidR="0064412C" w:rsidRPr="0099225F" w:rsidRDefault="00D7510A" w:rsidP="00C1114C">
            <w:pPr>
              <w:pStyle w:val="Tabletext"/>
              <w:rPr>
                <w:sz w:val="20"/>
              </w:rPr>
            </w:pPr>
            <w:r w:rsidRPr="0099225F">
              <w:rPr>
                <w:sz w:val="20"/>
              </w:rPr>
              <w:t>▼</w:t>
            </w:r>
            <w:r w:rsidRPr="0099225F">
              <w:rPr>
                <w:sz w:val="20"/>
              </w:rPr>
              <w:br/>
              <w:t>Downward</w:t>
            </w:r>
          </w:p>
        </w:tc>
      </w:tr>
    </w:tbl>
    <w:p w14:paraId="4F656712" w14:textId="003002FF" w:rsidR="00D7510A" w:rsidRDefault="00D7510A" w:rsidP="00D7510A">
      <w:pPr>
        <w:pStyle w:val="Heading5"/>
      </w:pPr>
      <w:r w:rsidRPr="00854D56">
        <w:t>Key result:</w:t>
      </w:r>
      <w:r>
        <w:t xml:space="preserve"> </w:t>
      </w:r>
      <w:r w:rsidRPr="00854D56">
        <w:t>Decrease obesity</w:t>
      </w:r>
    </w:p>
    <w:tbl>
      <w:tblPr>
        <w:tblStyle w:val="TableGrid"/>
        <w:tblW w:w="14454" w:type="dxa"/>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1418"/>
        <w:gridCol w:w="3260"/>
        <w:gridCol w:w="2552"/>
        <w:gridCol w:w="1842"/>
        <w:gridCol w:w="1843"/>
        <w:gridCol w:w="1701"/>
        <w:gridCol w:w="1838"/>
      </w:tblGrid>
      <w:tr w:rsidR="00D7510A" w:rsidRPr="0099225F" w14:paraId="3D1D6B9D" w14:textId="77777777" w:rsidTr="00957CB6">
        <w:trPr>
          <w:trHeight w:val="723"/>
        </w:trPr>
        <w:tc>
          <w:tcPr>
            <w:tcW w:w="1418" w:type="dxa"/>
            <w:shd w:val="clear" w:color="auto" w:fill="EDCDCF"/>
          </w:tcPr>
          <w:p w14:paraId="26D7D3B4" w14:textId="47E6B4EB" w:rsidR="00D7510A" w:rsidRPr="0099225F" w:rsidRDefault="00D7510A" w:rsidP="00D7510A">
            <w:pPr>
              <w:pStyle w:val="Tablecolhead"/>
              <w:rPr>
                <w:sz w:val="20"/>
              </w:rPr>
            </w:pPr>
            <w:r w:rsidRPr="0099225F">
              <w:rPr>
                <w:sz w:val="20"/>
              </w:rPr>
              <w:t>Measure #</w:t>
            </w:r>
          </w:p>
        </w:tc>
        <w:tc>
          <w:tcPr>
            <w:tcW w:w="3260" w:type="dxa"/>
            <w:shd w:val="clear" w:color="auto" w:fill="EDCDCF"/>
          </w:tcPr>
          <w:p w14:paraId="40E15CEF" w14:textId="78B786BD" w:rsidR="00D7510A" w:rsidRPr="0099225F" w:rsidRDefault="00D7510A" w:rsidP="00D7510A">
            <w:pPr>
              <w:pStyle w:val="Tablecolhead"/>
              <w:rPr>
                <w:sz w:val="20"/>
              </w:rPr>
            </w:pPr>
            <w:r w:rsidRPr="0099225F">
              <w:rPr>
                <w:sz w:val="20"/>
              </w:rPr>
              <w:t>Description</w:t>
            </w:r>
          </w:p>
        </w:tc>
        <w:tc>
          <w:tcPr>
            <w:tcW w:w="2552" w:type="dxa"/>
            <w:shd w:val="clear" w:color="auto" w:fill="EDCDCF"/>
          </w:tcPr>
          <w:p w14:paraId="20B70DAD" w14:textId="1FCC297F" w:rsidR="00D7510A" w:rsidRPr="0099225F" w:rsidRDefault="00D7510A" w:rsidP="00D7510A">
            <w:pPr>
              <w:pStyle w:val="Tablecolhead"/>
              <w:rPr>
                <w:sz w:val="20"/>
              </w:rPr>
            </w:pPr>
            <w:r w:rsidRPr="0099225F">
              <w:rPr>
                <w:sz w:val="20"/>
              </w:rPr>
              <w:t>Unit of measure</w:t>
            </w:r>
          </w:p>
        </w:tc>
        <w:tc>
          <w:tcPr>
            <w:tcW w:w="1842" w:type="dxa"/>
            <w:shd w:val="clear" w:color="auto" w:fill="EDCDCF"/>
            <w:noWrap/>
          </w:tcPr>
          <w:p w14:paraId="7660B849" w14:textId="77777777" w:rsidR="00D7510A" w:rsidRPr="0099225F" w:rsidRDefault="00D7510A" w:rsidP="00D7510A">
            <w:pPr>
              <w:pStyle w:val="Tablecolhead"/>
              <w:rPr>
                <w:sz w:val="20"/>
              </w:rPr>
            </w:pPr>
            <w:r w:rsidRPr="0099225F">
              <w:rPr>
                <w:sz w:val="20"/>
              </w:rPr>
              <w:t>Baseline</w:t>
            </w:r>
          </w:p>
          <w:p w14:paraId="299458F3" w14:textId="778ACFD6" w:rsidR="00D7510A" w:rsidRPr="0099225F" w:rsidRDefault="00D7510A" w:rsidP="00D7510A">
            <w:pPr>
              <w:pStyle w:val="Tablecolhead"/>
              <w:rPr>
                <w:sz w:val="20"/>
              </w:rPr>
            </w:pPr>
            <w:r w:rsidRPr="0099225F">
              <w:rPr>
                <w:sz w:val="20"/>
              </w:rPr>
              <w:t>(year)</w:t>
            </w:r>
          </w:p>
        </w:tc>
        <w:tc>
          <w:tcPr>
            <w:tcW w:w="1843" w:type="dxa"/>
            <w:shd w:val="clear" w:color="auto" w:fill="EDCDCF"/>
            <w:noWrap/>
          </w:tcPr>
          <w:p w14:paraId="235446BF" w14:textId="77777777" w:rsidR="00D7510A" w:rsidRPr="0099225F" w:rsidRDefault="00D7510A" w:rsidP="00D7510A">
            <w:pPr>
              <w:pStyle w:val="Tablecolhead"/>
              <w:rPr>
                <w:sz w:val="20"/>
              </w:rPr>
            </w:pPr>
            <w:r w:rsidRPr="0099225F">
              <w:rPr>
                <w:sz w:val="20"/>
              </w:rPr>
              <w:t>Most recent</w:t>
            </w:r>
          </w:p>
          <w:p w14:paraId="3B253779" w14:textId="732AC68E" w:rsidR="00D7510A" w:rsidRPr="0099225F" w:rsidRDefault="00D7510A" w:rsidP="00D7510A">
            <w:pPr>
              <w:pStyle w:val="Tablecolhead"/>
              <w:rPr>
                <w:sz w:val="20"/>
              </w:rPr>
            </w:pPr>
            <w:r w:rsidRPr="0099225F">
              <w:rPr>
                <w:sz w:val="20"/>
              </w:rPr>
              <w:t>(year)</w:t>
            </w:r>
          </w:p>
        </w:tc>
        <w:tc>
          <w:tcPr>
            <w:tcW w:w="1701" w:type="dxa"/>
            <w:shd w:val="clear" w:color="auto" w:fill="EDCDCF"/>
            <w:noWrap/>
          </w:tcPr>
          <w:p w14:paraId="4B102621" w14:textId="77777777" w:rsidR="00D7510A" w:rsidRPr="0099225F" w:rsidRDefault="00D7510A" w:rsidP="00D7510A">
            <w:pPr>
              <w:pStyle w:val="Tablecolhead"/>
              <w:rPr>
                <w:sz w:val="20"/>
              </w:rPr>
            </w:pPr>
            <w:r w:rsidRPr="0099225F">
              <w:rPr>
                <w:sz w:val="20"/>
              </w:rPr>
              <w:t>Target</w:t>
            </w:r>
          </w:p>
          <w:p w14:paraId="1DCDE497" w14:textId="4593933C" w:rsidR="00D7510A" w:rsidRPr="0099225F" w:rsidRDefault="00D7510A" w:rsidP="00D7510A">
            <w:pPr>
              <w:pStyle w:val="Tablecolhead"/>
              <w:rPr>
                <w:sz w:val="20"/>
              </w:rPr>
            </w:pPr>
            <w:r w:rsidRPr="0099225F">
              <w:rPr>
                <w:sz w:val="20"/>
              </w:rPr>
              <w:t>(Year)</w:t>
            </w:r>
          </w:p>
        </w:tc>
        <w:tc>
          <w:tcPr>
            <w:tcW w:w="1838" w:type="dxa"/>
            <w:shd w:val="clear" w:color="auto" w:fill="EDCDCF"/>
          </w:tcPr>
          <w:p w14:paraId="7EC74134" w14:textId="49843711" w:rsidR="00D7510A" w:rsidRPr="0099225F" w:rsidRDefault="00D7510A" w:rsidP="00D7510A">
            <w:pPr>
              <w:pStyle w:val="Tablecolhead"/>
              <w:rPr>
                <w:sz w:val="20"/>
              </w:rPr>
            </w:pPr>
            <w:r w:rsidRPr="0099225F">
              <w:rPr>
                <w:sz w:val="20"/>
              </w:rPr>
              <w:t>Trend</w:t>
            </w:r>
          </w:p>
        </w:tc>
      </w:tr>
      <w:tr w:rsidR="0064412C" w:rsidRPr="0099225F" w14:paraId="1D69522A" w14:textId="77777777" w:rsidTr="00957CB6">
        <w:trPr>
          <w:trHeight w:val="723"/>
        </w:trPr>
        <w:tc>
          <w:tcPr>
            <w:tcW w:w="1418" w:type="dxa"/>
          </w:tcPr>
          <w:p w14:paraId="0B003395" w14:textId="35425F54" w:rsidR="0064412C" w:rsidRPr="0099225F" w:rsidRDefault="00000000" w:rsidP="00C1114C">
            <w:pPr>
              <w:pStyle w:val="Tabletext"/>
              <w:rPr>
                <w:sz w:val="20"/>
              </w:rPr>
            </w:pPr>
            <w:hyperlink w:anchor="_Measure_8.1_–" w:history="1">
              <w:r w:rsidR="0064412C" w:rsidRPr="0099225F">
                <w:rPr>
                  <w:rStyle w:val="Hyperlink"/>
                  <w:sz w:val="20"/>
                </w:rPr>
                <w:t>8.1</w:t>
              </w:r>
            </w:hyperlink>
          </w:p>
        </w:tc>
        <w:tc>
          <w:tcPr>
            <w:tcW w:w="3260" w:type="dxa"/>
          </w:tcPr>
          <w:p w14:paraId="21C7A0D0" w14:textId="77777777" w:rsidR="0064412C" w:rsidRPr="0099225F" w:rsidRDefault="0064412C" w:rsidP="00C1114C">
            <w:pPr>
              <w:pStyle w:val="Tabletext"/>
              <w:rPr>
                <w:sz w:val="20"/>
              </w:rPr>
            </w:pPr>
            <w:r w:rsidRPr="0099225F">
              <w:rPr>
                <w:sz w:val="20"/>
              </w:rPr>
              <w:t>Proportion of adults who are overweight or obese (measured)</w:t>
            </w:r>
          </w:p>
        </w:tc>
        <w:tc>
          <w:tcPr>
            <w:tcW w:w="2552" w:type="dxa"/>
          </w:tcPr>
          <w:p w14:paraId="0271228F" w14:textId="77777777" w:rsidR="0064412C" w:rsidRPr="0099225F" w:rsidRDefault="0064412C" w:rsidP="00C1114C">
            <w:pPr>
              <w:pStyle w:val="Tabletext"/>
              <w:rPr>
                <w:sz w:val="20"/>
              </w:rPr>
            </w:pPr>
            <w:r w:rsidRPr="0099225F">
              <w:rPr>
                <w:sz w:val="20"/>
              </w:rPr>
              <w:t>Per cent</w:t>
            </w:r>
          </w:p>
        </w:tc>
        <w:tc>
          <w:tcPr>
            <w:tcW w:w="1842" w:type="dxa"/>
            <w:noWrap/>
          </w:tcPr>
          <w:p w14:paraId="49477701" w14:textId="36498FDC" w:rsidR="0064412C" w:rsidRPr="0099225F" w:rsidRDefault="0064412C" w:rsidP="00C1114C">
            <w:pPr>
              <w:pStyle w:val="Tabletext"/>
              <w:rPr>
                <w:sz w:val="20"/>
              </w:rPr>
            </w:pPr>
            <w:r w:rsidRPr="0099225F">
              <w:rPr>
                <w:sz w:val="20"/>
              </w:rPr>
              <w:t>6</w:t>
            </w:r>
            <w:r w:rsidR="00BE0199" w:rsidRPr="0099225F">
              <w:rPr>
                <w:sz w:val="20"/>
              </w:rPr>
              <w:t>2</w:t>
            </w:r>
            <w:r w:rsidRPr="0099225F">
              <w:rPr>
                <w:sz w:val="20"/>
              </w:rPr>
              <w:t>.0</w:t>
            </w:r>
          </w:p>
          <w:p w14:paraId="55AD3DE7" w14:textId="4E216CDB" w:rsidR="0064412C" w:rsidRPr="0099225F" w:rsidRDefault="0064412C" w:rsidP="00C1114C">
            <w:pPr>
              <w:pStyle w:val="Tabletext"/>
              <w:rPr>
                <w:sz w:val="20"/>
              </w:rPr>
            </w:pPr>
            <w:r w:rsidRPr="0099225F">
              <w:rPr>
                <w:sz w:val="20"/>
              </w:rPr>
              <w:t>(2011–12)</w:t>
            </w:r>
          </w:p>
        </w:tc>
        <w:tc>
          <w:tcPr>
            <w:tcW w:w="1843" w:type="dxa"/>
            <w:noWrap/>
          </w:tcPr>
          <w:p w14:paraId="722C9DE8" w14:textId="675FDC0D" w:rsidR="0064412C" w:rsidRPr="0099225F" w:rsidRDefault="0064412C" w:rsidP="00C1114C">
            <w:pPr>
              <w:pStyle w:val="Tabletext"/>
              <w:rPr>
                <w:sz w:val="20"/>
              </w:rPr>
            </w:pPr>
            <w:r w:rsidRPr="0099225F">
              <w:rPr>
                <w:sz w:val="20"/>
              </w:rPr>
              <w:t>6</w:t>
            </w:r>
            <w:r w:rsidR="00BE0199" w:rsidRPr="0099225F">
              <w:rPr>
                <w:sz w:val="20"/>
              </w:rPr>
              <w:t>8</w:t>
            </w:r>
            <w:r w:rsidRPr="0099225F">
              <w:rPr>
                <w:sz w:val="20"/>
              </w:rPr>
              <w:t>.3</w:t>
            </w:r>
          </w:p>
          <w:p w14:paraId="34B2C910" w14:textId="7E5248C0" w:rsidR="0064412C" w:rsidRPr="0099225F" w:rsidRDefault="0064412C" w:rsidP="00C1114C">
            <w:pPr>
              <w:pStyle w:val="Tabletext"/>
              <w:rPr>
                <w:sz w:val="20"/>
              </w:rPr>
            </w:pPr>
            <w:r w:rsidRPr="0099225F">
              <w:rPr>
                <w:sz w:val="20"/>
              </w:rPr>
              <w:t>(201</w:t>
            </w:r>
            <w:r w:rsidR="00BE0199" w:rsidRPr="0099225F">
              <w:rPr>
                <w:sz w:val="20"/>
              </w:rPr>
              <w:t>7</w:t>
            </w:r>
            <w:r w:rsidRPr="0099225F">
              <w:rPr>
                <w:sz w:val="20"/>
              </w:rPr>
              <w:t>–1</w:t>
            </w:r>
            <w:r w:rsidR="00BE0199" w:rsidRPr="0099225F">
              <w:rPr>
                <w:sz w:val="20"/>
              </w:rPr>
              <w:t>8</w:t>
            </w:r>
            <w:r w:rsidRPr="0099225F">
              <w:rPr>
                <w:sz w:val="20"/>
              </w:rPr>
              <w:t>)</w:t>
            </w:r>
          </w:p>
        </w:tc>
        <w:tc>
          <w:tcPr>
            <w:tcW w:w="1701" w:type="dxa"/>
            <w:noWrap/>
          </w:tcPr>
          <w:p w14:paraId="49D84759" w14:textId="3DF9561A" w:rsidR="0064412C" w:rsidRPr="0099225F" w:rsidRDefault="0064412C" w:rsidP="00C1114C">
            <w:pPr>
              <w:pStyle w:val="Tabletext"/>
              <w:rPr>
                <w:sz w:val="20"/>
              </w:rPr>
            </w:pPr>
            <w:r w:rsidRPr="0099225F">
              <w:rPr>
                <w:sz w:val="20"/>
              </w:rPr>
              <w:t>5</w:t>
            </w:r>
            <w:r w:rsidR="00E25C6D" w:rsidRPr="0099225F">
              <w:rPr>
                <w:sz w:val="20"/>
              </w:rPr>
              <w:t>8</w:t>
            </w:r>
          </w:p>
          <w:p w14:paraId="093607B0" w14:textId="77777777" w:rsidR="0064412C" w:rsidRPr="0099225F" w:rsidRDefault="0064412C" w:rsidP="00C1114C">
            <w:pPr>
              <w:pStyle w:val="Tabletext"/>
              <w:rPr>
                <w:sz w:val="20"/>
              </w:rPr>
            </w:pPr>
            <w:r w:rsidRPr="0099225F">
              <w:rPr>
                <w:sz w:val="20"/>
              </w:rPr>
              <w:t>(2025)</w:t>
            </w:r>
          </w:p>
        </w:tc>
        <w:tc>
          <w:tcPr>
            <w:tcW w:w="1838" w:type="dxa"/>
          </w:tcPr>
          <w:p w14:paraId="78D1A30E" w14:textId="292542A8" w:rsidR="0064412C" w:rsidRPr="0099225F" w:rsidRDefault="00CF3B53" w:rsidP="00C1114C">
            <w:pPr>
              <w:pStyle w:val="Tabletext"/>
              <w:rPr>
                <w:sz w:val="20"/>
                <w:highlight w:val="yellow"/>
              </w:rPr>
            </w:pPr>
            <w:r w:rsidRPr="0099225F">
              <w:rPr>
                <w:sz w:val="20"/>
              </w:rPr>
              <w:t>▲</w:t>
            </w:r>
            <w:r w:rsidRPr="0099225F">
              <w:rPr>
                <w:sz w:val="20"/>
              </w:rPr>
              <w:br/>
              <w:t>Upward</w:t>
            </w:r>
          </w:p>
        </w:tc>
      </w:tr>
      <w:tr w:rsidR="0064412C" w:rsidRPr="0099225F" w14:paraId="0D754894" w14:textId="77777777" w:rsidTr="00957CB6">
        <w:trPr>
          <w:trHeight w:val="723"/>
        </w:trPr>
        <w:tc>
          <w:tcPr>
            <w:tcW w:w="1418" w:type="dxa"/>
          </w:tcPr>
          <w:p w14:paraId="6C81D552" w14:textId="0D5027F4" w:rsidR="0064412C" w:rsidRPr="0099225F" w:rsidRDefault="00000000" w:rsidP="00C1114C">
            <w:pPr>
              <w:pStyle w:val="Tabletext"/>
              <w:rPr>
                <w:sz w:val="20"/>
              </w:rPr>
            </w:pPr>
            <w:hyperlink w:anchor="_Measure_8.2_–" w:history="1">
              <w:r w:rsidR="0064412C" w:rsidRPr="0099225F">
                <w:rPr>
                  <w:rStyle w:val="Hyperlink"/>
                  <w:sz w:val="20"/>
                </w:rPr>
                <w:t>8.2</w:t>
              </w:r>
            </w:hyperlink>
          </w:p>
        </w:tc>
        <w:tc>
          <w:tcPr>
            <w:tcW w:w="3260" w:type="dxa"/>
          </w:tcPr>
          <w:p w14:paraId="4BE1903E" w14:textId="77777777" w:rsidR="0064412C" w:rsidRPr="0099225F" w:rsidRDefault="0064412C" w:rsidP="00C1114C">
            <w:pPr>
              <w:pStyle w:val="Tabletext"/>
              <w:rPr>
                <w:sz w:val="20"/>
              </w:rPr>
            </w:pPr>
            <w:r w:rsidRPr="0099225F">
              <w:rPr>
                <w:sz w:val="20"/>
              </w:rPr>
              <w:t>Proportion of adults who are overweight or obese (self-report)</w:t>
            </w:r>
          </w:p>
        </w:tc>
        <w:tc>
          <w:tcPr>
            <w:tcW w:w="2552" w:type="dxa"/>
          </w:tcPr>
          <w:p w14:paraId="27677244" w14:textId="77777777" w:rsidR="0064412C" w:rsidRPr="0099225F" w:rsidRDefault="0064412C" w:rsidP="00C1114C">
            <w:pPr>
              <w:pStyle w:val="Tabletext"/>
              <w:rPr>
                <w:sz w:val="20"/>
              </w:rPr>
            </w:pPr>
            <w:r w:rsidRPr="0099225F">
              <w:rPr>
                <w:sz w:val="20"/>
              </w:rPr>
              <w:t>Per cent</w:t>
            </w:r>
          </w:p>
        </w:tc>
        <w:tc>
          <w:tcPr>
            <w:tcW w:w="1842" w:type="dxa"/>
            <w:noWrap/>
          </w:tcPr>
          <w:p w14:paraId="46976914" w14:textId="1892C6AF" w:rsidR="0064412C" w:rsidRPr="0099225F" w:rsidRDefault="00B07138" w:rsidP="00C1114C">
            <w:pPr>
              <w:pStyle w:val="Tabletext"/>
              <w:rPr>
                <w:sz w:val="20"/>
              </w:rPr>
            </w:pPr>
            <w:r>
              <w:rPr>
                <w:sz w:val="20"/>
              </w:rPr>
              <w:t>49</w:t>
            </w:r>
            <w:r w:rsidR="0064412C" w:rsidRPr="0099225F">
              <w:rPr>
                <w:sz w:val="20"/>
              </w:rPr>
              <w:t>.</w:t>
            </w:r>
            <w:r>
              <w:rPr>
                <w:sz w:val="20"/>
              </w:rPr>
              <w:t>2</w:t>
            </w:r>
          </w:p>
          <w:p w14:paraId="39A6FDF5" w14:textId="78B55D90" w:rsidR="0064412C" w:rsidRPr="0099225F" w:rsidRDefault="0064412C" w:rsidP="00C1114C">
            <w:pPr>
              <w:pStyle w:val="Tabletext"/>
              <w:rPr>
                <w:sz w:val="20"/>
              </w:rPr>
            </w:pPr>
            <w:r w:rsidRPr="0099225F">
              <w:rPr>
                <w:sz w:val="20"/>
              </w:rPr>
              <w:t>(201</w:t>
            </w:r>
            <w:r w:rsidR="0055499D" w:rsidRPr="0099225F">
              <w:rPr>
                <w:sz w:val="20"/>
              </w:rPr>
              <w:t>5</w:t>
            </w:r>
            <w:r w:rsidRPr="0099225F">
              <w:rPr>
                <w:sz w:val="20"/>
              </w:rPr>
              <w:t>)</w:t>
            </w:r>
          </w:p>
        </w:tc>
        <w:tc>
          <w:tcPr>
            <w:tcW w:w="1843" w:type="dxa"/>
            <w:noWrap/>
          </w:tcPr>
          <w:p w14:paraId="566963BD" w14:textId="6E31DF84" w:rsidR="0064412C" w:rsidRPr="0099225F" w:rsidRDefault="0055499D" w:rsidP="00C1114C">
            <w:pPr>
              <w:pStyle w:val="Tabletext"/>
              <w:rPr>
                <w:sz w:val="20"/>
              </w:rPr>
            </w:pPr>
            <w:r w:rsidRPr="0099225F">
              <w:rPr>
                <w:sz w:val="20"/>
              </w:rPr>
              <w:t>5</w:t>
            </w:r>
            <w:r w:rsidR="00B07138">
              <w:rPr>
                <w:sz w:val="20"/>
              </w:rPr>
              <w:t>6</w:t>
            </w:r>
            <w:r w:rsidRPr="0099225F">
              <w:rPr>
                <w:sz w:val="20"/>
              </w:rPr>
              <w:t>.</w:t>
            </w:r>
            <w:r w:rsidR="00B07138">
              <w:rPr>
                <w:sz w:val="20"/>
              </w:rPr>
              <w:t>2</w:t>
            </w:r>
          </w:p>
          <w:p w14:paraId="24242B4B" w14:textId="6F1C857B" w:rsidR="0064412C" w:rsidRPr="0099225F" w:rsidRDefault="0064412C" w:rsidP="00C1114C">
            <w:pPr>
              <w:pStyle w:val="Tabletext"/>
              <w:rPr>
                <w:sz w:val="20"/>
              </w:rPr>
            </w:pPr>
            <w:r w:rsidRPr="0099225F">
              <w:rPr>
                <w:sz w:val="20"/>
              </w:rPr>
              <w:t>(20</w:t>
            </w:r>
            <w:r w:rsidR="00B07138">
              <w:rPr>
                <w:sz w:val="20"/>
              </w:rPr>
              <w:t>22</w:t>
            </w:r>
            <w:r w:rsidRPr="0099225F">
              <w:rPr>
                <w:sz w:val="20"/>
              </w:rPr>
              <w:t>)</w:t>
            </w:r>
          </w:p>
        </w:tc>
        <w:tc>
          <w:tcPr>
            <w:tcW w:w="1701" w:type="dxa"/>
            <w:noWrap/>
          </w:tcPr>
          <w:p w14:paraId="1A9DA9B9" w14:textId="6FDE4B3D" w:rsidR="0064412C" w:rsidRPr="0099225F" w:rsidRDefault="00E25C6D" w:rsidP="00C1114C">
            <w:pPr>
              <w:pStyle w:val="Tabletext"/>
              <w:rPr>
                <w:sz w:val="20"/>
              </w:rPr>
            </w:pPr>
            <w:r w:rsidRPr="0099225F">
              <w:rPr>
                <w:sz w:val="20"/>
              </w:rPr>
              <w:t>N/S</w:t>
            </w:r>
          </w:p>
          <w:p w14:paraId="2D84F101" w14:textId="49083DFD" w:rsidR="0064412C" w:rsidRPr="0099225F" w:rsidRDefault="0064412C" w:rsidP="00C1114C">
            <w:pPr>
              <w:pStyle w:val="Tabletext"/>
              <w:rPr>
                <w:sz w:val="20"/>
              </w:rPr>
            </w:pPr>
          </w:p>
        </w:tc>
        <w:tc>
          <w:tcPr>
            <w:tcW w:w="1838" w:type="dxa"/>
          </w:tcPr>
          <w:p w14:paraId="601E8230" w14:textId="17EB6DFF" w:rsidR="0064412C" w:rsidRPr="0099225F" w:rsidRDefault="00BE0199" w:rsidP="00C1114C">
            <w:pPr>
              <w:pStyle w:val="Tabletext"/>
              <w:rPr>
                <w:sz w:val="20"/>
              </w:rPr>
            </w:pPr>
            <w:r w:rsidRPr="0099225F">
              <w:rPr>
                <w:sz w:val="20"/>
              </w:rPr>
              <w:t>▲</w:t>
            </w:r>
            <w:r w:rsidR="00CF3B53" w:rsidRPr="0099225F">
              <w:rPr>
                <w:sz w:val="20"/>
              </w:rPr>
              <w:br/>
            </w:r>
            <w:r w:rsidRPr="0099225F">
              <w:rPr>
                <w:sz w:val="20"/>
              </w:rPr>
              <w:t>Upward</w:t>
            </w:r>
          </w:p>
        </w:tc>
      </w:tr>
      <w:tr w:rsidR="0064412C" w:rsidRPr="0099225F" w14:paraId="098764A1" w14:textId="77777777" w:rsidTr="00957CB6">
        <w:trPr>
          <w:trHeight w:val="723"/>
        </w:trPr>
        <w:tc>
          <w:tcPr>
            <w:tcW w:w="1418" w:type="dxa"/>
          </w:tcPr>
          <w:p w14:paraId="676E00C6" w14:textId="4C605042" w:rsidR="0064412C" w:rsidRPr="0099225F" w:rsidRDefault="00000000" w:rsidP="00C1114C">
            <w:pPr>
              <w:pStyle w:val="Tabletext"/>
              <w:rPr>
                <w:sz w:val="20"/>
              </w:rPr>
            </w:pPr>
            <w:hyperlink w:anchor="_Measure_8.3_–" w:history="1">
              <w:r w:rsidR="0064412C" w:rsidRPr="0099225F">
                <w:rPr>
                  <w:rStyle w:val="Hyperlink"/>
                  <w:sz w:val="20"/>
                </w:rPr>
                <w:t>8.3</w:t>
              </w:r>
            </w:hyperlink>
          </w:p>
        </w:tc>
        <w:tc>
          <w:tcPr>
            <w:tcW w:w="3260" w:type="dxa"/>
          </w:tcPr>
          <w:p w14:paraId="02208FD0" w14:textId="1F54C309" w:rsidR="0064412C" w:rsidRPr="0099225F" w:rsidRDefault="0064412C" w:rsidP="00C1114C">
            <w:pPr>
              <w:pStyle w:val="Tabletext"/>
              <w:rPr>
                <w:sz w:val="20"/>
              </w:rPr>
            </w:pPr>
            <w:r w:rsidRPr="0099225F">
              <w:rPr>
                <w:sz w:val="20"/>
              </w:rPr>
              <w:t>Proportion of children 5–17 years who are overweight or obese (measured)</w:t>
            </w:r>
          </w:p>
        </w:tc>
        <w:tc>
          <w:tcPr>
            <w:tcW w:w="2552" w:type="dxa"/>
          </w:tcPr>
          <w:p w14:paraId="3639D6E9" w14:textId="77777777" w:rsidR="0064412C" w:rsidRPr="0099225F" w:rsidRDefault="0064412C" w:rsidP="00C1114C">
            <w:pPr>
              <w:pStyle w:val="Tabletext"/>
              <w:rPr>
                <w:sz w:val="20"/>
              </w:rPr>
            </w:pPr>
            <w:r w:rsidRPr="0099225F">
              <w:rPr>
                <w:sz w:val="20"/>
              </w:rPr>
              <w:t>Per cent</w:t>
            </w:r>
          </w:p>
        </w:tc>
        <w:tc>
          <w:tcPr>
            <w:tcW w:w="1842" w:type="dxa"/>
            <w:noWrap/>
          </w:tcPr>
          <w:p w14:paraId="63F672E6" w14:textId="774CEDCE" w:rsidR="0064412C" w:rsidRPr="0099225F" w:rsidRDefault="0064412C" w:rsidP="00C1114C">
            <w:pPr>
              <w:pStyle w:val="Tabletext"/>
              <w:rPr>
                <w:sz w:val="20"/>
              </w:rPr>
            </w:pPr>
            <w:r w:rsidRPr="0099225F">
              <w:rPr>
                <w:sz w:val="20"/>
              </w:rPr>
              <w:t>23.</w:t>
            </w:r>
            <w:r w:rsidR="00BE0199" w:rsidRPr="0099225F">
              <w:rPr>
                <w:sz w:val="20"/>
              </w:rPr>
              <w:t>7</w:t>
            </w:r>
          </w:p>
          <w:p w14:paraId="00A2D2A0" w14:textId="78F9A645" w:rsidR="0064412C" w:rsidRPr="0099225F" w:rsidRDefault="0064412C" w:rsidP="00C1114C">
            <w:pPr>
              <w:pStyle w:val="Tabletext"/>
              <w:rPr>
                <w:sz w:val="20"/>
              </w:rPr>
            </w:pPr>
            <w:r w:rsidRPr="0099225F">
              <w:rPr>
                <w:sz w:val="20"/>
              </w:rPr>
              <w:t>(201</w:t>
            </w:r>
            <w:r w:rsidR="00F90C56" w:rsidRPr="0099225F">
              <w:rPr>
                <w:sz w:val="20"/>
              </w:rPr>
              <w:t>1</w:t>
            </w:r>
            <w:r w:rsidR="00BE0199" w:rsidRPr="0099225F">
              <w:rPr>
                <w:sz w:val="20"/>
              </w:rPr>
              <w:t>–12</w:t>
            </w:r>
            <w:r w:rsidRPr="0099225F">
              <w:rPr>
                <w:sz w:val="20"/>
              </w:rPr>
              <w:t>)</w:t>
            </w:r>
          </w:p>
        </w:tc>
        <w:tc>
          <w:tcPr>
            <w:tcW w:w="1843" w:type="dxa"/>
            <w:noWrap/>
          </w:tcPr>
          <w:p w14:paraId="0176FB47" w14:textId="14B40B9F" w:rsidR="0064412C" w:rsidRPr="0099225F" w:rsidRDefault="00BE0199" w:rsidP="00C1114C">
            <w:pPr>
              <w:pStyle w:val="Tabletext"/>
              <w:rPr>
                <w:sz w:val="20"/>
              </w:rPr>
            </w:pPr>
            <w:r w:rsidRPr="0099225F">
              <w:rPr>
                <w:sz w:val="20"/>
              </w:rPr>
              <w:t>21</w:t>
            </w:r>
            <w:r w:rsidR="0064412C" w:rsidRPr="0099225F">
              <w:rPr>
                <w:sz w:val="20"/>
              </w:rPr>
              <w:t>.</w:t>
            </w:r>
            <w:r w:rsidRPr="0099225F">
              <w:rPr>
                <w:sz w:val="20"/>
              </w:rPr>
              <w:t>6</w:t>
            </w:r>
          </w:p>
          <w:p w14:paraId="4C927A48" w14:textId="1519010E" w:rsidR="0064412C" w:rsidRPr="0099225F" w:rsidRDefault="0064412C" w:rsidP="00C1114C">
            <w:pPr>
              <w:pStyle w:val="Tabletext"/>
              <w:rPr>
                <w:sz w:val="20"/>
              </w:rPr>
            </w:pPr>
            <w:r w:rsidRPr="0099225F">
              <w:rPr>
                <w:sz w:val="20"/>
              </w:rPr>
              <w:t>(</w:t>
            </w:r>
            <w:r w:rsidR="00BE0199" w:rsidRPr="0099225F">
              <w:rPr>
                <w:sz w:val="20"/>
              </w:rPr>
              <w:t>2017–18</w:t>
            </w:r>
            <w:r w:rsidRPr="0099225F">
              <w:rPr>
                <w:sz w:val="20"/>
              </w:rPr>
              <w:t>)</w:t>
            </w:r>
          </w:p>
        </w:tc>
        <w:tc>
          <w:tcPr>
            <w:tcW w:w="1701" w:type="dxa"/>
            <w:noWrap/>
          </w:tcPr>
          <w:p w14:paraId="2A69F6EE" w14:textId="25B493F2" w:rsidR="0064412C" w:rsidRPr="0099225F" w:rsidRDefault="00E25C6D" w:rsidP="00C1114C">
            <w:pPr>
              <w:pStyle w:val="Tabletext"/>
              <w:rPr>
                <w:sz w:val="20"/>
              </w:rPr>
            </w:pPr>
            <w:r w:rsidRPr="0099225F">
              <w:rPr>
                <w:sz w:val="20"/>
              </w:rPr>
              <w:t>21.9</w:t>
            </w:r>
          </w:p>
          <w:p w14:paraId="3E32E0BA" w14:textId="77777777" w:rsidR="0064412C" w:rsidRPr="0099225F" w:rsidRDefault="0064412C" w:rsidP="00C1114C">
            <w:pPr>
              <w:pStyle w:val="Tabletext"/>
              <w:rPr>
                <w:sz w:val="20"/>
              </w:rPr>
            </w:pPr>
            <w:r w:rsidRPr="0099225F">
              <w:rPr>
                <w:sz w:val="20"/>
              </w:rPr>
              <w:t>(2025)</w:t>
            </w:r>
          </w:p>
        </w:tc>
        <w:tc>
          <w:tcPr>
            <w:tcW w:w="1838" w:type="dxa"/>
          </w:tcPr>
          <w:p w14:paraId="40E4185C" w14:textId="3085F9C7" w:rsidR="0064412C" w:rsidRPr="0099225F" w:rsidRDefault="00BE0199" w:rsidP="00C1114C">
            <w:pPr>
              <w:pStyle w:val="Tabletext"/>
              <w:rPr>
                <w:sz w:val="20"/>
              </w:rPr>
            </w:pPr>
            <w:r w:rsidRPr="0099225F">
              <w:rPr>
                <w:sz w:val="20"/>
              </w:rPr>
              <w:t>▼</w:t>
            </w:r>
            <w:r w:rsidR="00CF3B53" w:rsidRPr="0099225F">
              <w:rPr>
                <w:sz w:val="20"/>
              </w:rPr>
              <w:br/>
            </w:r>
            <w:r w:rsidRPr="0099225F">
              <w:rPr>
                <w:sz w:val="20"/>
              </w:rPr>
              <w:t>Down</w:t>
            </w:r>
            <w:r w:rsidR="00CF3B53" w:rsidRPr="0099225F">
              <w:rPr>
                <w:sz w:val="20"/>
              </w:rPr>
              <w:t>ward</w:t>
            </w:r>
          </w:p>
        </w:tc>
      </w:tr>
    </w:tbl>
    <w:p w14:paraId="3A104001" w14:textId="1C742B26" w:rsidR="00D7510A" w:rsidRDefault="00D7510A" w:rsidP="00D7510A">
      <w:pPr>
        <w:pStyle w:val="Heading5"/>
      </w:pPr>
      <w:r w:rsidRPr="00854D56">
        <w:lastRenderedPageBreak/>
        <w:t>Key result:</w:t>
      </w:r>
      <w:r>
        <w:t xml:space="preserve"> </w:t>
      </w:r>
      <w:r w:rsidRPr="00854D56">
        <w:t>Decrease UV exposure</w:t>
      </w:r>
    </w:p>
    <w:tbl>
      <w:tblPr>
        <w:tblStyle w:val="TableGrid"/>
        <w:tblW w:w="14743" w:type="dxa"/>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2"/>
        <w:gridCol w:w="3690"/>
        <w:gridCol w:w="2268"/>
        <w:gridCol w:w="2126"/>
        <w:gridCol w:w="1701"/>
        <w:gridCol w:w="1560"/>
        <w:gridCol w:w="1276"/>
      </w:tblGrid>
      <w:tr w:rsidR="00D7510A" w:rsidRPr="0099225F" w14:paraId="3755F3C6" w14:textId="77777777" w:rsidTr="002A6DBB">
        <w:trPr>
          <w:trHeight w:val="723"/>
        </w:trPr>
        <w:tc>
          <w:tcPr>
            <w:tcW w:w="2122" w:type="dxa"/>
            <w:shd w:val="clear" w:color="auto" w:fill="EDCDCF"/>
          </w:tcPr>
          <w:p w14:paraId="500D2815" w14:textId="59A46924" w:rsidR="00D7510A" w:rsidRPr="0099225F" w:rsidRDefault="00D7510A" w:rsidP="00D7510A">
            <w:pPr>
              <w:pStyle w:val="Heading5"/>
            </w:pPr>
            <w:r w:rsidRPr="0099225F">
              <w:t>Measure #</w:t>
            </w:r>
          </w:p>
        </w:tc>
        <w:tc>
          <w:tcPr>
            <w:tcW w:w="3690" w:type="dxa"/>
            <w:shd w:val="clear" w:color="auto" w:fill="EDCDCF"/>
          </w:tcPr>
          <w:p w14:paraId="23C79F26" w14:textId="1362692A" w:rsidR="00D7510A" w:rsidRPr="0099225F" w:rsidRDefault="00D7510A" w:rsidP="00D7510A">
            <w:pPr>
              <w:pStyle w:val="Heading5"/>
            </w:pPr>
            <w:r w:rsidRPr="0099225F">
              <w:t>Description</w:t>
            </w:r>
          </w:p>
        </w:tc>
        <w:tc>
          <w:tcPr>
            <w:tcW w:w="2268" w:type="dxa"/>
            <w:shd w:val="clear" w:color="auto" w:fill="EDCDCF"/>
          </w:tcPr>
          <w:p w14:paraId="3C312F66" w14:textId="797AF02C" w:rsidR="00D7510A" w:rsidRPr="0099225F" w:rsidRDefault="00D7510A" w:rsidP="00D7510A">
            <w:pPr>
              <w:pStyle w:val="Heading5"/>
            </w:pPr>
            <w:r w:rsidRPr="0099225F">
              <w:t>Unit of measure</w:t>
            </w:r>
          </w:p>
        </w:tc>
        <w:tc>
          <w:tcPr>
            <w:tcW w:w="2126" w:type="dxa"/>
            <w:shd w:val="clear" w:color="auto" w:fill="EDCDCF"/>
            <w:noWrap/>
          </w:tcPr>
          <w:p w14:paraId="7C5CCB7B" w14:textId="77777777" w:rsidR="00D7510A" w:rsidRPr="0099225F" w:rsidRDefault="00D7510A" w:rsidP="00D7510A">
            <w:pPr>
              <w:pStyle w:val="Heading5"/>
            </w:pPr>
            <w:r w:rsidRPr="0099225F">
              <w:t>Baseline</w:t>
            </w:r>
          </w:p>
          <w:p w14:paraId="45F4378B" w14:textId="0EF7257F" w:rsidR="00D7510A" w:rsidRPr="0099225F" w:rsidRDefault="00D7510A" w:rsidP="00D7510A">
            <w:pPr>
              <w:pStyle w:val="Heading5"/>
            </w:pPr>
            <w:r w:rsidRPr="0099225F">
              <w:t>(year)</w:t>
            </w:r>
          </w:p>
        </w:tc>
        <w:tc>
          <w:tcPr>
            <w:tcW w:w="1701" w:type="dxa"/>
            <w:shd w:val="clear" w:color="auto" w:fill="EDCDCF"/>
            <w:noWrap/>
          </w:tcPr>
          <w:p w14:paraId="3A663DB2" w14:textId="77777777" w:rsidR="00D7510A" w:rsidRPr="0099225F" w:rsidRDefault="00D7510A" w:rsidP="00D7510A">
            <w:pPr>
              <w:pStyle w:val="Heading5"/>
            </w:pPr>
            <w:r w:rsidRPr="0099225F">
              <w:t>Most recent</w:t>
            </w:r>
          </w:p>
          <w:p w14:paraId="4503A105" w14:textId="7F59B738" w:rsidR="00D7510A" w:rsidRPr="0099225F" w:rsidRDefault="00D7510A" w:rsidP="00D7510A">
            <w:pPr>
              <w:pStyle w:val="Heading5"/>
            </w:pPr>
            <w:r w:rsidRPr="0099225F">
              <w:t>(year)</w:t>
            </w:r>
          </w:p>
        </w:tc>
        <w:tc>
          <w:tcPr>
            <w:tcW w:w="1560" w:type="dxa"/>
            <w:shd w:val="clear" w:color="auto" w:fill="EDCDCF"/>
            <w:noWrap/>
          </w:tcPr>
          <w:p w14:paraId="37450845" w14:textId="2FD6CC37" w:rsidR="00D7510A" w:rsidRPr="0099225F" w:rsidRDefault="00D7510A" w:rsidP="00D7510A">
            <w:pPr>
              <w:pStyle w:val="Heading5"/>
            </w:pPr>
            <w:r w:rsidRPr="0099225F">
              <w:t>Target</w:t>
            </w:r>
          </w:p>
        </w:tc>
        <w:tc>
          <w:tcPr>
            <w:tcW w:w="1276" w:type="dxa"/>
            <w:shd w:val="clear" w:color="auto" w:fill="EDCDCF"/>
          </w:tcPr>
          <w:p w14:paraId="6E5B1588" w14:textId="5E6530F8" w:rsidR="00D7510A" w:rsidRPr="0099225F" w:rsidRDefault="00D7510A" w:rsidP="00D7510A">
            <w:pPr>
              <w:pStyle w:val="Heading5"/>
            </w:pPr>
            <w:r w:rsidRPr="0099225F">
              <w:t>Trend</w:t>
            </w:r>
          </w:p>
        </w:tc>
      </w:tr>
      <w:tr w:rsidR="0064412C" w:rsidRPr="0099225F" w14:paraId="71A7D894" w14:textId="77777777" w:rsidTr="002A6DBB">
        <w:trPr>
          <w:trHeight w:val="723"/>
        </w:trPr>
        <w:tc>
          <w:tcPr>
            <w:tcW w:w="2122" w:type="dxa"/>
          </w:tcPr>
          <w:p w14:paraId="4CCE5D01" w14:textId="57856DC1" w:rsidR="0064412C" w:rsidRPr="0099225F" w:rsidRDefault="00000000" w:rsidP="00C1114C">
            <w:pPr>
              <w:pStyle w:val="Tabletext"/>
              <w:rPr>
                <w:sz w:val="20"/>
              </w:rPr>
            </w:pPr>
            <w:hyperlink w:anchor="_Measure_9.1_–" w:history="1">
              <w:r w:rsidR="0064412C" w:rsidRPr="0099225F">
                <w:rPr>
                  <w:rStyle w:val="Hyperlink"/>
                  <w:sz w:val="20"/>
                </w:rPr>
                <w:t>9.1</w:t>
              </w:r>
            </w:hyperlink>
          </w:p>
        </w:tc>
        <w:tc>
          <w:tcPr>
            <w:tcW w:w="3690" w:type="dxa"/>
          </w:tcPr>
          <w:p w14:paraId="23D2BCC4" w14:textId="0344640D" w:rsidR="0064412C" w:rsidRPr="0099225F" w:rsidRDefault="0023639E" w:rsidP="00C1114C">
            <w:pPr>
              <w:pStyle w:val="Tabletext"/>
              <w:rPr>
                <w:sz w:val="20"/>
              </w:rPr>
            </w:pPr>
            <w:r w:rsidRPr="0099225F">
              <w:rPr>
                <w:sz w:val="20"/>
              </w:rPr>
              <w:t>Proportion of adults aged 18 years and over who report getting sunburnt during the summer</w:t>
            </w:r>
          </w:p>
        </w:tc>
        <w:tc>
          <w:tcPr>
            <w:tcW w:w="2268" w:type="dxa"/>
          </w:tcPr>
          <w:p w14:paraId="350340DA" w14:textId="6E7510BC" w:rsidR="0064412C" w:rsidRPr="0099225F" w:rsidRDefault="0064412C" w:rsidP="00980E1F">
            <w:pPr>
              <w:pStyle w:val="Tabletext"/>
              <w:rPr>
                <w:sz w:val="20"/>
              </w:rPr>
            </w:pPr>
            <w:r w:rsidRPr="0099225F">
              <w:rPr>
                <w:sz w:val="20"/>
              </w:rPr>
              <w:t>Per cent (age-adjusted)</w:t>
            </w:r>
          </w:p>
        </w:tc>
        <w:tc>
          <w:tcPr>
            <w:tcW w:w="2126" w:type="dxa"/>
            <w:noWrap/>
          </w:tcPr>
          <w:p w14:paraId="58DBC7F5" w14:textId="211369A5" w:rsidR="0064412C" w:rsidRPr="0099225F" w:rsidRDefault="0023639E" w:rsidP="00C1114C">
            <w:pPr>
              <w:pStyle w:val="Tabletext"/>
              <w:rPr>
                <w:sz w:val="20"/>
              </w:rPr>
            </w:pPr>
            <w:r w:rsidRPr="0099225F">
              <w:rPr>
                <w:sz w:val="20"/>
              </w:rPr>
              <w:t>55.2</w:t>
            </w:r>
          </w:p>
          <w:p w14:paraId="0292D6E7" w14:textId="6E156153" w:rsidR="0064412C" w:rsidRPr="0099225F" w:rsidRDefault="0064412C" w:rsidP="00C1114C">
            <w:pPr>
              <w:pStyle w:val="Tabletext"/>
              <w:rPr>
                <w:sz w:val="20"/>
              </w:rPr>
            </w:pPr>
            <w:r w:rsidRPr="0099225F">
              <w:rPr>
                <w:sz w:val="20"/>
              </w:rPr>
              <w:t>(20</w:t>
            </w:r>
            <w:r w:rsidR="0023639E" w:rsidRPr="0099225F">
              <w:rPr>
                <w:sz w:val="20"/>
              </w:rPr>
              <w:t>21</w:t>
            </w:r>
            <w:r w:rsidRPr="0099225F">
              <w:rPr>
                <w:sz w:val="20"/>
              </w:rPr>
              <w:t>–</w:t>
            </w:r>
            <w:r w:rsidR="0023639E" w:rsidRPr="0099225F">
              <w:rPr>
                <w:sz w:val="20"/>
              </w:rPr>
              <w:t>22</w:t>
            </w:r>
            <w:r w:rsidRPr="0099225F">
              <w:rPr>
                <w:sz w:val="20"/>
              </w:rPr>
              <w:t>)</w:t>
            </w:r>
          </w:p>
        </w:tc>
        <w:tc>
          <w:tcPr>
            <w:tcW w:w="1701" w:type="dxa"/>
            <w:noWrap/>
          </w:tcPr>
          <w:p w14:paraId="177254B0" w14:textId="5E1E84F3" w:rsidR="0064412C" w:rsidRPr="0099225F" w:rsidRDefault="0023639E" w:rsidP="00C1114C">
            <w:pPr>
              <w:pStyle w:val="Tabletext"/>
              <w:rPr>
                <w:sz w:val="20"/>
              </w:rPr>
            </w:pPr>
            <w:r w:rsidRPr="0099225F">
              <w:rPr>
                <w:sz w:val="20"/>
              </w:rPr>
              <w:t>N/A</w:t>
            </w:r>
          </w:p>
        </w:tc>
        <w:tc>
          <w:tcPr>
            <w:tcW w:w="1560" w:type="dxa"/>
            <w:noWrap/>
          </w:tcPr>
          <w:p w14:paraId="1827B071" w14:textId="77777777" w:rsidR="0064412C" w:rsidRPr="0099225F" w:rsidRDefault="0064412C" w:rsidP="00C1114C">
            <w:pPr>
              <w:pStyle w:val="Tabletext"/>
              <w:rPr>
                <w:sz w:val="20"/>
              </w:rPr>
            </w:pPr>
            <w:r w:rsidRPr="0099225F">
              <w:rPr>
                <w:sz w:val="20"/>
              </w:rPr>
              <w:t>N/S</w:t>
            </w:r>
          </w:p>
        </w:tc>
        <w:tc>
          <w:tcPr>
            <w:tcW w:w="1276" w:type="dxa"/>
          </w:tcPr>
          <w:p w14:paraId="45A8A3FC" w14:textId="2AABFD00" w:rsidR="0064412C" w:rsidRPr="0099225F" w:rsidRDefault="0023639E" w:rsidP="00C1114C">
            <w:pPr>
              <w:pStyle w:val="Tabletext"/>
              <w:rPr>
                <w:sz w:val="20"/>
              </w:rPr>
            </w:pPr>
            <w:r w:rsidRPr="0099225F">
              <w:rPr>
                <w:sz w:val="20"/>
              </w:rPr>
              <w:t>N/A</w:t>
            </w:r>
          </w:p>
        </w:tc>
      </w:tr>
      <w:tr w:rsidR="0064412C" w:rsidRPr="0099225F" w14:paraId="315E6B39" w14:textId="77777777" w:rsidTr="002A6DBB">
        <w:trPr>
          <w:trHeight w:val="723"/>
        </w:trPr>
        <w:tc>
          <w:tcPr>
            <w:tcW w:w="2122" w:type="dxa"/>
          </w:tcPr>
          <w:p w14:paraId="4F2CA465" w14:textId="42B4B04B" w:rsidR="0064412C" w:rsidRPr="0099225F" w:rsidRDefault="00000000" w:rsidP="00C1114C">
            <w:pPr>
              <w:pStyle w:val="Tabletext"/>
              <w:rPr>
                <w:sz w:val="20"/>
              </w:rPr>
            </w:pPr>
            <w:hyperlink w:anchor="_Measure_9.2_–" w:history="1">
              <w:r w:rsidR="0064412C" w:rsidRPr="0099225F">
                <w:rPr>
                  <w:rStyle w:val="Hyperlink"/>
                  <w:sz w:val="20"/>
                </w:rPr>
                <w:t>9.2</w:t>
              </w:r>
            </w:hyperlink>
          </w:p>
        </w:tc>
        <w:tc>
          <w:tcPr>
            <w:tcW w:w="3690" w:type="dxa"/>
          </w:tcPr>
          <w:p w14:paraId="7EAB8FA1" w14:textId="4A5A8E54" w:rsidR="0064412C" w:rsidRPr="0099225F" w:rsidRDefault="0023639E" w:rsidP="00C1114C">
            <w:pPr>
              <w:pStyle w:val="Tabletext"/>
              <w:rPr>
                <w:sz w:val="20"/>
              </w:rPr>
            </w:pPr>
            <w:r w:rsidRPr="0099225F">
              <w:rPr>
                <w:sz w:val="20"/>
              </w:rPr>
              <w:t>Proportion of Victorian adults aged 18 years and over wearing a combination of broad-brimmed hats and/or sunscreen with one other key sun protective behaviour</w:t>
            </w:r>
          </w:p>
        </w:tc>
        <w:tc>
          <w:tcPr>
            <w:tcW w:w="2268" w:type="dxa"/>
          </w:tcPr>
          <w:p w14:paraId="4668791E" w14:textId="1C0FF7DB" w:rsidR="0064412C" w:rsidRPr="0099225F" w:rsidRDefault="0064412C" w:rsidP="00980E1F">
            <w:pPr>
              <w:pStyle w:val="Tabletext"/>
              <w:rPr>
                <w:sz w:val="20"/>
              </w:rPr>
            </w:pPr>
            <w:r w:rsidRPr="0099225F">
              <w:rPr>
                <w:sz w:val="20"/>
              </w:rPr>
              <w:t>Per cent (age-adjusted)</w:t>
            </w:r>
          </w:p>
        </w:tc>
        <w:tc>
          <w:tcPr>
            <w:tcW w:w="2126" w:type="dxa"/>
            <w:noWrap/>
          </w:tcPr>
          <w:p w14:paraId="30FB4B91" w14:textId="328832E3" w:rsidR="0064412C" w:rsidRPr="0099225F" w:rsidRDefault="0023639E" w:rsidP="00C1114C">
            <w:pPr>
              <w:pStyle w:val="Tabletext"/>
              <w:rPr>
                <w:sz w:val="20"/>
              </w:rPr>
            </w:pPr>
            <w:r w:rsidRPr="0099225F">
              <w:rPr>
                <w:sz w:val="20"/>
              </w:rPr>
              <w:t>37.0</w:t>
            </w:r>
          </w:p>
          <w:p w14:paraId="338EC115" w14:textId="0595A267" w:rsidR="0064412C" w:rsidRPr="0099225F" w:rsidRDefault="0064412C" w:rsidP="00C1114C">
            <w:pPr>
              <w:pStyle w:val="Tabletext"/>
              <w:rPr>
                <w:sz w:val="20"/>
              </w:rPr>
            </w:pPr>
            <w:r w:rsidRPr="0099225F">
              <w:rPr>
                <w:sz w:val="20"/>
              </w:rPr>
              <w:t>(20</w:t>
            </w:r>
            <w:r w:rsidR="0023639E" w:rsidRPr="0099225F">
              <w:rPr>
                <w:sz w:val="20"/>
              </w:rPr>
              <w:t>21</w:t>
            </w:r>
            <w:r w:rsidRPr="0099225F">
              <w:rPr>
                <w:sz w:val="20"/>
              </w:rPr>
              <w:t>–</w:t>
            </w:r>
            <w:r w:rsidR="0023639E" w:rsidRPr="0099225F">
              <w:rPr>
                <w:sz w:val="20"/>
              </w:rPr>
              <w:t>22</w:t>
            </w:r>
            <w:r w:rsidRPr="0099225F">
              <w:rPr>
                <w:sz w:val="20"/>
              </w:rPr>
              <w:t>)</w:t>
            </w:r>
          </w:p>
        </w:tc>
        <w:tc>
          <w:tcPr>
            <w:tcW w:w="1701" w:type="dxa"/>
            <w:noWrap/>
          </w:tcPr>
          <w:p w14:paraId="2EF3526A" w14:textId="73773A7D" w:rsidR="0064412C" w:rsidRPr="0099225F" w:rsidRDefault="0023639E" w:rsidP="00C1114C">
            <w:pPr>
              <w:pStyle w:val="Tabletext"/>
              <w:rPr>
                <w:sz w:val="20"/>
              </w:rPr>
            </w:pPr>
            <w:r w:rsidRPr="0099225F">
              <w:rPr>
                <w:sz w:val="20"/>
              </w:rPr>
              <w:t>N/A</w:t>
            </w:r>
          </w:p>
        </w:tc>
        <w:tc>
          <w:tcPr>
            <w:tcW w:w="1560" w:type="dxa"/>
            <w:noWrap/>
          </w:tcPr>
          <w:p w14:paraId="47AD6B4C" w14:textId="77777777" w:rsidR="0064412C" w:rsidRPr="0099225F" w:rsidRDefault="0064412C" w:rsidP="00C1114C">
            <w:pPr>
              <w:pStyle w:val="Tabletext"/>
              <w:rPr>
                <w:sz w:val="20"/>
              </w:rPr>
            </w:pPr>
            <w:r w:rsidRPr="0099225F">
              <w:rPr>
                <w:sz w:val="20"/>
              </w:rPr>
              <w:t>N/S</w:t>
            </w:r>
          </w:p>
        </w:tc>
        <w:tc>
          <w:tcPr>
            <w:tcW w:w="1276" w:type="dxa"/>
          </w:tcPr>
          <w:p w14:paraId="62FA24B0" w14:textId="501CE98C" w:rsidR="0064412C" w:rsidRPr="0099225F" w:rsidRDefault="0023639E" w:rsidP="00C1114C">
            <w:pPr>
              <w:pStyle w:val="Tabletext"/>
              <w:rPr>
                <w:sz w:val="20"/>
              </w:rPr>
            </w:pPr>
            <w:r w:rsidRPr="0099225F">
              <w:rPr>
                <w:sz w:val="20"/>
              </w:rPr>
              <w:t>N/A</w:t>
            </w:r>
          </w:p>
        </w:tc>
      </w:tr>
    </w:tbl>
    <w:p w14:paraId="47F7BCD5" w14:textId="2DD7CB9F" w:rsidR="00D7510A" w:rsidRDefault="00D7510A" w:rsidP="00D7510A">
      <w:pPr>
        <w:pStyle w:val="Heading5"/>
      </w:pPr>
      <w:r w:rsidRPr="00854D56">
        <w:t>Key result:</w:t>
      </w:r>
      <w:r>
        <w:t xml:space="preserve"> </w:t>
      </w:r>
      <w:r w:rsidRPr="00854D56">
        <w:t>Decrease HPV and viral hepatitis impact</w:t>
      </w:r>
    </w:p>
    <w:tbl>
      <w:tblPr>
        <w:tblStyle w:val="TableGrid"/>
        <w:tblW w:w="14743" w:type="dxa"/>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2"/>
        <w:gridCol w:w="3690"/>
        <w:gridCol w:w="2268"/>
        <w:gridCol w:w="2126"/>
        <w:gridCol w:w="1701"/>
        <w:gridCol w:w="1560"/>
        <w:gridCol w:w="1276"/>
      </w:tblGrid>
      <w:tr w:rsidR="00D7510A" w:rsidRPr="0099225F" w14:paraId="7E89CE89" w14:textId="77777777" w:rsidTr="002A6DBB">
        <w:trPr>
          <w:trHeight w:val="710"/>
        </w:trPr>
        <w:tc>
          <w:tcPr>
            <w:tcW w:w="2122" w:type="dxa"/>
            <w:shd w:val="clear" w:color="auto" w:fill="EDCDCF"/>
          </w:tcPr>
          <w:p w14:paraId="0920CEAD" w14:textId="70DEB7C3" w:rsidR="00D7510A" w:rsidRPr="0099225F" w:rsidRDefault="00D7510A" w:rsidP="00D7510A">
            <w:pPr>
              <w:pStyle w:val="Tablecolhead"/>
              <w:rPr>
                <w:sz w:val="20"/>
              </w:rPr>
            </w:pPr>
            <w:r w:rsidRPr="0099225F">
              <w:rPr>
                <w:sz w:val="20"/>
              </w:rPr>
              <w:t>Measure #</w:t>
            </w:r>
          </w:p>
        </w:tc>
        <w:tc>
          <w:tcPr>
            <w:tcW w:w="3690" w:type="dxa"/>
            <w:shd w:val="clear" w:color="auto" w:fill="EDCDCF"/>
          </w:tcPr>
          <w:p w14:paraId="4AA57A4B" w14:textId="2B3CB026" w:rsidR="00D7510A" w:rsidRPr="0099225F" w:rsidRDefault="00D7510A" w:rsidP="00D7510A">
            <w:pPr>
              <w:pStyle w:val="Tablecolhead"/>
              <w:rPr>
                <w:sz w:val="20"/>
              </w:rPr>
            </w:pPr>
            <w:r w:rsidRPr="0099225F">
              <w:rPr>
                <w:sz w:val="20"/>
              </w:rPr>
              <w:t>Description</w:t>
            </w:r>
          </w:p>
        </w:tc>
        <w:tc>
          <w:tcPr>
            <w:tcW w:w="2268" w:type="dxa"/>
            <w:shd w:val="clear" w:color="auto" w:fill="EDCDCF"/>
          </w:tcPr>
          <w:p w14:paraId="495178F8" w14:textId="67F4D51A" w:rsidR="00D7510A" w:rsidRPr="0099225F" w:rsidRDefault="00D7510A" w:rsidP="00D7510A">
            <w:pPr>
              <w:pStyle w:val="Tablecolhead"/>
              <w:rPr>
                <w:sz w:val="20"/>
              </w:rPr>
            </w:pPr>
            <w:r w:rsidRPr="0099225F">
              <w:rPr>
                <w:sz w:val="20"/>
              </w:rPr>
              <w:t>Unit of measure</w:t>
            </w:r>
          </w:p>
        </w:tc>
        <w:tc>
          <w:tcPr>
            <w:tcW w:w="2126" w:type="dxa"/>
            <w:shd w:val="clear" w:color="auto" w:fill="EDCDCF"/>
          </w:tcPr>
          <w:p w14:paraId="36A02AB3" w14:textId="77777777" w:rsidR="00D7510A" w:rsidRPr="0099225F" w:rsidRDefault="00D7510A" w:rsidP="00D7510A">
            <w:pPr>
              <w:pStyle w:val="Tablecolhead"/>
              <w:rPr>
                <w:sz w:val="20"/>
              </w:rPr>
            </w:pPr>
            <w:r w:rsidRPr="0099225F">
              <w:rPr>
                <w:sz w:val="20"/>
              </w:rPr>
              <w:t>Baseline</w:t>
            </w:r>
          </w:p>
          <w:p w14:paraId="559AA73F" w14:textId="3992F037" w:rsidR="00D7510A" w:rsidRPr="0099225F" w:rsidRDefault="00D7510A" w:rsidP="00D7510A">
            <w:pPr>
              <w:pStyle w:val="Tablecolhead"/>
              <w:rPr>
                <w:sz w:val="20"/>
              </w:rPr>
            </w:pPr>
            <w:r w:rsidRPr="0099225F">
              <w:rPr>
                <w:sz w:val="20"/>
              </w:rPr>
              <w:t>(year)</w:t>
            </w:r>
          </w:p>
        </w:tc>
        <w:tc>
          <w:tcPr>
            <w:tcW w:w="1701" w:type="dxa"/>
            <w:shd w:val="clear" w:color="auto" w:fill="EDCDCF"/>
          </w:tcPr>
          <w:p w14:paraId="551649FE" w14:textId="77777777" w:rsidR="00D7510A" w:rsidRPr="0099225F" w:rsidRDefault="00D7510A" w:rsidP="00D7510A">
            <w:pPr>
              <w:pStyle w:val="Tablecolhead"/>
              <w:rPr>
                <w:sz w:val="20"/>
              </w:rPr>
            </w:pPr>
            <w:r w:rsidRPr="0099225F">
              <w:rPr>
                <w:sz w:val="20"/>
              </w:rPr>
              <w:t>Most recent</w:t>
            </w:r>
          </w:p>
          <w:p w14:paraId="290EFDF8" w14:textId="53217136" w:rsidR="00D7510A" w:rsidRPr="0099225F" w:rsidRDefault="00D7510A" w:rsidP="00D7510A">
            <w:pPr>
              <w:pStyle w:val="Tablecolhead"/>
              <w:rPr>
                <w:sz w:val="20"/>
              </w:rPr>
            </w:pPr>
            <w:r w:rsidRPr="0099225F">
              <w:rPr>
                <w:sz w:val="20"/>
              </w:rPr>
              <w:t>(year)</w:t>
            </w:r>
          </w:p>
        </w:tc>
        <w:tc>
          <w:tcPr>
            <w:tcW w:w="1560" w:type="dxa"/>
            <w:shd w:val="clear" w:color="auto" w:fill="EDCDCF"/>
          </w:tcPr>
          <w:p w14:paraId="3F31E404" w14:textId="4500F996" w:rsidR="00D7510A" w:rsidRPr="0099225F" w:rsidRDefault="00D7510A" w:rsidP="00D7510A">
            <w:pPr>
              <w:pStyle w:val="Tablecolhead"/>
              <w:rPr>
                <w:sz w:val="20"/>
              </w:rPr>
            </w:pPr>
            <w:r w:rsidRPr="0099225F">
              <w:rPr>
                <w:sz w:val="20"/>
              </w:rPr>
              <w:t>Target</w:t>
            </w:r>
          </w:p>
        </w:tc>
        <w:tc>
          <w:tcPr>
            <w:tcW w:w="1276" w:type="dxa"/>
            <w:shd w:val="clear" w:color="auto" w:fill="EDCDCF"/>
          </w:tcPr>
          <w:p w14:paraId="78054DE2" w14:textId="5173C895" w:rsidR="00D7510A" w:rsidRPr="0099225F" w:rsidRDefault="00D7510A" w:rsidP="00D7510A">
            <w:pPr>
              <w:pStyle w:val="Tablecolhead"/>
              <w:rPr>
                <w:sz w:val="20"/>
              </w:rPr>
            </w:pPr>
            <w:r w:rsidRPr="0099225F">
              <w:rPr>
                <w:sz w:val="20"/>
              </w:rPr>
              <w:t>Trend</w:t>
            </w:r>
          </w:p>
        </w:tc>
      </w:tr>
      <w:tr w:rsidR="0064412C" w:rsidRPr="0099225F" w14:paraId="5A615961" w14:textId="77777777" w:rsidTr="002A6DBB">
        <w:trPr>
          <w:trHeight w:val="710"/>
        </w:trPr>
        <w:tc>
          <w:tcPr>
            <w:tcW w:w="2122" w:type="dxa"/>
          </w:tcPr>
          <w:p w14:paraId="3E0D06F3" w14:textId="32AE4FB8" w:rsidR="0064412C" w:rsidRPr="00741157" w:rsidRDefault="00000000" w:rsidP="00C1114C">
            <w:pPr>
              <w:pStyle w:val="Tabletext"/>
              <w:rPr>
                <w:sz w:val="20"/>
              </w:rPr>
            </w:pPr>
            <w:hyperlink w:anchor="_Measure_10.1_–" w:history="1">
              <w:r w:rsidR="0064412C" w:rsidRPr="00741157">
                <w:rPr>
                  <w:rStyle w:val="Hyperlink"/>
                  <w:sz w:val="20"/>
                </w:rPr>
                <w:t>10.1</w:t>
              </w:r>
            </w:hyperlink>
          </w:p>
        </w:tc>
        <w:tc>
          <w:tcPr>
            <w:tcW w:w="3690" w:type="dxa"/>
          </w:tcPr>
          <w:p w14:paraId="14D05B91" w14:textId="77777777" w:rsidR="0064412C" w:rsidRPr="00741157" w:rsidRDefault="0064412C" w:rsidP="00C1114C">
            <w:pPr>
              <w:pStyle w:val="Tabletext"/>
              <w:rPr>
                <w:sz w:val="20"/>
              </w:rPr>
            </w:pPr>
            <w:r w:rsidRPr="00741157">
              <w:rPr>
                <w:sz w:val="20"/>
              </w:rPr>
              <w:t>Proportion of adolescents 15 years of age fully vaccinated against HPV</w:t>
            </w:r>
          </w:p>
        </w:tc>
        <w:tc>
          <w:tcPr>
            <w:tcW w:w="2268" w:type="dxa"/>
          </w:tcPr>
          <w:p w14:paraId="18558FE3" w14:textId="77777777" w:rsidR="0064412C" w:rsidRPr="00741157" w:rsidRDefault="0064412C" w:rsidP="00C1114C">
            <w:pPr>
              <w:pStyle w:val="Tabletext"/>
              <w:rPr>
                <w:sz w:val="20"/>
              </w:rPr>
            </w:pPr>
            <w:r w:rsidRPr="00741157">
              <w:rPr>
                <w:sz w:val="20"/>
              </w:rPr>
              <w:t>Per cent</w:t>
            </w:r>
          </w:p>
        </w:tc>
        <w:tc>
          <w:tcPr>
            <w:tcW w:w="2126" w:type="dxa"/>
          </w:tcPr>
          <w:p w14:paraId="257DB283" w14:textId="77391F78" w:rsidR="0064412C" w:rsidRPr="00741157" w:rsidRDefault="0064412C" w:rsidP="00C1114C">
            <w:pPr>
              <w:pStyle w:val="Tabletext"/>
              <w:rPr>
                <w:sz w:val="20"/>
              </w:rPr>
            </w:pPr>
            <w:r w:rsidRPr="00741157">
              <w:rPr>
                <w:sz w:val="20"/>
              </w:rPr>
              <w:t>75.2</w:t>
            </w:r>
            <w:r w:rsidR="00975A51" w:rsidRPr="00741157">
              <w:rPr>
                <w:sz w:val="20"/>
              </w:rPr>
              <w:t xml:space="preserve"> [Female]</w:t>
            </w:r>
          </w:p>
          <w:p w14:paraId="65792BEA" w14:textId="5EA6D376" w:rsidR="00975A51" w:rsidRPr="00741157" w:rsidRDefault="00F66D59" w:rsidP="00C1114C">
            <w:pPr>
              <w:pStyle w:val="Tabletext"/>
              <w:rPr>
                <w:sz w:val="20"/>
              </w:rPr>
            </w:pPr>
            <w:r w:rsidRPr="00741157">
              <w:rPr>
                <w:sz w:val="20"/>
              </w:rPr>
              <w:t>27.9 [Male]</w:t>
            </w:r>
          </w:p>
          <w:p w14:paraId="62360429" w14:textId="77777777" w:rsidR="0064412C" w:rsidRPr="00741157" w:rsidRDefault="0064412C" w:rsidP="00C1114C">
            <w:pPr>
              <w:pStyle w:val="Tabletext"/>
              <w:rPr>
                <w:sz w:val="20"/>
              </w:rPr>
            </w:pPr>
            <w:r w:rsidRPr="00741157">
              <w:rPr>
                <w:sz w:val="20"/>
              </w:rPr>
              <w:t>(2013)</w:t>
            </w:r>
          </w:p>
        </w:tc>
        <w:tc>
          <w:tcPr>
            <w:tcW w:w="1701" w:type="dxa"/>
          </w:tcPr>
          <w:p w14:paraId="4D4A780E" w14:textId="54419CC7" w:rsidR="0064412C" w:rsidRPr="00741157" w:rsidRDefault="00AE69AF" w:rsidP="00C1114C">
            <w:pPr>
              <w:pStyle w:val="Tabletext"/>
              <w:rPr>
                <w:sz w:val="20"/>
              </w:rPr>
            </w:pPr>
            <w:r w:rsidRPr="00741157">
              <w:rPr>
                <w:sz w:val="20"/>
              </w:rPr>
              <w:t>79</w:t>
            </w:r>
            <w:r w:rsidR="0064412C" w:rsidRPr="00741157">
              <w:rPr>
                <w:sz w:val="20"/>
              </w:rPr>
              <w:t>.</w:t>
            </w:r>
            <w:r w:rsidR="00C96C80">
              <w:rPr>
                <w:sz w:val="20"/>
              </w:rPr>
              <w:t>4</w:t>
            </w:r>
            <w:r w:rsidR="00F66D59" w:rsidRPr="00741157">
              <w:rPr>
                <w:sz w:val="20"/>
              </w:rPr>
              <w:t xml:space="preserve"> [Female]</w:t>
            </w:r>
          </w:p>
          <w:p w14:paraId="32B932BF" w14:textId="4DF75D6C" w:rsidR="00F66D59" w:rsidRPr="00741157" w:rsidRDefault="00F66D59" w:rsidP="00C1114C">
            <w:pPr>
              <w:pStyle w:val="Tabletext"/>
              <w:rPr>
                <w:sz w:val="20"/>
              </w:rPr>
            </w:pPr>
            <w:r w:rsidRPr="00741157">
              <w:rPr>
                <w:sz w:val="20"/>
              </w:rPr>
              <w:t>7</w:t>
            </w:r>
            <w:r w:rsidR="00C96C80">
              <w:rPr>
                <w:sz w:val="20"/>
              </w:rPr>
              <w:t>4</w:t>
            </w:r>
            <w:r w:rsidRPr="00741157">
              <w:rPr>
                <w:sz w:val="20"/>
              </w:rPr>
              <w:t>.</w:t>
            </w:r>
            <w:r w:rsidR="00AE69AF" w:rsidRPr="00741157">
              <w:rPr>
                <w:sz w:val="20"/>
              </w:rPr>
              <w:t>9</w:t>
            </w:r>
            <w:r w:rsidRPr="00741157">
              <w:rPr>
                <w:sz w:val="20"/>
              </w:rPr>
              <w:t xml:space="preserve"> [Male]</w:t>
            </w:r>
          </w:p>
          <w:p w14:paraId="3CEC7EC9" w14:textId="5419BD03" w:rsidR="0064412C" w:rsidRPr="00741157" w:rsidRDefault="0064412C" w:rsidP="00C1114C">
            <w:pPr>
              <w:pStyle w:val="Tabletext"/>
              <w:rPr>
                <w:sz w:val="20"/>
              </w:rPr>
            </w:pPr>
            <w:r w:rsidRPr="00741157">
              <w:rPr>
                <w:sz w:val="20"/>
              </w:rPr>
              <w:t>(20</w:t>
            </w:r>
            <w:r w:rsidR="000B718C" w:rsidRPr="00741157">
              <w:rPr>
                <w:sz w:val="20"/>
              </w:rPr>
              <w:t>2</w:t>
            </w:r>
            <w:r w:rsidR="00AE69AF" w:rsidRPr="00741157">
              <w:rPr>
                <w:sz w:val="20"/>
              </w:rPr>
              <w:t>2</w:t>
            </w:r>
            <w:r w:rsidRPr="00741157">
              <w:rPr>
                <w:sz w:val="20"/>
              </w:rPr>
              <w:t>)</w:t>
            </w:r>
          </w:p>
        </w:tc>
        <w:tc>
          <w:tcPr>
            <w:tcW w:w="1560" w:type="dxa"/>
          </w:tcPr>
          <w:p w14:paraId="57C8CCB8" w14:textId="77777777" w:rsidR="0064412C" w:rsidRPr="00741157" w:rsidRDefault="0064412C" w:rsidP="00C1114C">
            <w:pPr>
              <w:pStyle w:val="Tabletext"/>
              <w:rPr>
                <w:sz w:val="20"/>
              </w:rPr>
            </w:pPr>
            <w:r w:rsidRPr="00741157">
              <w:rPr>
                <w:sz w:val="20"/>
              </w:rPr>
              <w:t>N/S</w:t>
            </w:r>
          </w:p>
        </w:tc>
        <w:tc>
          <w:tcPr>
            <w:tcW w:w="1276" w:type="dxa"/>
          </w:tcPr>
          <w:p w14:paraId="4D6297AB" w14:textId="522EEA8A" w:rsidR="0064412C" w:rsidRPr="00741157" w:rsidRDefault="00CF3B53" w:rsidP="00C1114C">
            <w:pPr>
              <w:pStyle w:val="Tabletext"/>
              <w:rPr>
                <w:sz w:val="20"/>
              </w:rPr>
            </w:pPr>
            <w:r w:rsidRPr="00741157">
              <w:rPr>
                <w:sz w:val="20"/>
              </w:rPr>
              <w:t>▲</w:t>
            </w:r>
            <w:r w:rsidRPr="00741157">
              <w:rPr>
                <w:sz w:val="20"/>
              </w:rPr>
              <w:br/>
              <w:t>Upward</w:t>
            </w:r>
          </w:p>
        </w:tc>
      </w:tr>
      <w:tr w:rsidR="0064412C" w:rsidRPr="0099225F" w14:paraId="27D0FAEF" w14:textId="77777777" w:rsidTr="002A6DBB">
        <w:trPr>
          <w:trHeight w:val="710"/>
        </w:trPr>
        <w:tc>
          <w:tcPr>
            <w:tcW w:w="2122" w:type="dxa"/>
            <w:hideMark/>
          </w:tcPr>
          <w:p w14:paraId="63AECB68" w14:textId="3FC13AAD" w:rsidR="0064412C" w:rsidRPr="00741157" w:rsidRDefault="00000000" w:rsidP="00C1114C">
            <w:pPr>
              <w:pStyle w:val="Tabletext"/>
              <w:rPr>
                <w:sz w:val="20"/>
              </w:rPr>
            </w:pPr>
            <w:hyperlink w:anchor="_Measure_10.2_–" w:history="1">
              <w:r w:rsidR="0064412C" w:rsidRPr="00741157">
                <w:rPr>
                  <w:rStyle w:val="Hyperlink"/>
                  <w:sz w:val="20"/>
                </w:rPr>
                <w:t>10.2</w:t>
              </w:r>
            </w:hyperlink>
          </w:p>
        </w:tc>
        <w:tc>
          <w:tcPr>
            <w:tcW w:w="3690" w:type="dxa"/>
          </w:tcPr>
          <w:p w14:paraId="43BE4792" w14:textId="77777777" w:rsidR="0064412C" w:rsidRPr="00741157" w:rsidRDefault="0064412C" w:rsidP="00C1114C">
            <w:pPr>
              <w:pStyle w:val="Tabletext"/>
              <w:rPr>
                <w:sz w:val="20"/>
              </w:rPr>
            </w:pPr>
            <w:r w:rsidRPr="00741157">
              <w:rPr>
                <w:sz w:val="20"/>
              </w:rPr>
              <w:t>Notification rate of unspecified hepatitis B</w:t>
            </w:r>
          </w:p>
        </w:tc>
        <w:tc>
          <w:tcPr>
            <w:tcW w:w="2268" w:type="dxa"/>
          </w:tcPr>
          <w:p w14:paraId="43CB484E" w14:textId="525716A0" w:rsidR="0064412C" w:rsidRPr="00741157" w:rsidRDefault="0064412C" w:rsidP="00D53660">
            <w:pPr>
              <w:pStyle w:val="Tabletext"/>
              <w:rPr>
                <w:sz w:val="20"/>
              </w:rPr>
            </w:pPr>
            <w:r w:rsidRPr="00741157">
              <w:rPr>
                <w:sz w:val="20"/>
              </w:rPr>
              <w:t>Rate</w:t>
            </w:r>
            <w:r w:rsidR="00AD4FE8" w:rsidRPr="00741157">
              <w:rPr>
                <w:sz w:val="20"/>
              </w:rPr>
              <w:t xml:space="preserve"> </w:t>
            </w:r>
            <w:r w:rsidRPr="00741157">
              <w:rPr>
                <w:sz w:val="20"/>
              </w:rPr>
              <w:t>(per 100,000)</w:t>
            </w:r>
          </w:p>
        </w:tc>
        <w:tc>
          <w:tcPr>
            <w:tcW w:w="2126" w:type="dxa"/>
          </w:tcPr>
          <w:p w14:paraId="68A1B060" w14:textId="77777777" w:rsidR="0064412C" w:rsidRPr="00741157" w:rsidRDefault="0064412C" w:rsidP="00C1114C">
            <w:pPr>
              <w:pStyle w:val="Tabletext"/>
              <w:rPr>
                <w:sz w:val="20"/>
              </w:rPr>
            </w:pPr>
            <w:r w:rsidRPr="00741157">
              <w:rPr>
                <w:sz w:val="20"/>
              </w:rPr>
              <w:t>29.2</w:t>
            </w:r>
          </w:p>
          <w:p w14:paraId="1DF83D20" w14:textId="77777777" w:rsidR="0064412C" w:rsidRPr="00741157" w:rsidRDefault="0064412C" w:rsidP="00C1114C">
            <w:pPr>
              <w:pStyle w:val="Tabletext"/>
              <w:rPr>
                <w:sz w:val="20"/>
              </w:rPr>
            </w:pPr>
            <w:r w:rsidRPr="00741157">
              <w:rPr>
                <w:sz w:val="20"/>
              </w:rPr>
              <w:t>(2014)</w:t>
            </w:r>
          </w:p>
        </w:tc>
        <w:tc>
          <w:tcPr>
            <w:tcW w:w="1701" w:type="dxa"/>
          </w:tcPr>
          <w:p w14:paraId="574DBDD4" w14:textId="3C77504D" w:rsidR="0064412C" w:rsidRPr="00741157" w:rsidRDefault="000B718C" w:rsidP="00C1114C">
            <w:pPr>
              <w:pStyle w:val="Tabletext"/>
              <w:rPr>
                <w:sz w:val="20"/>
              </w:rPr>
            </w:pPr>
            <w:r w:rsidRPr="00741157">
              <w:rPr>
                <w:sz w:val="20"/>
              </w:rPr>
              <w:t>19</w:t>
            </w:r>
            <w:r w:rsidR="0064412C" w:rsidRPr="00741157">
              <w:rPr>
                <w:sz w:val="20"/>
              </w:rPr>
              <w:t>.</w:t>
            </w:r>
            <w:r w:rsidRPr="00741157">
              <w:rPr>
                <w:sz w:val="20"/>
              </w:rPr>
              <w:t>4</w:t>
            </w:r>
          </w:p>
          <w:p w14:paraId="5C78599C" w14:textId="640E8B19" w:rsidR="0064412C" w:rsidRPr="00741157" w:rsidRDefault="0064412C" w:rsidP="00C1114C">
            <w:pPr>
              <w:pStyle w:val="Tabletext"/>
              <w:rPr>
                <w:sz w:val="20"/>
              </w:rPr>
            </w:pPr>
            <w:r w:rsidRPr="00741157">
              <w:rPr>
                <w:sz w:val="20"/>
              </w:rPr>
              <w:t>(20</w:t>
            </w:r>
            <w:r w:rsidR="000B718C" w:rsidRPr="00741157">
              <w:rPr>
                <w:sz w:val="20"/>
              </w:rPr>
              <w:t>21</w:t>
            </w:r>
            <w:r w:rsidRPr="00741157">
              <w:rPr>
                <w:sz w:val="20"/>
              </w:rPr>
              <w:t>)</w:t>
            </w:r>
          </w:p>
        </w:tc>
        <w:tc>
          <w:tcPr>
            <w:tcW w:w="1560" w:type="dxa"/>
          </w:tcPr>
          <w:p w14:paraId="1012AF95" w14:textId="77777777" w:rsidR="0064412C" w:rsidRPr="00741157" w:rsidRDefault="0064412C" w:rsidP="00C1114C">
            <w:pPr>
              <w:pStyle w:val="Tabletext"/>
              <w:rPr>
                <w:sz w:val="20"/>
              </w:rPr>
            </w:pPr>
            <w:r w:rsidRPr="00741157">
              <w:rPr>
                <w:sz w:val="20"/>
              </w:rPr>
              <w:t>N/S</w:t>
            </w:r>
          </w:p>
        </w:tc>
        <w:tc>
          <w:tcPr>
            <w:tcW w:w="1276" w:type="dxa"/>
          </w:tcPr>
          <w:p w14:paraId="37E6AEE9" w14:textId="3B9B7053" w:rsidR="0064412C" w:rsidRPr="00741157" w:rsidRDefault="00B267F0" w:rsidP="00C1114C">
            <w:pPr>
              <w:pStyle w:val="Tabletext"/>
              <w:rPr>
                <w:sz w:val="20"/>
              </w:rPr>
            </w:pPr>
            <w:r w:rsidRPr="00741157">
              <w:rPr>
                <w:sz w:val="20"/>
              </w:rPr>
              <w:t>▼</w:t>
            </w:r>
            <w:r w:rsidRPr="00741157">
              <w:rPr>
                <w:sz w:val="20"/>
              </w:rPr>
              <w:br/>
              <w:t>Downward</w:t>
            </w:r>
          </w:p>
        </w:tc>
      </w:tr>
      <w:tr w:rsidR="0064412C" w:rsidRPr="0099225F" w14:paraId="61512CF0" w14:textId="77777777" w:rsidTr="002A6DBB">
        <w:trPr>
          <w:trHeight w:val="558"/>
        </w:trPr>
        <w:tc>
          <w:tcPr>
            <w:tcW w:w="2122" w:type="dxa"/>
            <w:hideMark/>
          </w:tcPr>
          <w:p w14:paraId="173777F2" w14:textId="5A85E122" w:rsidR="0064412C" w:rsidRPr="00741157" w:rsidRDefault="00000000" w:rsidP="00C1114C">
            <w:pPr>
              <w:pStyle w:val="Tabletext"/>
              <w:rPr>
                <w:sz w:val="20"/>
              </w:rPr>
            </w:pPr>
            <w:hyperlink w:anchor="_Measure_10.3_–" w:history="1">
              <w:r w:rsidR="0064412C" w:rsidRPr="00741157">
                <w:rPr>
                  <w:rStyle w:val="Hyperlink"/>
                  <w:sz w:val="20"/>
                </w:rPr>
                <w:t>10.3</w:t>
              </w:r>
            </w:hyperlink>
          </w:p>
        </w:tc>
        <w:tc>
          <w:tcPr>
            <w:tcW w:w="3690" w:type="dxa"/>
          </w:tcPr>
          <w:p w14:paraId="46013F94" w14:textId="77777777" w:rsidR="0064412C" w:rsidRPr="00741157" w:rsidRDefault="0064412C" w:rsidP="00C1114C">
            <w:pPr>
              <w:pStyle w:val="Tabletext"/>
              <w:rPr>
                <w:sz w:val="20"/>
              </w:rPr>
            </w:pPr>
            <w:r w:rsidRPr="00741157">
              <w:rPr>
                <w:sz w:val="20"/>
              </w:rPr>
              <w:t>Notification rate of unspecified hepatitis C</w:t>
            </w:r>
          </w:p>
        </w:tc>
        <w:tc>
          <w:tcPr>
            <w:tcW w:w="2268" w:type="dxa"/>
          </w:tcPr>
          <w:p w14:paraId="0BFDBE26" w14:textId="490D1337" w:rsidR="0064412C" w:rsidRPr="00741157" w:rsidRDefault="0064412C" w:rsidP="00D53660">
            <w:pPr>
              <w:pStyle w:val="Tabletext"/>
              <w:rPr>
                <w:sz w:val="20"/>
              </w:rPr>
            </w:pPr>
            <w:r w:rsidRPr="00741157">
              <w:rPr>
                <w:sz w:val="20"/>
              </w:rPr>
              <w:t>Rate</w:t>
            </w:r>
            <w:r w:rsidR="00AD4FE8" w:rsidRPr="00741157">
              <w:rPr>
                <w:sz w:val="20"/>
              </w:rPr>
              <w:t xml:space="preserve"> </w:t>
            </w:r>
            <w:r w:rsidRPr="00741157">
              <w:rPr>
                <w:sz w:val="20"/>
              </w:rPr>
              <w:t>(per 100,000)</w:t>
            </w:r>
          </w:p>
        </w:tc>
        <w:tc>
          <w:tcPr>
            <w:tcW w:w="2126" w:type="dxa"/>
          </w:tcPr>
          <w:p w14:paraId="20747B3E" w14:textId="77777777" w:rsidR="0064412C" w:rsidRPr="00741157" w:rsidRDefault="0064412C" w:rsidP="00C1114C">
            <w:pPr>
              <w:pStyle w:val="Tabletext"/>
              <w:rPr>
                <w:sz w:val="20"/>
              </w:rPr>
            </w:pPr>
            <w:r w:rsidRPr="00741157">
              <w:rPr>
                <w:sz w:val="20"/>
              </w:rPr>
              <w:t>33.6</w:t>
            </w:r>
          </w:p>
          <w:p w14:paraId="2FA8BF48" w14:textId="77777777" w:rsidR="0064412C" w:rsidRPr="00741157" w:rsidRDefault="0064412C" w:rsidP="00C1114C">
            <w:pPr>
              <w:pStyle w:val="Tabletext"/>
              <w:rPr>
                <w:sz w:val="20"/>
              </w:rPr>
            </w:pPr>
            <w:r w:rsidRPr="00741157">
              <w:rPr>
                <w:sz w:val="20"/>
              </w:rPr>
              <w:t>(2014)</w:t>
            </w:r>
          </w:p>
        </w:tc>
        <w:tc>
          <w:tcPr>
            <w:tcW w:w="1701" w:type="dxa"/>
          </w:tcPr>
          <w:p w14:paraId="77BF0B1D" w14:textId="5446DD8B" w:rsidR="0064412C" w:rsidRPr="00741157" w:rsidRDefault="000B718C" w:rsidP="00C1114C">
            <w:pPr>
              <w:pStyle w:val="Tabletext"/>
              <w:rPr>
                <w:sz w:val="20"/>
              </w:rPr>
            </w:pPr>
            <w:r w:rsidRPr="00741157">
              <w:rPr>
                <w:sz w:val="20"/>
              </w:rPr>
              <w:t>1</w:t>
            </w:r>
            <w:r w:rsidR="00B04EF2" w:rsidRPr="00741157">
              <w:rPr>
                <w:sz w:val="20"/>
              </w:rPr>
              <w:t>8</w:t>
            </w:r>
            <w:r w:rsidR="0064412C" w:rsidRPr="00741157">
              <w:rPr>
                <w:sz w:val="20"/>
              </w:rPr>
              <w:t>.</w:t>
            </w:r>
            <w:r w:rsidRPr="00741157">
              <w:rPr>
                <w:sz w:val="20"/>
              </w:rPr>
              <w:t>7</w:t>
            </w:r>
          </w:p>
          <w:p w14:paraId="771A4F31" w14:textId="4EA9FEA9" w:rsidR="0064412C" w:rsidRPr="00741157" w:rsidRDefault="0064412C" w:rsidP="00C1114C">
            <w:pPr>
              <w:pStyle w:val="Tabletext"/>
              <w:rPr>
                <w:sz w:val="20"/>
              </w:rPr>
            </w:pPr>
            <w:r w:rsidRPr="00741157">
              <w:rPr>
                <w:sz w:val="20"/>
              </w:rPr>
              <w:t>(20</w:t>
            </w:r>
            <w:r w:rsidR="000B718C" w:rsidRPr="00741157">
              <w:rPr>
                <w:sz w:val="20"/>
              </w:rPr>
              <w:t>21</w:t>
            </w:r>
            <w:r w:rsidRPr="00741157">
              <w:rPr>
                <w:sz w:val="20"/>
              </w:rPr>
              <w:t>)</w:t>
            </w:r>
          </w:p>
        </w:tc>
        <w:tc>
          <w:tcPr>
            <w:tcW w:w="1560" w:type="dxa"/>
          </w:tcPr>
          <w:p w14:paraId="475D0E26" w14:textId="77777777" w:rsidR="0064412C" w:rsidRPr="00741157" w:rsidRDefault="0064412C" w:rsidP="00C1114C">
            <w:pPr>
              <w:pStyle w:val="Tabletext"/>
              <w:rPr>
                <w:sz w:val="20"/>
              </w:rPr>
            </w:pPr>
            <w:r w:rsidRPr="00741157">
              <w:rPr>
                <w:sz w:val="20"/>
              </w:rPr>
              <w:t>N/S</w:t>
            </w:r>
          </w:p>
        </w:tc>
        <w:tc>
          <w:tcPr>
            <w:tcW w:w="1276" w:type="dxa"/>
          </w:tcPr>
          <w:p w14:paraId="57F4B1AD" w14:textId="23250016" w:rsidR="0064412C" w:rsidRPr="00741157" w:rsidRDefault="00B267F0" w:rsidP="00C1114C">
            <w:pPr>
              <w:pStyle w:val="Tabletext"/>
              <w:rPr>
                <w:sz w:val="20"/>
              </w:rPr>
            </w:pPr>
            <w:r w:rsidRPr="00741157">
              <w:rPr>
                <w:sz w:val="20"/>
              </w:rPr>
              <w:t>▼</w:t>
            </w:r>
            <w:r w:rsidRPr="00741157">
              <w:rPr>
                <w:sz w:val="20"/>
              </w:rPr>
              <w:br/>
              <w:t>Downward</w:t>
            </w:r>
          </w:p>
        </w:tc>
      </w:tr>
      <w:tr w:rsidR="0064412C" w:rsidRPr="0099225F" w14:paraId="38016E43" w14:textId="77777777" w:rsidTr="002A6DBB">
        <w:trPr>
          <w:trHeight w:val="558"/>
        </w:trPr>
        <w:tc>
          <w:tcPr>
            <w:tcW w:w="2122" w:type="dxa"/>
          </w:tcPr>
          <w:p w14:paraId="0235CD08" w14:textId="59F3D986" w:rsidR="0064412C" w:rsidRPr="00741157" w:rsidRDefault="00000000" w:rsidP="00C1114C">
            <w:pPr>
              <w:pStyle w:val="Tabletext"/>
              <w:rPr>
                <w:sz w:val="20"/>
              </w:rPr>
            </w:pPr>
            <w:hyperlink w:anchor="_Measure_10.4_–" w:history="1">
              <w:r w:rsidR="0064412C" w:rsidRPr="00741157">
                <w:rPr>
                  <w:rStyle w:val="Hyperlink"/>
                  <w:sz w:val="20"/>
                </w:rPr>
                <w:t>10.4</w:t>
              </w:r>
            </w:hyperlink>
          </w:p>
        </w:tc>
        <w:tc>
          <w:tcPr>
            <w:tcW w:w="3690" w:type="dxa"/>
          </w:tcPr>
          <w:p w14:paraId="65075736" w14:textId="77777777" w:rsidR="0064412C" w:rsidRPr="00741157" w:rsidRDefault="0064412C" w:rsidP="00C1114C">
            <w:pPr>
              <w:pStyle w:val="Tabletext"/>
              <w:rPr>
                <w:sz w:val="20"/>
              </w:rPr>
            </w:pPr>
            <w:r w:rsidRPr="00741157">
              <w:rPr>
                <w:sz w:val="20"/>
              </w:rPr>
              <w:t>Proportion of people with hepatitis B diagnosed with liver cancer, whose hepatitis B was diagnosed late</w:t>
            </w:r>
          </w:p>
        </w:tc>
        <w:tc>
          <w:tcPr>
            <w:tcW w:w="2268" w:type="dxa"/>
          </w:tcPr>
          <w:p w14:paraId="65A9B25F" w14:textId="77777777" w:rsidR="0064412C" w:rsidRPr="00741157" w:rsidRDefault="0064412C" w:rsidP="00C1114C">
            <w:pPr>
              <w:pStyle w:val="Tabletext"/>
              <w:rPr>
                <w:sz w:val="20"/>
              </w:rPr>
            </w:pPr>
            <w:r w:rsidRPr="00741157">
              <w:rPr>
                <w:sz w:val="20"/>
              </w:rPr>
              <w:t>Per cent</w:t>
            </w:r>
          </w:p>
        </w:tc>
        <w:tc>
          <w:tcPr>
            <w:tcW w:w="2126" w:type="dxa"/>
          </w:tcPr>
          <w:p w14:paraId="139DB6AB" w14:textId="4AC1732A" w:rsidR="0064412C" w:rsidRPr="00741157" w:rsidRDefault="0064412C" w:rsidP="00C1114C">
            <w:pPr>
              <w:pStyle w:val="Tabletext"/>
              <w:rPr>
                <w:sz w:val="20"/>
              </w:rPr>
            </w:pPr>
            <w:r w:rsidRPr="00741157">
              <w:rPr>
                <w:sz w:val="20"/>
              </w:rPr>
              <w:t>24</w:t>
            </w:r>
          </w:p>
          <w:p w14:paraId="3A2CCBBE" w14:textId="2A92818F" w:rsidR="0064412C" w:rsidRPr="00741157" w:rsidRDefault="0064412C" w:rsidP="00C1114C">
            <w:pPr>
              <w:pStyle w:val="Tabletext"/>
              <w:rPr>
                <w:sz w:val="20"/>
              </w:rPr>
            </w:pPr>
            <w:r w:rsidRPr="00741157">
              <w:rPr>
                <w:sz w:val="20"/>
              </w:rPr>
              <w:t>(2010–13)</w:t>
            </w:r>
          </w:p>
        </w:tc>
        <w:tc>
          <w:tcPr>
            <w:tcW w:w="1701" w:type="dxa"/>
          </w:tcPr>
          <w:p w14:paraId="6390FAB5" w14:textId="2A9BBA23" w:rsidR="0064412C" w:rsidRPr="00741157" w:rsidRDefault="00741157" w:rsidP="00C1114C">
            <w:pPr>
              <w:pStyle w:val="Tabletext"/>
              <w:rPr>
                <w:sz w:val="20"/>
                <w:highlight w:val="yellow"/>
              </w:rPr>
            </w:pPr>
            <w:r w:rsidRPr="00741157">
              <w:rPr>
                <w:color w:val="87189D"/>
                <w:sz w:val="20"/>
              </w:rPr>
              <w:t>No data available</w:t>
            </w:r>
          </w:p>
        </w:tc>
        <w:tc>
          <w:tcPr>
            <w:tcW w:w="1560" w:type="dxa"/>
          </w:tcPr>
          <w:p w14:paraId="4BEEE4EB" w14:textId="77777777" w:rsidR="0064412C" w:rsidRPr="00741157" w:rsidRDefault="0064412C" w:rsidP="00C1114C">
            <w:pPr>
              <w:pStyle w:val="Tabletext"/>
              <w:rPr>
                <w:sz w:val="20"/>
              </w:rPr>
            </w:pPr>
            <w:r w:rsidRPr="00741157">
              <w:rPr>
                <w:sz w:val="20"/>
              </w:rPr>
              <w:t>N/S</w:t>
            </w:r>
          </w:p>
        </w:tc>
        <w:tc>
          <w:tcPr>
            <w:tcW w:w="1276" w:type="dxa"/>
          </w:tcPr>
          <w:p w14:paraId="26D0EC2E" w14:textId="647C0DA9" w:rsidR="0064412C" w:rsidRPr="00741157" w:rsidRDefault="00741157" w:rsidP="00C1114C">
            <w:pPr>
              <w:pStyle w:val="Tabletext"/>
              <w:rPr>
                <w:sz w:val="20"/>
                <w:highlight w:val="yellow"/>
              </w:rPr>
            </w:pPr>
            <w:r w:rsidRPr="00741157">
              <w:rPr>
                <w:sz w:val="20"/>
              </w:rPr>
              <w:t>N/A</w:t>
            </w:r>
          </w:p>
        </w:tc>
      </w:tr>
      <w:tr w:rsidR="0064412C" w:rsidRPr="0099225F" w14:paraId="7C53B491" w14:textId="77777777" w:rsidTr="002A6DBB">
        <w:trPr>
          <w:trHeight w:val="558"/>
        </w:trPr>
        <w:tc>
          <w:tcPr>
            <w:tcW w:w="2122" w:type="dxa"/>
          </w:tcPr>
          <w:p w14:paraId="29EFDA1B" w14:textId="43E4F020" w:rsidR="0064412C" w:rsidRPr="00741157" w:rsidRDefault="00000000" w:rsidP="00C1114C">
            <w:pPr>
              <w:pStyle w:val="Tabletext"/>
              <w:rPr>
                <w:sz w:val="20"/>
              </w:rPr>
            </w:pPr>
            <w:hyperlink w:anchor="_Measure_10.5_–" w:history="1">
              <w:r w:rsidR="0064412C" w:rsidRPr="00741157">
                <w:rPr>
                  <w:rStyle w:val="Hyperlink"/>
                  <w:sz w:val="20"/>
                </w:rPr>
                <w:t>10.5</w:t>
              </w:r>
            </w:hyperlink>
          </w:p>
        </w:tc>
        <w:tc>
          <w:tcPr>
            <w:tcW w:w="3690" w:type="dxa"/>
          </w:tcPr>
          <w:p w14:paraId="718F0882" w14:textId="77777777" w:rsidR="0064412C" w:rsidRPr="00741157" w:rsidRDefault="0064412C" w:rsidP="00C1114C">
            <w:pPr>
              <w:pStyle w:val="Tabletext"/>
              <w:rPr>
                <w:sz w:val="20"/>
              </w:rPr>
            </w:pPr>
            <w:r w:rsidRPr="00741157">
              <w:rPr>
                <w:sz w:val="20"/>
              </w:rPr>
              <w:t>Proportion of people with hepatitis C diagnosed with liver cancer, whose hepatitis C was diagnosed late</w:t>
            </w:r>
          </w:p>
        </w:tc>
        <w:tc>
          <w:tcPr>
            <w:tcW w:w="2268" w:type="dxa"/>
          </w:tcPr>
          <w:p w14:paraId="1746671A" w14:textId="77777777" w:rsidR="0064412C" w:rsidRPr="00741157" w:rsidRDefault="0064412C" w:rsidP="00C1114C">
            <w:pPr>
              <w:pStyle w:val="Tabletext"/>
              <w:rPr>
                <w:sz w:val="20"/>
              </w:rPr>
            </w:pPr>
            <w:r w:rsidRPr="00741157">
              <w:rPr>
                <w:sz w:val="20"/>
              </w:rPr>
              <w:t>Per cent</w:t>
            </w:r>
          </w:p>
        </w:tc>
        <w:tc>
          <w:tcPr>
            <w:tcW w:w="2126" w:type="dxa"/>
          </w:tcPr>
          <w:p w14:paraId="3D123F58" w14:textId="283DB01B" w:rsidR="0064412C" w:rsidRPr="00741157" w:rsidRDefault="0064412C" w:rsidP="00C1114C">
            <w:pPr>
              <w:pStyle w:val="Tabletext"/>
              <w:rPr>
                <w:sz w:val="20"/>
              </w:rPr>
            </w:pPr>
            <w:r w:rsidRPr="00741157">
              <w:rPr>
                <w:sz w:val="20"/>
              </w:rPr>
              <w:t>17</w:t>
            </w:r>
          </w:p>
          <w:p w14:paraId="02EE1E4D" w14:textId="04D749AA" w:rsidR="0064412C" w:rsidRPr="00741157" w:rsidRDefault="0064412C" w:rsidP="00C1114C">
            <w:pPr>
              <w:pStyle w:val="Tabletext"/>
              <w:rPr>
                <w:sz w:val="20"/>
              </w:rPr>
            </w:pPr>
            <w:r w:rsidRPr="00741157">
              <w:rPr>
                <w:sz w:val="20"/>
              </w:rPr>
              <w:t>(2010–13)</w:t>
            </w:r>
          </w:p>
        </w:tc>
        <w:tc>
          <w:tcPr>
            <w:tcW w:w="1701" w:type="dxa"/>
          </w:tcPr>
          <w:p w14:paraId="040D18E3" w14:textId="65DF8EC6" w:rsidR="0064412C" w:rsidRPr="00741157" w:rsidRDefault="00741157" w:rsidP="00C1114C">
            <w:pPr>
              <w:pStyle w:val="Tabletext"/>
              <w:rPr>
                <w:sz w:val="20"/>
                <w:highlight w:val="yellow"/>
              </w:rPr>
            </w:pPr>
            <w:r w:rsidRPr="00741157">
              <w:rPr>
                <w:color w:val="87189D"/>
                <w:sz w:val="20"/>
              </w:rPr>
              <w:t>No data available</w:t>
            </w:r>
          </w:p>
        </w:tc>
        <w:tc>
          <w:tcPr>
            <w:tcW w:w="1560" w:type="dxa"/>
          </w:tcPr>
          <w:p w14:paraId="058076B1" w14:textId="77777777" w:rsidR="0064412C" w:rsidRPr="00741157" w:rsidRDefault="0064412C" w:rsidP="00C1114C">
            <w:pPr>
              <w:pStyle w:val="Tabletext"/>
              <w:rPr>
                <w:sz w:val="20"/>
              </w:rPr>
            </w:pPr>
            <w:r w:rsidRPr="00741157">
              <w:rPr>
                <w:sz w:val="20"/>
              </w:rPr>
              <w:t>N/S</w:t>
            </w:r>
          </w:p>
        </w:tc>
        <w:tc>
          <w:tcPr>
            <w:tcW w:w="1276" w:type="dxa"/>
          </w:tcPr>
          <w:p w14:paraId="2C560D94" w14:textId="0624ED0E" w:rsidR="0064412C" w:rsidRPr="00741157" w:rsidRDefault="00741157" w:rsidP="00C1114C">
            <w:pPr>
              <w:pStyle w:val="Tabletext"/>
              <w:rPr>
                <w:sz w:val="20"/>
                <w:highlight w:val="yellow"/>
              </w:rPr>
            </w:pPr>
            <w:r w:rsidRPr="00741157">
              <w:rPr>
                <w:sz w:val="20"/>
              </w:rPr>
              <w:t>N/A</w:t>
            </w:r>
          </w:p>
        </w:tc>
      </w:tr>
    </w:tbl>
    <w:p w14:paraId="0DA71A42" w14:textId="77777777" w:rsidR="00A44D67" w:rsidRDefault="00A44D67" w:rsidP="0012302B">
      <w:pPr>
        <w:pStyle w:val="Heading4"/>
      </w:pPr>
      <w:bookmarkStart w:id="43" w:name="_Toc19007975"/>
      <w:r w:rsidRPr="00DC5E5B">
        <w:lastRenderedPageBreak/>
        <w:t xml:space="preserve">Outcome: </w:t>
      </w:r>
      <w:r>
        <w:t>Detect cancers early</w:t>
      </w:r>
      <w:bookmarkEnd w:id="43"/>
      <w:r w:rsidRPr="00A44D67">
        <w:t xml:space="preserve"> </w:t>
      </w:r>
    </w:p>
    <w:p w14:paraId="70DC9623" w14:textId="6E99643B" w:rsidR="00C1114C" w:rsidRDefault="00A44D67" w:rsidP="00A44D67">
      <w:pPr>
        <w:pStyle w:val="Heading5"/>
      </w:pPr>
      <w:r w:rsidRPr="008335F5">
        <w:t>Key result: Increase early</w:t>
      </w:r>
      <w:r>
        <w:t>-</w:t>
      </w:r>
      <w:r w:rsidRPr="008335F5">
        <w:t>stage diagnosis</w:t>
      </w:r>
    </w:p>
    <w:tbl>
      <w:tblPr>
        <w:tblStyle w:val="TableGrid"/>
        <w:tblW w:w="14459"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7"/>
        <w:gridCol w:w="3260"/>
        <w:gridCol w:w="2268"/>
        <w:gridCol w:w="2126"/>
        <w:gridCol w:w="1701"/>
        <w:gridCol w:w="1701"/>
        <w:gridCol w:w="1276"/>
      </w:tblGrid>
      <w:tr w:rsidR="00A44D67" w:rsidRPr="0099225F" w14:paraId="3D6FE6EE" w14:textId="77777777" w:rsidTr="00247D94">
        <w:trPr>
          <w:trHeight w:val="621"/>
        </w:trPr>
        <w:tc>
          <w:tcPr>
            <w:tcW w:w="2127" w:type="dxa"/>
            <w:shd w:val="clear" w:color="auto" w:fill="EDCDCF"/>
          </w:tcPr>
          <w:p w14:paraId="00C43C30" w14:textId="1220E9F8" w:rsidR="00A44D67" w:rsidRPr="0099225F" w:rsidRDefault="00A44D67" w:rsidP="00A44D67">
            <w:pPr>
              <w:pStyle w:val="Tablecolhead"/>
              <w:rPr>
                <w:sz w:val="20"/>
              </w:rPr>
            </w:pPr>
            <w:r w:rsidRPr="0099225F">
              <w:rPr>
                <w:sz w:val="20"/>
              </w:rPr>
              <w:t>Measure #</w:t>
            </w:r>
          </w:p>
        </w:tc>
        <w:tc>
          <w:tcPr>
            <w:tcW w:w="3260" w:type="dxa"/>
            <w:shd w:val="clear" w:color="auto" w:fill="EDCDCF"/>
          </w:tcPr>
          <w:p w14:paraId="0345A767" w14:textId="6C404A04" w:rsidR="00A44D67" w:rsidRPr="0099225F" w:rsidRDefault="00A44D67" w:rsidP="00A44D67">
            <w:pPr>
              <w:pStyle w:val="Tablecolhead"/>
              <w:rPr>
                <w:sz w:val="20"/>
              </w:rPr>
            </w:pPr>
            <w:r w:rsidRPr="0099225F">
              <w:rPr>
                <w:sz w:val="20"/>
              </w:rPr>
              <w:t>Description</w:t>
            </w:r>
          </w:p>
        </w:tc>
        <w:tc>
          <w:tcPr>
            <w:tcW w:w="2268" w:type="dxa"/>
            <w:shd w:val="clear" w:color="auto" w:fill="EDCDCF"/>
          </w:tcPr>
          <w:p w14:paraId="2233C31B" w14:textId="7964725C" w:rsidR="00A44D67" w:rsidRPr="0099225F" w:rsidRDefault="00A44D67" w:rsidP="00A44D67">
            <w:pPr>
              <w:pStyle w:val="Tablecolhead"/>
              <w:rPr>
                <w:sz w:val="20"/>
              </w:rPr>
            </w:pPr>
            <w:r w:rsidRPr="0099225F">
              <w:rPr>
                <w:sz w:val="20"/>
              </w:rPr>
              <w:t>Unit of measure</w:t>
            </w:r>
          </w:p>
        </w:tc>
        <w:tc>
          <w:tcPr>
            <w:tcW w:w="2126" w:type="dxa"/>
            <w:shd w:val="clear" w:color="auto" w:fill="EDCDCF"/>
          </w:tcPr>
          <w:p w14:paraId="1D843DD1" w14:textId="77777777" w:rsidR="00A44D67" w:rsidRPr="0099225F" w:rsidRDefault="00A44D67" w:rsidP="00A44D67">
            <w:pPr>
              <w:pStyle w:val="Tablecolhead"/>
              <w:rPr>
                <w:sz w:val="20"/>
              </w:rPr>
            </w:pPr>
            <w:r w:rsidRPr="0099225F">
              <w:rPr>
                <w:sz w:val="20"/>
              </w:rPr>
              <w:t>Baseline</w:t>
            </w:r>
          </w:p>
          <w:p w14:paraId="36D0B9FC" w14:textId="75444148" w:rsidR="00A44D67" w:rsidRPr="0099225F" w:rsidRDefault="00A44D67" w:rsidP="00A44D67">
            <w:pPr>
              <w:pStyle w:val="Tablecolhead"/>
              <w:rPr>
                <w:color w:val="7030A0"/>
                <w:sz w:val="20"/>
              </w:rPr>
            </w:pPr>
            <w:r w:rsidRPr="0099225F">
              <w:rPr>
                <w:sz w:val="20"/>
              </w:rPr>
              <w:t>(year)</w:t>
            </w:r>
          </w:p>
        </w:tc>
        <w:tc>
          <w:tcPr>
            <w:tcW w:w="1701" w:type="dxa"/>
            <w:shd w:val="clear" w:color="auto" w:fill="EDCDCF"/>
          </w:tcPr>
          <w:p w14:paraId="56895680" w14:textId="77777777" w:rsidR="00A44D67" w:rsidRPr="0099225F" w:rsidRDefault="00A44D67" w:rsidP="00A44D67">
            <w:pPr>
              <w:pStyle w:val="Tablecolhead"/>
              <w:rPr>
                <w:sz w:val="20"/>
              </w:rPr>
            </w:pPr>
            <w:r w:rsidRPr="0099225F">
              <w:rPr>
                <w:sz w:val="20"/>
              </w:rPr>
              <w:t>Most recent</w:t>
            </w:r>
          </w:p>
          <w:p w14:paraId="007BDB92" w14:textId="6DC84357" w:rsidR="00A44D67" w:rsidRPr="0099225F" w:rsidRDefault="00A44D67" w:rsidP="00A44D67">
            <w:pPr>
              <w:pStyle w:val="Tablecolhead"/>
              <w:rPr>
                <w:color w:val="7030A0"/>
                <w:sz w:val="20"/>
              </w:rPr>
            </w:pPr>
            <w:r w:rsidRPr="0099225F">
              <w:rPr>
                <w:sz w:val="20"/>
              </w:rPr>
              <w:t>(year)</w:t>
            </w:r>
          </w:p>
        </w:tc>
        <w:tc>
          <w:tcPr>
            <w:tcW w:w="1701" w:type="dxa"/>
            <w:shd w:val="clear" w:color="auto" w:fill="EDCDCF"/>
          </w:tcPr>
          <w:p w14:paraId="2AA311C2" w14:textId="36CC4E74" w:rsidR="00A44D67" w:rsidRPr="0099225F" w:rsidRDefault="00A44D67" w:rsidP="00A44D67">
            <w:pPr>
              <w:pStyle w:val="Tablecolhead"/>
              <w:rPr>
                <w:sz w:val="20"/>
              </w:rPr>
            </w:pPr>
            <w:r w:rsidRPr="0099225F">
              <w:rPr>
                <w:sz w:val="20"/>
              </w:rPr>
              <w:t>Target</w:t>
            </w:r>
          </w:p>
        </w:tc>
        <w:tc>
          <w:tcPr>
            <w:tcW w:w="1276" w:type="dxa"/>
            <w:shd w:val="clear" w:color="auto" w:fill="EDCDCF"/>
          </w:tcPr>
          <w:p w14:paraId="4CED0F47" w14:textId="56EA76B4" w:rsidR="00A44D67" w:rsidRPr="0099225F" w:rsidRDefault="00A44D67" w:rsidP="00A44D67">
            <w:pPr>
              <w:pStyle w:val="Tablecolhead"/>
              <w:rPr>
                <w:sz w:val="20"/>
              </w:rPr>
            </w:pPr>
            <w:r w:rsidRPr="0099225F">
              <w:rPr>
                <w:sz w:val="20"/>
              </w:rPr>
              <w:t>Trend</w:t>
            </w:r>
          </w:p>
        </w:tc>
      </w:tr>
      <w:tr w:rsidR="00A44D67" w:rsidRPr="0099225F" w14:paraId="07D7971F" w14:textId="77777777" w:rsidTr="00247D94">
        <w:trPr>
          <w:trHeight w:val="621"/>
        </w:trPr>
        <w:tc>
          <w:tcPr>
            <w:tcW w:w="2127" w:type="dxa"/>
          </w:tcPr>
          <w:p w14:paraId="6D128D0D" w14:textId="5AAEB305" w:rsidR="00A44D67" w:rsidRPr="00741157" w:rsidRDefault="00000000" w:rsidP="00A44D67">
            <w:pPr>
              <w:pStyle w:val="Tabletext"/>
              <w:rPr>
                <w:sz w:val="20"/>
              </w:rPr>
            </w:pPr>
            <w:hyperlink w:anchor="_Appendix_1:_Measures" w:history="1">
              <w:r w:rsidR="00A44D67" w:rsidRPr="00741157">
                <w:rPr>
                  <w:rStyle w:val="Hyperlink"/>
                  <w:sz w:val="20"/>
                </w:rPr>
                <w:t>11.1</w:t>
              </w:r>
            </w:hyperlink>
          </w:p>
        </w:tc>
        <w:tc>
          <w:tcPr>
            <w:tcW w:w="3260" w:type="dxa"/>
          </w:tcPr>
          <w:p w14:paraId="7BBA0C14" w14:textId="6589438B" w:rsidR="00A44D67" w:rsidRPr="00741157" w:rsidRDefault="00A44D67" w:rsidP="00A44D67">
            <w:pPr>
              <w:pStyle w:val="Tabletext"/>
              <w:rPr>
                <w:sz w:val="20"/>
              </w:rPr>
            </w:pPr>
            <w:r w:rsidRPr="00741157">
              <w:rPr>
                <w:sz w:val="20"/>
              </w:rPr>
              <w:t>Proportion of all cancers diagnosed at stages 1 or 2</w:t>
            </w:r>
          </w:p>
        </w:tc>
        <w:tc>
          <w:tcPr>
            <w:tcW w:w="2268" w:type="dxa"/>
          </w:tcPr>
          <w:p w14:paraId="2B6E4BE2" w14:textId="77777777" w:rsidR="00A44D67" w:rsidRPr="00741157" w:rsidRDefault="00A44D67" w:rsidP="00A44D67">
            <w:pPr>
              <w:pStyle w:val="Tabletext"/>
              <w:rPr>
                <w:sz w:val="20"/>
              </w:rPr>
            </w:pPr>
            <w:r w:rsidRPr="00741157">
              <w:rPr>
                <w:sz w:val="20"/>
              </w:rPr>
              <w:t>Per cent</w:t>
            </w:r>
          </w:p>
        </w:tc>
        <w:tc>
          <w:tcPr>
            <w:tcW w:w="2126" w:type="dxa"/>
          </w:tcPr>
          <w:p w14:paraId="5B775700" w14:textId="77777777" w:rsidR="00A44D67" w:rsidRPr="00741157" w:rsidRDefault="00A44D67" w:rsidP="00A44D67">
            <w:pPr>
              <w:pStyle w:val="Tabletext"/>
              <w:rPr>
                <w:color w:val="87189D"/>
                <w:sz w:val="20"/>
              </w:rPr>
            </w:pPr>
            <w:r w:rsidRPr="00741157">
              <w:rPr>
                <w:color w:val="87189D"/>
                <w:sz w:val="20"/>
              </w:rPr>
              <w:t>No data available (refer to Appendix 1)</w:t>
            </w:r>
          </w:p>
        </w:tc>
        <w:tc>
          <w:tcPr>
            <w:tcW w:w="1701" w:type="dxa"/>
          </w:tcPr>
          <w:p w14:paraId="4161F73E" w14:textId="4C4E281D" w:rsidR="00A44D67" w:rsidRPr="00741157" w:rsidRDefault="00A44D67" w:rsidP="00A44D67">
            <w:pPr>
              <w:pStyle w:val="Tabletext"/>
              <w:rPr>
                <w:color w:val="87189D"/>
                <w:sz w:val="20"/>
              </w:rPr>
            </w:pPr>
            <w:r w:rsidRPr="00741157">
              <w:rPr>
                <w:color w:val="87189D"/>
                <w:sz w:val="20"/>
              </w:rPr>
              <w:t>No data available (refer to Appendix 1)</w:t>
            </w:r>
          </w:p>
        </w:tc>
        <w:tc>
          <w:tcPr>
            <w:tcW w:w="1701" w:type="dxa"/>
          </w:tcPr>
          <w:p w14:paraId="6656CCB4" w14:textId="77777777" w:rsidR="00A44D67" w:rsidRPr="00741157" w:rsidRDefault="00A44D67" w:rsidP="00A44D67">
            <w:pPr>
              <w:pStyle w:val="Tabletext"/>
              <w:rPr>
                <w:sz w:val="20"/>
              </w:rPr>
            </w:pPr>
            <w:r w:rsidRPr="00741157">
              <w:rPr>
                <w:sz w:val="20"/>
              </w:rPr>
              <w:t>N/S</w:t>
            </w:r>
          </w:p>
        </w:tc>
        <w:tc>
          <w:tcPr>
            <w:tcW w:w="1276" w:type="dxa"/>
          </w:tcPr>
          <w:p w14:paraId="2AF804A9" w14:textId="77777777" w:rsidR="00A44D67" w:rsidRPr="00741157" w:rsidRDefault="00A44D67" w:rsidP="00A44D67">
            <w:pPr>
              <w:pStyle w:val="Tabletext"/>
              <w:rPr>
                <w:sz w:val="20"/>
              </w:rPr>
            </w:pPr>
            <w:r w:rsidRPr="00741157">
              <w:rPr>
                <w:sz w:val="20"/>
              </w:rPr>
              <w:t>N/A</w:t>
            </w:r>
          </w:p>
        </w:tc>
      </w:tr>
      <w:tr w:rsidR="00A44D67" w:rsidRPr="0099225F" w14:paraId="4EFBF128" w14:textId="77777777" w:rsidTr="00247D94">
        <w:trPr>
          <w:trHeight w:val="621"/>
        </w:trPr>
        <w:tc>
          <w:tcPr>
            <w:tcW w:w="2127" w:type="dxa"/>
            <w:hideMark/>
          </w:tcPr>
          <w:p w14:paraId="74CD3DED" w14:textId="72A6201A" w:rsidR="00A44D67" w:rsidRPr="00741157" w:rsidRDefault="00000000" w:rsidP="00A44D67">
            <w:pPr>
              <w:pStyle w:val="Tabletext"/>
              <w:rPr>
                <w:sz w:val="20"/>
              </w:rPr>
            </w:pPr>
            <w:hyperlink w:anchor="_Measure_11.2_–" w:history="1">
              <w:r w:rsidR="00A44D67" w:rsidRPr="00741157">
                <w:rPr>
                  <w:rStyle w:val="Hyperlink"/>
                  <w:sz w:val="20"/>
                </w:rPr>
                <w:t>11.2</w:t>
              </w:r>
            </w:hyperlink>
          </w:p>
        </w:tc>
        <w:tc>
          <w:tcPr>
            <w:tcW w:w="3260" w:type="dxa"/>
          </w:tcPr>
          <w:p w14:paraId="00CD99BF" w14:textId="162F100E" w:rsidR="00A44D67" w:rsidRPr="00741157" w:rsidRDefault="00A44D67" w:rsidP="00A44D67">
            <w:pPr>
              <w:pStyle w:val="Tabletext"/>
              <w:rPr>
                <w:sz w:val="20"/>
              </w:rPr>
            </w:pPr>
            <w:r w:rsidRPr="00741157">
              <w:rPr>
                <w:sz w:val="20"/>
              </w:rPr>
              <w:t>Proportion of female breast cancers diagnosed at stages 1 or 2</w:t>
            </w:r>
          </w:p>
        </w:tc>
        <w:tc>
          <w:tcPr>
            <w:tcW w:w="2268" w:type="dxa"/>
          </w:tcPr>
          <w:p w14:paraId="6A8FF68C" w14:textId="77777777" w:rsidR="00A44D67" w:rsidRPr="00741157" w:rsidRDefault="00A44D67" w:rsidP="00A44D67">
            <w:pPr>
              <w:pStyle w:val="Tabletext"/>
              <w:rPr>
                <w:sz w:val="20"/>
              </w:rPr>
            </w:pPr>
            <w:r w:rsidRPr="00741157">
              <w:rPr>
                <w:sz w:val="20"/>
              </w:rPr>
              <w:t>Per cent</w:t>
            </w:r>
          </w:p>
        </w:tc>
        <w:tc>
          <w:tcPr>
            <w:tcW w:w="2126" w:type="dxa"/>
            <w:noWrap/>
          </w:tcPr>
          <w:p w14:paraId="679A61C5" w14:textId="01370D86" w:rsidR="00A44D67" w:rsidRPr="00741157" w:rsidRDefault="00A44D67" w:rsidP="00A44D67">
            <w:pPr>
              <w:pStyle w:val="Tabletext"/>
              <w:rPr>
                <w:sz w:val="20"/>
              </w:rPr>
            </w:pPr>
            <w:r w:rsidRPr="00741157">
              <w:rPr>
                <w:sz w:val="20"/>
              </w:rPr>
              <w:t>84.</w:t>
            </w:r>
            <w:r w:rsidR="00C96C80">
              <w:rPr>
                <w:sz w:val="20"/>
              </w:rPr>
              <w:t>7</w:t>
            </w:r>
          </w:p>
          <w:p w14:paraId="2FF2419D" w14:textId="20FF05E8" w:rsidR="00A44D67" w:rsidRPr="00741157" w:rsidRDefault="00A44D67" w:rsidP="00A44D67">
            <w:pPr>
              <w:pStyle w:val="Tabletext"/>
              <w:rPr>
                <w:sz w:val="20"/>
              </w:rPr>
            </w:pPr>
            <w:r w:rsidRPr="00741157">
              <w:rPr>
                <w:sz w:val="20"/>
              </w:rPr>
              <w:t>(2014)</w:t>
            </w:r>
          </w:p>
        </w:tc>
        <w:tc>
          <w:tcPr>
            <w:tcW w:w="1701" w:type="dxa"/>
            <w:noWrap/>
          </w:tcPr>
          <w:p w14:paraId="189C3B63" w14:textId="1BE41E8E" w:rsidR="00A44D67" w:rsidRPr="00741157" w:rsidRDefault="00A44D67" w:rsidP="00A44D67">
            <w:pPr>
              <w:pStyle w:val="Tabletext"/>
              <w:rPr>
                <w:sz w:val="20"/>
              </w:rPr>
            </w:pPr>
            <w:r w:rsidRPr="00741157">
              <w:rPr>
                <w:sz w:val="20"/>
              </w:rPr>
              <w:t>8</w:t>
            </w:r>
            <w:r w:rsidR="00C96C80">
              <w:rPr>
                <w:sz w:val="20"/>
              </w:rPr>
              <w:t>8</w:t>
            </w:r>
            <w:r w:rsidRPr="00741157">
              <w:rPr>
                <w:sz w:val="20"/>
              </w:rPr>
              <w:t>.</w:t>
            </w:r>
            <w:r w:rsidR="00C96C80">
              <w:rPr>
                <w:sz w:val="20"/>
              </w:rPr>
              <w:t>1</w:t>
            </w:r>
          </w:p>
          <w:p w14:paraId="7BCBE06D" w14:textId="27E56437" w:rsidR="00A44D67" w:rsidRPr="00741157" w:rsidRDefault="00A44D67" w:rsidP="00A44D67">
            <w:pPr>
              <w:pStyle w:val="Tabletext"/>
              <w:rPr>
                <w:sz w:val="20"/>
              </w:rPr>
            </w:pPr>
            <w:r w:rsidRPr="00741157">
              <w:rPr>
                <w:sz w:val="20"/>
              </w:rPr>
              <w:t>(20</w:t>
            </w:r>
            <w:r w:rsidR="00C96C80">
              <w:rPr>
                <w:sz w:val="20"/>
              </w:rPr>
              <w:t>21</w:t>
            </w:r>
            <w:r w:rsidRPr="00741157">
              <w:rPr>
                <w:sz w:val="20"/>
              </w:rPr>
              <w:t>)</w:t>
            </w:r>
          </w:p>
        </w:tc>
        <w:tc>
          <w:tcPr>
            <w:tcW w:w="1701" w:type="dxa"/>
            <w:noWrap/>
          </w:tcPr>
          <w:p w14:paraId="576D9EDF" w14:textId="77C3D32A" w:rsidR="00A44D67" w:rsidRPr="00741157" w:rsidRDefault="00A44D67" w:rsidP="00A44D67">
            <w:pPr>
              <w:pStyle w:val="Tabletext"/>
              <w:rPr>
                <w:sz w:val="20"/>
              </w:rPr>
            </w:pPr>
            <w:r w:rsidRPr="00741157">
              <w:rPr>
                <w:sz w:val="20"/>
              </w:rPr>
              <w:t>N/S</w:t>
            </w:r>
          </w:p>
        </w:tc>
        <w:tc>
          <w:tcPr>
            <w:tcW w:w="1276" w:type="dxa"/>
          </w:tcPr>
          <w:p w14:paraId="2374B2CC" w14:textId="3F720B6B" w:rsidR="00A44D67" w:rsidRPr="00741157" w:rsidRDefault="00E13C74" w:rsidP="00A44D67">
            <w:pPr>
              <w:pStyle w:val="Tabletext"/>
              <w:rPr>
                <w:sz w:val="20"/>
              </w:rPr>
            </w:pPr>
            <w:r w:rsidRPr="00741157">
              <w:rPr>
                <w:sz w:val="20"/>
              </w:rPr>
              <w:t>▲</w:t>
            </w:r>
            <w:r w:rsidRPr="00741157">
              <w:rPr>
                <w:sz w:val="20"/>
              </w:rPr>
              <w:br/>
              <w:t>Upward</w:t>
            </w:r>
          </w:p>
        </w:tc>
      </w:tr>
      <w:tr w:rsidR="00A44D67" w:rsidRPr="0099225F" w14:paraId="2167DB84" w14:textId="77777777" w:rsidTr="00247D94">
        <w:trPr>
          <w:trHeight w:val="621"/>
        </w:trPr>
        <w:tc>
          <w:tcPr>
            <w:tcW w:w="2127" w:type="dxa"/>
            <w:hideMark/>
          </w:tcPr>
          <w:p w14:paraId="325F7C73" w14:textId="209D4074" w:rsidR="00A44D67" w:rsidRPr="00741157" w:rsidRDefault="00000000" w:rsidP="00A44D67">
            <w:pPr>
              <w:pStyle w:val="Tabletext"/>
              <w:rPr>
                <w:sz w:val="20"/>
              </w:rPr>
            </w:pPr>
            <w:hyperlink w:anchor="_Measure_11.3_–" w:history="1">
              <w:r w:rsidR="00A44D67" w:rsidRPr="00741157">
                <w:rPr>
                  <w:rStyle w:val="Hyperlink"/>
                  <w:sz w:val="20"/>
                </w:rPr>
                <w:t>11.3</w:t>
              </w:r>
            </w:hyperlink>
          </w:p>
        </w:tc>
        <w:tc>
          <w:tcPr>
            <w:tcW w:w="3260" w:type="dxa"/>
          </w:tcPr>
          <w:p w14:paraId="1436175B" w14:textId="223D4919" w:rsidR="00A44D67" w:rsidRPr="00741157" w:rsidRDefault="00A44D67" w:rsidP="00A44D67">
            <w:pPr>
              <w:pStyle w:val="Tabletext"/>
              <w:rPr>
                <w:sz w:val="20"/>
              </w:rPr>
            </w:pPr>
            <w:r w:rsidRPr="00741157">
              <w:rPr>
                <w:sz w:val="20"/>
              </w:rPr>
              <w:t>Proportion of colorectal cancers diagnosed at stages 1 or 2</w:t>
            </w:r>
          </w:p>
        </w:tc>
        <w:tc>
          <w:tcPr>
            <w:tcW w:w="2268" w:type="dxa"/>
          </w:tcPr>
          <w:p w14:paraId="7A2AADC9" w14:textId="77777777" w:rsidR="00A44D67" w:rsidRPr="00741157" w:rsidRDefault="00A44D67" w:rsidP="00A44D67">
            <w:pPr>
              <w:pStyle w:val="Tabletext"/>
              <w:rPr>
                <w:sz w:val="20"/>
              </w:rPr>
            </w:pPr>
            <w:r w:rsidRPr="00741157">
              <w:rPr>
                <w:sz w:val="20"/>
              </w:rPr>
              <w:t>Per cent</w:t>
            </w:r>
          </w:p>
        </w:tc>
        <w:tc>
          <w:tcPr>
            <w:tcW w:w="2126" w:type="dxa"/>
            <w:noWrap/>
          </w:tcPr>
          <w:p w14:paraId="3F643F38" w14:textId="48787943" w:rsidR="00A44D67" w:rsidRPr="00741157" w:rsidRDefault="00A44D67" w:rsidP="00A44D67">
            <w:pPr>
              <w:pStyle w:val="Tabletext"/>
              <w:rPr>
                <w:sz w:val="20"/>
              </w:rPr>
            </w:pPr>
            <w:r w:rsidRPr="00741157">
              <w:rPr>
                <w:sz w:val="20"/>
              </w:rPr>
              <w:t>5</w:t>
            </w:r>
            <w:r w:rsidR="00C96C80">
              <w:rPr>
                <w:sz w:val="20"/>
              </w:rPr>
              <w:t>3</w:t>
            </w:r>
            <w:r w:rsidRPr="00741157">
              <w:rPr>
                <w:sz w:val="20"/>
              </w:rPr>
              <w:t>.</w:t>
            </w:r>
            <w:r w:rsidR="00C96C80">
              <w:rPr>
                <w:sz w:val="20"/>
              </w:rPr>
              <w:t>0</w:t>
            </w:r>
          </w:p>
          <w:p w14:paraId="5259ECE8" w14:textId="30FEF0AF" w:rsidR="00A44D67" w:rsidRPr="00741157" w:rsidRDefault="00A44D67" w:rsidP="00A44D67">
            <w:pPr>
              <w:pStyle w:val="Tabletext"/>
              <w:rPr>
                <w:sz w:val="20"/>
              </w:rPr>
            </w:pPr>
            <w:r w:rsidRPr="00741157">
              <w:rPr>
                <w:sz w:val="20"/>
              </w:rPr>
              <w:t>(2014)</w:t>
            </w:r>
          </w:p>
        </w:tc>
        <w:tc>
          <w:tcPr>
            <w:tcW w:w="1701" w:type="dxa"/>
            <w:noWrap/>
          </w:tcPr>
          <w:p w14:paraId="64EBB4F2" w14:textId="33677836" w:rsidR="00A44D67" w:rsidRPr="00741157" w:rsidRDefault="00A44D67" w:rsidP="00A44D67">
            <w:pPr>
              <w:pStyle w:val="Tabletext"/>
              <w:rPr>
                <w:sz w:val="20"/>
              </w:rPr>
            </w:pPr>
            <w:r w:rsidRPr="00741157">
              <w:rPr>
                <w:sz w:val="20"/>
              </w:rPr>
              <w:t>5</w:t>
            </w:r>
            <w:r w:rsidR="00C96C80">
              <w:rPr>
                <w:sz w:val="20"/>
              </w:rPr>
              <w:t>4</w:t>
            </w:r>
            <w:r w:rsidR="00E13C74" w:rsidRPr="00741157">
              <w:rPr>
                <w:sz w:val="20"/>
              </w:rPr>
              <w:t>.</w:t>
            </w:r>
            <w:r w:rsidR="00C96C80">
              <w:rPr>
                <w:sz w:val="20"/>
              </w:rPr>
              <w:t>1</w:t>
            </w:r>
          </w:p>
          <w:p w14:paraId="5EE267E8" w14:textId="5D19B410" w:rsidR="00A44D67" w:rsidRPr="00741157" w:rsidRDefault="00A44D67" w:rsidP="00A44D67">
            <w:pPr>
              <w:pStyle w:val="Tabletext"/>
              <w:rPr>
                <w:sz w:val="20"/>
              </w:rPr>
            </w:pPr>
            <w:r w:rsidRPr="00741157">
              <w:rPr>
                <w:sz w:val="20"/>
              </w:rPr>
              <w:t>(20</w:t>
            </w:r>
            <w:r w:rsidR="00C96C80">
              <w:rPr>
                <w:sz w:val="20"/>
              </w:rPr>
              <w:t>21</w:t>
            </w:r>
            <w:r w:rsidRPr="00741157">
              <w:rPr>
                <w:sz w:val="20"/>
              </w:rPr>
              <w:t>)</w:t>
            </w:r>
          </w:p>
        </w:tc>
        <w:tc>
          <w:tcPr>
            <w:tcW w:w="1701" w:type="dxa"/>
            <w:noWrap/>
          </w:tcPr>
          <w:p w14:paraId="2EB91124" w14:textId="2E88EA5F" w:rsidR="00A44D67" w:rsidRPr="00741157" w:rsidRDefault="00A44D67" w:rsidP="00A44D67">
            <w:pPr>
              <w:pStyle w:val="Tabletext"/>
              <w:rPr>
                <w:sz w:val="20"/>
              </w:rPr>
            </w:pPr>
            <w:r w:rsidRPr="00741157">
              <w:rPr>
                <w:sz w:val="20"/>
              </w:rPr>
              <w:t>N/S</w:t>
            </w:r>
          </w:p>
        </w:tc>
        <w:tc>
          <w:tcPr>
            <w:tcW w:w="1276" w:type="dxa"/>
            <w:hideMark/>
          </w:tcPr>
          <w:p w14:paraId="0CD34E19" w14:textId="3D8DAFC1" w:rsidR="00A44D67" w:rsidRPr="00741157" w:rsidRDefault="0034479E" w:rsidP="00A44D67">
            <w:pPr>
              <w:pStyle w:val="Tabletext"/>
              <w:rPr>
                <w:sz w:val="20"/>
              </w:rPr>
            </w:pPr>
            <w:r w:rsidRPr="00741157">
              <w:rPr>
                <w:sz w:val="20"/>
              </w:rPr>
              <w:t>▲</w:t>
            </w:r>
            <w:r w:rsidRPr="00741157">
              <w:rPr>
                <w:sz w:val="20"/>
              </w:rPr>
              <w:br/>
              <w:t>Upward</w:t>
            </w:r>
          </w:p>
        </w:tc>
      </w:tr>
      <w:tr w:rsidR="00A44D67" w:rsidRPr="0099225F" w14:paraId="7B58878C" w14:textId="77777777" w:rsidTr="00247D94">
        <w:trPr>
          <w:trHeight w:val="621"/>
        </w:trPr>
        <w:tc>
          <w:tcPr>
            <w:tcW w:w="2127" w:type="dxa"/>
            <w:hideMark/>
          </w:tcPr>
          <w:p w14:paraId="285D26E7" w14:textId="3DDA4FF3" w:rsidR="00A44D67" w:rsidRPr="00741157" w:rsidRDefault="00000000" w:rsidP="00A44D67">
            <w:pPr>
              <w:pStyle w:val="Tabletext"/>
              <w:rPr>
                <w:sz w:val="20"/>
              </w:rPr>
            </w:pPr>
            <w:hyperlink w:anchor="_Appendix_1:_Measures" w:history="1">
              <w:r w:rsidR="00A44D67" w:rsidRPr="00741157">
                <w:rPr>
                  <w:rStyle w:val="Hyperlink"/>
                  <w:sz w:val="20"/>
                </w:rPr>
                <w:t>11.4</w:t>
              </w:r>
            </w:hyperlink>
          </w:p>
        </w:tc>
        <w:tc>
          <w:tcPr>
            <w:tcW w:w="3260" w:type="dxa"/>
          </w:tcPr>
          <w:p w14:paraId="18AA3E7E" w14:textId="437BD813" w:rsidR="00A44D67" w:rsidRPr="00741157" w:rsidRDefault="00A44D67" w:rsidP="00A44D67">
            <w:pPr>
              <w:pStyle w:val="Tabletext"/>
              <w:rPr>
                <w:sz w:val="20"/>
              </w:rPr>
            </w:pPr>
            <w:r w:rsidRPr="00741157">
              <w:rPr>
                <w:sz w:val="20"/>
              </w:rPr>
              <w:t>Proportion of cervical cancers diagnosed at stages 1 or 2</w:t>
            </w:r>
          </w:p>
        </w:tc>
        <w:tc>
          <w:tcPr>
            <w:tcW w:w="2268" w:type="dxa"/>
          </w:tcPr>
          <w:p w14:paraId="562C21B1" w14:textId="77777777" w:rsidR="00A44D67" w:rsidRPr="00741157" w:rsidRDefault="00A44D67" w:rsidP="00A44D67">
            <w:pPr>
              <w:pStyle w:val="Tabletext"/>
              <w:rPr>
                <w:sz w:val="20"/>
              </w:rPr>
            </w:pPr>
            <w:r w:rsidRPr="00741157">
              <w:rPr>
                <w:sz w:val="20"/>
              </w:rPr>
              <w:t>Per cent</w:t>
            </w:r>
          </w:p>
        </w:tc>
        <w:tc>
          <w:tcPr>
            <w:tcW w:w="2126" w:type="dxa"/>
            <w:noWrap/>
          </w:tcPr>
          <w:p w14:paraId="1FBD55AA" w14:textId="77777777" w:rsidR="00A44D67" w:rsidRPr="00741157" w:rsidRDefault="00A44D67" w:rsidP="00A44D67">
            <w:pPr>
              <w:pStyle w:val="Tabletext"/>
              <w:rPr>
                <w:color w:val="87189D"/>
                <w:sz w:val="20"/>
              </w:rPr>
            </w:pPr>
            <w:r w:rsidRPr="00741157">
              <w:rPr>
                <w:color w:val="87189D"/>
                <w:sz w:val="20"/>
              </w:rPr>
              <w:t>No data available (refer to Appendix 1)</w:t>
            </w:r>
          </w:p>
        </w:tc>
        <w:tc>
          <w:tcPr>
            <w:tcW w:w="1701" w:type="dxa"/>
          </w:tcPr>
          <w:p w14:paraId="76156CCC" w14:textId="408969E8" w:rsidR="00A44D67" w:rsidRPr="00741157" w:rsidRDefault="00A44D67" w:rsidP="00A44D67">
            <w:pPr>
              <w:pStyle w:val="Tabletext"/>
              <w:rPr>
                <w:color w:val="87189D"/>
                <w:sz w:val="20"/>
              </w:rPr>
            </w:pPr>
            <w:r w:rsidRPr="00741157">
              <w:rPr>
                <w:color w:val="87189D"/>
                <w:sz w:val="20"/>
              </w:rPr>
              <w:t>No data available (refer to Appendix 1)</w:t>
            </w:r>
          </w:p>
        </w:tc>
        <w:tc>
          <w:tcPr>
            <w:tcW w:w="1701" w:type="dxa"/>
            <w:noWrap/>
          </w:tcPr>
          <w:p w14:paraId="2EFBC4B9" w14:textId="77777777" w:rsidR="00A44D67" w:rsidRPr="00741157" w:rsidRDefault="00A44D67" w:rsidP="00A44D67">
            <w:pPr>
              <w:pStyle w:val="Tabletext"/>
              <w:rPr>
                <w:sz w:val="20"/>
              </w:rPr>
            </w:pPr>
            <w:r w:rsidRPr="00741157">
              <w:rPr>
                <w:sz w:val="20"/>
              </w:rPr>
              <w:t>N/S</w:t>
            </w:r>
          </w:p>
        </w:tc>
        <w:tc>
          <w:tcPr>
            <w:tcW w:w="1276" w:type="dxa"/>
            <w:hideMark/>
          </w:tcPr>
          <w:p w14:paraId="0BB6B55E" w14:textId="77777777" w:rsidR="00A44D67" w:rsidRPr="00741157" w:rsidRDefault="00A44D67" w:rsidP="00A44D67">
            <w:pPr>
              <w:pStyle w:val="Tabletext"/>
              <w:rPr>
                <w:sz w:val="20"/>
              </w:rPr>
            </w:pPr>
            <w:r w:rsidRPr="00741157">
              <w:rPr>
                <w:sz w:val="20"/>
              </w:rPr>
              <w:t>N/A</w:t>
            </w:r>
          </w:p>
        </w:tc>
      </w:tr>
      <w:tr w:rsidR="00A44D67" w:rsidRPr="0099225F" w14:paraId="7DE43D54" w14:textId="77777777" w:rsidTr="00247D94">
        <w:trPr>
          <w:trHeight w:val="621"/>
        </w:trPr>
        <w:tc>
          <w:tcPr>
            <w:tcW w:w="2127" w:type="dxa"/>
            <w:hideMark/>
          </w:tcPr>
          <w:p w14:paraId="0E55131A" w14:textId="7F8ADD7E" w:rsidR="00A44D67" w:rsidRPr="00741157" w:rsidRDefault="00000000" w:rsidP="00A44D67">
            <w:pPr>
              <w:pStyle w:val="Tabletext"/>
              <w:rPr>
                <w:sz w:val="20"/>
              </w:rPr>
            </w:pPr>
            <w:hyperlink w:anchor="_Appendix_1:_Measures" w:history="1">
              <w:r w:rsidR="00A44D67" w:rsidRPr="00741157">
                <w:rPr>
                  <w:rStyle w:val="Hyperlink"/>
                  <w:sz w:val="20"/>
                </w:rPr>
                <w:t>11.5</w:t>
              </w:r>
            </w:hyperlink>
          </w:p>
        </w:tc>
        <w:tc>
          <w:tcPr>
            <w:tcW w:w="3260" w:type="dxa"/>
          </w:tcPr>
          <w:p w14:paraId="70CA8F0E" w14:textId="5E50FD56" w:rsidR="00A44D67" w:rsidRPr="00741157" w:rsidRDefault="00A44D67" w:rsidP="00A44D67">
            <w:pPr>
              <w:pStyle w:val="Tabletext"/>
              <w:rPr>
                <w:sz w:val="20"/>
              </w:rPr>
            </w:pPr>
            <w:r w:rsidRPr="00741157">
              <w:rPr>
                <w:sz w:val="20"/>
              </w:rPr>
              <w:t>Proportion of lung cancers diagnosed at stages 1 or 2</w:t>
            </w:r>
          </w:p>
        </w:tc>
        <w:tc>
          <w:tcPr>
            <w:tcW w:w="2268" w:type="dxa"/>
          </w:tcPr>
          <w:p w14:paraId="25DEF849" w14:textId="77777777" w:rsidR="00A44D67" w:rsidRPr="00741157" w:rsidRDefault="00A44D67" w:rsidP="00A44D67">
            <w:pPr>
              <w:pStyle w:val="Tabletext"/>
              <w:rPr>
                <w:sz w:val="20"/>
              </w:rPr>
            </w:pPr>
            <w:r w:rsidRPr="00741157">
              <w:rPr>
                <w:sz w:val="20"/>
              </w:rPr>
              <w:t>Per cent</w:t>
            </w:r>
          </w:p>
        </w:tc>
        <w:tc>
          <w:tcPr>
            <w:tcW w:w="2126" w:type="dxa"/>
            <w:noWrap/>
          </w:tcPr>
          <w:p w14:paraId="5F2F2C63" w14:textId="77777777" w:rsidR="00A44D67" w:rsidRPr="00741157" w:rsidRDefault="00A44D67" w:rsidP="00A44D67">
            <w:pPr>
              <w:pStyle w:val="Tabletext"/>
              <w:rPr>
                <w:color w:val="87189D"/>
                <w:sz w:val="20"/>
              </w:rPr>
            </w:pPr>
            <w:r w:rsidRPr="00741157">
              <w:rPr>
                <w:color w:val="87189D"/>
                <w:sz w:val="20"/>
              </w:rPr>
              <w:t>No data available (refer to Appendix 1)</w:t>
            </w:r>
          </w:p>
        </w:tc>
        <w:tc>
          <w:tcPr>
            <w:tcW w:w="1701" w:type="dxa"/>
          </w:tcPr>
          <w:p w14:paraId="75E7C715" w14:textId="72B0CCB5" w:rsidR="00A44D67" w:rsidRPr="00741157" w:rsidRDefault="00A44D67" w:rsidP="00A44D67">
            <w:pPr>
              <w:pStyle w:val="Tabletext"/>
              <w:rPr>
                <w:color w:val="87189D"/>
                <w:sz w:val="20"/>
              </w:rPr>
            </w:pPr>
            <w:r w:rsidRPr="00741157">
              <w:rPr>
                <w:color w:val="87189D"/>
                <w:sz w:val="20"/>
              </w:rPr>
              <w:t>No data available (refer to Appendix 1)</w:t>
            </w:r>
          </w:p>
        </w:tc>
        <w:tc>
          <w:tcPr>
            <w:tcW w:w="1701" w:type="dxa"/>
            <w:noWrap/>
          </w:tcPr>
          <w:p w14:paraId="57CD642B" w14:textId="77777777" w:rsidR="00A44D67" w:rsidRPr="00741157" w:rsidRDefault="00A44D67" w:rsidP="00A44D67">
            <w:pPr>
              <w:pStyle w:val="Tabletext"/>
              <w:rPr>
                <w:sz w:val="20"/>
              </w:rPr>
            </w:pPr>
            <w:r w:rsidRPr="00741157">
              <w:rPr>
                <w:sz w:val="20"/>
              </w:rPr>
              <w:t>N/S</w:t>
            </w:r>
          </w:p>
        </w:tc>
        <w:tc>
          <w:tcPr>
            <w:tcW w:w="1276" w:type="dxa"/>
            <w:hideMark/>
          </w:tcPr>
          <w:p w14:paraId="7D88A30E" w14:textId="77777777" w:rsidR="00A44D67" w:rsidRPr="00741157" w:rsidRDefault="00A44D67" w:rsidP="00A44D67">
            <w:pPr>
              <w:pStyle w:val="Tabletext"/>
              <w:rPr>
                <w:sz w:val="20"/>
              </w:rPr>
            </w:pPr>
            <w:r w:rsidRPr="00741157">
              <w:rPr>
                <w:sz w:val="20"/>
              </w:rPr>
              <w:t>N/A</w:t>
            </w:r>
          </w:p>
        </w:tc>
      </w:tr>
      <w:tr w:rsidR="00A44D67" w:rsidRPr="0099225F" w14:paraId="1B8191FD" w14:textId="77777777" w:rsidTr="00247D94">
        <w:trPr>
          <w:trHeight w:val="621"/>
        </w:trPr>
        <w:tc>
          <w:tcPr>
            <w:tcW w:w="2127" w:type="dxa"/>
          </w:tcPr>
          <w:p w14:paraId="3811B96D" w14:textId="28108DDF" w:rsidR="00A44D67" w:rsidRPr="00741157" w:rsidRDefault="00000000" w:rsidP="00A44D67">
            <w:pPr>
              <w:pStyle w:val="Tabletext"/>
              <w:rPr>
                <w:sz w:val="20"/>
              </w:rPr>
            </w:pPr>
            <w:hyperlink w:anchor="_Measure_11.6_–" w:history="1">
              <w:r w:rsidR="00A44D67" w:rsidRPr="00741157">
                <w:rPr>
                  <w:rStyle w:val="Hyperlink"/>
                  <w:sz w:val="20"/>
                </w:rPr>
                <w:t>11.6</w:t>
              </w:r>
            </w:hyperlink>
          </w:p>
        </w:tc>
        <w:tc>
          <w:tcPr>
            <w:tcW w:w="3260" w:type="dxa"/>
          </w:tcPr>
          <w:p w14:paraId="1B035275" w14:textId="77777777" w:rsidR="00A44D67" w:rsidRPr="00741157" w:rsidRDefault="00A44D67" w:rsidP="00A44D67">
            <w:pPr>
              <w:pStyle w:val="Tabletext"/>
              <w:rPr>
                <w:sz w:val="20"/>
              </w:rPr>
            </w:pPr>
            <w:r w:rsidRPr="00741157">
              <w:rPr>
                <w:sz w:val="20"/>
              </w:rPr>
              <w:t>Proportion of all solid tumours diagnosed at metastatic stage</w:t>
            </w:r>
          </w:p>
        </w:tc>
        <w:tc>
          <w:tcPr>
            <w:tcW w:w="2268" w:type="dxa"/>
          </w:tcPr>
          <w:p w14:paraId="697F0D65" w14:textId="77777777" w:rsidR="00A44D67" w:rsidRPr="00741157" w:rsidRDefault="00A44D67" w:rsidP="00A44D67">
            <w:pPr>
              <w:pStyle w:val="Tabletext"/>
              <w:rPr>
                <w:sz w:val="20"/>
              </w:rPr>
            </w:pPr>
            <w:r w:rsidRPr="00741157">
              <w:rPr>
                <w:sz w:val="20"/>
              </w:rPr>
              <w:t>Per cent</w:t>
            </w:r>
          </w:p>
        </w:tc>
        <w:tc>
          <w:tcPr>
            <w:tcW w:w="2126" w:type="dxa"/>
            <w:noWrap/>
          </w:tcPr>
          <w:p w14:paraId="2D0F0794" w14:textId="697D10F0" w:rsidR="00A44D67" w:rsidRPr="00741157" w:rsidRDefault="00A44D67" w:rsidP="00A44D67">
            <w:pPr>
              <w:pStyle w:val="Tabletext"/>
              <w:rPr>
                <w:sz w:val="20"/>
              </w:rPr>
            </w:pPr>
            <w:r w:rsidRPr="00741157">
              <w:rPr>
                <w:sz w:val="20"/>
              </w:rPr>
              <w:t>19.6</w:t>
            </w:r>
          </w:p>
          <w:p w14:paraId="4A31D30D" w14:textId="573B8918" w:rsidR="00A44D67" w:rsidRPr="00741157" w:rsidRDefault="00A44D67" w:rsidP="00A44D67">
            <w:pPr>
              <w:pStyle w:val="Tabletext"/>
              <w:rPr>
                <w:sz w:val="20"/>
              </w:rPr>
            </w:pPr>
            <w:r w:rsidRPr="00741157">
              <w:rPr>
                <w:sz w:val="20"/>
              </w:rPr>
              <w:t>(2014)</w:t>
            </w:r>
          </w:p>
        </w:tc>
        <w:tc>
          <w:tcPr>
            <w:tcW w:w="1701" w:type="dxa"/>
            <w:noWrap/>
          </w:tcPr>
          <w:p w14:paraId="56E4CC45" w14:textId="157A688C" w:rsidR="00A44D67" w:rsidRPr="00741157" w:rsidRDefault="00A44D67" w:rsidP="00A44D67">
            <w:pPr>
              <w:pStyle w:val="Tabletext"/>
              <w:rPr>
                <w:sz w:val="20"/>
              </w:rPr>
            </w:pPr>
            <w:r w:rsidRPr="00741157">
              <w:rPr>
                <w:sz w:val="20"/>
              </w:rPr>
              <w:t>18.</w:t>
            </w:r>
            <w:r w:rsidR="00C96C80">
              <w:rPr>
                <w:sz w:val="20"/>
              </w:rPr>
              <w:t>5</w:t>
            </w:r>
          </w:p>
          <w:p w14:paraId="747A811F" w14:textId="1D53828B" w:rsidR="00A44D67" w:rsidRPr="00741157" w:rsidRDefault="00A44D67" w:rsidP="00A44D67">
            <w:pPr>
              <w:pStyle w:val="Tabletext"/>
              <w:rPr>
                <w:sz w:val="20"/>
              </w:rPr>
            </w:pPr>
            <w:r w:rsidRPr="00741157">
              <w:rPr>
                <w:sz w:val="20"/>
              </w:rPr>
              <w:t>(20</w:t>
            </w:r>
            <w:r w:rsidR="00C96C80">
              <w:rPr>
                <w:sz w:val="20"/>
              </w:rPr>
              <w:t>21</w:t>
            </w:r>
            <w:r w:rsidRPr="00741157">
              <w:rPr>
                <w:sz w:val="20"/>
              </w:rPr>
              <w:t>)</w:t>
            </w:r>
          </w:p>
        </w:tc>
        <w:tc>
          <w:tcPr>
            <w:tcW w:w="1701" w:type="dxa"/>
            <w:noWrap/>
          </w:tcPr>
          <w:p w14:paraId="1AB87594" w14:textId="5593F895" w:rsidR="00A44D67" w:rsidRPr="00741157" w:rsidRDefault="00A44D67" w:rsidP="00A44D67">
            <w:pPr>
              <w:pStyle w:val="Tabletext"/>
              <w:rPr>
                <w:sz w:val="20"/>
              </w:rPr>
            </w:pPr>
            <w:r w:rsidRPr="00741157">
              <w:rPr>
                <w:sz w:val="20"/>
              </w:rPr>
              <w:t>N/S</w:t>
            </w:r>
          </w:p>
        </w:tc>
        <w:tc>
          <w:tcPr>
            <w:tcW w:w="1276" w:type="dxa"/>
          </w:tcPr>
          <w:p w14:paraId="31837739" w14:textId="1BA375F3" w:rsidR="00A44D67" w:rsidRPr="00741157" w:rsidRDefault="00CF3B53" w:rsidP="00A44D67">
            <w:pPr>
              <w:pStyle w:val="Tabletext"/>
              <w:rPr>
                <w:sz w:val="20"/>
              </w:rPr>
            </w:pPr>
            <w:r w:rsidRPr="00741157">
              <w:rPr>
                <w:sz w:val="20"/>
              </w:rPr>
              <w:t xml:space="preserve">■ </w:t>
            </w:r>
            <w:r w:rsidRPr="00741157">
              <w:rPr>
                <w:sz w:val="20"/>
              </w:rPr>
              <w:br/>
              <w:t>No change</w:t>
            </w:r>
          </w:p>
        </w:tc>
      </w:tr>
    </w:tbl>
    <w:p w14:paraId="152362CA" w14:textId="77777777" w:rsidR="00360C87" w:rsidRDefault="00360C87" w:rsidP="00606436">
      <w:pPr>
        <w:pStyle w:val="Body"/>
        <w:rPr>
          <w:rFonts w:eastAsia="MS Gothic"/>
          <w:sz w:val="24"/>
          <w:szCs w:val="26"/>
        </w:rPr>
      </w:pPr>
      <w:r>
        <w:br w:type="page"/>
      </w:r>
    </w:p>
    <w:p w14:paraId="5978B905" w14:textId="3D202475" w:rsidR="00C1114C" w:rsidRDefault="00A44D67" w:rsidP="00A451D4">
      <w:pPr>
        <w:pStyle w:val="Heading3"/>
      </w:pPr>
      <w:bookmarkStart w:id="44" w:name="_Toc19007976"/>
      <w:r w:rsidRPr="00CF2A9F">
        <w:lastRenderedPageBreak/>
        <w:t>Action: Victorians with cancer have timely access to optimal treatment</w:t>
      </w:r>
      <w:bookmarkEnd w:id="44"/>
    </w:p>
    <w:p w14:paraId="370C1D3A" w14:textId="48DB8264" w:rsidR="00E25B4F" w:rsidRDefault="00E25B4F" w:rsidP="007C7F00">
      <w:pPr>
        <w:pStyle w:val="Heading4"/>
      </w:pPr>
      <w:r w:rsidRPr="00374FD0">
        <w:t>Outcome: Optimal diagnostics and treatment</w:t>
      </w:r>
    </w:p>
    <w:p w14:paraId="50D4AA9E" w14:textId="77777777" w:rsidR="00E25B4F" w:rsidRPr="0007466C" w:rsidRDefault="00E25B4F" w:rsidP="00E25B4F">
      <w:pPr>
        <w:pStyle w:val="Heading5"/>
      </w:pPr>
      <w:r w:rsidRPr="0007466C">
        <w:t xml:space="preserve">Key result: Increase adherence to optimal care pathways </w:t>
      </w:r>
    </w:p>
    <w:tbl>
      <w:tblPr>
        <w:tblStyle w:val="TableGrid"/>
        <w:tblW w:w="13897"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1848"/>
        <w:gridCol w:w="3539"/>
        <w:gridCol w:w="1422"/>
        <w:gridCol w:w="2268"/>
        <w:gridCol w:w="2268"/>
        <w:gridCol w:w="1276"/>
        <w:gridCol w:w="1276"/>
      </w:tblGrid>
      <w:tr w:rsidR="00E25B4F" w:rsidRPr="0099225F" w14:paraId="26DD4F3D" w14:textId="77777777" w:rsidTr="00FD59A2">
        <w:trPr>
          <w:trHeight w:val="621"/>
          <w:tblHeader/>
        </w:trPr>
        <w:tc>
          <w:tcPr>
            <w:tcW w:w="1848" w:type="dxa"/>
            <w:shd w:val="clear" w:color="auto" w:fill="EDCDCF"/>
          </w:tcPr>
          <w:p w14:paraId="786041AF" w14:textId="2487E970" w:rsidR="00E25B4F" w:rsidRPr="0099225F" w:rsidRDefault="00E25B4F" w:rsidP="00E25B4F">
            <w:pPr>
              <w:pStyle w:val="Tablecolhead"/>
              <w:rPr>
                <w:sz w:val="20"/>
              </w:rPr>
            </w:pPr>
            <w:r w:rsidRPr="0099225F">
              <w:rPr>
                <w:sz w:val="20"/>
              </w:rPr>
              <w:t>Measure #</w:t>
            </w:r>
          </w:p>
        </w:tc>
        <w:tc>
          <w:tcPr>
            <w:tcW w:w="3539" w:type="dxa"/>
            <w:shd w:val="clear" w:color="auto" w:fill="EDCDCF"/>
          </w:tcPr>
          <w:p w14:paraId="1FC4C612" w14:textId="0D133061" w:rsidR="00E25B4F" w:rsidRPr="0099225F" w:rsidRDefault="00E25B4F" w:rsidP="00E25B4F">
            <w:pPr>
              <w:pStyle w:val="Tablecolhead"/>
              <w:rPr>
                <w:sz w:val="20"/>
              </w:rPr>
            </w:pPr>
            <w:r w:rsidRPr="0099225F">
              <w:rPr>
                <w:sz w:val="20"/>
              </w:rPr>
              <w:t>Description</w:t>
            </w:r>
          </w:p>
        </w:tc>
        <w:tc>
          <w:tcPr>
            <w:tcW w:w="1422" w:type="dxa"/>
            <w:shd w:val="clear" w:color="auto" w:fill="EDCDCF"/>
          </w:tcPr>
          <w:p w14:paraId="5AEF5ECE" w14:textId="4290654C" w:rsidR="00E25B4F" w:rsidRPr="0099225F" w:rsidRDefault="00E25B4F" w:rsidP="00E25B4F">
            <w:pPr>
              <w:pStyle w:val="Tablecolhead"/>
              <w:rPr>
                <w:sz w:val="20"/>
              </w:rPr>
            </w:pPr>
            <w:r w:rsidRPr="0099225F">
              <w:rPr>
                <w:sz w:val="20"/>
              </w:rPr>
              <w:t>Unit of measure</w:t>
            </w:r>
          </w:p>
        </w:tc>
        <w:tc>
          <w:tcPr>
            <w:tcW w:w="2268" w:type="dxa"/>
            <w:shd w:val="clear" w:color="auto" w:fill="EDCDCF"/>
            <w:noWrap/>
          </w:tcPr>
          <w:p w14:paraId="388AF75E" w14:textId="77777777" w:rsidR="00E25B4F" w:rsidRPr="0099225F" w:rsidRDefault="00E25B4F" w:rsidP="00E25B4F">
            <w:pPr>
              <w:pStyle w:val="Tablecolhead"/>
              <w:rPr>
                <w:sz w:val="20"/>
              </w:rPr>
            </w:pPr>
            <w:r w:rsidRPr="0099225F">
              <w:rPr>
                <w:sz w:val="20"/>
              </w:rPr>
              <w:t>Baseline</w:t>
            </w:r>
          </w:p>
          <w:p w14:paraId="2C14DC81" w14:textId="4640940F" w:rsidR="00E25B4F" w:rsidRPr="0099225F" w:rsidRDefault="00E25B4F" w:rsidP="00E25B4F">
            <w:pPr>
              <w:pStyle w:val="Tablecolhead"/>
              <w:rPr>
                <w:sz w:val="20"/>
              </w:rPr>
            </w:pPr>
            <w:r w:rsidRPr="0099225F">
              <w:rPr>
                <w:sz w:val="20"/>
              </w:rPr>
              <w:t>(year)</w:t>
            </w:r>
          </w:p>
        </w:tc>
        <w:tc>
          <w:tcPr>
            <w:tcW w:w="2268" w:type="dxa"/>
            <w:shd w:val="clear" w:color="auto" w:fill="EDCDCF"/>
            <w:noWrap/>
          </w:tcPr>
          <w:p w14:paraId="367CE528" w14:textId="77777777" w:rsidR="00E25B4F" w:rsidRPr="0099225F" w:rsidRDefault="00E25B4F" w:rsidP="00E25B4F">
            <w:pPr>
              <w:pStyle w:val="Tablecolhead"/>
              <w:rPr>
                <w:sz w:val="20"/>
              </w:rPr>
            </w:pPr>
            <w:r w:rsidRPr="0099225F">
              <w:rPr>
                <w:sz w:val="20"/>
              </w:rPr>
              <w:t>Most recent</w:t>
            </w:r>
          </w:p>
          <w:p w14:paraId="375C0845" w14:textId="707003F9" w:rsidR="00E25B4F" w:rsidRPr="0099225F" w:rsidRDefault="00E25B4F" w:rsidP="00E25B4F">
            <w:pPr>
              <w:pStyle w:val="Tablecolhead"/>
              <w:rPr>
                <w:sz w:val="20"/>
              </w:rPr>
            </w:pPr>
            <w:r w:rsidRPr="0099225F">
              <w:rPr>
                <w:sz w:val="20"/>
              </w:rPr>
              <w:t>(year)</w:t>
            </w:r>
          </w:p>
        </w:tc>
        <w:tc>
          <w:tcPr>
            <w:tcW w:w="1276" w:type="dxa"/>
            <w:shd w:val="clear" w:color="auto" w:fill="EDCDCF"/>
            <w:noWrap/>
          </w:tcPr>
          <w:p w14:paraId="60B61CE0" w14:textId="14555C7F" w:rsidR="00E25B4F" w:rsidRPr="0099225F" w:rsidRDefault="00E25B4F" w:rsidP="00E25B4F">
            <w:pPr>
              <w:pStyle w:val="Tablecolhead"/>
              <w:rPr>
                <w:sz w:val="20"/>
              </w:rPr>
            </w:pPr>
            <w:r w:rsidRPr="0099225F">
              <w:rPr>
                <w:sz w:val="20"/>
              </w:rPr>
              <w:t>Target</w:t>
            </w:r>
          </w:p>
        </w:tc>
        <w:tc>
          <w:tcPr>
            <w:tcW w:w="1276" w:type="dxa"/>
            <w:shd w:val="clear" w:color="auto" w:fill="EDCDCF"/>
          </w:tcPr>
          <w:p w14:paraId="457EA719" w14:textId="29CA437D" w:rsidR="00E25B4F" w:rsidRPr="0099225F" w:rsidRDefault="00E25B4F" w:rsidP="00E25B4F">
            <w:pPr>
              <w:pStyle w:val="Tablecolhead"/>
              <w:rPr>
                <w:sz w:val="20"/>
              </w:rPr>
            </w:pPr>
            <w:r w:rsidRPr="0099225F">
              <w:rPr>
                <w:sz w:val="20"/>
              </w:rPr>
              <w:t>Trend</w:t>
            </w:r>
          </w:p>
        </w:tc>
      </w:tr>
      <w:tr w:rsidR="0064412C" w:rsidRPr="0099225F" w14:paraId="3BE2E811" w14:textId="77777777" w:rsidTr="00FD59A2">
        <w:trPr>
          <w:trHeight w:val="621"/>
        </w:trPr>
        <w:tc>
          <w:tcPr>
            <w:tcW w:w="1848" w:type="dxa"/>
          </w:tcPr>
          <w:p w14:paraId="51793B64" w14:textId="6E384A72" w:rsidR="0064412C" w:rsidRPr="00741157" w:rsidRDefault="00000000" w:rsidP="00C1114C">
            <w:pPr>
              <w:pStyle w:val="Tabletext"/>
              <w:rPr>
                <w:rFonts w:cs="Arial"/>
                <w:sz w:val="20"/>
              </w:rPr>
            </w:pPr>
            <w:hyperlink w:anchor="_Measure_12.1_–" w:history="1">
              <w:r w:rsidR="0064412C" w:rsidRPr="00741157">
                <w:rPr>
                  <w:rStyle w:val="Hyperlink"/>
                  <w:rFonts w:cs="Arial"/>
                  <w:sz w:val="20"/>
                </w:rPr>
                <w:t>12.1</w:t>
              </w:r>
            </w:hyperlink>
          </w:p>
        </w:tc>
        <w:tc>
          <w:tcPr>
            <w:tcW w:w="3539" w:type="dxa"/>
          </w:tcPr>
          <w:p w14:paraId="32E83CB4" w14:textId="1AD1D0D2" w:rsidR="0064412C" w:rsidRPr="00741157" w:rsidRDefault="0064412C" w:rsidP="00C1114C">
            <w:pPr>
              <w:pStyle w:val="Tabletext"/>
              <w:rPr>
                <w:rFonts w:cs="Arial"/>
                <w:sz w:val="20"/>
              </w:rPr>
            </w:pPr>
            <w:r w:rsidRPr="00741157">
              <w:rPr>
                <w:rFonts w:cs="Arial"/>
                <w:sz w:val="20"/>
              </w:rPr>
              <w:t>Median days from diagnosis to start of primary curative treatment</w:t>
            </w:r>
          </w:p>
        </w:tc>
        <w:tc>
          <w:tcPr>
            <w:tcW w:w="1422" w:type="dxa"/>
          </w:tcPr>
          <w:p w14:paraId="179B2BE2" w14:textId="320575DA" w:rsidR="0064412C" w:rsidRPr="00741157" w:rsidRDefault="0064412C" w:rsidP="00C1114C">
            <w:pPr>
              <w:pStyle w:val="Tabletext"/>
              <w:rPr>
                <w:rFonts w:cs="Arial"/>
                <w:sz w:val="20"/>
              </w:rPr>
            </w:pPr>
            <w:r w:rsidRPr="00741157">
              <w:rPr>
                <w:rFonts w:cs="Arial"/>
                <w:sz w:val="20"/>
              </w:rPr>
              <w:t xml:space="preserve">Number </w:t>
            </w:r>
          </w:p>
          <w:p w14:paraId="126D82E9" w14:textId="0E12E0DA" w:rsidR="0064412C" w:rsidRPr="00741157" w:rsidRDefault="0064412C" w:rsidP="00C1114C">
            <w:pPr>
              <w:pStyle w:val="Tabletext"/>
              <w:rPr>
                <w:rFonts w:cs="Arial"/>
                <w:sz w:val="20"/>
              </w:rPr>
            </w:pPr>
            <w:r w:rsidRPr="00741157">
              <w:rPr>
                <w:rFonts w:cs="Arial"/>
                <w:sz w:val="20"/>
              </w:rPr>
              <w:t>(overall)</w:t>
            </w:r>
          </w:p>
        </w:tc>
        <w:tc>
          <w:tcPr>
            <w:tcW w:w="2268" w:type="dxa"/>
            <w:noWrap/>
          </w:tcPr>
          <w:p w14:paraId="7DBBE42C" w14:textId="23FCF9C2" w:rsidR="0064412C" w:rsidRPr="00741157" w:rsidRDefault="0064412C" w:rsidP="00C1114C">
            <w:pPr>
              <w:pStyle w:val="Tabletext"/>
              <w:rPr>
                <w:rFonts w:cs="Arial"/>
                <w:sz w:val="20"/>
              </w:rPr>
            </w:pPr>
            <w:r w:rsidRPr="00741157">
              <w:rPr>
                <w:rFonts w:cs="Arial"/>
                <w:sz w:val="20"/>
              </w:rPr>
              <w:t>2</w:t>
            </w:r>
            <w:r w:rsidR="007841D2" w:rsidRPr="00741157">
              <w:rPr>
                <w:rFonts w:cs="Arial"/>
                <w:sz w:val="20"/>
              </w:rPr>
              <w:t>1</w:t>
            </w:r>
          </w:p>
          <w:p w14:paraId="0E43DCFE" w14:textId="1053E66F" w:rsidR="0064412C" w:rsidRPr="00741157" w:rsidRDefault="0064412C" w:rsidP="00C1114C">
            <w:pPr>
              <w:pStyle w:val="Tabletext"/>
              <w:rPr>
                <w:rFonts w:cs="Arial"/>
                <w:sz w:val="20"/>
              </w:rPr>
            </w:pPr>
            <w:r w:rsidRPr="00741157">
              <w:rPr>
                <w:rFonts w:cs="Arial"/>
                <w:sz w:val="20"/>
              </w:rPr>
              <w:t>(2014)</w:t>
            </w:r>
          </w:p>
        </w:tc>
        <w:tc>
          <w:tcPr>
            <w:tcW w:w="2268" w:type="dxa"/>
            <w:noWrap/>
          </w:tcPr>
          <w:p w14:paraId="06EB62CD" w14:textId="20C387C8" w:rsidR="0064412C" w:rsidRPr="00741157" w:rsidRDefault="0064412C" w:rsidP="00C1114C">
            <w:pPr>
              <w:pStyle w:val="Tabletext"/>
              <w:rPr>
                <w:rFonts w:cs="Arial"/>
                <w:sz w:val="20"/>
              </w:rPr>
            </w:pPr>
            <w:r w:rsidRPr="00741157">
              <w:rPr>
                <w:rFonts w:cs="Arial"/>
                <w:sz w:val="20"/>
              </w:rPr>
              <w:t>2</w:t>
            </w:r>
            <w:r w:rsidR="00C96C80">
              <w:rPr>
                <w:rFonts w:cs="Arial"/>
                <w:sz w:val="20"/>
              </w:rPr>
              <w:t>7</w:t>
            </w:r>
          </w:p>
          <w:p w14:paraId="5C81C687" w14:textId="0B3F407C" w:rsidR="0064412C" w:rsidRPr="00741157" w:rsidRDefault="0064412C" w:rsidP="00C1114C">
            <w:pPr>
              <w:pStyle w:val="Tabletext"/>
              <w:rPr>
                <w:rFonts w:cs="Arial"/>
                <w:sz w:val="20"/>
              </w:rPr>
            </w:pPr>
            <w:r w:rsidRPr="00741157">
              <w:rPr>
                <w:rFonts w:cs="Arial"/>
                <w:sz w:val="20"/>
              </w:rPr>
              <w:t>(20</w:t>
            </w:r>
            <w:r w:rsidR="00C96C80">
              <w:rPr>
                <w:rFonts w:cs="Arial"/>
                <w:sz w:val="20"/>
              </w:rPr>
              <w:t>21</w:t>
            </w:r>
            <w:r w:rsidRPr="00741157">
              <w:rPr>
                <w:rFonts w:cs="Arial"/>
                <w:sz w:val="20"/>
              </w:rPr>
              <w:t>)</w:t>
            </w:r>
          </w:p>
        </w:tc>
        <w:tc>
          <w:tcPr>
            <w:tcW w:w="1276" w:type="dxa"/>
            <w:noWrap/>
          </w:tcPr>
          <w:p w14:paraId="79AA031B" w14:textId="651A1C9D" w:rsidR="0064412C" w:rsidRPr="00741157" w:rsidRDefault="0064412C" w:rsidP="00C1114C">
            <w:pPr>
              <w:pStyle w:val="Tabletext"/>
              <w:rPr>
                <w:rFonts w:cs="Arial"/>
                <w:sz w:val="20"/>
              </w:rPr>
            </w:pPr>
            <w:r w:rsidRPr="00741157">
              <w:rPr>
                <w:rFonts w:cs="Arial"/>
                <w:sz w:val="20"/>
              </w:rPr>
              <w:t>N/S</w:t>
            </w:r>
          </w:p>
        </w:tc>
        <w:tc>
          <w:tcPr>
            <w:tcW w:w="1276" w:type="dxa"/>
          </w:tcPr>
          <w:p w14:paraId="0A460964" w14:textId="4BD8841C" w:rsidR="0064412C" w:rsidRPr="00741157" w:rsidRDefault="006457E6" w:rsidP="00C1114C">
            <w:pPr>
              <w:pStyle w:val="Tabletext"/>
              <w:rPr>
                <w:rFonts w:cs="Arial"/>
                <w:sz w:val="20"/>
              </w:rPr>
            </w:pPr>
            <w:r w:rsidRPr="00741157">
              <w:rPr>
                <w:rFonts w:cs="Arial"/>
                <w:sz w:val="20"/>
              </w:rPr>
              <w:t>▲</w:t>
            </w:r>
            <w:r w:rsidRPr="00741157">
              <w:rPr>
                <w:rFonts w:cs="Arial"/>
                <w:sz w:val="20"/>
              </w:rPr>
              <w:br/>
              <w:t>Upward</w:t>
            </w:r>
          </w:p>
        </w:tc>
      </w:tr>
      <w:tr w:rsidR="0064412C" w:rsidRPr="0099225F" w14:paraId="7641F058" w14:textId="77777777" w:rsidTr="00FD59A2">
        <w:trPr>
          <w:trHeight w:val="621"/>
        </w:trPr>
        <w:tc>
          <w:tcPr>
            <w:tcW w:w="1848" w:type="dxa"/>
          </w:tcPr>
          <w:p w14:paraId="0AEDAA7F" w14:textId="5A1D12B1" w:rsidR="0064412C" w:rsidRPr="00741157" w:rsidRDefault="00000000" w:rsidP="00C1114C">
            <w:pPr>
              <w:pStyle w:val="Tabletext"/>
              <w:rPr>
                <w:rFonts w:cs="Arial"/>
                <w:sz w:val="20"/>
              </w:rPr>
            </w:pPr>
            <w:hyperlink w:anchor="_Measure_12.2_–" w:history="1">
              <w:r w:rsidR="0064412C" w:rsidRPr="00741157">
                <w:rPr>
                  <w:rStyle w:val="Hyperlink"/>
                  <w:rFonts w:cs="Arial"/>
                  <w:sz w:val="20"/>
                </w:rPr>
                <w:t>12.2</w:t>
              </w:r>
            </w:hyperlink>
          </w:p>
        </w:tc>
        <w:tc>
          <w:tcPr>
            <w:tcW w:w="3539" w:type="dxa"/>
          </w:tcPr>
          <w:p w14:paraId="5AB28734" w14:textId="0221C514" w:rsidR="0064412C" w:rsidRPr="00741157" w:rsidRDefault="0064412C" w:rsidP="00C1114C">
            <w:pPr>
              <w:pStyle w:val="Tabletext"/>
              <w:rPr>
                <w:rFonts w:cs="Arial"/>
                <w:sz w:val="20"/>
              </w:rPr>
            </w:pPr>
            <w:r w:rsidRPr="00741157">
              <w:rPr>
                <w:rFonts w:cs="Arial"/>
                <w:sz w:val="20"/>
              </w:rPr>
              <w:t>Proportion of patients receiving</w:t>
            </w:r>
            <w:r w:rsidR="00F442E5" w:rsidRPr="00741157">
              <w:rPr>
                <w:rFonts w:cs="Arial"/>
                <w:sz w:val="20"/>
              </w:rPr>
              <w:t xml:space="preserve"> </w:t>
            </w:r>
            <w:r w:rsidR="00F442E5" w:rsidRPr="00741157">
              <w:rPr>
                <w:rFonts w:cs="Arial"/>
                <w:color w:val="000000"/>
                <w:sz w:val="20"/>
                <w:shd w:val="clear" w:color="auto" w:fill="FFFFFF"/>
              </w:rPr>
              <w:t>positron emission tomography (</w:t>
            </w:r>
            <w:r w:rsidRPr="00741157">
              <w:rPr>
                <w:rFonts w:cs="Arial"/>
                <w:sz w:val="20"/>
              </w:rPr>
              <w:t>PET</w:t>
            </w:r>
            <w:r w:rsidR="00F442E5" w:rsidRPr="00741157">
              <w:rPr>
                <w:rFonts w:cs="Arial"/>
                <w:sz w:val="20"/>
              </w:rPr>
              <w:t>)</w:t>
            </w:r>
            <w:r w:rsidRPr="00741157">
              <w:rPr>
                <w:rFonts w:cs="Arial"/>
                <w:sz w:val="20"/>
              </w:rPr>
              <w:t xml:space="preserve"> prior to primary treatment where appropriate</w:t>
            </w:r>
          </w:p>
        </w:tc>
        <w:tc>
          <w:tcPr>
            <w:tcW w:w="1422" w:type="dxa"/>
          </w:tcPr>
          <w:p w14:paraId="0DF9B128" w14:textId="77777777" w:rsidR="0064412C" w:rsidRPr="00741157" w:rsidRDefault="0064412C" w:rsidP="00C1114C">
            <w:pPr>
              <w:pStyle w:val="Tabletext"/>
              <w:rPr>
                <w:rFonts w:cs="Arial"/>
                <w:sz w:val="20"/>
              </w:rPr>
            </w:pPr>
            <w:r w:rsidRPr="00741157">
              <w:rPr>
                <w:rFonts w:cs="Arial"/>
                <w:sz w:val="20"/>
              </w:rPr>
              <w:t>Per cent</w:t>
            </w:r>
          </w:p>
        </w:tc>
        <w:tc>
          <w:tcPr>
            <w:tcW w:w="2268" w:type="dxa"/>
            <w:noWrap/>
          </w:tcPr>
          <w:p w14:paraId="2111A6A3" w14:textId="73BB8ABA" w:rsidR="0064412C" w:rsidRPr="00741157" w:rsidRDefault="0064412C" w:rsidP="00C1114C">
            <w:pPr>
              <w:pStyle w:val="Tabletext"/>
              <w:rPr>
                <w:rFonts w:cs="Arial"/>
                <w:color w:val="87189D"/>
                <w:sz w:val="20"/>
              </w:rPr>
            </w:pPr>
            <w:r w:rsidRPr="00741157">
              <w:rPr>
                <w:rFonts w:cs="Arial"/>
                <w:color w:val="87189D"/>
                <w:sz w:val="20"/>
              </w:rPr>
              <w:t>No data currently available (refer to Appendix 1)</w:t>
            </w:r>
          </w:p>
        </w:tc>
        <w:tc>
          <w:tcPr>
            <w:tcW w:w="2268" w:type="dxa"/>
          </w:tcPr>
          <w:p w14:paraId="185B71A0" w14:textId="1516558C" w:rsidR="0064412C" w:rsidRPr="00741157" w:rsidRDefault="0064412C" w:rsidP="00C1114C">
            <w:pPr>
              <w:pStyle w:val="Tabletext"/>
              <w:rPr>
                <w:rFonts w:cs="Arial"/>
                <w:color w:val="87189D"/>
                <w:sz w:val="20"/>
              </w:rPr>
            </w:pPr>
            <w:r w:rsidRPr="00741157">
              <w:rPr>
                <w:rFonts w:cs="Arial"/>
                <w:color w:val="87189D"/>
                <w:sz w:val="20"/>
              </w:rPr>
              <w:t>No data currently available (refer to Appendix 1)</w:t>
            </w:r>
          </w:p>
        </w:tc>
        <w:tc>
          <w:tcPr>
            <w:tcW w:w="1276" w:type="dxa"/>
            <w:noWrap/>
          </w:tcPr>
          <w:p w14:paraId="0722B61C" w14:textId="77777777" w:rsidR="0064412C" w:rsidRPr="00741157" w:rsidRDefault="0064412C" w:rsidP="00C1114C">
            <w:pPr>
              <w:pStyle w:val="Tabletext"/>
              <w:rPr>
                <w:rFonts w:cs="Arial"/>
                <w:sz w:val="20"/>
              </w:rPr>
            </w:pPr>
            <w:r w:rsidRPr="00741157">
              <w:rPr>
                <w:rFonts w:cs="Arial"/>
                <w:sz w:val="20"/>
              </w:rPr>
              <w:t>N/S</w:t>
            </w:r>
          </w:p>
        </w:tc>
        <w:tc>
          <w:tcPr>
            <w:tcW w:w="1276" w:type="dxa"/>
          </w:tcPr>
          <w:p w14:paraId="59B0FF60" w14:textId="77777777" w:rsidR="0064412C" w:rsidRPr="00741157" w:rsidRDefault="0064412C" w:rsidP="00C1114C">
            <w:pPr>
              <w:pStyle w:val="Tabletext"/>
              <w:rPr>
                <w:rFonts w:cs="Arial"/>
                <w:sz w:val="20"/>
              </w:rPr>
            </w:pPr>
            <w:r w:rsidRPr="00741157">
              <w:rPr>
                <w:rFonts w:cs="Arial"/>
                <w:sz w:val="20"/>
              </w:rPr>
              <w:t>N/A</w:t>
            </w:r>
          </w:p>
        </w:tc>
      </w:tr>
      <w:tr w:rsidR="0064412C" w:rsidRPr="0099225F" w14:paraId="02F72494" w14:textId="77777777" w:rsidTr="00FD59A2">
        <w:trPr>
          <w:trHeight w:val="621"/>
        </w:trPr>
        <w:tc>
          <w:tcPr>
            <w:tcW w:w="1848" w:type="dxa"/>
          </w:tcPr>
          <w:p w14:paraId="5AAE6471" w14:textId="13B5F823" w:rsidR="0064412C" w:rsidRPr="00741157" w:rsidRDefault="00000000" w:rsidP="00C1114C">
            <w:pPr>
              <w:pStyle w:val="Tabletext"/>
              <w:rPr>
                <w:rFonts w:cs="Arial"/>
                <w:sz w:val="20"/>
              </w:rPr>
            </w:pPr>
            <w:hyperlink w:anchor="_Measure_12.3_–" w:history="1">
              <w:r w:rsidR="0064412C" w:rsidRPr="00741157">
                <w:rPr>
                  <w:rStyle w:val="Hyperlink"/>
                  <w:rFonts w:cs="Arial"/>
                  <w:sz w:val="20"/>
                </w:rPr>
                <w:t>12.3</w:t>
              </w:r>
            </w:hyperlink>
          </w:p>
        </w:tc>
        <w:tc>
          <w:tcPr>
            <w:tcW w:w="3539" w:type="dxa"/>
          </w:tcPr>
          <w:p w14:paraId="6F502248" w14:textId="482530D1" w:rsidR="0064412C" w:rsidRPr="00741157" w:rsidRDefault="0064412C" w:rsidP="00C1114C">
            <w:pPr>
              <w:pStyle w:val="Tabletext"/>
              <w:rPr>
                <w:rFonts w:cs="Arial"/>
                <w:sz w:val="20"/>
              </w:rPr>
            </w:pPr>
            <w:r w:rsidRPr="00741157">
              <w:rPr>
                <w:rFonts w:cs="Arial"/>
                <w:sz w:val="20"/>
              </w:rPr>
              <w:t>Proportion of patients receiving molecular diagnostics prior to primary treatment where appropriate</w:t>
            </w:r>
          </w:p>
        </w:tc>
        <w:tc>
          <w:tcPr>
            <w:tcW w:w="1422" w:type="dxa"/>
          </w:tcPr>
          <w:p w14:paraId="70401F30" w14:textId="77777777" w:rsidR="0064412C" w:rsidRPr="00741157" w:rsidRDefault="0064412C" w:rsidP="00C1114C">
            <w:pPr>
              <w:pStyle w:val="Tabletext"/>
              <w:rPr>
                <w:rFonts w:cs="Arial"/>
                <w:sz w:val="20"/>
              </w:rPr>
            </w:pPr>
            <w:r w:rsidRPr="00741157">
              <w:rPr>
                <w:rFonts w:cs="Arial"/>
                <w:sz w:val="20"/>
              </w:rPr>
              <w:t>Per cent</w:t>
            </w:r>
          </w:p>
        </w:tc>
        <w:tc>
          <w:tcPr>
            <w:tcW w:w="2268" w:type="dxa"/>
            <w:noWrap/>
          </w:tcPr>
          <w:p w14:paraId="15F99C0D" w14:textId="4F08EB19" w:rsidR="0064412C" w:rsidRPr="00741157" w:rsidRDefault="0064412C" w:rsidP="00C1114C">
            <w:pPr>
              <w:pStyle w:val="Tabletext"/>
              <w:rPr>
                <w:rFonts w:cs="Arial"/>
                <w:color w:val="87189D"/>
                <w:sz w:val="20"/>
              </w:rPr>
            </w:pPr>
            <w:r w:rsidRPr="00741157">
              <w:rPr>
                <w:rFonts w:cs="Arial"/>
                <w:color w:val="87189D"/>
                <w:sz w:val="20"/>
              </w:rPr>
              <w:t>No data available (refer to Appendix 1)</w:t>
            </w:r>
          </w:p>
        </w:tc>
        <w:tc>
          <w:tcPr>
            <w:tcW w:w="2268" w:type="dxa"/>
          </w:tcPr>
          <w:p w14:paraId="06B83A79" w14:textId="6BDB4EC4" w:rsidR="0064412C" w:rsidRPr="00741157" w:rsidRDefault="0064412C" w:rsidP="00C1114C">
            <w:pPr>
              <w:pStyle w:val="Tabletext"/>
              <w:rPr>
                <w:rFonts w:cs="Arial"/>
                <w:color w:val="87189D"/>
                <w:sz w:val="20"/>
              </w:rPr>
            </w:pPr>
            <w:r w:rsidRPr="00741157">
              <w:rPr>
                <w:rFonts w:cs="Arial"/>
                <w:color w:val="87189D"/>
                <w:sz w:val="20"/>
              </w:rPr>
              <w:t>No data currently available (refer to Appendix 1)</w:t>
            </w:r>
          </w:p>
        </w:tc>
        <w:tc>
          <w:tcPr>
            <w:tcW w:w="1276" w:type="dxa"/>
            <w:noWrap/>
          </w:tcPr>
          <w:p w14:paraId="64A7E70E" w14:textId="77777777" w:rsidR="0064412C" w:rsidRPr="00741157" w:rsidRDefault="0064412C" w:rsidP="00C1114C">
            <w:pPr>
              <w:pStyle w:val="Tabletext"/>
              <w:rPr>
                <w:rFonts w:cs="Arial"/>
                <w:sz w:val="20"/>
              </w:rPr>
            </w:pPr>
            <w:r w:rsidRPr="00741157">
              <w:rPr>
                <w:rFonts w:cs="Arial"/>
                <w:sz w:val="20"/>
              </w:rPr>
              <w:t>N/S</w:t>
            </w:r>
          </w:p>
        </w:tc>
        <w:tc>
          <w:tcPr>
            <w:tcW w:w="1276" w:type="dxa"/>
          </w:tcPr>
          <w:p w14:paraId="1857FFA5" w14:textId="77777777" w:rsidR="0064412C" w:rsidRPr="00741157" w:rsidRDefault="0064412C" w:rsidP="00C1114C">
            <w:pPr>
              <w:pStyle w:val="Tabletext"/>
              <w:rPr>
                <w:rFonts w:cs="Arial"/>
                <w:sz w:val="20"/>
              </w:rPr>
            </w:pPr>
            <w:r w:rsidRPr="00741157">
              <w:rPr>
                <w:rFonts w:cs="Arial"/>
                <w:sz w:val="20"/>
              </w:rPr>
              <w:t>N/A</w:t>
            </w:r>
          </w:p>
        </w:tc>
      </w:tr>
      <w:tr w:rsidR="0064412C" w:rsidRPr="0099225F" w14:paraId="5B0563D0" w14:textId="77777777" w:rsidTr="00FD59A2">
        <w:trPr>
          <w:trHeight w:val="621"/>
        </w:trPr>
        <w:tc>
          <w:tcPr>
            <w:tcW w:w="1848" w:type="dxa"/>
          </w:tcPr>
          <w:p w14:paraId="5E42E7C1" w14:textId="52B8CC6B" w:rsidR="0064412C" w:rsidRPr="00741157" w:rsidRDefault="00000000" w:rsidP="00C1114C">
            <w:pPr>
              <w:pStyle w:val="Tabletext"/>
              <w:rPr>
                <w:rFonts w:cs="Arial"/>
                <w:sz w:val="20"/>
              </w:rPr>
            </w:pPr>
            <w:hyperlink w:anchor="_Measure_12.4_–" w:history="1">
              <w:r w:rsidR="0064412C" w:rsidRPr="00741157">
                <w:rPr>
                  <w:rStyle w:val="Hyperlink"/>
                  <w:rFonts w:cs="Arial"/>
                  <w:sz w:val="20"/>
                </w:rPr>
                <w:t>12.4</w:t>
              </w:r>
            </w:hyperlink>
          </w:p>
        </w:tc>
        <w:tc>
          <w:tcPr>
            <w:tcW w:w="3539" w:type="dxa"/>
          </w:tcPr>
          <w:p w14:paraId="47C1B47A" w14:textId="2BA45444" w:rsidR="0064412C" w:rsidRPr="00741157" w:rsidRDefault="0064412C" w:rsidP="00C1114C">
            <w:pPr>
              <w:pStyle w:val="Tabletext"/>
              <w:rPr>
                <w:rFonts w:cs="Arial"/>
                <w:sz w:val="20"/>
                <w:highlight w:val="yellow"/>
              </w:rPr>
            </w:pPr>
            <w:r w:rsidRPr="00741157">
              <w:rPr>
                <w:rFonts w:cs="Arial"/>
                <w:sz w:val="20"/>
              </w:rPr>
              <w:t>Proportion of patients with non-metastatic lung, breast, rectal and oesophageal cancers receiving radical radiotherapy as part of their primary treatment</w:t>
            </w:r>
          </w:p>
        </w:tc>
        <w:tc>
          <w:tcPr>
            <w:tcW w:w="1422" w:type="dxa"/>
          </w:tcPr>
          <w:p w14:paraId="6D35833C" w14:textId="77777777" w:rsidR="0064412C" w:rsidRPr="00741157" w:rsidRDefault="0064412C" w:rsidP="00C1114C">
            <w:pPr>
              <w:pStyle w:val="Tabletext"/>
              <w:rPr>
                <w:rFonts w:cs="Arial"/>
                <w:sz w:val="20"/>
              </w:rPr>
            </w:pPr>
            <w:r w:rsidRPr="00741157">
              <w:rPr>
                <w:rFonts w:cs="Arial"/>
                <w:sz w:val="20"/>
              </w:rPr>
              <w:t>Per cent</w:t>
            </w:r>
          </w:p>
        </w:tc>
        <w:tc>
          <w:tcPr>
            <w:tcW w:w="2268" w:type="dxa"/>
            <w:noWrap/>
          </w:tcPr>
          <w:p w14:paraId="20BA0132" w14:textId="61901FE9" w:rsidR="0064412C" w:rsidRPr="00741157" w:rsidRDefault="006457E6" w:rsidP="00C1114C">
            <w:pPr>
              <w:pStyle w:val="Tabletext"/>
              <w:rPr>
                <w:rFonts w:cs="Arial"/>
                <w:sz w:val="20"/>
              </w:rPr>
            </w:pPr>
            <w:r w:rsidRPr="00741157">
              <w:rPr>
                <w:rFonts w:cs="Arial"/>
                <w:sz w:val="20"/>
              </w:rPr>
              <w:t>19.</w:t>
            </w:r>
            <w:r w:rsidR="00C96C80">
              <w:rPr>
                <w:rFonts w:cs="Arial"/>
                <w:sz w:val="20"/>
              </w:rPr>
              <w:t>4</w:t>
            </w:r>
            <w:r w:rsidR="0064412C" w:rsidRPr="00741157">
              <w:rPr>
                <w:rFonts w:cs="Arial"/>
                <w:sz w:val="20"/>
              </w:rPr>
              <w:t xml:space="preserve"> [lung]</w:t>
            </w:r>
          </w:p>
          <w:p w14:paraId="05A7AE9A" w14:textId="7B37A575" w:rsidR="0064412C" w:rsidRPr="00741157" w:rsidRDefault="0064412C" w:rsidP="00C1114C">
            <w:pPr>
              <w:pStyle w:val="Tabletext"/>
              <w:rPr>
                <w:rFonts w:cs="Arial"/>
                <w:sz w:val="20"/>
              </w:rPr>
            </w:pPr>
            <w:r w:rsidRPr="00741157">
              <w:rPr>
                <w:rFonts w:cs="Arial"/>
                <w:sz w:val="20"/>
              </w:rPr>
              <w:t>6</w:t>
            </w:r>
            <w:r w:rsidR="00C96C80">
              <w:rPr>
                <w:rFonts w:cs="Arial"/>
                <w:sz w:val="20"/>
              </w:rPr>
              <w:t>2</w:t>
            </w:r>
            <w:r w:rsidRPr="00741157">
              <w:rPr>
                <w:rFonts w:cs="Arial"/>
                <w:sz w:val="20"/>
              </w:rPr>
              <w:t>.</w:t>
            </w:r>
            <w:r w:rsidR="00C96C80">
              <w:rPr>
                <w:rFonts w:cs="Arial"/>
                <w:sz w:val="20"/>
              </w:rPr>
              <w:t>9</w:t>
            </w:r>
            <w:r w:rsidRPr="00741157">
              <w:rPr>
                <w:rFonts w:cs="Arial"/>
                <w:sz w:val="20"/>
              </w:rPr>
              <w:t xml:space="preserve"> [breast]</w:t>
            </w:r>
          </w:p>
          <w:p w14:paraId="61492BF8" w14:textId="6C1924B0" w:rsidR="0064412C" w:rsidRPr="00741157" w:rsidRDefault="0064412C" w:rsidP="00C1114C">
            <w:pPr>
              <w:pStyle w:val="Tabletext"/>
              <w:rPr>
                <w:rFonts w:cs="Arial"/>
                <w:sz w:val="20"/>
              </w:rPr>
            </w:pPr>
            <w:r w:rsidRPr="00741157">
              <w:rPr>
                <w:rFonts w:cs="Arial"/>
                <w:sz w:val="20"/>
              </w:rPr>
              <w:t>36.</w:t>
            </w:r>
            <w:r w:rsidR="00C96C80">
              <w:rPr>
                <w:rFonts w:cs="Arial"/>
                <w:sz w:val="20"/>
              </w:rPr>
              <w:t>6</w:t>
            </w:r>
            <w:r w:rsidRPr="00741157">
              <w:rPr>
                <w:rFonts w:cs="Arial"/>
                <w:sz w:val="20"/>
              </w:rPr>
              <w:t xml:space="preserve"> [colorectal]</w:t>
            </w:r>
          </w:p>
          <w:p w14:paraId="1CE05F17" w14:textId="1A05D0DE" w:rsidR="0064412C" w:rsidRPr="00741157" w:rsidRDefault="0064412C" w:rsidP="00C1114C">
            <w:pPr>
              <w:pStyle w:val="Tabletext"/>
              <w:rPr>
                <w:rFonts w:cs="Arial"/>
                <w:sz w:val="20"/>
              </w:rPr>
            </w:pPr>
            <w:r w:rsidRPr="00741157">
              <w:rPr>
                <w:rFonts w:cs="Arial"/>
                <w:sz w:val="20"/>
              </w:rPr>
              <w:t>32.</w:t>
            </w:r>
            <w:r w:rsidR="00C96C80">
              <w:rPr>
                <w:rFonts w:cs="Arial"/>
                <w:sz w:val="20"/>
              </w:rPr>
              <w:t>2</w:t>
            </w:r>
            <w:r w:rsidRPr="00741157">
              <w:rPr>
                <w:rFonts w:cs="Arial"/>
                <w:sz w:val="20"/>
              </w:rPr>
              <w:t xml:space="preserve"> [oesophageal]</w:t>
            </w:r>
          </w:p>
          <w:p w14:paraId="38F8899C" w14:textId="0B788735" w:rsidR="0064412C" w:rsidRPr="00741157" w:rsidRDefault="0064412C" w:rsidP="006457E6">
            <w:pPr>
              <w:pStyle w:val="Tabletext"/>
              <w:ind w:left="466"/>
              <w:rPr>
                <w:rFonts w:cs="Arial"/>
                <w:sz w:val="20"/>
              </w:rPr>
            </w:pPr>
            <w:r w:rsidRPr="00741157">
              <w:rPr>
                <w:rFonts w:cs="Arial"/>
                <w:sz w:val="20"/>
              </w:rPr>
              <w:t xml:space="preserve">(2014) </w:t>
            </w:r>
          </w:p>
        </w:tc>
        <w:tc>
          <w:tcPr>
            <w:tcW w:w="2268" w:type="dxa"/>
            <w:noWrap/>
          </w:tcPr>
          <w:p w14:paraId="6588549E" w14:textId="3B4B1934" w:rsidR="0064412C" w:rsidRPr="00741157" w:rsidRDefault="0064412C" w:rsidP="00C1114C">
            <w:pPr>
              <w:pStyle w:val="Tabletext"/>
              <w:rPr>
                <w:rFonts w:cs="Arial"/>
                <w:sz w:val="20"/>
              </w:rPr>
            </w:pPr>
            <w:r w:rsidRPr="00741157">
              <w:rPr>
                <w:rFonts w:cs="Arial"/>
                <w:sz w:val="20"/>
              </w:rPr>
              <w:t>2</w:t>
            </w:r>
            <w:r w:rsidR="00C96C80">
              <w:rPr>
                <w:rFonts w:cs="Arial"/>
                <w:sz w:val="20"/>
              </w:rPr>
              <w:t>4</w:t>
            </w:r>
            <w:r w:rsidR="006457E6" w:rsidRPr="00741157">
              <w:rPr>
                <w:rFonts w:cs="Arial"/>
                <w:sz w:val="20"/>
              </w:rPr>
              <w:t>.</w:t>
            </w:r>
            <w:r w:rsidR="00C96C80">
              <w:rPr>
                <w:rFonts w:cs="Arial"/>
                <w:sz w:val="20"/>
              </w:rPr>
              <w:t>8</w:t>
            </w:r>
            <w:r w:rsidRPr="00741157">
              <w:rPr>
                <w:rFonts w:cs="Arial"/>
                <w:sz w:val="20"/>
              </w:rPr>
              <w:t xml:space="preserve"> [lung]</w:t>
            </w:r>
          </w:p>
          <w:p w14:paraId="59D447A2" w14:textId="7A0A17DD" w:rsidR="0064412C" w:rsidRPr="00741157" w:rsidRDefault="0064412C" w:rsidP="00C1114C">
            <w:pPr>
              <w:pStyle w:val="Tabletext"/>
              <w:rPr>
                <w:rFonts w:cs="Arial"/>
                <w:sz w:val="20"/>
              </w:rPr>
            </w:pPr>
            <w:r w:rsidRPr="00741157">
              <w:rPr>
                <w:rFonts w:cs="Arial"/>
                <w:sz w:val="20"/>
              </w:rPr>
              <w:t>6</w:t>
            </w:r>
            <w:r w:rsidR="00C96C80">
              <w:rPr>
                <w:rFonts w:cs="Arial"/>
                <w:sz w:val="20"/>
              </w:rPr>
              <w:t>5</w:t>
            </w:r>
            <w:r w:rsidRPr="00741157">
              <w:rPr>
                <w:rFonts w:cs="Arial"/>
                <w:sz w:val="20"/>
              </w:rPr>
              <w:t>.</w:t>
            </w:r>
            <w:r w:rsidR="00C96C80">
              <w:rPr>
                <w:rFonts w:cs="Arial"/>
                <w:sz w:val="20"/>
              </w:rPr>
              <w:t>6</w:t>
            </w:r>
            <w:r w:rsidRPr="00741157">
              <w:rPr>
                <w:rFonts w:cs="Arial"/>
                <w:sz w:val="20"/>
              </w:rPr>
              <w:t xml:space="preserve"> [breast]</w:t>
            </w:r>
          </w:p>
          <w:p w14:paraId="0863AD23" w14:textId="7C00D745" w:rsidR="0064412C" w:rsidRPr="00741157" w:rsidRDefault="0064412C" w:rsidP="00C1114C">
            <w:pPr>
              <w:pStyle w:val="Tabletext"/>
              <w:rPr>
                <w:rFonts w:cs="Arial"/>
                <w:sz w:val="20"/>
              </w:rPr>
            </w:pPr>
            <w:r w:rsidRPr="00741157">
              <w:rPr>
                <w:rFonts w:cs="Arial"/>
                <w:sz w:val="20"/>
              </w:rPr>
              <w:t>3</w:t>
            </w:r>
            <w:r w:rsidR="00C96C80">
              <w:rPr>
                <w:rFonts w:cs="Arial"/>
                <w:sz w:val="20"/>
              </w:rPr>
              <w:t>8</w:t>
            </w:r>
            <w:r w:rsidRPr="00741157">
              <w:rPr>
                <w:rFonts w:cs="Arial"/>
                <w:sz w:val="20"/>
              </w:rPr>
              <w:t>.</w:t>
            </w:r>
            <w:r w:rsidR="00C96C80">
              <w:rPr>
                <w:rFonts w:cs="Arial"/>
                <w:sz w:val="20"/>
              </w:rPr>
              <w:t>2</w:t>
            </w:r>
            <w:r w:rsidRPr="00741157">
              <w:rPr>
                <w:rFonts w:cs="Arial"/>
                <w:sz w:val="20"/>
              </w:rPr>
              <w:t xml:space="preserve"> [colorectal]</w:t>
            </w:r>
          </w:p>
          <w:p w14:paraId="0C93ABB8" w14:textId="4C8C6213" w:rsidR="0064412C" w:rsidRPr="00741157" w:rsidRDefault="006457E6" w:rsidP="00C1114C">
            <w:pPr>
              <w:pStyle w:val="Tabletext"/>
              <w:rPr>
                <w:rFonts w:cs="Arial"/>
                <w:sz w:val="20"/>
              </w:rPr>
            </w:pPr>
            <w:r w:rsidRPr="00741157">
              <w:rPr>
                <w:rFonts w:cs="Arial"/>
                <w:sz w:val="20"/>
              </w:rPr>
              <w:t>4</w:t>
            </w:r>
            <w:r w:rsidR="00647D0E" w:rsidRPr="00741157">
              <w:rPr>
                <w:rFonts w:cs="Arial"/>
                <w:sz w:val="20"/>
              </w:rPr>
              <w:t>7</w:t>
            </w:r>
            <w:r w:rsidR="0064412C" w:rsidRPr="00741157">
              <w:rPr>
                <w:rFonts w:cs="Arial"/>
                <w:sz w:val="20"/>
              </w:rPr>
              <w:t>.</w:t>
            </w:r>
            <w:r w:rsidR="00C96C80">
              <w:rPr>
                <w:rFonts w:cs="Arial"/>
                <w:sz w:val="20"/>
              </w:rPr>
              <w:t>8</w:t>
            </w:r>
            <w:r w:rsidRPr="00741157">
              <w:rPr>
                <w:rFonts w:cs="Arial"/>
                <w:sz w:val="20"/>
              </w:rPr>
              <w:t xml:space="preserve"> </w:t>
            </w:r>
            <w:r w:rsidR="0064412C" w:rsidRPr="00741157">
              <w:rPr>
                <w:rFonts w:cs="Arial"/>
                <w:sz w:val="20"/>
              </w:rPr>
              <w:t>[oesophageal]</w:t>
            </w:r>
          </w:p>
          <w:p w14:paraId="31C40668" w14:textId="11376B4C" w:rsidR="0064412C" w:rsidRPr="00741157" w:rsidRDefault="0064412C" w:rsidP="006457E6">
            <w:pPr>
              <w:pStyle w:val="Tabletext"/>
              <w:ind w:left="748" w:hanging="322"/>
              <w:rPr>
                <w:rFonts w:cs="Arial"/>
                <w:sz w:val="20"/>
              </w:rPr>
            </w:pPr>
            <w:r w:rsidRPr="00741157">
              <w:rPr>
                <w:rFonts w:cs="Arial"/>
                <w:sz w:val="20"/>
              </w:rPr>
              <w:t>(20</w:t>
            </w:r>
            <w:r w:rsidR="00C96C80">
              <w:rPr>
                <w:rFonts w:cs="Arial"/>
                <w:sz w:val="20"/>
              </w:rPr>
              <w:t>20</w:t>
            </w:r>
            <w:r w:rsidRPr="00741157">
              <w:rPr>
                <w:rFonts w:cs="Arial"/>
                <w:sz w:val="20"/>
              </w:rPr>
              <w:t>)</w:t>
            </w:r>
          </w:p>
        </w:tc>
        <w:tc>
          <w:tcPr>
            <w:tcW w:w="1276" w:type="dxa"/>
            <w:noWrap/>
          </w:tcPr>
          <w:p w14:paraId="48368A5D" w14:textId="0757D13C" w:rsidR="0064412C" w:rsidRPr="00741157" w:rsidRDefault="0064412C" w:rsidP="00C1114C">
            <w:pPr>
              <w:pStyle w:val="Tabletext"/>
              <w:rPr>
                <w:rFonts w:cs="Arial"/>
                <w:sz w:val="20"/>
              </w:rPr>
            </w:pPr>
            <w:r w:rsidRPr="00741157">
              <w:rPr>
                <w:rFonts w:cs="Arial"/>
                <w:sz w:val="20"/>
              </w:rPr>
              <w:t>N/S</w:t>
            </w:r>
          </w:p>
        </w:tc>
        <w:tc>
          <w:tcPr>
            <w:tcW w:w="1276" w:type="dxa"/>
          </w:tcPr>
          <w:p w14:paraId="6F66EFAB" w14:textId="28FF7D7E" w:rsidR="0064412C" w:rsidRPr="00741157" w:rsidRDefault="0034479E" w:rsidP="00C1114C">
            <w:pPr>
              <w:pStyle w:val="Tabletext"/>
              <w:rPr>
                <w:rFonts w:cs="Arial"/>
                <w:sz w:val="20"/>
              </w:rPr>
            </w:pPr>
            <w:r w:rsidRPr="00741157">
              <w:rPr>
                <w:rFonts w:cs="Arial"/>
                <w:sz w:val="20"/>
              </w:rPr>
              <w:t>▲</w:t>
            </w:r>
            <w:r w:rsidRPr="00741157">
              <w:rPr>
                <w:rFonts w:cs="Arial"/>
                <w:sz w:val="20"/>
              </w:rPr>
              <w:br/>
              <w:t>Upward</w:t>
            </w:r>
          </w:p>
        </w:tc>
      </w:tr>
      <w:tr w:rsidR="0064412C" w:rsidRPr="0099225F" w14:paraId="48500949" w14:textId="77777777" w:rsidTr="00FD59A2">
        <w:trPr>
          <w:trHeight w:val="621"/>
        </w:trPr>
        <w:tc>
          <w:tcPr>
            <w:tcW w:w="1848" w:type="dxa"/>
          </w:tcPr>
          <w:p w14:paraId="78D30397" w14:textId="78FD1906" w:rsidR="0064412C" w:rsidRPr="00741157" w:rsidRDefault="00000000" w:rsidP="00C1114C">
            <w:pPr>
              <w:pStyle w:val="Tabletext"/>
              <w:rPr>
                <w:rFonts w:cs="Arial"/>
                <w:sz w:val="20"/>
              </w:rPr>
            </w:pPr>
            <w:hyperlink w:anchor="_Measure_12.5_–" w:history="1">
              <w:r w:rsidR="0064412C" w:rsidRPr="00741157">
                <w:rPr>
                  <w:rStyle w:val="Hyperlink"/>
                  <w:rFonts w:cs="Arial"/>
                  <w:sz w:val="20"/>
                </w:rPr>
                <w:t>12.5</w:t>
              </w:r>
            </w:hyperlink>
          </w:p>
        </w:tc>
        <w:tc>
          <w:tcPr>
            <w:tcW w:w="3539" w:type="dxa"/>
          </w:tcPr>
          <w:p w14:paraId="523DC0AC" w14:textId="26411639" w:rsidR="0064412C" w:rsidRPr="00741157" w:rsidRDefault="0064412C" w:rsidP="00C1114C">
            <w:pPr>
              <w:pStyle w:val="Tabletext"/>
              <w:rPr>
                <w:rFonts w:cs="Arial"/>
                <w:sz w:val="20"/>
              </w:rPr>
            </w:pPr>
            <w:r w:rsidRPr="00741157">
              <w:rPr>
                <w:rFonts w:cs="Arial"/>
                <w:sz w:val="20"/>
              </w:rPr>
              <w:t>Proportion of patients receiving systemic therapy within recommended timelines and where appropriate</w:t>
            </w:r>
            <w:r w:rsidR="006457E6" w:rsidRPr="00741157">
              <w:rPr>
                <w:rFonts w:cs="Arial"/>
                <w:sz w:val="20"/>
              </w:rPr>
              <w:t xml:space="preserve"> (overall)</w:t>
            </w:r>
          </w:p>
        </w:tc>
        <w:tc>
          <w:tcPr>
            <w:tcW w:w="1422" w:type="dxa"/>
          </w:tcPr>
          <w:p w14:paraId="26157A66" w14:textId="77777777" w:rsidR="0064412C" w:rsidRPr="00741157" w:rsidRDefault="0064412C" w:rsidP="00C1114C">
            <w:pPr>
              <w:pStyle w:val="Tabletext"/>
              <w:rPr>
                <w:rFonts w:cs="Arial"/>
                <w:sz w:val="20"/>
              </w:rPr>
            </w:pPr>
            <w:r w:rsidRPr="00741157">
              <w:rPr>
                <w:rFonts w:cs="Arial"/>
                <w:sz w:val="20"/>
              </w:rPr>
              <w:t>Per cent</w:t>
            </w:r>
          </w:p>
        </w:tc>
        <w:tc>
          <w:tcPr>
            <w:tcW w:w="2268" w:type="dxa"/>
            <w:noWrap/>
          </w:tcPr>
          <w:p w14:paraId="7910F563" w14:textId="608FBAE2" w:rsidR="0064412C" w:rsidRPr="00741157" w:rsidRDefault="0064412C" w:rsidP="00C1114C">
            <w:pPr>
              <w:pStyle w:val="Tabletext"/>
              <w:rPr>
                <w:rFonts w:cs="Arial"/>
                <w:sz w:val="20"/>
              </w:rPr>
            </w:pPr>
            <w:r w:rsidRPr="00741157">
              <w:rPr>
                <w:rFonts w:cs="Arial"/>
                <w:sz w:val="20"/>
              </w:rPr>
              <w:t>41.</w:t>
            </w:r>
            <w:r w:rsidR="006457E6" w:rsidRPr="00741157">
              <w:rPr>
                <w:rFonts w:cs="Arial"/>
                <w:sz w:val="20"/>
              </w:rPr>
              <w:t>8</w:t>
            </w:r>
          </w:p>
          <w:p w14:paraId="210574D2" w14:textId="40EF18C3" w:rsidR="0064412C" w:rsidRPr="00741157" w:rsidRDefault="0064412C" w:rsidP="00C1114C">
            <w:pPr>
              <w:pStyle w:val="Tabletext"/>
              <w:rPr>
                <w:rFonts w:cs="Arial"/>
                <w:sz w:val="20"/>
              </w:rPr>
            </w:pPr>
            <w:r w:rsidRPr="00741157">
              <w:rPr>
                <w:rFonts w:cs="Arial"/>
                <w:sz w:val="20"/>
              </w:rPr>
              <w:t>(2014)</w:t>
            </w:r>
          </w:p>
        </w:tc>
        <w:tc>
          <w:tcPr>
            <w:tcW w:w="2268" w:type="dxa"/>
            <w:noWrap/>
          </w:tcPr>
          <w:p w14:paraId="02B1CD11" w14:textId="3685BE11" w:rsidR="0064412C" w:rsidRPr="00741157" w:rsidRDefault="0064412C" w:rsidP="00C1114C">
            <w:pPr>
              <w:pStyle w:val="Tabletext"/>
              <w:rPr>
                <w:rFonts w:cs="Arial"/>
                <w:sz w:val="20"/>
              </w:rPr>
            </w:pPr>
            <w:r w:rsidRPr="00741157">
              <w:rPr>
                <w:rFonts w:cs="Arial"/>
                <w:sz w:val="20"/>
              </w:rPr>
              <w:t>4</w:t>
            </w:r>
            <w:r w:rsidR="00C96C80">
              <w:rPr>
                <w:rFonts w:cs="Arial"/>
                <w:sz w:val="20"/>
              </w:rPr>
              <w:t>3</w:t>
            </w:r>
            <w:r w:rsidRPr="00741157">
              <w:rPr>
                <w:rFonts w:cs="Arial"/>
                <w:sz w:val="20"/>
              </w:rPr>
              <w:t>.</w:t>
            </w:r>
            <w:r w:rsidR="00C96C80">
              <w:rPr>
                <w:rFonts w:cs="Arial"/>
                <w:sz w:val="20"/>
              </w:rPr>
              <w:t>3</w:t>
            </w:r>
          </w:p>
          <w:p w14:paraId="695F66FE" w14:textId="12DB9CF4" w:rsidR="0064412C" w:rsidRPr="00741157" w:rsidRDefault="0064412C" w:rsidP="00C1114C">
            <w:pPr>
              <w:pStyle w:val="Tabletext"/>
              <w:rPr>
                <w:rFonts w:cs="Arial"/>
                <w:sz w:val="20"/>
              </w:rPr>
            </w:pPr>
            <w:r w:rsidRPr="00741157">
              <w:rPr>
                <w:rFonts w:cs="Arial"/>
                <w:sz w:val="20"/>
              </w:rPr>
              <w:t>(20</w:t>
            </w:r>
            <w:r w:rsidR="00C96C80">
              <w:rPr>
                <w:rFonts w:cs="Arial"/>
                <w:sz w:val="20"/>
              </w:rPr>
              <w:t>21</w:t>
            </w:r>
            <w:r w:rsidRPr="00741157">
              <w:rPr>
                <w:rFonts w:cs="Arial"/>
                <w:sz w:val="20"/>
              </w:rPr>
              <w:t>)</w:t>
            </w:r>
          </w:p>
        </w:tc>
        <w:tc>
          <w:tcPr>
            <w:tcW w:w="1276" w:type="dxa"/>
            <w:noWrap/>
          </w:tcPr>
          <w:p w14:paraId="0BFEFBCA" w14:textId="5CE755FF" w:rsidR="0064412C" w:rsidRPr="00741157" w:rsidRDefault="0064412C" w:rsidP="00C1114C">
            <w:pPr>
              <w:pStyle w:val="Tabletext"/>
              <w:rPr>
                <w:rFonts w:cs="Arial"/>
                <w:sz w:val="20"/>
              </w:rPr>
            </w:pPr>
            <w:r w:rsidRPr="00741157">
              <w:rPr>
                <w:rFonts w:cs="Arial"/>
                <w:sz w:val="20"/>
              </w:rPr>
              <w:t>N/S</w:t>
            </w:r>
          </w:p>
        </w:tc>
        <w:tc>
          <w:tcPr>
            <w:tcW w:w="1276" w:type="dxa"/>
          </w:tcPr>
          <w:p w14:paraId="500E1BDF" w14:textId="3949BC44" w:rsidR="0064412C" w:rsidRPr="00741157" w:rsidRDefault="00CF3B53" w:rsidP="00C1114C">
            <w:pPr>
              <w:pStyle w:val="Tabletext"/>
              <w:rPr>
                <w:rFonts w:cs="Arial"/>
                <w:sz w:val="20"/>
              </w:rPr>
            </w:pPr>
            <w:r w:rsidRPr="00741157">
              <w:rPr>
                <w:rFonts w:cs="Arial"/>
                <w:sz w:val="20"/>
              </w:rPr>
              <w:t xml:space="preserve">■ </w:t>
            </w:r>
            <w:r w:rsidRPr="00741157">
              <w:rPr>
                <w:rFonts w:cs="Arial"/>
                <w:sz w:val="20"/>
              </w:rPr>
              <w:br/>
              <w:t>No change</w:t>
            </w:r>
          </w:p>
        </w:tc>
      </w:tr>
      <w:tr w:rsidR="0064412C" w:rsidRPr="0099225F" w14:paraId="5AC69F08" w14:textId="77777777" w:rsidTr="00FD59A2">
        <w:trPr>
          <w:trHeight w:val="385"/>
        </w:trPr>
        <w:tc>
          <w:tcPr>
            <w:tcW w:w="1848" w:type="dxa"/>
            <w:vMerge w:val="restart"/>
          </w:tcPr>
          <w:p w14:paraId="4181161A" w14:textId="2528F502" w:rsidR="0064412C" w:rsidRPr="00741157" w:rsidRDefault="00000000" w:rsidP="00C1114C">
            <w:pPr>
              <w:pStyle w:val="Tabletext"/>
              <w:rPr>
                <w:rFonts w:cs="Arial"/>
                <w:sz w:val="20"/>
              </w:rPr>
            </w:pPr>
            <w:hyperlink w:anchor="_Measure_12.6_–" w:history="1">
              <w:r w:rsidR="0064412C" w:rsidRPr="00741157">
                <w:rPr>
                  <w:rStyle w:val="Hyperlink"/>
                  <w:rFonts w:cs="Arial"/>
                  <w:sz w:val="20"/>
                </w:rPr>
                <w:t>12.6</w:t>
              </w:r>
            </w:hyperlink>
          </w:p>
        </w:tc>
        <w:tc>
          <w:tcPr>
            <w:tcW w:w="3539" w:type="dxa"/>
            <w:vMerge w:val="restart"/>
          </w:tcPr>
          <w:p w14:paraId="1039C275" w14:textId="0CF83EEB" w:rsidR="0064412C" w:rsidRPr="00741157" w:rsidRDefault="0064412C" w:rsidP="00C1114C">
            <w:pPr>
              <w:pStyle w:val="Tabletext"/>
              <w:rPr>
                <w:rFonts w:cs="Arial"/>
                <w:sz w:val="20"/>
              </w:rPr>
            </w:pPr>
            <w:r w:rsidRPr="00741157">
              <w:rPr>
                <w:rFonts w:cs="Arial"/>
                <w:sz w:val="20"/>
              </w:rPr>
              <w:t>Proportion of cancer-related pancreatectomies (P) and oesophagectomies (O) taking place at appropriate volume facilities</w:t>
            </w:r>
          </w:p>
        </w:tc>
        <w:tc>
          <w:tcPr>
            <w:tcW w:w="1422" w:type="dxa"/>
            <w:vMerge w:val="restart"/>
          </w:tcPr>
          <w:p w14:paraId="12E5C245" w14:textId="77777777" w:rsidR="0064412C" w:rsidRPr="00741157" w:rsidRDefault="0064412C" w:rsidP="00C1114C">
            <w:pPr>
              <w:pStyle w:val="Tabletext"/>
              <w:rPr>
                <w:rFonts w:cs="Arial"/>
                <w:sz w:val="20"/>
              </w:rPr>
            </w:pPr>
            <w:r w:rsidRPr="00741157">
              <w:rPr>
                <w:rFonts w:cs="Arial"/>
                <w:sz w:val="20"/>
              </w:rPr>
              <w:t>Per cent</w:t>
            </w:r>
          </w:p>
        </w:tc>
        <w:tc>
          <w:tcPr>
            <w:tcW w:w="2268" w:type="dxa"/>
            <w:noWrap/>
          </w:tcPr>
          <w:p w14:paraId="0538C099" w14:textId="77777777" w:rsidR="0064412C" w:rsidRPr="00741157" w:rsidRDefault="0064412C" w:rsidP="00D53660">
            <w:pPr>
              <w:pStyle w:val="Tabletext"/>
              <w:rPr>
                <w:rFonts w:cs="Arial"/>
                <w:sz w:val="20"/>
              </w:rPr>
            </w:pPr>
            <w:r w:rsidRPr="00741157">
              <w:rPr>
                <w:rFonts w:cs="Arial"/>
                <w:sz w:val="20"/>
              </w:rPr>
              <w:t>P</w:t>
            </w:r>
          </w:p>
          <w:p w14:paraId="01ADDD2F" w14:textId="737C81F2" w:rsidR="0064412C" w:rsidRPr="00741157" w:rsidRDefault="0064412C" w:rsidP="00D53660">
            <w:pPr>
              <w:pStyle w:val="Tabletext"/>
              <w:rPr>
                <w:rFonts w:cs="Arial"/>
                <w:sz w:val="20"/>
              </w:rPr>
            </w:pPr>
            <w:r w:rsidRPr="00741157">
              <w:rPr>
                <w:rFonts w:cs="Arial"/>
                <w:sz w:val="20"/>
              </w:rPr>
              <w:t>91.7</w:t>
            </w:r>
          </w:p>
          <w:p w14:paraId="060B0468" w14:textId="77777777" w:rsidR="0064412C" w:rsidRPr="00741157" w:rsidRDefault="0064412C" w:rsidP="00D53660">
            <w:pPr>
              <w:pStyle w:val="Tabletext"/>
              <w:rPr>
                <w:rFonts w:cs="Arial"/>
                <w:sz w:val="20"/>
              </w:rPr>
            </w:pPr>
            <w:r w:rsidRPr="00741157">
              <w:rPr>
                <w:rFonts w:cs="Arial"/>
                <w:sz w:val="20"/>
              </w:rPr>
              <w:t>O</w:t>
            </w:r>
          </w:p>
          <w:p w14:paraId="30A741B0" w14:textId="11BB0736" w:rsidR="0064412C" w:rsidRPr="00741157" w:rsidRDefault="0064412C" w:rsidP="00D53660">
            <w:pPr>
              <w:pStyle w:val="Tabletext"/>
              <w:rPr>
                <w:rFonts w:cs="Arial"/>
                <w:sz w:val="20"/>
              </w:rPr>
            </w:pPr>
            <w:r w:rsidRPr="00741157">
              <w:rPr>
                <w:rFonts w:cs="Arial"/>
                <w:sz w:val="20"/>
              </w:rPr>
              <w:t>75</w:t>
            </w:r>
            <w:r w:rsidR="0094432A" w:rsidRPr="00741157">
              <w:rPr>
                <w:rFonts w:cs="Arial"/>
                <w:sz w:val="20"/>
              </w:rPr>
              <w:t>.0</w:t>
            </w:r>
          </w:p>
        </w:tc>
        <w:tc>
          <w:tcPr>
            <w:tcW w:w="2268" w:type="dxa"/>
            <w:noWrap/>
          </w:tcPr>
          <w:p w14:paraId="1E8F14EE" w14:textId="77777777" w:rsidR="0064412C" w:rsidRPr="00741157" w:rsidRDefault="0064412C" w:rsidP="00D53660">
            <w:pPr>
              <w:pStyle w:val="Tabletext"/>
              <w:rPr>
                <w:rFonts w:cs="Arial"/>
                <w:sz w:val="20"/>
              </w:rPr>
            </w:pPr>
            <w:r w:rsidRPr="00741157">
              <w:rPr>
                <w:rFonts w:cs="Arial"/>
                <w:sz w:val="20"/>
              </w:rPr>
              <w:t>P</w:t>
            </w:r>
          </w:p>
          <w:p w14:paraId="1E92D98A" w14:textId="3DB6E68F" w:rsidR="0064412C" w:rsidRPr="00741157" w:rsidRDefault="006457E6" w:rsidP="00D53660">
            <w:pPr>
              <w:pStyle w:val="Tabletext"/>
              <w:rPr>
                <w:rFonts w:cs="Arial"/>
                <w:sz w:val="20"/>
              </w:rPr>
            </w:pPr>
            <w:r w:rsidRPr="00741157">
              <w:rPr>
                <w:rFonts w:cs="Arial"/>
                <w:sz w:val="20"/>
              </w:rPr>
              <w:t>9</w:t>
            </w:r>
            <w:r w:rsidR="00C96C80">
              <w:rPr>
                <w:rFonts w:cs="Arial"/>
                <w:sz w:val="20"/>
              </w:rPr>
              <w:t>5</w:t>
            </w:r>
            <w:r w:rsidR="0064412C" w:rsidRPr="00741157">
              <w:rPr>
                <w:rFonts w:cs="Arial"/>
                <w:sz w:val="20"/>
              </w:rPr>
              <w:t>.</w:t>
            </w:r>
            <w:r w:rsidR="00C96C80">
              <w:rPr>
                <w:rFonts w:cs="Arial"/>
                <w:sz w:val="20"/>
              </w:rPr>
              <w:t>4</w:t>
            </w:r>
          </w:p>
          <w:p w14:paraId="381DE9AB" w14:textId="77777777" w:rsidR="0064412C" w:rsidRPr="00741157" w:rsidRDefault="0064412C" w:rsidP="00D53660">
            <w:pPr>
              <w:pStyle w:val="Tabletext"/>
              <w:rPr>
                <w:rFonts w:cs="Arial"/>
                <w:sz w:val="20"/>
              </w:rPr>
            </w:pPr>
            <w:r w:rsidRPr="00741157">
              <w:rPr>
                <w:rFonts w:cs="Arial"/>
                <w:sz w:val="20"/>
              </w:rPr>
              <w:t>O</w:t>
            </w:r>
          </w:p>
          <w:p w14:paraId="15EB9405" w14:textId="6C45B934" w:rsidR="0064412C" w:rsidRPr="00741157" w:rsidRDefault="00C96C80" w:rsidP="00D53660">
            <w:pPr>
              <w:pStyle w:val="Tabletext"/>
              <w:rPr>
                <w:rFonts w:cs="Arial"/>
                <w:sz w:val="20"/>
              </w:rPr>
            </w:pPr>
            <w:r>
              <w:rPr>
                <w:rFonts w:cs="Arial"/>
                <w:sz w:val="20"/>
              </w:rPr>
              <w:t>78</w:t>
            </w:r>
            <w:r w:rsidR="0064412C" w:rsidRPr="00741157">
              <w:rPr>
                <w:rFonts w:cs="Arial"/>
                <w:sz w:val="20"/>
              </w:rPr>
              <w:t>.</w:t>
            </w:r>
            <w:r>
              <w:rPr>
                <w:rFonts w:cs="Arial"/>
                <w:sz w:val="20"/>
              </w:rPr>
              <w:t>5</w:t>
            </w:r>
          </w:p>
        </w:tc>
        <w:tc>
          <w:tcPr>
            <w:tcW w:w="1276" w:type="dxa"/>
            <w:vMerge w:val="restart"/>
            <w:noWrap/>
          </w:tcPr>
          <w:p w14:paraId="099A42C3" w14:textId="6439C540" w:rsidR="0064412C" w:rsidRPr="00741157" w:rsidRDefault="0064412C" w:rsidP="00C1114C">
            <w:pPr>
              <w:pStyle w:val="Tabletext"/>
              <w:rPr>
                <w:rFonts w:cs="Arial"/>
                <w:sz w:val="20"/>
              </w:rPr>
            </w:pPr>
            <w:r w:rsidRPr="00741157">
              <w:rPr>
                <w:rFonts w:cs="Arial"/>
                <w:sz w:val="20"/>
              </w:rPr>
              <w:t>N/S</w:t>
            </w:r>
          </w:p>
        </w:tc>
        <w:tc>
          <w:tcPr>
            <w:tcW w:w="1276" w:type="dxa"/>
            <w:vMerge w:val="restart"/>
          </w:tcPr>
          <w:p w14:paraId="7DFFD621" w14:textId="5FB2B0C4" w:rsidR="0064412C" w:rsidRPr="00741157" w:rsidRDefault="00C96C80" w:rsidP="00C1114C">
            <w:pPr>
              <w:pStyle w:val="Tabletext"/>
              <w:rPr>
                <w:rFonts w:cs="Arial"/>
                <w:sz w:val="20"/>
              </w:rPr>
            </w:pPr>
            <w:r w:rsidRPr="00741157">
              <w:rPr>
                <w:rFonts w:cs="Arial"/>
                <w:sz w:val="20"/>
              </w:rPr>
              <w:t>▲</w:t>
            </w:r>
            <w:r w:rsidRPr="00741157">
              <w:rPr>
                <w:rFonts w:cs="Arial"/>
                <w:sz w:val="20"/>
              </w:rPr>
              <w:br/>
              <w:t>Upward</w:t>
            </w:r>
          </w:p>
        </w:tc>
      </w:tr>
      <w:tr w:rsidR="0064412C" w:rsidRPr="0099225F" w14:paraId="2BE208D4" w14:textId="77777777" w:rsidTr="00FD59A2">
        <w:trPr>
          <w:trHeight w:val="142"/>
        </w:trPr>
        <w:tc>
          <w:tcPr>
            <w:tcW w:w="1848" w:type="dxa"/>
            <w:vMerge/>
          </w:tcPr>
          <w:p w14:paraId="35782612" w14:textId="77777777" w:rsidR="0064412C" w:rsidRPr="0099225F" w:rsidRDefault="0064412C" w:rsidP="00C1114C">
            <w:pPr>
              <w:pStyle w:val="Tabletext"/>
              <w:rPr>
                <w:sz w:val="20"/>
              </w:rPr>
            </w:pPr>
          </w:p>
        </w:tc>
        <w:tc>
          <w:tcPr>
            <w:tcW w:w="3539" w:type="dxa"/>
            <w:vMerge/>
          </w:tcPr>
          <w:p w14:paraId="5D595BE0" w14:textId="77777777" w:rsidR="0064412C" w:rsidRPr="0099225F" w:rsidRDefault="0064412C" w:rsidP="00C1114C">
            <w:pPr>
              <w:pStyle w:val="Tabletext"/>
              <w:rPr>
                <w:sz w:val="20"/>
              </w:rPr>
            </w:pPr>
          </w:p>
        </w:tc>
        <w:tc>
          <w:tcPr>
            <w:tcW w:w="1422" w:type="dxa"/>
            <w:vMerge/>
          </w:tcPr>
          <w:p w14:paraId="48268A53" w14:textId="77777777" w:rsidR="0064412C" w:rsidRPr="0099225F" w:rsidRDefault="0064412C" w:rsidP="00C1114C">
            <w:pPr>
              <w:pStyle w:val="Tabletext"/>
              <w:rPr>
                <w:sz w:val="20"/>
              </w:rPr>
            </w:pPr>
          </w:p>
        </w:tc>
        <w:tc>
          <w:tcPr>
            <w:tcW w:w="2268" w:type="dxa"/>
            <w:noWrap/>
          </w:tcPr>
          <w:p w14:paraId="099565DA" w14:textId="231C75E3" w:rsidR="0064412C" w:rsidRPr="00F442E5" w:rsidRDefault="0064412C" w:rsidP="00D53660">
            <w:pPr>
              <w:pStyle w:val="Tabletext"/>
              <w:rPr>
                <w:sz w:val="20"/>
              </w:rPr>
            </w:pPr>
            <w:r w:rsidRPr="00F442E5">
              <w:rPr>
                <w:sz w:val="20"/>
              </w:rPr>
              <w:t>2013–14</w:t>
            </w:r>
          </w:p>
        </w:tc>
        <w:tc>
          <w:tcPr>
            <w:tcW w:w="2268" w:type="dxa"/>
            <w:noWrap/>
          </w:tcPr>
          <w:p w14:paraId="62D4F244" w14:textId="1A446312" w:rsidR="0064412C" w:rsidRPr="00F442E5" w:rsidRDefault="0064412C" w:rsidP="00D53660">
            <w:pPr>
              <w:pStyle w:val="Tabletext"/>
              <w:rPr>
                <w:sz w:val="20"/>
              </w:rPr>
            </w:pPr>
            <w:r w:rsidRPr="00F442E5">
              <w:rPr>
                <w:sz w:val="20"/>
              </w:rPr>
              <w:t>20</w:t>
            </w:r>
            <w:r w:rsidR="00C96C80">
              <w:rPr>
                <w:sz w:val="20"/>
              </w:rPr>
              <w:t>21</w:t>
            </w:r>
            <w:r w:rsidRPr="00F442E5">
              <w:rPr>
                <w:sz w:val="20"/>
              </w:rPr>
              <w:t>–</w:t>
            </w:r>
            <w:r w:rsidR="00C96C80">
              <w:rPr>
                <w:sz w:val="20"/>
              </w:rPr>
              <w:t>2</w:t>
            </w:r>
            <w:r w:rsidR="0015371C">
              <w:rPr>
                <w:sz w:val="20"/>
              </w:rPr>
              <w:t>2</w:t>
            </w:r>
          </w:p>
        </w:tc>
        <w:tc>
          <w:tcPr>
            <w:tcW w:w="1276" w:type="dxa"/>
            <w:vMerge/>
            <w:noWrap/>
          </w:tcPr>
          <w:p w14:paraId="1E5F16F0" w14:textId="77777777" w:rsidR="0064412C" w:rsidRPr="0099225F" w:rsidRDefault="0064412C" w:rsidP="00C1114C">
            <w:pPr>
              <w:pStyle w:val="Tabletext"/>
              <w:rPr>
                <w:sz w:val="20"/>
              </w:rPr>
            </w:pPr>
          </w:p>
        </w:tc>
        <w:tc>
          <w:tcPr>
            <w:tcW w:w="1276" w:type="dxa"/>
            <w:vMerge/>
          </w:tcPr>
          <w:p w14:paraId="40FFAECF" w14:textId="77777777" w:rsidR="0064412C" w:rsidRPr="0099225F" w:rsidRDefault="0064412C" w:rsidP="00C1114C">
            <w:pPr>
              <w:pStyle w:val="Tabletext"/>
              <w:rPr>
                <w:sz w:val="20"/>
              </w:rPr>
            </w:pPr>
          </w:p>
        </w:tc>
      </w:tr>
      <w:tr w:rsidR="0064412C" w:rsidRPr="0099225F" w14:paraId="12FE1F47" w14:textId="77777777" w:rsidTr="00FD59A2">
        <w:trPr>
          <w:trHeight w:val="621"/>
        </w:trPr>
        <w:tc>
          <w:tcPr>
            <w:tcW w:w="1848" w:type="dxa"/>
          </w:tcPr>
          <w:p w14:paraId="10CFD73E" w14:textId="6A0A0E44" w:rsidR="0064412C" w:rsidRPr="0099225F" w:rsidRDefault="00000000" w:rsidP="00C1114C">
            <w:pPr>
              <w:pStyle w:val="Tabletext"/>
              <w:rPr>
                <w:sz w:val="20"/>
              </w:rPr>
            </w:pPr>
            <w:hyperlink w:anchor="_Appendix_1:_Measures" w:history="1">
              <w:r w:rsidR="0064412C" w:rsidRPr="0099225F">
                <w:rPr>
                  <w:rStyle w:val="Hyperlink"/>
                  <w:sz w:val="20"/>
                </w:rPr>
                <w:t>12.7</w:t>
              </w:r>
            </w:hyperlink>
          </w:p>
        </w:tc>
        <w:tc>
          <w:tcPr>
            <w:tcW w:w="3539" w:type="dxa"/>
          </w:tcPr>
          <w:p w14:paraId="10811721" w14:textId="0070D59F" w:rsidR="0064412C" w:rsidRPr="00741157" w:rsidRDefault="0064412C" w:rsidP="00C1114C">
            <w:pPr>
              <w:pStyle w:val="Tabletext"/>
              <w:rPr>
                <w:rFonts w:cs="Arial"/>
                <w:sz w:val="20"/>
              </w:rPr>
            </w:pPr>
            <w:r w:rsidRPr="00741157">
              <w:rPr>
                <w:rFonts w:cs="Arial"/>
                <w:sz w:val="20"/>
              </w:rPr>
              <w:t>Proportion of patients aged less than 40 years referred to fertility preservation treatment as part of their primary treatment</w:t>
            </w:r>
          </w:p>
        </w:tc>
        <w:tc>
          <w:tcPr>
            <w:tcW w:w="1422" w:type="dxa"/>
          </w:tcPr>
          <w:p w14:paraId="436109E8" w14:textId="77777777" w:rsidR="0064412C" w:rsidRPr="00741157" w:rsidRDefault="0064412C" w:rsidP="00C1114C">
            <w:pPr>
              <w:pStyle w:val="Tabletext"/>
              <w:rPr>
                <w:rFonts w:cs="Arial"/>
                <w:sz w:val="20"/>
              </w:rPr>
            </w:pPr>
            <w:r w:rsidRPr="00741157">
              <w:rPr>
                <w:rFonts w:cs="Arial"/>
                <w:sz w:val="20"/>
              </w:rPr>
              <w:t>Per cent</w:t>
            </w:r>
          </w:p>
        </w:tc>
        <w:tc>
          <w:tcPr>
            <w:tcW w:w="2268" w:type="dxa"/>
            <w:noWrap/>
          </w:tcPr>
          <w:p w14:paraId="0704AC8A" w14:textId="08D3AB1A" w:rsidR="0064412C" w:rsidRPr="00741157" w:rsidRDefault="0064412C" w:rsidP="00C1114C">
            <w:pPr>
              <w:pStyle w:val="Tabletext"/>
              <w:rPr>
                <w:rFonts w:cs="Arial"/>
                <w:color w:val="87189D"/>
                <w:sz w:val="20"/>
              </w:rPr>
            </w:pPr>
            <w:r w:rsidRPr="00741157">
              <w:rPr>
                <w:rFonts w:cs="Arial"/>
                <w:color w:val="87189D"/>
                <w:sz w:val="20"/>
              </w:rPr>
              <w:t>No data currently available (refer to Appendix 1)</w:t>
            </w:r>
          </w:p>
        </w:tc>
        <w:tc>
          <w:tcPr>
            <w:tcW w:w="2268" w:type="dxa"/>
          </w:tcPr>
          <w:p w14:paraId="4CC6E388" w14:textId="5B98FBB7" w:rsidR="0064412C" w:rsidRPr="00741157" w:rsidRDefault="0064412C" w:rsidP="00C1114C">
            <w:pPr>
              <w:pStyle w:val="Tabletext"/>
              <w:rPr>
                <w:rFonts w:cs="Arial"/>
                <w:color w:val="87189D"/>
                <w:sz w:val="20"/>
              </w:rPr>
            </w:pPr>
            <w:r w:rsidRPr="00741157">
              <w:rPr>
                <w:rFonts w:cs="Arial"/>
                <w:color w:val="87189D"/>
                <w:sz w:val="20"/>
              </w:rPr>
              <w:t>No data currently available (refer to Appendix 1)</w:t>
            </w:r>
          </w:p>
        </w:tc>
        <w:tc>
          <w:tcPr>
            <w:tcW w:w="1276" w:type="dxa"/>
            <w:noWrap/>
          </w:tcPr>
          <w:p w14:paraId="0513AF8D" w14:textId="0899755E" w:rsidR="0064412C" w:rsidRPr="00741157" w:rsidRDefault="0064412C" w:rsidP="00C1114C">
            <w:pPr>
              <w:pStyle w:val="Tabletext"/>
              <w:rPr>
                <w:rFonts w:cs="Arial"/>
                <w:sz w:val="20"/>
              </w:rPr>
            </w:pPr>
            <w:r w:rsidRPr="00741157">
              <w:rPr>
                <w:rFonts w:cs="Arial"/>
                <w:sz w:val="20"/>
              </w:rPr>
              <w:t>N/S</w:t>
            </w:r>
          </w:p>
        </w:tc>
        <w:tc>
          <w:tcPr>
            <w:tcW w:w="1276" w:type="dxa"/>
          </w:tcPr>
          <w:p w14:paraId="5F427136" w14:textId="77777777" w:rsidR="0064412C" w:rsidRPr="00741157" w:rsidRDefault="0064412C" w:rsidP="00C1114C">
            <w:pPr>
              <w:pStyle w:val="Tabletext"/>
              <w:rPr>
                <w:rFonts w:cs="Arial"/>
                <w:sz w:val="20"/>
              </w:rPr>
            </w:pPr>
            <w:r w:rsidRPr="00741157">
              <w:rPr>
                <w:rFonts w:cs="Arial"/>
                <w:sz w:val="20"/>
              </w:rPr>
              <w:t>N/A</w:t>
            </w:r>
          </w:p>
        </w:tc>
      </w:tr>
      <w:tr w:rsidR="0064412C" w:rsidRPr="0099225F" w14:paraId="02650B20" w14:textId="77777777" w:rsidTr="00FD59A2">
        <w:trPr>
          <w:trHeight w:val="621"/>
        </w:trPr>
        <w:tc>
          <w:tcPr>
            <w:tcW w:w="1848" w:type="dxa"/>
          </w:tcPr>
          <w:p w14:paraId="3A02A788" w14:textId="34E1AC23" w:rsidR="0064412C" w:rsidRPr="0099225F" w:rsidRDefault="00000000" w:rsidP="00C1114C">
            <w:pPr>
              <w:pStyle w:val="Tabletext"/>
              <w:rPr>
                <w:sz w:val="20"/>
              </w:rPr>
            </w:pPr>
            <w:hyperlink w:anchor="_Measure_12.8_–" w:history="1">
              <w:r w:rsidR="0064412C" w:rsidRPr="0099225F">
                <w:rPr>
                  <w:rStyle w:val="Hyperlink"/>
                  <w:sz w:val="20"/>
                </w:rPr>
                <w:t>12.8</w:t>
              </w:r>
            </w:hyperlink>
          </w:p>
        </w:tc>
        <w:tc>
          <w:tcPr>
            <w:tcW w:w="3539" w:type="dxa"/>
          </w:tcPr>
          <w:p w14:paraId="12E1E3DA" w14:textId="0D2FDE53" w:rsidR="0064412C" w:rsidRPr="00741157" w:rsidRDefault="0064412C" w:rsidP="00C1114C">
            <w:pPr>
              <w:pStyle w:val="Tabletext"/>
              <w:rPr>
                <w:rFonts w:cs="Arial"/>
                <w:sz w:val="20"/>
              </w:rPr>
            </w:pPr>
            <w:r w:rsidRPr="00741157">
              <w:rPr>
                <w:rFonts w:cs="Arial"/>
                <w:sz w:val="20"/>
              </w:rPr>
              <w:t>Proportion of admitted cancer separations with a</w:t>
            </w:r>
            <w:r w:rsidR="00070335" w:rsidRPr="00741157">
              <w:rPr>
                <w:rFonts w:cs="Arial"/>
                <w:sz w:val="20"/>
              </w:rPr>
              <w:t xml:space="preserve"> Length of stay</w:t>
            </w:r>
            <w:r w:rsidRPr="00741157">
              <w:rPr>
                <w:rFonts w:cs="Arial"/>
                <w:sz w:val="20"/>
              </w:rPr>
              <w:t xml:space="preserve"> </w:t>
            </w:r>
            <w:r w:rsidR="00070335" w:rsidRPr="00741157">
              <w:rPr>
                <w:rFonts w:cs="Arial"/>
                <w:sz w:val="20"/>
              </w:rPr>
              <w:t>(</w:t>
            </w:r>
            <w:r w:rsidRPr="00741157">
              <w:rPr>
                <w:rFonts w:cs="Arial"/>
                <w:sz w:val="20"/>
              </w:rPr>
              <w:t>LOS</w:t>
            </w:r>
            <w:r w:rsidR="00070335" w:rsidRPr="00741157">
              <w:rPr>
                <w:rFonts w:cs="Arial"/>
                <w:sz w:val="20"/>
              </w:rPr>
              <w:t>)</w:t>
            </w:r>
            <w:r w:rsidRPr="00741157">
              <w:rPr>
                <w:rFonts w:cs="Arial"/>
                <w:sz w:val="20"/>
              </w:rPr>
              <w:t xml:space="preserve"> &gt; 1 who have been coded as having malnutrition </w:t>
            </w:r>
          </w:p>
        </w:tc>
        <w:tc>
          <w:tcPr>
            <w:tcW w:w="1422" w:type="dxa"/>
          </w:tcPr>
          <w:p w14:paraId="7EEED4B2" w14:textId="77777777" w:rsidR="0064412C" w:rsidRPr="00741157" w:rsidRDefault="0064412C" w:rsidP="00C1114C">
            <w:pPr>
              <w:pStyle w:val="Tabletext"/>
              <w:rPr>
                <w:rFonts w:cs="Arial"/>
                <w:sz w:val="20"/>
              </w:rPr>
            </w:pPr>
            <w:r w:rsidRPr="00741157">
              <w:rPr>
                <w:rFonts w:cs="Arial"/>
                <w:sz w:val="20"/>
              </w:rPr>
              <w:t>Per cent</w:t>
            </w:r>
          </w:p>
        </w:tc>
        <w:tc>
          <w:tcPr>
            <w:tcW w:w="2268" w:type="dxa"/>
            <w:noWrap/>
          </w:tcPr>
          <w:p w14:paraId="2AEA5FE7" w14:textId="77777777" w:rsidR="0064412C" w:rsidRPr="00741157" w:rsidRDefault="0064412C" w:rsidP="00C1114C">
            <w:pPr>
              <w:pStyle w:val="Tabletext"/>
              <w:rPr>
                <w:rFonts w:cs="Arial"/>
                <w:sz w:val="20"/>
              </w:rPr>
            </w:pPr>
            <w:r w:rsidRPr="00741157">
              <w:rPr>
                <w:rFonts w:cs="Arial"/>
                <w:sz w:val="20"/>
              </w:rPr>
              <w:t>8</w:t>
            </w:r>
          </w:p>
          <w:p w14:paraId="2B629AD7" w14:textId="7F6FEC48" w:rsidR="0064412C" w:rsidRPr="00741157" w:rsidRDefault="0064412C" w:rsidP="00C1114C">
            <w:pPr>
              <w:pStyle w:val="Tabletext"/>
              <w:rPr>
                <w:rFonts w:cs="Arial"/>
                <w:sz w:val="20"/>
              </w:rPr>
            </w:pPr>
            <w:r w:rsidRPr="00741157">
              <w:rPr>
                <w:rFonts w:cs="Arial"/>
                <w:sz w:val="20"/>
              </w:rPr>
              <w:t>(2012)</w:t>
            </w:r>
          </w:p>
        </w:tc>
        <w:tc>
          <w:tcPr>
            <w:tcW w:w="2268" w:type="dxa"/>
            <w:noWrap/>
          </w:tcPr>
          <w:p w14:paraId="798097C3" w14:textId="0692BE67" w:rsidR="0064412C" w:rsidRPr="00741157" w:rsidRDefault="0064412C" w:rsidP="00C1114C">
            <w:pPr>
              <w:pStyle w:val="Tabletext"/>
              <w:rPr>
                <w:rFonts w:cs="Arial"/>
                <w:sz w:val="20"/>
              </w:rPr>
            </w:pPr>
            <w:r w:rsidRPr="00741157">
              <w:rPr>
                <w:rFonts w:cs="Arial"/>
                <w:sz w:val="20"/>
              </w:rPr>
              <w:t>1</w:t>
            </w:r>
            <w:r w:rsidR="00C96C80">
              <w:rPr>
                <w:rFonts w:cs="Arial"/>
                <w:sz w:val="20"/>
              </w:rPr>
              <w:t>5</w:t>
            </w:r>
          </w:p>
          <w:p w14:paraId="00DAEC6C" w14:textId="65662E8A" w:rsidR="0064412C" w:rsidRPr="00741157" w:rsidRDefault="0064412C" w:rsidP="00C1114C">
            <w:pPr>
              <w:pStyle w:val="Tabletext"/>
              <w:rPr>
                <w:rFonts w:cs="Arial"/>
                <w:sz w:val="20"/>
              </w:rPr>
            </w:pPr>
            <w:r w:rsidRPr="00741157">
              <w:rPr>
                <w:rFonts w:cs="Arial"/>
                <w:sz w:val="20"/>
              </w:rPr>
              <w:t>(20</w:t>
            </w:r>
            <w:r w:rsidR="002F0966" w:rsidRPr="00741157">
              <w:rPr>
                <w:rFonts w:cs="Arial"/>
                <w:sz w:val="20"/>
              </w:rPr>
              <w:t>2</w:t>
            </w:r>
            <w:r w:rsidR="00C96C80">
              <w:rPr>
                <w:rFonts w:cs="Arial"/>
                <w:sz w:val="20"/>
              </w:rPr>
              <w:t>2</w:t>
            </w:r>
            <w:r w:rsidRPr="00741157">
              <w:rPr>
                <w:rFonts w:cs="Arial"/>
                <w:sz w:val="20"/>
              </w:rPr>
              <w:t>)</w:t>
            </w:r>
          </w:p>
        </w:tc>
        <w:tc>
          <w:tcPr>
            <w:tcW w:w="1276" w:type="dxa"/>
            <w:noWrap/>
          </w:tcPr>
          <w:p w14:paraId="69AC9531" w14:textId="0238508C" w:rsidR="0064412C" w:rsidRPr="00741157" w:rsidRDefault="0064412C" w:rsidP="00C1114C">
            <w:pPr>
              <w:pStyle w:val="Tabletext"/>
              <w:rPr>
                <w:rFonts w:cs="Arial"/>
                <w:sz w:val="20"/>
              </w:rPr>
            </w:pPr>
            <w:r w:rsidRPr="00741157">
              <w:rPr>
                <w:rFonts w:cs="Arial"/>
                <w:sz w:val="20"/>
              </w:rPr>
              <w:t>N/S</w:t>
            </w:r>
          </w:p>
        </w:tc>
        <w:tc>
          <w:tcPr>
            <w:tcW w:w="1276" w:type="dxa"/>
          </w:tcPr>
          <w:p w14:paraId="1CE46E38" w14:textId="39C620F5" w:rsidR="0064412C" w:rsidRPr="00741157" w:rsidRDefault="0034479E" w:rsidP="00C1114C">
            <w:pPr>
              <w:pStyle w:val="Tabletext"/>
              <w:rPr>
                <w:rFonts w:cs="Arial"/>
                <w:sz w:val="20"/>
              </w:rPr>
            </w:pPr>
            <w:r w:rsidRPr="00741157">
              <w:rPr>
                <w:rFonts w:cs="Arial"/>
                <w:sz w:val="20"/>
              </w:rPr>
              <w:t>▲</w:t>
            </w:r>
            <w:r w:rsidRPr="00741157">
              <w:rPr>
                <w:rFonts w:cs="Arial"/>
                <w:sz w:val="20"/>
              </w:rPr>
              <w:br/>
              <w:t>Upward</w:t>
            </w:r>
          </w:p>
        </w:tc>
      </w:tr>
      <w:tr w:rsidR="0064412C" w:rsidRPr="0099225F" w14:paraId="54D5910D" w14:textId="77777777" w:rsidTr="00FD59A2">
        <w:trPr>
          <w:trHeight w:val="621"/>
        </w:trPr>
        <w:tc>
          <w:tcPr>
            <w:tcW w:w="1848" w:type="dxa"/>
          </w:tcPr>
          <w:p w14:paraId="7968879D" w14:textId="096929BD" w:rsidR="0064412C" w:rsidRPr="0099225F" w:rsidRDefault="00000000" w:rsidP="00C1114C">
            <w:pPr>
              <w:pStyle w:val="Tabletext"/>
              <w:rPr>
                <w:sz w:val="20"/>
              </w:rPr>
            </w:pPr>
            <w:hyperlink w:anchor="_Measure_12.9_–" w:history="1">
              <w:r w:rsidR="0064412C" w:rsidRPr="0099225F">
                <w:rPr>
                  <w:rStyle w:val="Hyperlink"/>
                  <w:sz w:val="20"/>
                </w:rPr>
                <w:t>12.9</w:t>
              </w:r>
            </w:hyperlink>
          </w:p>
        </w:tc>
        <w:tc>
          <w:tcPr>
            <w:tcW w:w="3539" w:type="dxa"/>
          </w:tcPr>
          <w:p w14:paraId="3A278CB2" w14:textId="514CB311" w:rsidR="0064412C" w:rsidRPr="00741157" w:rsidRDefault="0064412C" w:rsidP="00C1114C">
            <w:pPr>
              <w:pStyle w:val="Tabletext"/>
              <w:rPr>
                <w:rFonts w:cs="Arial"/>
                <w:sz w:val="20"/>
              </w:rPr>
            </w:pPr>
            <w:r w:rsidRPr="00741157">
              <w:rPr>
                <w:rFonts w:cs="Arial"/>
                <w:sz w:val="20"/>
              </w:rPr>
              <w:t xml:space="preserve">Proportion of patients who reported being involved in the decisions about their care and treatment as much as they wanted to </w:t>
            </w:r>
          </w:p>
        </w:tc>
        <w:tc>
          <w:tcPr>
            <w:tcW w:w="1422" w:type="dxa"/>
          </w:tcPr>
          <w:p w14:paraId="1A4D6068" w14:textId="77777777" w:rsidR="0064412C" w:rsidRPr="00741157" w:rsidRDefault="0064412C" w:rsidP="00C1114C">
            <w:pPr>
              <w:pStyle w:val="Tabletext"/>
              <w:rPr>
                <w:rFonts w:cs="Arial"/>
                <w:sz w:val="20"/>
              </w:rPr>
            </w:pPr>
            <w:r w:rsidRPr="00741157">
              <w:rPr>
                <w:rFonts w:cs="Arial"/>
                <w:sz w:val="20"/>
              </w:rPr>
              <w:t>Per cent</w:t>
            </w:r>
          </w:p>
        </w:tc>
        <w:tc>
          <w:tcPr>
            <w:tcW w:w="2268" w:type="dxa"/>
            <w:noWrap/>
          </w:tcPr>
          <w:p w14:paraId="7B7BE813" w14:textId="77777777" w:rsidR="0064412C" w:rsidRPr="00741157" w:rsidRDefault="002F0966" w:rsidP="00C1114C">
            <w:pPr>
              <w:pStyle w:val="Tabletext"/>
              <w:rPr>
                <w:rFonts w:cs="Arial"/>
                <w:sz w:val="20"/>
              </w:rPr>
            </w:pPr>
            <w:r w:rsidRPr="00741157">
              <w:rPr>
                <w:rFonts w:cs="Arial"/>
                <w:sz w:val="20"/>
              </w:rPr>
              <w:t>77.0</w:t>
            </w:r>
          </w:p>
          <w:p w14:paraId="25784428" w14:textId="7D3240A8" w:rsidR="002F0966" w:rsidRPr="00741157" w:rsidRDefault="002F0966" w:rsidP="00C1114C">
            <w:pPr>
              <w:pStyle w:val="Tabletext"/>
              <w:rPr>
                <w:rFonts w:cs="Arial"/>
                <w:sz w:val="20"/>
              </w:rPr>
            </w:pPr>
            <w:r w:rsidRPr="00741157">
              <w:rPr>
                <w:rFonts w:cs="Arial"/>
                <w:sz w:val="20"/>
              </w:rPr>
              <w:t>(2018)</w:t>
            </w:r>
          </w:p>
        </w:tc>
        <w:tc>
          <w:tcPr>
            <w:tcW w:w="2268" w:type="dxa"/>
            <w:noWrap/>
          </w:tcPr>
          <w:p w14:paraId="676F25E0" w14:textId="0DE7F613" w:rsidR="0064412C" w:rsidRPr="00741157" w:rsidRDefault="00DD526B" w:rsidP="00C1114C">
            <w:pPr>
              <w:pStyle w:val="Tabletext"/>
              <w:rPr>
                <w:rFonts w:cs="Arial"/>
                <w:sz w:val="20"/>
              </w:rPr>
            </w:pPr>
            <w:r w:rsidRPr="00741157">
              <w:rPr>
                <w:rFonts w:cs="Arial"/>
                <w:sz w:val="20"/>
              </w:rPr>
              <w:t>69.8</w:t>
            </w:r>
          </w:p>
          <w:p w14:paraId="11DB8C39" w14:textId="59339C85" w:rsidR="0064412C" w:rsidRPr="00741157" w:rsidRDefault="0064412C" w:rsidP="00C1114C">
            <w:pPr>
              <w:pStyle w:val="Tabletext"/>
              <w:rPr>
                <w:rFonts w:cs="Arial"/>
                <w:sz w:val="20"/>
              </w:rPr>
            </w:pPr>
            <w:r w:rsidRPr="00741157">
              <w:rPr>
                <w:rFonts w:cs="Arial"/>
                <w:sz w:val="20"/>
              </w:rPr>
              <w:t>(20</w:t>
            </w:r>
            <w:r w:rsidR="00DD526B" w:rsidRPr="00741157">
              <w:rPr>
                <w:rFonts w:cs="Arial"/>
                <w:sz w:val="20"/>
              </w:rPr>
              <w:t>2</w:t>
            </w:r>
            <w:r w:rsidR="003B62B9" w:rsidRPr="00741157">
              <w:rPr>
                <w:rFonts w:cs="Arial"/>
                <w:sz w:val="20"/>
              </w:rPr>
              <w:t>2</w:t>
            </w:r>
            <w:r w:rsidRPr="00741157">
              <w:rPr>
                <w:rFonts w:cs="Arial"/>
                <w:sz w:val="20"/>
              </w:rPr>
              <w:t>)</w:t>
            </w:r>
          </w:p>
        </w:tc>
        <w:tc>
          <w:tcPr>
            <w:tcW w:w="1276" w:type="dxa"/>
            <w:noWrap/>
          </w:tcPr>
          <w:p w14:paraId="2E9F2A72" w14:textId="791FEE89" w:rsidR="0064412C" w:rsidRPr="00741157" w:rsidRDefault="0064412C" w:rsidP="00C1114C">
            <w:pPr>
              <w:pStyle w:val="Tabletext"/>
              <w:rPr>
                <w:rFonts w:cs="Arial"/>
                <w:sz w:val="20"/>
              </w:rPr>
            </w:pPr>
            <w:r w:rsidRPr="00741157">
              <w:rPr>
                <w:rFonts w:cs="Arial"/>
                <w:sz w:val="20"/>
              </w:rPr>
              <w:t>N/S</w:t>
            </w:r>
          </w:p>
        </w:tc>
        <w:tc>
          <w:tcPr>
            <w:tcW w:w="1276" w:type="dxa"/>
          </w:tcPr>
          <w:p w14:paraId="2B2C12AF" w14:textId="2EAF8935" w:rsidR="0064412C" w:rsidRPr="00741157" w:rsidRDefault="002F0966" w:rsidP="00C1114C">
            <w:pPr>
              <w:pStyle w:val="Tabletext"/>
              <w:rPr>
                <w:rFonts w:cs="Arial"/>
                <w:sz w:val="20"/>
              </w:rPr>
            </w:pPr>
            <w:r w:rsidRPr="00741157">
              <w:rPr>
                <w:rFonts w:cs="Arial"/>
                <w:sz w:val="20"/>
              </w:rPr>
              <w:t>▼</w:t>
            </w:r>
            <w:r w:rsidRPr="00741157">
              <w:rPr>
                <w:rFonts w:cs="Arial"/>
                <w:sz w:val="20"/>
              </w:rPr>
              <w:br/>
              <w:t>Downward</w:t>
            </w:r>
          </w:p>
        </w:tc>
      </w:tr>
      <w:tr w:rsidR="0064412C" w:rsidRPr="0099225F" w14:paraId="64970B00" w14:textId="77777777" w:rsidTr="00FD59A2">
        <w:trPr>
          <w:trHeight w:val="621"/>
        </w:trPr>
        <w:tc>
          <w:tcPr>
            <w:tcW w:w="1848" w:type="dxa"/>
          </w:tcPr>
          <w:p w14:paraId="202A7285" w14:textId="757065AB" w:rsidR="0064412C" w:rsidRPr="0099225F" w:rsidRDefault="00000000" w:rsidP="00C1114C">
            <w:pPr>
              <w:pStyle w:val="Tabletext"/>
              <w:rPr>
                <w:sz w:val="20"/>
              </w:rPr>
            </w:pPr>
            <w:hyperlink w:anchor="_Measure_12.10_–" w:history="1">
              <w:r w:rsidR="0064412C" w:rsidRPr="0099225F">
                <w:rPr>
                  <w:rStyle w:val="Hyperlink"/>
                  <w:sz w:val="20"/>
                </w:rPr>
                <w:t>12.10</w:t>
              </w:r>
            </w:hyperlink>
          </w:p>
        </w:tc>
        <w:tc>
          <w:tcPr>
            <w:tcW w:w="3539" w:type="dxa"/>
          </w:tcPr>
          <w:p w14:paraId="17782725" w14:textId="06109B09" w:rsidR="0064412C" w:rsidRPr="00741157" w:rsidRDefault="0064412C" w:rsidP="00C1114C">
            <w:pPr>
              <w:pStyle w:val="Tabletext"/>
              <w:rPr>
                <w:rFonts w:cs="Arial"/>
                <w:sz w:val="20"/>
              </w:rPr>
            </w:pPr>
            <w:r w:rsidRPr="00741157">
              <w:rPr>
                <w:rFonts w:cs="Arial"/>
                <w:sz w:val="20"/>
              </w:rPr>
              <w:t>Proportion of newly diagnosed patients with evidence of a multidisciplinary treatment plan in the patient records</w:t>
            </w:r>
          </w:p>
        </w:tc>
        <w:tc>
          <w:tcPr>
            <w:tcW w:w="1422" w:type="dxa"/>
          </w:tcPr>
          <w:p w14:paraId="77826D36" w14:textId="77777777" w:rsidR="0064412C" w:rsidRPr="00741157" w:rsidRDefault="0064412C" w:rsidP="00C1114C">
            <w:pPr>
              <w:pStyle w:val="Tabletext"/>
              <w:rPr>
                <w:rFonts w:cs="Arial"/>
                <w:sz w:val="20"/>
              </w:rPr>
            </w:pPr>
            <w:r w:rsidRPr="00741157">
              <w:rPr>
                <w:rFonts w:cs="Arial"/>
                <w:sz w:val="20"/>
              </w:rPr>
              <w:t>Per cent</w:t>
            </w:r>
          </w:p>
        </w:tc>
        <w:tc>
          <w:tcPr>
            <w:tcW w:w="2268" w:type="dxa"/>
            <w:noWrap/>
          </w:tcPr>
          <w:p w14:paraId="61A4A85A" w14:textId="77777777" w:rsidR="0064412C" w:rsidRPr="00741157" w:rsidRDefault="0064412C" w:rsidP="00C1114C">
            <w:pPr>
              <w:pStyle w:val="Tabletext"/>
              <w:rPr>
                <w:rFonts w:cs="Arial"/>
                <w:sz w:val="20"/>
              </w:rPr>
            </w:pPr>
            <w:r w:rsidRPr="00741157">
              <w:rPr>
                <w:rFonts w:cs="Arial"/>
                <w:sz w:val="20"/>
              </w:rPr>
              <w:t>70</w:t>
            </w:r>
          </w:p>
          <w:p w14:paraId="04DB68BB" w14:textId="77777777" w:rsidR="0064412C" w:rsidRPr="00741157" w:rsidRDefault="0064412C" w:rsidP="00C1114C">
            <w:pPr>
              <w:pStyle w:val="Tabletext"/>
              <w:rPr>
                <w:rFonts w:cs="Arial"/>
                <w:sz w:val="20"/>
              </w:rPr>
            </w:pPr>
            <w:r w:rsidRPr="00741157">
              <w:rPr>
                <w:rFonts w:cs="Arial"/>
                <w:sz w:val="20"/>
              </w:rPr>
              <w:t>(2014)</w:t>
            </w:r>
          </w:p>
        </w:tc>
        <w:tc>
          <w:tcPr>
            <w:tcW w:w="2268" w:type="dxa"/>
            <w:noWrap/>
          </w:tcPr>
          <w:p w14:paraId="704D6DDA" w14:textId="54CA6069" w:rsidR="0064412C" w:rsidRPr="00741157" w:rsidRDefault="000F412A" w:rsidP="00C1114C">
            <w:pPr>
              <w:pStyle w:val="Tabletext"/>
              <w:rPr>
                <w:rFonts w:cs="Arial"/>
                <w:sz w:val="20"/>
              </w:rPr>
            </w:pPr>
            <w:r w:rsidRPr="00741157">
              <w:rPr>
                <w:rFonts w:cs="Arial"/>
                <w:sz w:val="20"/>
              </w:rPr>
              <w:t>72</w:t>
            </w:r>
          </w:p>
          <w:p w14:paraId="657C2C92" w14:textId="52438C7A" w:rsidR="0064412C" w:rsidRPr="00741157" w:rsidRDefault="0064412C" w:rsidP="00C1114C">
            <w:pPr>
              <w:pStyle w:val="Tabletext"/>
              <w:rPr>
                <w:rFonts w:cs="Arial"/>
                <w:sz w:val="20"/>
              </w:rPr>
            </w:pPr>
            <w:r w:rsidRPr="00741157">
              <w:rPr>
                <w:rFonts w:cs="Arial"/>
                <w:sz w:val="20"/>
              </w:rPr>
              <w:t>(20</w:t>
            </w:r>
            <w:r w:rsidR="000F412A" w:rsidRPr="00741157">
              <w:rPr>
                <w:rFonts w:cs="Arial"/>
                <w:sz w:val="20"/>
              </w:rPr>
              <w:t>2</w:t>
            </w:r>
            <w:r w:rsidR="00C96C80">
              <w:rPr>
                <w:rFonts w:cs="Arial"/>
                <w:sz w:val="20"/>
              </w:rPr>
              <w:t>1</w:t>
            </w:r>
            <w:r w:rsidRPr="00741157">
              <w:rPr>
                <w:rFonts w:cs="Arial"/>
                <w:sz w:val="20"/>
              </w:rPr>
              <w:t>)</w:t>
            </w:r>
          </w:p>
        </w:tc>
        <w:tc>
          <w:tcPr>
            <w:tcW w:w="1276" w:type="dxa"/>
            <w:noWrap/>
          </w:tcPr>
          <w:p w14:paraId="67C6B7ED" w14:textId="77777777" w:rsidR="0064412C" w:rsidRPr="00741157" w:rsidRDefault="0064412C" w:rsidP="00C1114C">
            <w:pPr>
              <w:pStyle w:val="Tabletext"/>
              <w:rPr>
                <w:rFonts w:cs="Arial"/>
                <w:sz w:val="20"/>
              </w:rPr>
            </w:pPr>
            <w:r w:rsidRPr="00741157">
              <w:rPr>
                <w:rFonts w:cs="Arial"/>
                <w:sz w:val="20"/>
              </w:rPr>
              <w:t>N/S</w:t>
            </w:r>
          </w:p>
        </w:tc>
        <w:tc>
          <w:tcPr>
            <w:tcW w:w="1276" w:type="dxa"/>
          </w:tcPr>
          <w:p w14:paraId="4D8AE599" w14:textId="308FF4AB" w:rsidR="0064412C" w:rsidRPr="00741157" w:rsidRDefault="002F0966" w:rsidP="00C1114C">
            <w:pPr>
              <w:pStyle w:val="Tabletext"/>
              <w:rPr>
                <w:rFonts w:cs="Arial"/>
                <w:sz w:val="20"/>
              </w:rPr>
            </w:pPr>
            <w:r w:rsidRPr="00741157">
              <w:rPr>
                <w:rFonts w:cs="Arial"/>
                <w:sz w:val="20"/>
              </w:rPr>
              <w:t xml:space="preserve">■ </w:t>
            </w:r>
            <w:r w:rsidRPr="00741157">
              <w:rPr>
                <w:rFonts w:cs="Arial"/>
                <w:sz w:val="20"/>
              </w:rPr>
              <w:br/>
              <w:t>No change</w:t>
            </w:r>
            <w:r w:rsidR="00CF3B53" w:rsidRPr="00741157">
              <w:rPr>
                <w:rFonts w:cs="Arial"/>
                <w:sz w:val="20"/>
              </w:rPr>
              <w:br/>
            </w:r>
          </w:p>
        </w:tc>
      </w:tr>
      <w:tr w:rsidR="0064412C" w:rsidRPr="0099225F" w14:paraId="1E22BE36" w14:textId="77777777" w:rsidTr="00FD59A2">
        <w:trPr>
          <w:trHeight w:val="621"/>
        </w:trPr>
        <w:tc>
          <w:tcPr>
            <w:tcW w:w="1848" w:type="dxa"/>
          </w:tcPr>
          <w:p w14:paraId="118DF8D6" w14:textId="73575973" w:rsidR="0064412C" w:rsidRPr="0099225F" w:rsidRDefault="00000000" w:rsidP="00C1114C">
            <w:pPr>
              <w:pStyle w:val="Tabletext"/>
              <w:rPr>
                <w:sz w:val="20"/>
              </w:rPr>
            </w:pPr>
            <w:hyperlink w:anchor="_Appendix_1:_Measures" w:history="1">
              <w:r w:rsidR="0064412C" w:rsidRPr="0099225F">
                <w:rPr>
                  <w:rStyle w:val="Hyperlink"/>
                  <w:sz w:val="20"/>
                </w:rPr>
                <w:t>12.11</w:t>
              </w:r>
            </w:hyperlink>
          </w:p>
        </w:tc>
        <w:tc>
          <w:tcPr>
            <w:tcW w:w="3539" w:type="dxa"/>
          </w:tcPr>
          <w:p w14:paraId="0E8FEA8F" w14:textId="3C5F76A9" w:rsidR="0064412C" w:rsidRPr="00741157" w:rsidRDefault="0064412C" w:rsidP="00C1114C">
            <w:pPr>
              <w:pStyle w:val="Tabletext"/>
              <w:rPr>
                <w:rFonts w:cs="Arial"/>
                <w:sz w:val="20"/>
              </w:rPr>
            </w:pPr>
            <w:r w:rsidRPr="00741157">
              <w:rPr>
                <w:rFonts w:cs="Arial"/>
                <w:sz w:val="20"/>
              </w:rPr>
              <w:t>Proportion of patients with local recurrence of primary tumour within two years of surgical resection or curative radiotherapy of a primary tumour</w:t>
            </w:r>
          </w:p>
        </w:tc>
        <w:tc>
          <w:tcPr>
            <w:tcW w:w="1422" w:type="dxa"/>
          </w:tcPr>
          <w:p w14:paraId="422627FF" w14:textId="77777777" w:rsidR="0064412C" w:rsidRPr="00741157" w:rsidRDefault="0064412C" w:rsidP="00C1114C">
            <w:pPr>
              <w:pStyle w:val="Tabletext"/>
              <w:rPr>
                <w:rFonts w:cs="Arial"/>
                <w:sz w:val="20"/>
              </w:rPr>
            </w:pPr>
            <w:r w:rsidRPr="00741157">
              <w:rPr>
                <w:rFonts w:cs="Arial"/>
                <w:sz w:val="20"/>
              </w:rPr>
              <w:t>Per cent</w:t>
            </w:r>
          </w:p>
        </w:tc>
        <w:tc>
          <w:tcPr>
            <w:tcW w:w="2268" w:type="dxa"/>
            <w:noWrap/>
          </w:tcPr>
          <w:p w14:paraId="1884FF94" w14:textId="0FC88C35" w:rsidR="0064412C" w:rsidRPr="00741157" w:rsidRDefault="00F90C56" w:rsidP="00C1114C">
            <w:pPr>
              <w:pStyle w:val="Tabletext"/>
              <w:rPr>
                <w:rFonts w:cs="Arial"/>
                <w:color w:val="87189D"/>
                <w:sz w:val="20"/>
              </w:rPr>
            </w:pPr>
            <w:r w:rsidRPr="00741157">
              <w:rPr>
                <w:rFonts w:cs="Arial"/>
                <w:color w:val="87189D"/>
                <w:sz w:val="20"/>
              </w:rPr>
              <w:t>Requires more extensive data validation (refer to Appendix 1)</w:t>
            </w:r>
          </w:p>
        </w:tc>
        <w:tc>
          <w:tcPr>
            <w:tcW w:w="2268" w:type="dxa"/>
          </w:tcPr>
          <w:p w14:paraId="440811C9" w14:textId="4CEE8A4B" w:rsidR="0064412C" w:rsidRPr="00741157" w:rsidRDefault="00F90C56" w:rsidP="00C1114C">
            <w:pPr>
              <w:pStyle w:val="Tabletext"/>
              <w:rPr>
                <w:rFonts w:cs="Arial"/>
                <w:color w:val="87189D"/>
                <w:sz w:val="20"/>
              </w:rPr>
            </w:pPr>
            <w:r w:rsidRPr="00741157">
              <w:rPr>
                <w:rFonts w:cs="Arial"/>
                <w:color w:val="87189D"/>
                <w:sz w:val="20"/>
              </w:rPr>
              <w:t>Requires more extensive data validation (refer to Appendix 1)</w:t>
            </w:r>
          </w:p>
        </w:tc>
        <w:tc>
          <w:tcPr>
            <w:tcW w:w="1276" w:type="dxa"/>
            <w:noWrap/>
          </w:tcPr>
          <w:p w14:paraId="049F311A" w14:textId="77777777" w:rsidR="0064412C" w:rsidRPr="00741157" w:rsidRDefault="0064412C" w:rsidP="00C1114C">
            <w:pPr>
              <w:pStyle w:val="Tabletext"/>
              <w:rPr>
                <w:rFonts w:cs="Arial"/>
                <w:sz w:val="20"/>
              </w:rPr>
            </w:pPr>
            <w:r w:rsidRPr="00741157">
              <w:rPr>
                <w:rFonts w:cs="Arial"/>
                <w:sz w:val="20"/>
              </w:rPr>
              <w:t>N/S</w:t>
            </w:r>
          </w:p>
        </w:tc>
        <w:tc>
          <w:tcPr>
            <w:tcW w:w="1276" w:type="dxa"/>
          </w:tcPr>
          <w:p w14:paraId="6A2B6731" w14:textId="77777777" w:rsidR="0064412C" w:rsidRPr="00741157" w:rsidRDefault="0064412C" w:rsidP="00C1114C">
            <w:pPr>
              <w:pStyle w:val="Tabletext"/>
              <w:rPr>
                <w:rFonts w:cs="Arial"/>
                <w:sz w:val="20"/>
              </w:rPr>
            </w:pPr>
            <w:r w:rsidRPr="00741157">
              <w:rPr>
                <w:rFonts w:cs="Arial"/>
                <w:sz w:val="20"/>
              </w:rPr>
              <w:t>N/A</w:t>
            </w:r>
          </w:p>
        </w:tc>
      </w:tr>
      <w:tr w:rsidR="00C96C80" w:rsidRPr="0099225F" w14:paraId="0992ACDE" w14:textId="77777777" w:rsidTr="00FD59A2">
        <w:trPr>
          <w:trHeight w:val="621"/>
        </w:trPr>
        <w:tc>
          <w:tcPr>
            <w:tcW w:w="1848" w:type="dxa"/>
          </w:tcPr>
          <w:p w14:paraId="35E7D750" w14:textId="62F43F9C" w:rsidR="00C96C80" w:rsidRPr="0099225F" w:rsidRDefault="00000000" w:rsidP="00C96C80">
            <w:pPr>
              <w:pStyle w:val="Tabletext"/>
              <w:rPr>
                <w:sz w:val="20"/>
              </w:rPr>
            </w:pPr>
            <w:hyperlink w:anchor="_Measure_12.12_–" w:history="1">
              <w:r w:rsidR="00C96C80" w:rsidRPr="0099225F">
                <w:rPr>
                  <w:rStyle w:val="Hyperlink"/>
                  <w:sz w:val="20"/>
                </w:rPr>
                <w:t>12.12</w:t>
              </w:r>
            </w:hyperlink>
          </w:p>
        </w:tc>
        <w:tc>
          <w:tcPr>
            <w:tcW w:w="3539" w:type="dxa"/>
          </w:tcPr>
          <w:p w14:paraId="1A3BECA9" w14:textId="6CF1DEC1" w:rsidR="00C96C80" w:rsidRPr="00741157" w:rsidRDefault="00C96C80" w:rsidP="00C96C80">
            <w:pPr>
              <w:pStyle w:val="Tabletext"/>
              <w:rPr>
                <w:rFonts w:cs="Arial"/>
                <w:sz w:val="20"/>
              </w:rPr>
            </w:pPr>
            <w:r w:rsidRPr="00741157">
              <w:rPr>
                <w:rFonts w:cs="Arial"/>
                <w:sz w:val="20"/>
              </w:rPr>
              <w:t>Proportion of patients receiving specialist palliative care within 12 months prior to death</w:t>
            </w:r>
          </w:p>
        </w:tc>
        <w:tc>
          <w:tcPr>
            <w:tcW w:w="1422" w:type="dxa"/>
          </w:tcPr>
          <w:p w14:paraId="07F2C5A5" w14:textId="77777777" w:rsidR="00C96C80" w:rsidRPr="00741157" w:rsidRDefault="00C96C80" w:rsidP="00C96C80">
            <w:pPr>
              <w:pStyle w:val="Tabletext"/>
              <w:rPr>
                <w:rFonts w:cs="Arial"/>
                <w:sz w:val="20"/>
              </w:rPr>
            </w:pPr>
            <w:r w:rsidRPr="00741157">
              <w:rPr>
                <w:rFonts w:cs="Arial"/>
                <w:sz w:val="20"/>
              </w:rPr>
              <w:t>Per cent</w:t>
            </w:r>
          </w:p>
        </w:tc>
        <w:tc>
          <w:tcPr>
            <w:tcW w:w="2268" w:type="dxa"/>
            <w:noWrap/>
          </w:tcPr>
          <w:p w14:paraId="5F59B3EC" w14:textId="00DE3986" w:rsidR="00C96C80" w:rsidRPr="00741157" w:rsidRDefault="00C96C80" w:rsidP="00C96C80">
            <w:pPr>
              <w:pStyle w:val="Tabletext"/>
              <w:rPr>
                <w:rFonts w:cs="Arial"/>
                <w:color w:val="000000" w:themeColor="text1"/>
                <w:sz w:val="20"/>
              </w:rPr>
            </w:pPr>
            <w:r w:rsidRPr="00741157">
              <w:rPr>
                <w:rFonts w:cs="Arial"/>
                <w:color w:val="000000" w:themeColor="text1"/>
                <w:sz w:val="20"/>
              </w:rPr>
              <w:t>6</w:t>
            </w:r>
            <w:r>
              <w:rPr>
                <w:rFonts w:cs="Arial"/>
                <w:color w:val="000000" w:themeColor="text1"/>
                <w:sz w:val="20"/>
              </w:rPr>
              <w:t>8</w:t>
            </w:r>
          </w:p>
          <w:p w14:paraId="079511E7" w14:textId="0BCA656F" w:rsidR="00C96C80" w:rsidRPr="00741157" w:rsidRDefault="00C96C80" w:rsidP="00C96C80">
            <w:pPr>
              <w:pStyle w:val="Tabletext"/>
              <w:rPr>
                <w:rFonts w:cs="Arial"/>
                <w:color w:val="000000" w:themeColor="text1"/>
                <w:sz w:val="20"/>
              </w:rPr>
            </w:pPr>
            <w:r w:rsidRPr="00741157">
              <w:rPr>
                <w:rFonts w:cs="Arial"/>
                <w:color w:val="000000" w:themeColor="text1"/>
                <w:sz w:val="20"/>
              </w:rPr>
              <w:t>(2014)</w:t>
            </w:r>
          </w:p>
        </w:tc>
        <w:tc>
          <w:tcPr>
            <w:tcW w:w="2268" w:type="dxa"/>
            <w:noWrap/>
          </w:tcPr>
          <w:p w14:paraId="0910F5DE" w14:textId="1886215B" w:rsidR="00C96C80" w:rsidRPr="00741157" w:rsidRDefault="00C96C80" w:rsidP="00C96C80">
            <w:pPr>
              <w:pStyle w:val="Tabletext"/>
              <w:rPr>
                <w:rFonts w:cs="Arial"/>
                <w:sz w:val="20"/>
              </w:rPr>
            </w:pPr>
            <w:r w:rsidRPr="00741157">
              <w:rPr>
                <w:rFonts w:cs="Arial"/>
                <w:sz w:val="20"/>
              </w:rPr>
              <w:t>6</w:t>
            </w:r>
            <w:r>
              <w:rPr>
                <w:rFonts w:cs="Arial"/>
                <w:sz w:val="20"/>
              </w:rPr>
              <w:t>5</w:t>
            </w:r>
          </w:p>
          <w:p w14:paraId="7CDC7EEA" w14:textId="077CF459" w:rsidR="00C96C80" w:rsidRPr="00741157" w:rsidRDefault="00C96C80" w:rsidP="00C96C80">
            <w:pPr>
              <w:pStyle w:val="Tabletext"/>
              <w:rPr>
                <w:rFonts w:cs="Arial"/>
                <w:sz w:val="20"/>
              </w:rPr>
            </w:pPr>
            <w:r w:rsidRPr="00741157">
              <w:rPr>
                <w:rFonts w:cs="Arial"/>
                <w:sz w:val="20"/>
              </w:rPr>
              <w:t>(20</w:t>
            </w:r>
            <w:r w:rsidR="009D3AA9">
              <w:rPr>
                <w:rFonts w:cs="Arial"/>
                <w:sz w:val="20"/>
              </w:rPr>
              <w:t>21</w:t>
            </w:r>
            <w:r w:rsidRPr="00741157">
              <w:rPr>
                <w:rFonts w:cs="Arial"/>
                <w:sz w:val="20"/>
              </w:rPr>
              <w:t>)</w:t>
            </w:r>
          </w:p>
        </w:tc>
        <w:tc>
          <w:tcPr>
            <w:tcW w:w="1276" w:type="dxa"/>
            <w:noWrap/>
          </w:tcPr>
          <w:p w14:paraId="31FDD976" w14:textId="59E275C9" w:rsidR="00C96C80" w:rsidRPr="00741157" w:rsidRDefault="00C96C80" w:rsidP="00C96C80">
            <w:pPr>
              <w:pStyle w:val="Tabletext"/>
              <w:rPr>
                <w:rFonts w:cs="Arial"/>
                <w:sz w:val="20"/>
              </w:rPr>
            </w:pPr>
            <w:r w:rsidRPr="00741157">
              <w:rPr>
                <w:rFonts w:cs="Arial"/>
                <w:sz w:val="20"/>
              </w:rPr>
              <w:t>N/S</w:t>
            </w:r>
          </w:p>
        </w:tc>
        <w:tc>
          <w:tcPr>
            <w:tcW w:w="1276" w:type="dxa"/>
          </w:tcPr>
          <w:p w14:paraId="728C407B" w14:textId="277F2DBB" w:rsidR="00C96C80" w:rsidRPr="00741157" w:rsidRDefault="00C96C80" w:rsidP="00C96C80">
            <w:pPr>
              <w:pStyle w:val="Tabletext"/>
              <w:rPr>
                <w:rFonts w:cs="Arial"/>
                <w:sz w:val="20"/>
              </w:rPr>
            </w:pPr>
            <w:r w:rsidRPr="00741157">
              <w:rPr>
                <w:rFonts w:cs="Arial"/>
                <w:sz w:val="20"/>
              </w:rPr>
              <w:t>▼</w:t>
            </w:r>
            <w:r w:rsidRPr="00741157">
              <w:rPr>
                <w:rFonts w:cs="Arial"/>
                <w:sz w:val="20"/>
              </w:rPr>
              <w:br/>
              <w:t>Downward</w:t>
            </w:r>
          </w:p>
        </w:tc>
      </w:tr>
      <w:tr w:rsidR="00C96C80" w:rsidRPr="0099225F" w14:paraId="7599E429" w14:textId="77777777" w:rsidTr="00FD59A2">
        <w:trPr>
          <w:trHeight w:val="621"/>
        </w:trPr>
        <w:tc>
          <w:tcPr>
            <w:tcW w:w="1848" w:type="dxa"/>
          </w:tcPr>
          <w:p w14:paraId="5AFE6FA1" w14:textId="46BD7D32" w:rsidR="00C96C80" w:rsidRPr="0099225F" w:rsidRDefault="00000000" w:rsidP="00C96C80">
            <w:pPr>
              <w:pStyle w:val="Tabletext"/>
              <w:rPr>
                <w:sz w:val="20"/>
              </w:rPr>
            </w:pPr>
            <w:hyperlink w:anchor="_Measure_12.13_–" w:history="1">
              <w:r w:rsidR="00C96C80" w:rsidRPr="0099225F">
                <w:rPr>
                  <w:rStyle w:val="Hyperlink"/>
                  <w:sz w:val="20"/>
                </w:rPr>
                <w:t>12.13</w:t>
              </w:r>
            </w:hyperlink>
          </w:p>
        </w:tc>
        <w:tc>
          <w:tcPr>
            <w:tcW w:w="3539" w:type="dxa"/>
          </w:tcPr>
          <w:p w14:paraId="6E0D490E" w14:textId="6931630C" w:rsidR="00C96C80" w:rsidRPr="00741157" w:rsidRDefault="00C96C80" w:rsidP="00C96C80">
            <w:pPr>
              <w:pStyle w:val="Tabletext"/>
              <w:rPr>
                <w:rFonts w:cs="Arial"/>
                <w:sz w:val="20"/>
              </w:rPr>
            </w:pPr>
            <w:r w:rsidRPr="00741157">
              <w:rPr>
                <w:rFonts w:cs="Arial"/>
                <w:sz w:val="20"/>
              </w:rPr>
              <w:t>Proportion of patients receiving aggressive interventions within 30 days prior to death</w:t>
            </w:r>
          </w:p>
        </w:tc>
        <w:tc>
          <w:tcPr>
            <w:tcW w:w="1422" w:type="dxa"/>
          </w:tcPr>
          <w:p w14:paraId="0EB88890" w14:textId="77777777" w:rsidR="00C96C80" w:rsidRPr="00741157" w:rsidRDefault="00C96C80" w:rsidP="00C96C80">
            <w:pPr>
              <w:pStyle w:val="Tabletext"/>
              <w:rPr>
                <w:rFonts w:cs="Arial"/>
                <w:sz w:val="20"/>
              </w:rPr>
            </w:pPr>
            <w:r w:rsidRPr="00741157">
              <w:rPr>
                <w:rFonts w:cs="Arial"/>
                <w:sz w:val="20"/>
              </w:rPr>
              <w:t>Per cent</w:t>
            </w:r>
          </w:p>
        </w:tc>
        <w:tc>
          <w:tcPr>
            <w:tcW w:w="2268" w:type="dxa"/>
            <w:noWrap/>
          </w:tcPr>
          <w:p w14:paraId="6EF61CFE" w14:textId="46CE8F59" w:rsidR="00C96C80" w:rsidRPr="00741157" w:rsidRDefault="00C96C80" w:rsidP="00C96C80">
            <w:pPr>
              <w:pStyle w:val="Tabletext"/>
              <w:rPr>
                <w:rFonts w:cs="Arial"/>
                <w:color w:val="000000" w:themeColor="text1"/>
                <w:sz w:val="20"/>
              </w:rPr>
            </w:pPr>
            <w:r w:rsidRPr="00741157">
              <w:rPr>
                <w:rFonts w:cs="Arial"/>
                <w:color w:val="000000" w:themeColor="text1"/>
                <w:sz w:val="20"/>
              </w:rPr>
              <w:t>10.0 [SACT]</w:t>
            </w:r>
          </w:p>
          <w:p w14:paraId="7D5E1B9A" w14:textId="6FA54311" w:rsidR="00C96C80" w:rsidRPr="00741157" w:rsidRDefault="00C96C80" w:rsidP="00C96C80">
            <w:pPr>
              <w:pStyle w:val="Tabletext"/>
              <w:rPr>
                <w:rFonts w:cs="Arial"/>
                <w:color w:val="000000" w:themeColor="text1"/>
                <w:sz w:val="20"/>
              </w:rPr>
            </w:pPr>
            <w:r w:rsidRPr="00741157">
              <w:rPr>
                <w:rFonts w:cs="Arial"/>
                <w:color w:val="000000" w:themeColor="text1"/>
                <w:sz w:val="20"/>
              </w:rPr>
              <w:t>0.2 [Radical radiation]</w:t>
            </w:r>
          </w:p>
          <w:p w14:paraId="320AD67E" w14:textId="434CFF7E" w:rsidR="00C96C80" w:rsidRPr="00741157" w:rsidRDefault="00C96C80" w:rsidP="00C96C80">
            <w:pPr>
              <w:pStyle w:val="Tabletext"/>
              <w:rPr>
                <w:rFonts w:cs="Arial"/>
                <w:color w:val="000000" w:themeColor="text1"/>
                <w:sz w:val="20"/>
              </w:rPr>
            </w:pPr>
            <w:r w:rsidRPr="00741157">
              <w:rPr>
                <w:rFonts w:cs="Arial"/>
                <w:color w:val="000000" w:themeColor="text1"/>
                <w:sz w:val="20"/>
              </w:rPr>
              <w:t>6.3 [ICU]</w:t>
            </w:r>
          </w:p>
          <w:p w14:paraId="585BB422" w14:textId="64F3905D" w:rsidR="00C96C80" w:rsidRPr="00741157" w:rsidRDefault="00C96C80" w:rsidP="00C96C80">
            <w:pPr>
              <w:pStyle w:val="Tabletext"/>
              <w:rPr>
                <w:rFonts w:cs="Arial"/>
                <w:color w:val="000000" w:themeColor="text1"/>
                <w:sz w:val="20"/>
              </w:rPr>
            </w:pPr>
            <w:r w:rsidRPr="00741157">
              <w:rPr>
                <w:rFonts w:cs="Arial"/>
                <w:color w:val="000000" w:themeColor="text1"/>
                <w:sz w:val="20"/>
              </w:rPr>
              <w:t>(2014)</w:t>
            </w:r>
          </w:p>
        </w:tc>
        <w:tc>
          <w:tcPr>
            <w:tcW w:w="2268" w:type="dxa"/>
            <w:noWrap/>
          </w:tcPr>
          <w:p w14:paraId="56716383" w14:textId="452A935A" w:rsidR="00C96C80" w:rsidRPr="00741157" w:rsidRDefault="00C96C80" w:rsidP="00C96C80">
            <w:pPr>
              <w:pStyle w:val="Tabletext"/>
              <w:rPr>
                <w:rFonts w:cs="Arial"/>
                <w:color w:val="000000" w:themeColor="text1"/>
                <w:sz w:val="20"/>
              </w:rPr>
            </w:pPr>
            <w:r w:rsidRPr="00741157">
              <w:rPr>
                <w:rFonts w:cs="Arial"/>
                <w:color w:val="000000" w:themeColor="text1"/>
                <w:sz w:val="20"/>
              </w:rPr>
              <w:t>11.0 [SACT]</w:t>
            </w:r>
          </w:p>
          <w:p w14:paraId="5703823D" w14:textId="77777777" w:rsidR="00C96C80" w:rsidRPr="00741157" w:rsidRDefault="00C96C80" w:rsidP="00C96C80">
            <w:pPr>
              <w:pStyle w:val="Tabletext"/>
              <w:rPr>
                <w:rFonts w:cs="Arial"/>
                <w:color w:val="000000" w:themeColor="text1"/>
                <w:sz w:val="20"/>
              </w:rPr>
            </w:pPr>
            <w:r w:rsidRPr="00741157">
              <w:rPr>
                <w:rFonts w:cs="Arial"/>
                <w:color w:val="000000" w:themeColor="text1"/>
                <w:sz w:val="20"/>
              </w:rPr>
              <w:t>0.2 [Radical radiation]</w:t>
            </w:r>
          </w:p>
          <w:p w14:paraId="77CCBAF6" w14:textId="6F88C695" w:rsidR="00C96C80" w:rsidRPr="00741157" w:rsidRDefault="00C96C80" w:rsidP="00C96C80">
            <w:pPr>
              <w:pStyle w:val="Tabletext"/>
              <w:rPr>
                <w:rFonts w:cs="Arial"/>
                <w:color w:val="000000" w:themeColor="text1"/>
                <w:sz w:val="20"/>
              </w:rPr>
            </w:pPr>
            <w:r>
              <w:rPr>
                <w:rFonts w:cs="Arial"/>
                <w:color w:val="000000" w:themeColor="text1"/>
                <w:sz w:val="20"/>
              </w:rPr>
              <w:t>5</w:t>
            </w:r>
            <w:r w:rsidRPr="00741157">
              <w:rPr>
                <w:rFonts w:cs="Arial"/>
                <w:color w:val="000000" w:themeColor="text1"/>
                <w:sz w:val="20"/>
              </w:rPr>
              <w:t>.</w:t>
            </w:r>
            <w:r>
              <w:rPr>
                <w:rFonts w:cs="Arial"/>
                <w:color w:val="000000" w:themeColor="text1"/>
                <w:sz w:val="20"/>
              </w:rPr>
              <w:t>9</w:t>
            </w:r>
            <w:r w:rsidRPr="00741157">
              <w:rPr>
                <w:rFonts w:cs="Arial"/>
                <w:color w:val="000000" w:themeColor="text1"/>
                <w:sz w:val="20"/>
              </w:rPr>
              <w:t xml:space="preserve"> [ICU]</w:t>
            </w:r>
          </w:p>
          <w:p w14:paraId="511A628E" w14:textId="20625E2A" w:rsidR="00C96C80" w:rsidRPr="00741157" w:rsidRDefault="00C96C80" w:rsidP="00C96C80">
            <w:pPr>
              <w:pStyle w:val="Tabletext"/>
              <w:rPr>
                <w:rFonts w:cs="Arial"/>
                <w:sz w:val="20"/>
              </w:rPr>
            </w:pPr>
            <w:r w:rsidRPr="00741157">
              <w:rPr>
                <w:rFonts w:cs="Arial"/>
                <w:sz w:val="20"/>
              </w:rPr>
              <w:t>(20</w:t>
            </w:r>
            <w:r>
              <w:rPr>
                <w:rFonts w:cs="Arial"/>
                <w:sz w:val="20"/>
              </w:rPr>
              <w:t>21</w:t>
            </w:r>
            <w:r w:rsidRPr="00741157">
              <w:rPr>
                <w:rFonts w:cs="Arial"/>
                <w:sz w:val="20"/>
              </w:rPr>
              <w:t>)</w:t>
            </w:r>
          </w:p>
        </w:tc>
        <w:tc>
          <w:tcPr>
            <w:tcW w:w="1276" w:type="dxa"/>
            <w:noWrap/>
          </w:tcPr>
          <w:p w14:paraId="7C43B221" w14:textId="0760DB2D" w:rsidR="00C96C80" w:rsidRPr="00741157" w:rsidRDefault="00C96C80" w:rsidP="00C96C80">
            <w:pPr>
              <w:pStyle w:val="Tabletext"/>
              <w:rPr>
                <w:rFonts w:cs="Arial"/>
                <w:sz w:val="20"/>
              </w:rPr>
            </w:pPr>
            <w:r w:rsidRPr="00741157">
              <w:rPr>
                <w:rFonts w:cs="Arial"/>
                <w:sz w:val="20"/>
              </w:rPr>
              <w:t>N/S</w:t>
            </w:r>
          </w:p>
        </w:tc>
        <w:tc>
          <w:tcPr>
            <w:tcW w:w="1276" w:type="dxa"/>
          </w:tcPr>
          <w:p w14:paraId="4C15A64E" w14:textId="181A45EC" w:rsidR="00C96C80" w:rsidRPr="00741157" w:rsidRDefault="00C96C80" w:rsidP="00C96C80">
            <w:pPr>
              <w:pStyle w:val="Tabletext"/>
              <w:rPr>
                <w:rFonts w:cs="Arial"/>
                <w:sz w:val="20"/>
                <w:highlight w:val="yellow"/>
              </w:rPr>
            </w:pPr>
            <w:r w:rsidRPr="00741157">
              <w:rPr>
                <w:rFonts w:cs="Arial"/>
                <w:sz w:val="20"/>
              </w:rPr>
              <w:t xml:space="preserve">■ </w:t>
            </w:r>
            <w:r w:rsidRPr="00741157">
              <w:rPr>
                <w:rFonts w:cs="Arial"/>
                <w:sz w:val="20"/>
              </w:rPr>
              <w:br/>
              <w:t>No change</w:t>
            </w:r>
          </w:p>
        </w:tc>
      </w:tr>
      <w:tr w:rsidR="00C96C80" w:rsidRPr="00885FE2" w14:paraId="7D0FD0AF" w14:textId="77777777" w:rsidTr="00FD59A2">
        <w:trPr>
          <w:trHeight w:val="621"/>
        </w:trPr>
        <w:tc>
          <w:tcPr>
            <w:tcW w:w="1848" w:type="dxa"/>
          </w:tcPr>
          <w:p w14:paraId="2BD2F354" w14:textId="42C0BFAD" w:rsidR="00C96C80" w:rsidRPr="0099225F" w:rsidRDefault="00000000" w:rsidP="00C96C80">
            <w:pPr>
              <w:pStyle w:val="Tabletext"/>
              <w:rPr>
                <w:sz w:val="20"/>
              </w:rPr>
            </w:pPr>
            <w:hyperlink w:anchor="_Measure_12.14_–" w:history="1">
              <w:r w:rsidR="00C96C80" w:rsidRPr="0099225F">
                <w:rPr>
                  <w:rStyle w:val="Hyperlink"/>
                  <w:sz w:val="20"/>
                </w:rPr>
                <w:t>12.14</w:t>
              </w:r>
            </w:hyperlink>
          </w:p>
        </w:tc>
        <w:tc>
          <w:tcPr>
            <w:tcW w:w="3539" w:type="dxa"/>
          </w:tcPr>
          <w:p w14:paraId="56CDAFDC" w14:textId="77777777" w:rsidR="00C96C80" w:rsidRPr="00741157" w:rsidRDefault="00C96C80" w:rsidP="00C96C80">
            <w:pPr>
              <w:pStyle w:val="Tabletext"/>
              <w:rPr>
                <w:rFonts w:cs="Arial"/>
                <w:sz w:val="20"/>
              </w:rPr>
            </w:pPr>
            <w:r w:rsidRPr="00741157">
              <w:rPr>
                <w:rFonts w:cs="Arial"/>
                <w:sz w:val="20"/>
              </w:rPr>
              <w:t>Proportion of deaths due to cancer that occur in hospitals</w:t>
            </w:r>
          </w:p>
        </w:tc>
        <w:tc>
          <w:tcPr>
            <w:tcW w:w="1422" w:type="dxa"/>
          </w:tcPr>
          <w:p w14:paraId="2BE07CAA" w14:textId="77777777" w:rsidR="00C96C80" w:rsidRPr="00741157" w:rsidRDefault="00C96C80" w:rsidP="00C96C80">
            <w:pPr>
              <w:pStyle w:val="Tabletext"/>
              <w:rPr>
                <w:rFonts w:cs="Arial"/>
                <w:sz w:val="20"/>
              </w:rPr>
            </w:pPr>
            <w:r w:rsidRPr="00741157">
              <w:rPr>
                <w:rFonts w:cs="Arial"/>
                <w:sz w:val="20"/>
              </w:rPr>
              <w:t>Per cent</w:t>
            </w:r>
          </w:p>
        </w:tc>
        <w:tc>
          <w:tcPr>
            <w:tcW w:w="2268" w:type="dxa"/>
            <w:noWrap/>
          </w:tcPr>
          <w:p w14:paraId="3A9E3EB3" w14:textId="7E5F4001" w:rsidR="00C96C80" w:rsidRPr="00741157" w:rsidRDefault="00C96C80" w:rsidP="00C96C80">
            <w:pPr>
              <w:pStyle w:val="Tabletext"/>
              <w:rPr>
                <w:rFonts w:cs="Arial"/>
                <w:color w:val="000000" w:themeColor="text1"/>
                <w:sz w:val="20"/>
              </w:rPr>
            </w:pPr>
            <w:r w:rsidRPr="00741157">
              <w:rPr>
                <w:rFonts w:cs="Arial"/>
                <w:color w:val="000000" w:themeColor="text1"/>
                <w:sz w:val="20"/>
              </w:rPr>
              <w:t>7</w:t>
            </w:r>
            <w:r>
              <w:rPr>
                <w:rFonts w:cs="Arial"/>
                <w:color w:val="000000" w:themeColor="text1"/>
                <w:sz w:val="20"/>
              </w:rPr>
              <w:t>2</w:t>
            </w:r>
          </w:p>
          <w:p w14:paraId="5E1B5541" w14:textId="4A4455D9" w:rsidR="00C96C80" w:rsidRPr="00741157" w:rsidRDefault="00C96C80" w:rsidP="00C96C80">
            <w:pPr>
              <w:pStyle w:val="Tabletext"/>
              <w:rPr>
                <w:rFonts w:cs="Arial"/>
                <w:color w:val="000000" w:themeColor="text1"/>
                <w:sz w:val="20"/>
              </w:rPr>
            </w:pPr>
            <w:r w:rsidRPr="00741157">
              <w:rPr>
                <w:rFonts w:cs="Arial"/>
                <w:color w:val="000000" w:themeColor="text1"/>
                <w:sz w:val="20"/>
              </w:rPr>
              <w:t>(2014)</w:t>
            </w:r>
          </w:p>
        </w:tc>
        <w:tc>
          <w:tcPr>
            <w:tcW w:w="2268" w:type="dxa"/>
            <w:noWrap/>
          </w:tcPr>
          <w:p w14:paraId="3C798E66" w14:textId="7AE4FE96" w:rsidR="00C96C80" w:rsidRPr="00741157" w:rsidRDefault="00C96C80" w:rsidP="00C96C80">
            <w:pPr>
              <w:pStyle w:val="Tabletext"/>
              <w:rPr>
                <w:rFonts w:cs="Arial"/>
                <w:sz w:val="20"/>
              </w:rPr>
            </w:pPr>
            <w:r>
              <w:rPr>
                <w:rFonts w:cs="Arial"/>
                <w:sz w:val="20"/>
              </w:rPr>
              <w:t>64</w:t>
            </w:r>
          </w:p>
          <w:p w14:paraId="59A29419" w14:textId="4A2639D1" w:rsidR="00C96C80" w:rsidRPr="00741157" w:rsidRDefault="00C96C80" w:rsidP="00C96C80">
            <w:pPr>
              <w:pStyle w:val="Tabletext"/>
              <w:rPr>
                <w:rFonts w:cs="Arial"/>
                <w:sz w:val="20"/>
              </w:rPr>
            </w:pPr>
            <w:r w:rsidRPr="00741157">
              <w:rPr>
                <w:rFonts w:cs="Arial"/>
                <w:sz w:val="20"/>
              </w:rPr>
              <w:t>(20</w:t>
            </w:r>
            <w:r>
              <w:rPr>
                <w:rFonts w:cs="Arial"/>
                <w:sz w:val="20"/>
              </w:rPr>
              <w:t>21</w:t>
            </w:r>
            <w:r w:rsidRPr="00741157">
              <w:rPr>
                <w:rFonts w:cs="Arial"/>
                <w:sz w:val="20"/>
              </w:rPr>
              <w:t>)</w:t>
            </w:r>
          </w:p>
        </w:tc>
        <w:tc>
          <w:tcPr>
            <w:tcW w:w="1276" w:type="dxa"/>
            <w:noWrap/>
          </w:tcPr>
          <w:p w14:paraId="4D187C17" w14:textId="159E0147" w:rsidR="00C96C80" w:rsidRPr="00741157" w:rsidRDefault="00C96C80" w:rsidP="00C96C80">
            <w:pPr>
              <w:pStyle w:val="Tabletext"/>
              <w:rPr>
                <w:rFonts w:cs="Arial"/>
                <w:sz w:val="20"/>
              </w:rPr>
            </w:pPr>
            <w:r w:rsidRPr="00741157">
              <w:rPr>
                <w:rFonts w:cs="Arial"/>
                <w:sz w:val="20"/>
              </w:rPr>
              <w:t>N/S</w:t>
            </w:r>
          </w:p>
        </w:tc>
        <w:tc>
          <w:tcPr>
            <w:tcW w:w="1276" w:type="dxa"/>
          </w:tcPr>
          <w:p w14:paraId="3F5D659B" w14:textId="6965D982" w:rsidR="00C96C80" w:rsidRPr="00741157" w:rsidRDefault="00C96C80" w:rsidP="00C96C80">
            <w:pPr>
              <w:pStyle w:val="Tabletext"/>
              <w:rPr>
                <w:rFonts w:cs="Arial"/>
                <w:sz w:val="20"/>
              </w:rPr>
            </w:pPr>
            <w:r w:rsidRPr="00741157">
              <w:rPr>
                <w:rFonts w:cs="Arial"/>
                <w:sz w:val="20"/>
              </w:rPr>
              <w:t>▼</w:t>
            </w:r>
            <w:r w:rsidRPr="00741157">
              <w:rPr>
                <w:rFonts w:cs="Arial"/>
                <w:sz w:val="20"/>
              </w:rPr>
              <w:br/>
              <w:t>Downward</w:t>
            </w:r>
          </w:p>
        </w:tc>
      </w:tr>
    </w:tbl>
    <w:p w14:paraId="501820EA" w14:textId="2D101F6B" w:rsidR="00E25B4F" w:rsidRDefault="00E25B4F" w:rsidP="00E25B4F">
      <w:pPr>
        <w:pStyle w:val="Heading5"/>
      </w:pPr>
      <w:r w:rsidRPr="0007466C">
        <w:lastRenderedPageBreak/>
        <w:t>Key result: Increase one-</w:t>
      </w:r>
      <w:r>
        <w:t xml:space="preserve"> </w:t>
      </w:r>
      <w:r w:rsidRPr="0007466C">
        <w:t>and five-year survival</w:t>
      </w:r>
    </w:p>
    <w:tbl>
      <w:tblPr>
        <w:tblStyle w:val="TableGrid"/>
        <w:tblW w:w="14322"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1956"/>
        <w:gridCol w:w="3451"/>
        <w:gridCol w:w="1828"/>
        <w:gridCol w:w="1701"/>
        <w:gridCol w:w="1800"/>
        <w:gridCol w:w="1800"/>
        <w:gridCol w:w="1786"/>
      </w:tblGrid>
      <w:tr w:rsidR="00E25B4F" w:rsidRPr="00741157" w14:paraId="328B5A49" w14:textId="77777777" w:rsidTr="00115F33">
        <w:trPr>
          <w:trHeight w:val="619"/>
          <w:tblHeader/>
        </w:trPr>
        <w:tc>
          <w:tcPr>
            <w:tcW w:w="1956" w:type="dxa"/>
            <w:shd w:val="clear" w:color="auto" w:fill="EDCDCF"/>
          </w:tcPr>
          <w:p w14:paraId="5FE3AC9A" w14:textId="2F38EE42" w:rsidR="00E25B4F" w:rsidRPr="00741157" w:rsidRDefault="00E25B4F" w:rsidP="00E25B4F">
            <w:pPr>
              <w:pStyle w:val="Tablecolhead"/>
              <w:rPr>
                <w:rFonts w:cs="Arial"/>
                <w:sz w:val="20"/>
              </w:rPr>
            </w:pPr>
            <w:r w:rsidRPr="00741157">
              <w:rPr>
                <w:rFonts w:cs="Arial"/>
                <w:sz w:val="20"/>
              </w:rPr>
              <w:t>Measure #</w:t>
            </w:r>
          </w:p>
        </w:tc>
        <w:tc>
          <w:tcPr>
            <w:tcW w:w="3451" w:type="dxa"/>
            <w:shd w:val="clear" w:color="auto" w:fill="EDCDCF"/>
          </w:tcPr>
          <w:p w14:paraId="3C617FD0" w14:textId="36191F23" w:rsidR="00E25B4F" w:rsidRPr="00741157" w:rsidRDefault="00E25B4F" w:rsidP="00E25B4F">
            <w:pPr>
              <w:pStyle w:val="Tablecolhead"/>
              <w:rPr>
                <w:rFonts w:cs="Arial"/>
                <w:sz w:val="20"/>
              </w:rPr>
            </w:pPr>
            <w:r w:rsidRPr="00741157">
              <w:rPr>
                <w:rFonts w:cs="Arial"/>
                <w:sz w:val="20"/>
              </w:rPr>
              <w:t>Description</w:t>
            </w:r>
          </w:p>
        </w:tc>
        <w:tc>
          <w:tcPr>
            <w:tcW w:w="1828" w:type="dxa"/>
            <w:shd w:val="clear" w:color="auto" w:fill="EDCDCF"/>
          </w:tcPr>
          <w:p w14:paraId="03712FAC" w14:textId="5B64111D" w:rsidR="00E25B4F" w:rsidRPr="00741157" w:rsidRDefault="00E25B4F" w:rsidP="00E25B4F">
            <w:pPr>
              <w:pStyle w:val="Tablecolhead"/>
              <w:rPr>
                <w:rFonts w:cs="Arial"/>
                <w:sz w:val="20"/>
              </w:rPr>
            </w:pPr>
            <w:r w:rsidRPr="00741157">
              <w:rPr>
                <w:rFonts w:cs="Arial"/>
                <w:sz w:val="20"/>
              </w:rPr>
              <w:t>Unit of measure</w:t>
            </w:r>
          </w:p>
        </w:tc>
        <w:tc>
          <w:tcPr>
            <w:tcW w:w="1701" w:type="dxa"/>
            <w:shd w:val="clear" w:color="auto" w:fill="EDCDCF"/>
            <w:noWrap/>
          </w:tcPr>
          <w:p w14:paraId="28F169B7" w14:textId="77777777" w:rsidR="00E25B4F" w:rsidRPr="00741157" w:rsidRDefault="00E25B4F" w:rsidP="00E25B4F">
            <w:pPr>
              <w:pStyle w:val="Tablecolhead"/>
              <w:rPr>
                <w:rFonts w:cs="Arial"/>
                <w:sz w:val="20"/>
              </w:rPr>
            </w:pPr>
            <w:r w:rsidRPr="00741157">
              <w:rPr>
                <w:rFonts w:cs="Arial"/>
                <w:sz w:val="20"/>
              </w:rPr>
              <w:t>Baseline</w:t>
            </w:r>
          </w:p>
          <w:p w14:paraId="283E9C8C" w14:textId="507165B3" w:rsidR="00E25B4F" w:rsidRPr="00741157" w:rsidRDefault="00E25B4F" w:rsidP="00E25B4F">
            <w:pPr>
              <w:pStyle w:val="Tablecolhead"/>
              <w:rPr>
                <w:rFonts w:cs="Arial"/>
                <w:sz w:val="20"/>
              </w:rPr>
            </w:pPr>
            <w:r w:rsidRPr="00741157">
              <w:rPr>
                <w:rFonts w:cs="Arial"/>
                <w:sz w:val="20"/>
              </w:rPr>
              <w:t>(year)</w:t>
            </w:r>
          </w:p>
        </w:tc>
        <w:tc>
          <w:tcPr>
            <w:tcW w:w="1800" w:type="dxa"/>
            <w:shd w:val="clear" w:color="auto" w:fill="EDCDCF"/>
            <w:noWrap/>
          </w:tcPr>
          <w:p w14:paraId="29576429" w14:textId="77777777" w:rsidR="00E25B4F" w:rsidRPr="00741157" w:rsidRDefault="00E25B4F" w:rsidP="00E25B4F">
            <w:pPr>
              <w:pStyle w:val="Tablecolhead"/>
              <w:rPr>
                <w:rFonts w:cs="Arial"/>
                <w:sz w:val="20"/>
              </w:rPr>
            </w:pPr>
            <w:r w:rsidRPr="00741157">
              <w:rPr>
                <w:rFonts w:cs="Arial"/>
                <w:sz w:val="20"/>
              </w:rPr>
              <w:t>Most recent</w:t>
            </w:r>
          </w:p>
          <w:p w14:paraId="05087025" w14:textId="18AA5476" w:rsidR="00E25B4F" w:rsidRPr="00741157" w:rsidRDefault="00E25B4F" w:rsidP="00E25B4F">
            <w:pPr>
              <w:pStyle w:val="Tablecolhead"/>
              <w:rPr>
                <w:rFonts w:cs="Arial"/>
                <w:sz w:val="20"/>
              </w:rPr>
            </w:pPr>
            <w:r w:rsidRPr="00741157">
              <w:rPr>
                <w:rFonts w:cs="Arial"/>
                <w:sz w:val="20"/>
              </w:rPr>
              <w:t>(year)</w:t>
            </w:r>
          </w:p>
        </w:tc>
        <w:tc>
          <w:tcPr>
            <w:tcW w:w="1800" w:type="dxa"/>
            <w:shd w:val="clear" w:color="auto" w:fill="EDCDCF"/>
            <w:noWrap/>
          </w:tcPr>
          <w:p w14:paraId="2FC2E148" w14:textId="5976E4FE" w:rsidR="00E25B4F" w:rsidRPr="00741157" w:rsidRDefault="00E25B4F" w:rsidP="00E25B4F">
            <w:pPr>
              <w:pStyle w:val="Tablecolhead"/>
              <w:rPr>
                <w:rFonts w:cs="Arial"/>
                <w:sz w:val="20"/>
              </w:rPr>
            </w:pPr>
            <w:r w:rsidRPr="00741157">
              <w:rPr>
                <w:rFonts w:cs="Arial"/>
                <w:sz w:val="20"/>
              </w:rPr>
              <w:t>Target</w:t>
            </w:r>
          </w:p>
        </w:tc>
        <w:tc>
          <w:tcPr>
            <w:tcW w:w="1786" w:type="dxa"/>
            <w:shd w:val="clear" w:color="auto" w:fill="EDCDCF"/>
          </w:tcPr>
          <w:p w14:paraId="62495694" w14:textId="413BD1F8" w:rsidR="00E25B4F" w:rsidRPr="00741157" w:rsidRDefault="00E25B4F" w:rsidP="00E25B4F">
            <w:pPr>
              <w:pStyle w:val="Tablecolhead"/>
              <w:rPr>
                <w:rFonts w:cs="Arial"/>
                <w:sz w:val="20"/>
              </w:rPr>
            </w:pPr>
            <w:r w:rsidRPr="00741157">
              <w:rPr>
                <w:rFonts w:cs="Arial"/>
                <w:sz w:val="20"/>
              </w:rPr>
              <w:t>Trend</w:t>
            </w:r>
          </w:p>
        </w:tc>
      </w:tr>
      <w:tr w:rsidR="0064412C" w:rsidRPr="00741157" w14:paraId="14691320" w14:textId="77777777" w:rsidTr="00115F33">
        <w:trPr>
          <w:trHeight w:val="619"/>
        </w:trPr>
        <w:tc>
          <w:tcPr>
            <w:tcW w:w="1956" w:type="dxa"/>
          </w:tcPr>
          <w:p w14:paraId="53E10169" w14:textId="15C8FBED" w:rsidR="0064412C" w:rsidRPr="00741157" w:rsidRDefault="00000000" w:rsidP="00C1114C">
            <w:pPr>
              <w:pStyle w:val="Tabletext"/>
              <w:rPr>
                <w:rFonts w:cs="Arial"/>
                <w:sz w:val="20"/>
              </w:rPr>
            </w:pPr>
            <w:hyperlink w:anchor="_Measure_13.1_–" w:history="1">
              <w:r w:rsidR="0064412C" w:rsidRPr="00741157">
                <w:rPr>
                  <w:rStyle w:val="Hyperlink"/>
                  <w:rFonts w:cs="Arial"/>
                  <w:sz w:val="20"/>
                </w:rPr>
                <w:t>13.1</w:t>
              </w:r>
            </w:hyperlink>
          </w:p>
        </w:tc>
        <w:tc>
          <w:tcPr>
            <w:tcW w:w="3451" w:type="dxa"/>
          </w:tcPr>
          <w:p w14:paraId="7A0006B0" w14:textId="77777777" w:rsidR="0064412C" w:rsidRPr="00741157" w:rsidRDefault="0064412C" w:rsidP="00C1114C">
            <w:pPr>
              <w:pStyle w:val="Tabletext"/>
              <w:rPr>
                <w:rFonts w:cs="Arial"/>
                <w:sz w:val="20"/>
              </w:rPr>
            </w:pPr>
            <w:r w:rsidRPr="00741157">
              <w:rPr>
                <w:rFonts w:cs="Arial"/>
                <w:sz w:val="20"/>
              </w:rPr>
              <w:t>One-year survival from all cancers</w:t>
            </w:r>
          </w:p>
        </w:tc>
        <w:tc>
          <w:tcPr>
            <w:tcW w:w="1828" w:type="dxa"/>
          </w:tcPr>
          <w:p w14:paraId="6E0D7D34" w14:textId="77777777" w:rsidR="0064412C" w:rsidRPr="00741157" w:rsidRDefault="0064412C" w:rsidP="00C1114C">
            <w:pPr>
              <w:pStyle w:val="Tabletext"/>
              <w:rPr>
                <w:rFonts w:cs="Arial"/>
                <w:sz w:val="20"/>
              </w:rPr>
            </w:pPr>
            <w:r w:rsidRPr="00741157">
              <w:rPr>
                <w:rFonts w:cs="Arial"/>
                <w:sz w:val="20"/>
              </w:rPr>
              <w:t>Per cent</w:t>
            </w:r>
          </w:p>
        </w:tc>
        <w:tc>
          <w:tcPr>
            <w:tcW w:w="1701" w:type="dxa"/>
            <w:noWrap/>
          </w:tcPr>
          <w:p w14:paraId="5AEF771E" w14:textId="77C990B2" w:rsidR="0064412C" w:rsidRPr="00741157" w:rsidRDefault="0064412C" w:rsidP="00C1114C">
            <w:pPr>
              <w:pStyle w:val="Tabletext"/>
              <w:rPr>
                <w:rFonts w:cs="Arial"/>
                <w:sz w:val="20"/>
              </w:rPr>
            </w:pPr>
            <w:r w:rsidRPr="00741157">
              <w:rPr>
                <w:rFonts w:cs="Arial"/>
                <w:sz w:val="20"/>
              </w:rPr>
              <w:t>8</w:t>
            </w:r>
            <w:r w:rsidR="00912DFB" w:rsidRPr="00741157">
              <w:rPr>
                <w:rFonts w:cs="Arial"/>
                <w:sz w:val="20"/>
              </w:rPr>
              <w:t>2.</w:t>
            </w:r>
            <w:r w:rsidR="00792CFD" w:rsidRPr="00741157">
              <w:rPr>
                <w:rFonts w:cs="Arial"/>
                <w:sz w:val="20"/>
              </w:rPr>
              <w:t>7</w:t>
            </w:r>
          </w:p>
          <w:p w14:paraId="16892A0E" w14:textId="5E2F62D5" w:rsidR="0064412C" w:rsidRPr="00741157" w:rsidRDefault="0064412C" w:rsidP="00C1114C">
            <w:pPr>
              <w:pStyle w:val="Tabletext"/>
              <w:rPr>
                <w:rFonts w:cs="Arial"/>
                <w:sz w:val="20"/>
              </w:rPr>
            </w:pPr>
            <w:r w:rsidRPr="00741157">
              <w:rPr>
                <w:rFonts w:cs="Arial"/>
                <w:sz w:val="20"/>
              </w:rPr>
              <w:t>(2010)</w:t>
            </w:r>
          </w:p>
        </w:tc>
        <w:tc>
          <w:tcPr>
            <w:tcW w:w="1800" w:type="dxa"/>
            <w:noWrap/>
          </w:tcPr>
          <w:p w14:paraId="29262B9D" w14:textId="29F673B5" w:rsidR="0064412C" w:rsidRPr="00741157" w:rsidRDefault="0064412C" w:rsidP="00C1114C">
            <w:pPr>
              <w:pStyle w:val="Tabletext"/>
              <w:rPr>
                <w:rFonts w:cs="Arial"/>
                <w:sz w:val="20"/>
              </w:rPr>
            </w:pPr>
            <w:r w:rsidRPr="00741157">
              <w:rPr>
                <w:rFonts w:cs="Arial"/>
                <w:sz w:val="20"/>
              </w:rPr>
              <w:t>8</w:t>
            </w:r>
            <w:r w:rsidR="00912DFB" w:rsidRPr="00741157">
              <w:rPr>
                <w:rFonts w:cs="Arial"/>
                <w:sz w:val="20"/>
              </w:rPr>
              <w:t>5.</w:t>
            </w:r>
            <w:r w:rsidR="00792CFD" w:rsidRPr="00741157">
              <w:rPr>
                <w:rFonts w:cs="Arial"/>
                <w:sz w:val="20"/>
              </w:rPr>
              <w:t>3</w:t>
            </w:r>
          </w:p>
          <w:p w14:paraId="271F1FCC" w14:textId="192902DA" w:rsidR="0064412C" w:rsidRPr="00741157" w:rsidRDefault="0064412C" w:rsidP="00C1114C">
            <w:pPr>
              <w:pStyle w:val="Tabletext"/>
              <w:rPr>
                <w:rFonts w:cs="Arial"/>
                <w:sz w:val="20"/>
              </w:rPr>
            </w:pPr>
            <w:r w:rsidRPr="00741157">
              <w:rPr>
                <w:rFonts w:cs="Arial"/>
                <w:sz w:val="20"/>
              </w:rPr>
              <w:t>(20</w:t>
            </w:r>
            <w:r w:rsidR="00912DFB" w:rsidRPr="00741157">
              <w:rPr>
                <w:rFonts w:cs="Arial"/>
                <w:sz w:val="20"/>
              </w:rPr>
              <w:t>2</w:t>
            </w:r>
            <w:r w:rsidR="00792CFD" w:rsidRPr="00741157">
              <w:rPr>
                <w:rFonts w:cs="Arial"/>
                <w:sz w:val="20"/>
              </w:rPr>
              <w:t>1</w:t>
            </w:r>
            <w:r w:rsidRPr="00741157">
              <w:rPr>
                <w:rFonts w:cs="Arial"/>
                <w:sz w:val="20"/>
              </w:rPr>
              <w:t>)</w:t>
            </w:r>
          </w:p>
        </w:tc>
        <w:tc>
          <w:tcPr>
            <w:tcW w:w="1800" w:type="dxa"/>
            <w:noWrap/>
          </w:tcPr>
          <w:p w14:paraId="70139E3D" w14:textId="4F9185CD" w:rsidR="0064412C" w:rsidRPr="00741157" w:rsidRDefault="0064412C" w:rsidP="00C1114C">
            <w:pPr>
              <w:pStyle w:val="Tabletext"/>
              <w:rPr>
                <w:rFonts w:cs="Arial"/>
                <w:sz w:val="20"/>
              </w:rPr>
            </w:pPr>
            <w:r w:rsidRPr="00741157">
              <w:rPr>
                <w:rFonts w:cs="Arial"/>
                <w:sz w:val="20"/>
              </w:rPr>
              <w:t>Double the improvement in one-year survival by 2040 from baseline</w:t>
            </w:r>
          </w:p>
        </w:tc>
        <w:tc>
          <w:tcPr>
            <w:tcW w:w="1786" w:type="dxa"/>
          </w:tcPr>
          <w:p w14:paraId="3BAA6ECA" w14:textId="75F43C04" w:rsidR="0064412C" w:rsidRPr="00741157" w:rsidRDefault="0034479E" w:rsidP="00C1114C">
            <w:pPr>
              <w:pStyle w:val="Tabletext"/>
              <w:rPr>
                <w:rFonts w:cs="Arial"/>
                <w:sz w:val="20"/>
              </w:rPr>
            </w:pPr>
            <w:r w:rsidRPr="00741157">
              <w:rPr>
                <w:rFonts w:cs="Arial"/>
                <w:sz w:val="20"/>
              </w:rPr>
              <w:t>▲</w:t>
            </w:r>
            <w:r w:rsidRPr="00741157">
              <w:rPr>
                <w:rFonts w:cs="Arial"/>
                <w:sz w:val="20"/>
              </w:rPr>
              <w:br/>
              <w:t>Upward</w:t>
            </w:r>
          </w:p>
        </w:tc>
      </w:tr>
      <w:tr w:rsidR="0064412C" w:rsidRPr="00741157" w14:paraId="683DE6B6" w14:textId="77777777" w:rsidTr="00115F33">
        <w:trPr>
          <w:trHeight w:val="619"/>
        </w:trPr>
        <w:tc>
          <w:tcPr>
            <w:tcW w:w="1956" w:type="dxa"/>
          </w:tcPr>
          <w:p w14:paraId="1E0F8101" w14:textId="78583F65" w:rsidR="0064412C" w:rsidRPr="00741157" w:rsidRDefault="00000000" w:rsidP="00C1114C">
            <w:pPr>
              <w:pStyle w:val="Tabletext"/>
              <w:rPr>
                <w:rFonts w:cs="Arial"/>
                <w:sz w:val="20"/>
              </w:rPr>
            </w:pPr>
            <w:hyperlink w:anchor="_Measure_13.2_–" w:history="1">
              <w:r w:rsidR="0064412C" w:rsidRPr="00741157">
                <w:rPr>
                  <w:rStyle w:val="Hyperlink"/>
                  <w:rFonts w:cs="Arial"/>
                  <w:sz w:val="20"/>
                </w:rPr>
                <w:t>13.2</w:t>
              </w:r>
            </w:hyperlink>
          </w:p>
        </w:tc>
        <w:tc>
          <w:tcPr>
            <w:tcW w:w="3451" w:type="dxa"/>
          </w:tcPr>
          <w:p w14:paraId="53D4B6B0" w14:textId="77777777" w:rsidR="0064412C" w:rsidRPr="00741157" w:rsidRDefault="0064412C" w:rsidP="00C1114C">
            <w:pPr>
              <w:pStyle w:val="Tabletext"/>
              <w:rPr>
                <w:rFonts w:cs="Arial"/>
                <w:sz w:val="20"/>
              </w:rPr>
            </w:pPr>
            <w:r w:rsidRPr="00741157">
              <w:rPr>
                <w:rFonts w:cs="Arial"/>
                <w:sz w:val="20"/>
              </w:rPr>
              <w:t>One-year survival from lung cancer</w:t>
            </w:r>
          </w:p>
        </w:tc>
        <w:tc>
          <w:tcPr>
            <w:tcW w:w="1828" w:type="dxa"/>
          </w:tcPr>
          <w:p w14:paraId="2271680A" w14:textId="77777777" w:rsidR="0064412C" w:rsidRPr="00741157" w:rsidRDefault="0064412C" w:rsidP="00C1114C">
            <w:pPr>
              <w:pStyle w:val="Tabletext"/>
              <w:rPr>
                <w:rFonts w:cs="Arial"/>
                <w:sz w:val="20"/>
              </w:rPr>
            </w:pPr>
            <w:r w:rsidRPr="00741157">
              <w:rPr>
                <w:rFonts w:cs="Arial"/>
                <w:sz w:val="20"/>
              </w:rPr>
              <w:t>Per cent</w:t>
            </w:r>
          </w:p>
        </w:tc>
        <w:tc>
          <w:tcPr>
            <w:tcW w:w="1701" w:type="dxa"/>
            <w:noWrap/>
          </w:tcPr>
          <w:p w14:paraId="033C1234" w14:textId="6FC44972" w:rsidR="0064412C" w:rsidRPr="00741157" w:rsidRDefault="0064412C" w:rsidP="00C1114C">
            <w:pPr>
              <w:pStyle w:val="Tabletext"/>
              <w:rPr>
                <w:rFonts w:cs="Arial"/>
                <w:sz w:val="20"/>
              </w:rPr>
            </w:pPr>
            <w:r w:rsidRPr="00741157">
              <w:rPr>
                <w:rFonts w:cs="Arial"/>
                <w:sz w:val="20"/>
              </w:rPr>
              <w:t>4</w:t>
            </w:r>
            <w:r w:rsidR="006D05BC" w:rsidRPr="00741157">
              <w:rPr>
                <w:rFonts w:cs="Arial"/>
                <w:sz w:val="20"/>
              </w:rPr>
              <w:t>5</w:t>
            </w:r>
            <w:r w:rsidR="00912DFB" w:rsidRPr="00741157">
              <w:rPr>
                <w:rFonts w:cs="Arial"/>
                <w:sz w:val="20"/>
              </w:rPr>
              <w:t>.</w:t>
            </w:r>
            <w:r w:rsidR="006D05BC" w:rsidRPr="00741157">
              <w:rPr>
                <w:rFonts w:cs="Arial"/>
                <w:sz w:val="20"/>
              </w:rPr>
              <w:t>8</w:t>
            </w:r>
          </w:p>
          <w:p w14:paraId="73B102E6" w14:textId="7E61A677" w:rsidR="0064412C" w:rsidRPr="00741157" w:rsidRDefault="0064412C" w:rsidP="00C1114C">
            <w:pPr>
              <w:pStyle w:val="Tabletext"/>
              <w:rPr>
                <w:rFonts w:cs="Arial"/>
                <w:sz w:val="20"/>
              </w:rPr>
            </w:pPr>
            <w:r w:rsidRPr="00741157">
              <w:rPr>
                <w:rFonts w:cs="Arial"/>
                <w:sz w:val="20"/>
              </w:rPr>
              <w:t>(2010)</w:t>
            </w:r>
          </w:p>
        </w:tc>
        <w:tc>
          <w:tcPr>
            <w:tcW w:w="1800" w:type="dxa"/>
            <w:noWrap/>
          </w:tcPr>
          <w:p w14:paraId="10EAAC9F" w14:textId="641E4B2A" w:rsidR="0064412C" w:rsidRPr="00741157" w:rsidRDefault="00912DFB" w:rsidP="00C1114C">
            <w:pPr>
              <w:pStyle w:val="Tabletext"/>
              <w:rPr>
                <w:rFonts w:cs="Arial"/>
                <w:sz w:val="20"/>
              </w:rPr>
            </w:pPr>
            <w:r w:rsidRPr="00741157">
              <w:rPr>
                <w:rFonts w:cs="Arial"/>
                <w:sz w:val="20"/>
              </w:rPr>
              <w:t>5</w:t>
            </w:r>
            <w:r w:rsidR="006D05BC" w:rsidRPr="00741157">
              <w:rPr>
                <w:rFonts w:cs="Arial"/>
                <w:sz w:val="20"/>
              </w:rPr>
              <w:t>8</w:t>
            </w:r>
            <w:r w:rsidRPr="00741157">
              <w:rPr>
                <w:rFonts w:cs="Arial"/>
                <w:sz w:val="20"/>
              </w:rPr>
              <w:t>.</w:t>
            </w:r>
            <w:r w:rsidR="006D05BC" w:rsidRPr="00741157">
              <w:rPr>
                <w:rFonts w:cs="Arial"/>
                <w:sz w:val="20"/>
              </w:rPr>
              <w:t>1</w:t>
            </w:r>
          </w:p>
          <w:p w14:paraId="68C92564" w14:textId="3A3A32C3" w:rsidR="0064412C" w:rsidRPr="00741157" w:rsidRDefault="0064412C" w:rsidP="00C1114C">
            <w:pPr>
              <w:pStyle w:val="Tabletext"/>
              <w:rPr>
                <w:rFonts w:cs="Arial"/>
                <w:sz w:val="20"/>
              </w:rPr>
            </w:pPr>
            <w:r w:rsidRPr="00741157">
              <w:rPr>
                <w:rFonts w:cs="Arial"/>
                <w:sz w:val="20"/>
              </w:rPr>
              <w:t>(20</w:t>
            </w:r>
            <w:r w:rsidR="00912DFB" w:rsidRPr="00741157">
              <w:rPr>
                <w:rFonts w:cs="Arial"/>
                <w:sz w:val="20"/>
              </w:rPr>
              <w:t>2</w:t>
            </w:r>
            <w:r w:rsidR="006D05BC" w:rsidRPr="00741157">
              <w:rPr>
                <w:rFonts w:cs="Arial"/>
                <w:sz w:val="20"/>
              </w:rPr>
              <w:t>1</w:t>
            </w:r>
            <w:r w:rsidRPr="00741157">
              <w:rPr>
                <w:rFonts w:cs="Arial"/>
                <w:sz w:val="20"/>
              </w:rPr>
              <w:t>)</w:t>
            </w:r>
          </w:p>
        </w:tc>
        <w:tc>
          <w:tcPr>
            <w:tcW w:w="1800" w:type="dxa"/>
            <w:noWrap/>
          </w:tcPr>
          <w:p w14:paraId="07AC66A4" w14:textId="4C9D7FDF" w:rsidR="0064412C" w:rsidRPr="00741157" w:rsidRDefault="0064412C" w:rsidP="00C1114C">
            <w:pPr>
              <w:pStyle w:val="Tabletext"/>
              <w:rPr>
                <w:rFonts w:cs="Arial"/>
                <w:sz w:val="20"/>
              </w:rPr>
            </w:pPr>
            <w:r w:rsidRPr="00741157">
              <w:rPr>
                <w:rFonts w:cs="Arial"/>
                <w:sz w:val="20"/>
              </w:rPr>
              <w:t>N/S</w:t>
            </w:r>
          </w:p>
        </w:tc>
        <w:tc>
          <w:tcPr>
            <w:tcW w:w="1786" w:type="dxa"/>
          </w:tcPr>
          <w:p w14:paraId="7BEA57F9" w14:textId="253D6B62" w:rsidR="0064412C" w:rsidRPr="00741157" w:rsidRDefault="0034479E" w:rsidP="00C1114C">
            <w:pPr>
              <w:pStyle w:val="Tabletext"/>
              <w:rPr>
                <w:rFonts w:cs="Arial"/>
                <w:sz w:val="20"/>
              </w:rPr>
            </w:pPr>
            <w:r w:rsidRPr="00741157">
              <w:rPr>
                <w:rFonts w:cs="Arial"/>
                <w:sz w:val="20"/>
              </w:rPr>
              <w:t>▲</w:t>
            </w:r>
            <w:r w:rsidRPr="00741157">
              <w:rPr>
                <w:rFonts w:cs="Arial"/>
                <w:sz w:val="20"/>
              </w:rPr>
              <w:br/>
              <w:t>Upward</w:t>
            </w:r>
          </w:p>
        </w:tc>
      </w:tr>
      <w:tr w:rsidR="0064412C" w:rsidRPr="00741157" w14:paraId="2A48A062" w14:textId="77777777" w:rsidTr="00115F33">
        <w:trPr>
          <w:trHeight w:val="619"/>
        </w:trPr>
        <w:tc>
          <w:tcPr>
            <w:tcW w:w="1956" w:type="dxa"/>
          </w:tcPr>
          <w:p w14:paraId="29C8CCAE" w14:textId="306AFD02" w:rsidR="0064412C" w:rsidRPr="00741157" w:rsidRDefault="00000000" w:rsidP="00C1114C">
            <w:pPr>
              <w:pStyle w:val="Tabletext"/>
              <w:rPr>
                <w:rFonts w:cs="Arial"/>
                <w:sz w:val="20"/>
              </w:rPr>
            </w:pPr>
            <w:hyperlink w:anchor="_Measure_13.3_–" w:history="1">
              <w:r w:rsidR="0064412C" w:rsidRPr="00741157">
                <w:rPr>
                  <w:rStyle w:val="Hyperlink"/>
                  <w:rFonts w:cs="Arial"/>
                  <w:sz w:val="20"/>
                </w:rPr>
                <w:t>13.3</w:t>
              </w:r>
            </w:hyperlink>
          </w:p>
        </w:tc>
        <w:tc>
          <w:tcPr>
            <w:tcW w:w="3451" w:type="dxa"/>
          </w:tcPr>
          <w:p w14:paraId="1760ECA8" w14:textId="79E52139" w:rsidR="0064412C" w:rsidRPr="00741157" w:rsidRDefault="0064412C" w:rsidP="00C1114C">
            <w:pPr>
              <w:pStyle w:val="Tabletext"/>
              <w:rPr>
                <w:rFonts w:cs="Arial"/>
                <w:sz w:val="20"/>
              </w:rPr>
            </w:pPr>
            <w:r w:rsidRPr="00741157">
              <w:rPr>
                <w:rFonts w:cs="Arial"/>
                <w:sz w:val="20"/>
              </w:rPr>
              <w:t>One-year survival from pancreatic cancer</w:t>
            </w:r>
          </w:p>
        </w:tc>
        <w:tc>
          <w:tcPr>
            <w:tcW w:w="1828" w:type="dxa"/>
          </w:tcPr>
          <w:p w14:paraId="7C639A68" w14:textId="77777777" w:rsidR="0064412C" w:rsidRPr="00741157" w:rsidRDefault="0064412C" w:rsidP="00C1114C">
            <w:pPr>
              <w:pStyle w:val="Tabletext"/>
              <w:rPr>
                <w:rFonts w:cs="Arial"/>
                <w:sz w:val="20"/>
              </w:rPr>
            </w:pPr>
            <w:r w:rsidRPr="00741157">
              <w:rPr>
                <w:rFonts w:cs="Arial"/>
                <w:sz w:val="20"/>
              </w:rPr>
              <w:t>Per cent</w:t>
            </w:r>
          </w:p>
        </w:tc>
        <w:tc>
          <w:tcPr>
            <w:tcW w:w="1701" w:type="dxa"/>
            <w:noWrap/>
          </w:tcPr>
          <w:p w14:paraId="5E6D7BB7" w14:textId="3301C48B" w:rsidR="0064412C" w:rsidRPr="00741157" w:rsidRDefault="00912DFB" w:rsidP="00C1114C">
            <w:pPr>
              <w:pStyle w:val="Tabletext"/>
              <w:rPr>
                <w:rFonts w:cs="Arial"/>
                <w:sz w:val="20"/>
              </w:rPr>
            </w:pPr>
            <w:r w:rsidRPr="00741157">
              <w:rPr>
                <w:rFonts w:cs="Arial"/>
                <w:sz w:val="20"/>
              </w:rPr>
              <w:t>31.</w:t>
            </w:r>
            <w:r w:rsidR="006D05BC" w:rsidRPr="00741157">
              <w:rPr>
                <w:rFonts w:cs="Arial"/>
                <w:sz w:val="20"/>
              </w:rPr>
              <w:t>7</w:t>
            </w:r>
          </w:p>
          <w:p w14:paraId="14277C86" w14:textId="03B1FE17" w:rsidR="0064412C" w:rsidRPr="00741157" w:rsidRDefault="0064412C" w:rsidP="00C1114C">
            <w:pPr>
              <w:pStyle w:val="Tabletext"/>
              <w:rPr>
                <w:rFonts w:cs="Arial"/>
                <w:sz w:val="20"/>
              </w:rPr>
            </w:pPr>
            <w:r w:rsidRPr="00741157">
              <w:rPr>
                <w:rFonts w:cs="Arial"/>
                <w:sz w:val="20"/>
              </w:rPr>
              <w:t>(2010)</w:t>
            </w:r>
          </w:p>
        </w:tc>
        <w:tc>
          <w:tcPr>
            <w:tcW w:w="1800" w:type="dxa"/>
            <w:noWrap/>
          </w:tcPr>
          <w:p w14:paraId="437F0BDB" w14:textId="3EE23050" w:rsidR="0064412C" w:rsidRPr="00741157" w:rsidRDefault="00912DFB" w:rsidP="00C1114C">
            <w:pPr>
              <w:pStyle w:val="Tabletext"/>
              <w:rPr>
                <w:rFonts w:cs="Arial"/>
                <w:sz w:val="20"/>
              </w:rPr>
            </w:pPr>
            <w:r w:rsidRPr="00741157">
              <w:rPr>
                <w:rFonts w:cs="Arial"/>
                <w:sz w:val="20"/>
              </w:rPr>
              <w:t>4</w:t>
            </w:r>
            <w:r w:rsidR="006D05BC" w:rsidRPr="00741157">
              <w:rPr>
                <w:rFonts w:cs="Arial"/>
                <w:sz w:val="20"/>
              </w:rPr>
              <w:t>2</w:t>
            </w:r>
            <w:r w:rsidRPr="00741157">
              <w:rPr>
                <w:rFonts w:cs="Arial"/>
                <w:sz w:val="20"/>
              </w:rPr>
              <w:t>.</w:t>
            </w:r>
            <w:r w:rsidR="006D05BC" w:rsidRPr="00741157">
              <w:rPr>
                <w:rFonts w:cs="Arial"/>
                <w:sz w:val="20"/>
              </w:rPr>
              <w:t>7</w:t>
            </w:r>
          </w:p>
          <w:p w14:paraId="49E0D428" w14:textId="4EA22D5E" w:rsidR="0064412C" w:rsidRPr="00741157" w:rsidRDefault="0064412C" w:rsidP="00C1114C">
            <w:pPr>
              <w:pStyle w:val="Tabletext"/>
              <w:rPr>
                <w:rFonts w:cs="Arial"/>
                <w:sz w:val="20"/>
              </w:rPr>
            </w:pPr>
            <w:r w:rsidRPr="00741157">
              <w:rPr>
                <w:rFonts w:cs="Arial"/>
                <w:sz w:val="20"/>
              </w:rPr>
              <w:t>(20</w:t>
            </w:r>
            <w:r w:rsidR="00912DFB" w:rsidRPr="00741157">
              <w:rPr>
                <w:rFonts w:cs="Arial"/>
                <w:sz w:val="20"/>
              </w:rPr>
              <w:t>2</w:t>
            </w:r>
            <w:r w:rsidR="006D05BC" w:rsidRPr="00741157">
              <w:rPr>
                <w:rFonts w:cs="Arial"/>
                <w:sz w:val="20"/>
              </w:rPr>
              <w:t>1</w:t>
            </w:r>
            <w:r w:rsidRPr="00741157">
              <w:rPr>
                <w:rFonts w:cs="Arial"/>
                <w:sz w:val="20"/>
              </w:rPr>
              <w:t>)</w:t>
            </w:r>
          </w:p>
        </w:tc>
        <w:tc>
          <w:tcPr>
            <w:tcW w:w="1800" w:type="dxa"/>
            <w:noWrap/>
          </w:tcPr>
          <w:p w14:paraId="5137D434" w14:textId="513F6BD2" w:rsidR="0064412C" w:rsidRPr="00741157" w:rsidRDefault="0064412C" w:rsidP="00C1114C">
            <w:pPr>
              <w:pStyle w:val="Tabletext"/>
              <w:rPr>
                <w:rFonts w:cs="Arial"/>
                <w:sz w:val="20"/>
              </w:rPr>
            </w:pPr>
            <w:r w:rsidRPr="00741157">
              <w:rPr>
                <w:rFonts w:cs="Arial"/>
                <w:sz w:val="20"/>
              </w:rPr>
              <w:t>N/S</w:t>
            </w:r>
          </w:p>
        </w:tc>
        <w:tc>
          <w:tcPr>
            <w:tcW w:w="1786" w:type="dxa"/>
          </w:tcPr>
          <w:p w14:paraId="65D4A847" w14:textId="43CA2BE0" w:rsidR="0064412C" w:rsidRPr="00741157" w:rsidRDefault="0034479E" w:rsidP="00C1114C">
            <w:pPr>
              <w:pStyle w:val="Tabletext"/>
              <w:rPr>
                <w:rFonts w:cs="Arial"/>
                <w:sz w:val="20"/>
              </w:rPr>
            </w:pPr>
            <w:r w:rsidRPr="00741157">
              <w:rPr>
                <w:rFonts w:cs="Arial"/>
                <w:sz w:val="20"/>
              </w:rPr>
              <w:t>▲</w:t>
            </w:r>
            <w:r w:rsidRPr="00741157">
              <w:rPr>
                <w:rFonts w:cs="Arial"/>
                <w:sz w:val="20"/>
              </w:rPr>
              <w:br/>
              <w:t>Upward</w:t>
            </w:r>
          </w:p>
        </w:tc>
      </w:tr>
      <w:tr w:rsidR="00912DFB" w:rsidRPr="00741157" w14:paraId="4345F522" w14:textId="77777777" w:rsidTr="00115F33">
        <w:trPr>
          <w:trHeight w:val="619"/>
        </w:trPr>
        <w:tc>
          <w:tcPr>
            <w:tcW w:w="1956" w:type="dxa"/>
          </w:tcPr>
          <w:p w14:paraId="3F3D9B5B" w14:textId="4B979265" w:rsidR="00912DFB" w:rsidRPr="00741157" w:rsidRDefault="00000000" w:rsidP="00912DFB">
            <w:pPr>
              <w:pStyle w:val="Tabletext"/>
              <w:rPr>
                <w:rFonts w:cs="Arial"/>
                <w:sz w:val="20"/>
              </w:rPr>
            </w:pPr>
            <w:hyperlink w:anchor="_Measure_13.4_–" w:history="1">
              <w:r w:rsidR="00912DFB" w:rsidRPr="00741157">
                <w:rPr>
                  <w:rStyle w:val="Hyperlink"/>
                  <w:rFonts w:cs="Arial"/>
                  <w:sz w:val="20"/>
                </w:rPr>
                <w:t>13.4</w:t>
              </w:r>
            </w:hyperlink>
          </w:p>
        </w:tc>
        <w:tc>
          <w:tcPr>
            <w:tcW w:w="3451" w:type="dxa"/>
          </w:tcPr>
          <w:p w14:paraId="397DBE09" w14:textId="6423F05A" w:rsidR="00912DFB" w:rsidRPr="00741157" w:rsidRDefault="00912DFB" w:rsidP="00912DFB">
            <w:pPr>
              <w:pStyle w:val="Tabletext"/>
              <w:rPr>
                <w:rFonts w:cs="Arial"/>
                <w:sz w:val="20"/>
              </w:rPr>
            </w:pPr>
            <w:r w:rsidRPr="00741157">
              <w:rPr>
                <w:rFonts w:cs="Arial"/>
                <w:sz w:val="20"/>
              </w:rPr>
              <w:t>One-year survival from ovarian cancer</w:t>
            </w:r>
          </w:p>
        </w:tc>
        <w:tc>
          <w:tcPr>
            <w:tcW w:w="1828" w:type="dxa"/>
          </w:tcPr>
          <w:p w14:paraId="27F04027" w14:textId="77777777" w:rsidR="00912DFB" w:rsidRPr="00741157" w:rsidRDefault="00912DFB" w:rsidP="00912DFB">
            <w:pPr>
              <w:pStyle w:val="Tabletext"/>
              <w:rPr>
                <w:rFonts w:cs="Arial"/>
                <w:sz w:val="20"/>
              </w:rPr>
            </w:pPr>
            <w:r w:rsidRPr="00741157">
              <w:rPr>
                <w:rFonts w:cs="Arial"/>
                <w:sz w:val="20"/>
              </w:rPr>
              <w:t>Per cent</w:t>
            </w:r>
          </w:p>
        </w:tc>
        <w:tc>
          <w:tcPr>
            <w:tcW w:w="1701" w:type="dxa"/>
            <w:noWrap/>
          </w:tcPr>
          <w:p w14:paraId="7AF7C0CA" w14:textId="5A715B27" w:rsidR="00912DFB" w:rsidRPr="00741157" w:rsidRDefault="00912DFB" w:rsidP="00912DFB">
            <w:pPr>
              <w:pStyle w:val="Tabletext"/>
              <w:rPr>
                <w:rFonts w:cs="Arial"/>
                <w:sz w:val="20"/>
              </w:rPr>
            </w:pPr>
            <w:r w:rsidRPr="00741157">
              <w:rPr>
                <w:rFonts w:cs="Arial"/>
                <w:sz w:val="20"/>
              </w:rPr>
              <w:t>78.4</w:t>
            </w:r>
          </w:p>
          <w:p w14:paraId="46D9ECB0" w14:textId="784E9D5C" w:rsidR="00912DFB" w:rsidRPr="00741157" w:rsidRDefault="00912DFB" w:rsidP="00912DFB">
            <w:pPr>
              <w:pStyle w:val="Tabletext"/>
              <w:rPr>
                <w:rFonts w:cs="Arial"/>
                <w:sz w:val="20"/>
              </w:rPr>
            </w:pPr>
            <w:r w:rsidRPr="00741157">
              <w:rPr>
                <w:rFonts w:cs="Arial"/>
                <w:sz w:val="20"/>
              </w:rPr>
              <w:t>(2010)</w:t>
            </w:r>
          </w:p>
        </w:tc>
        <w:tc>
          <w:tcPr>
            <w:tcW w:w="1800" w:type="dxa"/>
            <w:noWrap/>
          </w:tcPr>
          <w:p w14:paraId="3EA0D77F" w14:textId="5751CA2F" w:rsidR="00912DFB" w:rsidRPr="00741157" w:rsidRDefault="006D05BC" w:rsidP="00912DFB">
            <w:pPr>
              <w:pStyle w:val="Tabletext"/>
              <w:rPr>
                <w:rFonts w:cs="Arial"/>
                <w:sz w:val="20"/>
              </w:rPr>
            </w:pPr>
            <w:r w:rsidRPr="00741157">
              <w:rPr>
                <w:rFonts w:cs="Arial"/>
                <w:sz w:val="20"/>
              </w:rPr>
              <w:t>83</w:t>
            </w:r>
            <w:r w:rsidR="00912DFB" w:rsidRPr="00741157">
              <w:rPr>
                <w:rFonts w:cs="Arial"/>
                <w:sz w:val="20"/>
              </w:rPr>
              <w:t>.</w:t>
            </w:r>
            <w:r w:rsidRPr="00741157">
              <w:rPr>
                <w:rFonts w:cs="Arial"/>
                <w:sz w:val="20"/>
              </w:rPr>
              <w:t>9</w:t>
            </w:r>
          </w:p>
          <w:p w14:paraId="3159F195" w14:textId="7F8DDD5F" w:rsidR="00912DFB" w:rsidRPr="00741157" w:rsidRDefault="00912DFB" w:rsidP="00912DFB">
            <w:pPr>
              <w:pStyle w:val="Tabletext"/>
              <w:rPr>
                <w:rFonts w:cs="Arial"/>
                <w:sz w:val="20"/>
              </w:rPr>
            </w:pPr>
            <w:r w:rsidRPr="00741157">
              <w:rPr>
                <w:rFonts w:cs="Arial"/>
                <w:sz w:val="20"/>
              </w:rPr>
              <w:t>(202</w:t>
            </w:r>
            <w:r w:rsidR="006D05BC" w:rsidRPr="00741157">
              <w:rPr>
                <w:rFonts w:cs="Arial"/>
                <w:sz w:val="20"/>
              </w:rPr>
              <w:t>1</w:t>
            </w:r>
            <w:r w:rsidRPr="00741157">
              <w:rPr>
                <w:rFonts w:cs="Arial"/>
                <w:sz w:val="20"/>
              </w:rPr>
              <w:t>)</w:t>
            </w:r>
          </w:p>
        </w:tc>
        <w:tc>
          <w:tcPr>
            <w:tcW w:w="1800" w:type="dxa"/>
            <w:noWrap/>
          </w:tcPr>
          <w:p w14:paraId="6295AC35" w14:textId="09184104" w:rsidR="00912DFB" w:rsidRPr="00741157" w:rsidRDefault="00912DFB" w:rsidP="00912DFB">
            <w:pPr>
              <w:pStyle w:val="Tabletext"/>
              <w:rPr>
                <w:rFonts w:cs="Arial"/>
                <w:sz w:val="20"/>
              </w:rPr>
            </w:pPr>
            <w:r w:rsidRPr="00741157">
              <w:rPr>
                <w:rFonts w:cs="Arial"/>
                <w:sz w:val="20"/>
              </w:rPr>
              <w:t>N/S</w:t>
            </w:r>
          </w:p>
        </w:tc>
        <w:tc>
          <w:tcPr>
            <w:tcW w:w="1786" w:type="dxa"/>
          </w:tcPr>
          <w:p w14:paraId="22FC473F" w14:textId="4F1C0AD1" w:rsidR="00912DFB" w:rsidRPr="00741157" w:rsidRDefault="006D05BC" w:rsidP="00912DFB">
            <w:pPr>
              <w:pStyle w:val="Tabletext"/>
              <w:rPr>
                <w:rFonts w:cs="Arial"/>
                <w:sz w:val="20"/>
              </w:rPr>
            </w:pPr>
            <w:r w:rsidRPr="00741157">
              <w:rPr>
                <w:rFonts w:cs="Arial"/>
                <w:sz w:val="20"/>
              </w:rPr>
              <w:t>▲</w:t>
            </w:r>
            <w:r w:rsidRPr="00741157">
              <w:rPr>
                <w:rFonts w:cs="Arial"/>
                <w:sz w:val="20"/>
              </w:rPr>
              <w:br/>
              <w:t>Upward</w:t>
            </w:r>
          </w:p>
        </w:tc>
      </w:tr>
      <w:tr w:rsidR="00912DFB" w:rsidRPr="00741157" w14:paraId="26CFF1BC" w14:textId="77777777" w:rsidTr="00115F33">
        <w:trPr>
          <w:trHeight w:val="619"/>
        </w:trPr>
        <w:tc>
          <w:tcPr>
            <w:tcW w:w="1956" w:type="dxa"/>
          </w:tcPr>
          <w:p w14:paraId="6DD9EA7F" w14:textId="0987C34E" w:rsidR="00912DFB" w:rsidRPr="00741157" w:rsidRDefault="00000000" w:rsidP="00912DFB">
            <w:pPr>
              <w:pStyle w:val="Tabletext"/>
              <w:rPr>
                <w:rFonts w:cs="Arial"/>
                <w:sz w:val="20"/>
              </w:rPr>
            </w:pPr>
            <w:hyperlink w:anchor="_Measure_13.5_–" w:history="1">
              <w:r w:rsidR="00912DFB" w:rsidRPr="00741157">
                <w:rPr>
                  <w:rStyle w:val="Hyperlink"/>
                  <w:rFonts w:cs="Arial"/>
                  <w:sz w:val="20"/>
                </w:rPr>
                <w:t>13.5</w:t>
              </w:r>
            </w:hyperlink>
          </w:p>
        </w:tc>
        <w:tc>
          <w:tcPr>
            <w:tcW w:w="3451" w:type="dxa"/>
          </w:tcPr>
          <w:p w14:paraId="5C05FF79" w14:textId="77777777" w:rsidR="00912DFB" w:rsidRPr="00741157" w:rsidRDefault="00912DFB" w:rsidP="00912DFB">
            <w:pPr>
              <w:pStyle w:val="Tabletext"/>
              <w:rPr>
                <w:rFonts w:cs="Arial"/>
                <w:sz w:val="20"/>
              </w:rPr>
            </w:pPr>
            <w:r w:rsidRPr="00741157">
              <w:rPr>
                <w:rFonts w:cs="Arial"/>
                <w:sz w:val="20"/>
              </w:rPr>
              <w:t>One-year survival from colorectal cancer</w:t>
            </w:r>
          </w:p>
        </w:tc>
        <w:tc>
          <w:tcPr>
            <w:tcW w:w="1828" w:type="dxa"/>
          </w:tcPr>
          <w:p w14:paraId="6D26B02D" w14:textId="77777777" w:rsidR="00912DFB" w:rsidRPr="00741157" w:rsidRDefault="00912DFB" w:rsidP="00912DFB">
            <w:pPr>
              <w:pStyle w:val="Tabletext"/>
              <w:rPr>
                <w:rFonts w:cs="Arial"/>
                <w:sz w:val="20"/>
              </w:rPr>
            </w:pPr>
            <w:r w:rsidRPr="00741157">
              <w:rPr>
                <w:rFonts w:cs="Arial"/>
                <w:sz w:val="20"/>
              </w:rPr>
              <w:t>Per cent</w:t>
            </w:r>
          </w:p>
        </w:tc>
        <w:tc>
          <w:tcPr>
            <w:tcW w:w="1701" w:type="dxa"/>
            <w:noWrap/>
          </w:tcPr>
          <w:p w14:paraId="58050F62" w14:textId="4D823AF2" w:rsidR="00912DFB" w:rsidRPr="00741157" w:rsidRDefault="00912DFB" w:rsidP="00912DFB">
            <w:pPr>
              <w:pStyle w:val="Tabletext"/>
              <w:rPr>
                <w:rFonts w:cs="Arial"/>
                <w:sz w:val="20"/>
              </w:rPr>
            </w:pPr>
            <w:r w:rsidRPr="00741157">
              <w:rPr>
                <w:rFonts w:cs="Arial"/>
                <w:sz w:val="20"/>
              </w:rPr>
              <w:t>86.</w:t>
            </w:r>
            <w:r w:rsidR="006D05BC" w:rsidRPr="00741157">
              <w:rPr>
                <w:rFonts w:cs="Arial"/>
                <w:sz w:val="20"/>
              </w:rPr>
              <w:t>5</w:t>
            </w:r>
          </w:p>
          <w:p w14:paraId="0041ABC8" w14:textId="371266F8" w:rsidR="00912DFB" w:rsidRPr="00741157" w:rsidRDefault="00912DFB" w:rsidP="00912DFB">
            <w:pPr>
              <w:pStyle w:val="Tabletext"/>
              <w:rPr>
                <w:rFonts w:cs="Arial"/>
                <w:sz w:val="20"/>
              </w:rPr>
            </w:pPr>
            <w:r w:rsidRPr="00741157">
              <w:rPr>
                <w:rFonts w:cs="Arial"/>
                <w:sz w:val="20"/>
              </w:rPr>
              <w:t>(2010)</w:t>
            </w:r>
          </w:p>
        </w:tc>
        <w:tc>
          <w:tcPr>
            <w:tcW w:w="1800" w:type="dxa"/>
            <w:noWrap/>
          </w:tcPr>
          <w:p w14:paraId="067E457F" w14:textId="162FE03E" w:rsidR="00912DFB" w:rsidRPr="00741157" w:rsidRDefault="00912DFB" w:rsidP="00912DFB">
            <w:pPr>
              <w:pStyle w:val="Tabletext"/>
              <w:rPr>
                <w:rFonts w:cs="Arial"/>
                <w:sz w:val="20"/>
              </w:rPr>
            </w:pPr>
            <w:r w:rsidRPr="00741157">
              <w:rPr>
                <w:rFonts w:cs="Arial"/>
                <w:sz w:val="20"/>
              </w:rPr>
              <w:t>87.</w:t>
            </w:r>
            <w:r w:rsidR="006D05BC" w:rsidRPr="00741157">
              <w:rPr>
                <w:rFonts w:cs="Arial"/>
                <w:sz w:val="20"/>
              </w:rPr>
              <w:t>2</w:t>
            </w:r>
          </w:p>
          <w:p w14:paraId="7267CDD4" w14:textId="0D581CAB" w:rsidR="00912DFB" w:rsidRPr="00741157" w:rsidRDefault="00912DFB" w:rsidP="00912DFB">
            <w:pPr>
              <w:pStyle w:val="Tabletext"/>
              <w:rPr>
                <w:rFonts w:cs="Arial"/>
                <w:sz w:val="20"/>
              </w:rPr>
            </w:pPr>
            <w:r w:rsidRPr="00741157">
              <w:rPr>
                <w:rFonts w:cs="Arial"/>
                <w:sz w:val="20"/>
              </w:rPr>
              <w:t>(202</w:t>
            </w:r>
            <w:r w:rsidR="006D05BC" w:rsidRPr="00741157">
              <w:rPr>
                <w:rFonts w:cs="Arial"/>
                <w:sz w:val="20"/>
              </w:rPr>
              <w:t>1</w:t>
            </w:r>
            <w:r w:rsidRPr="00741157">
              <w:rPr>
                <w:rFonts w:cs="Arial"/>
                <w:sz w:val="20"/>
              </w:rPr>
              <w:t>)</w:t>
            </w:r>
          </w:p>
        </w:tc>
        <w:tc>
          <w:tcPr>
            <w:tcW w:w="1800" w:type="dxa"/>
            <w:noWrap/>
          </w:tcPr>
          <w:p w14:paraId="1350245F" w14:textId="0282F53F" w:rsidR="00912DFB" w:rsidRPr="00741157" w:rsidRDefault="00912DFB" w:rsidP="00912DFB">
            <w:pPr>
              <w:pStyle w:val="Tabletext"/>
              <w:rPr>
                <w:rFonts w:cs="Arial"/>
                <w:sz w:val="20"/>
              </w:rPr>
            </w:pPr>
            <w:r w:rsidRPr="00741157">
              <w:rPr>
                <w:rFonts w:cs="Arial"/>
                <w:sz w:val="20"/>
              </w:rPr>
              <w:t>N/S</w:t>
            </w:r>
          </w:p>
        </w:tc>
        <w:tc>
          <w:tcPr>
            <w:tcW w:w="1786" w:type="dxa"/>
          </w:tcPr>
          <w:p w14:paraId="04901706" w14:textId="003B366C" w:rsidR="00912DFB" w:rsidRPr="00741157" w:rsidRDefault="00912DFB" w:rsidP="00912DFB">
            <w:pPr>
              <w:pStyle w:val="Tabletext"/>
              <w:rPr>
                <w:rFonts w:cs="Arial"/>
                <w:sz w:val="20"/>
              </w:rPr>
            </w:pPr>
            <w:r w:rsidRPr="00741157">
              <w:rPr>
                <w:rFonts w:cs="Arial"/>
                <w:sz w:val="20"/>
              </w:rPr>
              <w:t xml:space="preserve">■ </w:t>
            </w:r>
            <w:r w:rsidRPr="00741157">
              <w:rPr>
                <w:rFonts w:cs="Arial"/>
                <w:sz w:val="20"/>
              </w:rPr>
              <w:br/>
              <w:t>No change</w:t>
            </w:r>
          </w:p>
        </w:tc>
      </w:tr>
      <w:tr w:rsidR="00912DFB" w:rsidRPr="00741157" w14:paraId="7D881FB4" w14:textId="77777777" w:rsidTr="00115F33">
        <w:trPr>
          <w:trHeight w:val="619"/>
        </w:trPr>
        <w:tc>
          <w:tcPr>
            <w:tcW w:w="1956" w:type="dxa"/>
          </w:tcPr>
          <w:p w14:paraId="127987C0" w14:textId="32F519E9" w:rsidR="00912DFB" w:rsidRPr="00741157" w:rsidRDefault="00000000" w:rsidP="00912DFB">
            <w:pPr>
              <w:pStyle w:val="Tabletext"/>
              <w:rPr>
                <w:rFonts w:cs="Arial"/>
                <w:sz w:val="20"/>
              </w:rPr>
            </w:pPr>
            <w:hyperlink w:anchor="_Measure_13.6_–" w:history="1">
              <w:r w:rsidR="00912DFB" w:rsidRPr="00741157">
                <w:rPr>
                  <w:rStyle w:val="Hyperlink"/>
                  <w:rFonts w:cs="Arial"/>
                  <w:sz w:val="20"/>
                </w:rPr>
                <w:t>13.6</w:t>
              </w:r>
            </w:hyperlink>
          </w:p>
        </w:tc>
        <w:tc>
          <w:tcPr>
            <w:tcW w:w="3451" w:type="dxa"/>
          </w:tcPr>
          <w:p w14:paraId="5B598B0B" w14:textId="77777777" w:rsidR="00912DFB" w:rsidRPr="00741157" w:rsidRDefault="00912DFB" w:rsidP="00912DFB">
            <w:pPr>
              <w:pStyle w:val="Tabletext"/>
              <w:rPr>
                <w:rFonts w:cs="Arial"/>
                <w:sz w:val="20"/>
              </w:rPr>
            </w:pPr>
            <w:r w:rsidRPr="00741157">
              <w:rPr>
                <w:rFonts w:cs="Arial"/>
                <w:sz w:val="20"/>
              </w:rPr>
              <w:t>One-year survival from brain cancer</w:t>
            </w:r>
          </w:p>
        </w:tc>
        <w:tc>
          <w:tcPr>
            <w:tcW w:w="1828" w:type="dxa"/>
          </w:tcPr>
          <w:p w14:paraId="15380AFA" w14:textId="77777777" w:rsidR="00912DFB" w:rsidRPr="00741157" w:rsidRDefault="00912DFB" w:rsidP="00912DFB">
            <w:pPr>
              <w:pStyle w:val="Tabletext"/>
              <w:rPr>
                <w:rFonts w:cs="Arial"/>
                <w:sz w:val="20"/>
              </w:rPr>
            </w:pPr>
            <w:r w:rsidRPr="00741157">
              <w:rPr>
                <w:rFonts w:cs="Arial"/>
                <w:sz w:val="20"/>
              </w:rPr>
              <w:t>Per cent</w:t>
            </w:r>
          </w:p>
        </w:tc>
        <w:tc>
          <w:tcPr>
            <w:tcW w:w="1701" w:type="dxa"/>
            <w:noWrap/>
          </w:tcPr>
          <w:p w14:paraId="4F4D7355" w14:textId="428A1A22" w:rsidR="00912DFB" w:rsidRPr="00741157" w:rsidRDefault="00912DFB" w:rsidP="00912DFB">
            <w:pPr>
              <w:pStyle w:val="Tabletext"/>
              <w:rPr>
                <w:rFonts w:cs="Arial"/>
                <w:sz w:val="20"/>
              </w:rPr>
            </w:pPr>
            <w:r w:rsidRPr="00741157">
              <w:rPr>
                <w:rFonts w:cs="Arial"/>
                <w:sz w:val="20"/>
              </w:rPr>
              <w:t>56.9</w:t>
            </w:r>
          </w:p>
          <w:p w14:paraId="2209D477" w14:textId="55163072" w:rsidR="00912DFB" w:rsidRPr="00741157" w:rsidRDefault="00912DFB" w:rsidP="00912DFB">
            <w:pPr>
              <w:pStyle w:val="Tabletext"/>
              <w:rPr>
                <w:rFonts w:cs="Arial"/>
                <w:sz w:val="20"/>
              </w:rPr>
            </w:pPr>
            <w:r w:rsidRPr="00741157">
              <w:rPr>
                <w:rFonts w:cs="Arial"/>
                <w:sz w:val="20"/>
              </w:rPr>
              <w:t>(2010)</w:t>
            </w:r>
          </w:p>
        </w:tc>
        <w:tc>
          <w:tcPr>
            <w:tcW w:w="1800" w:type="dxa"/>
            <w:noWrap/>
          </w:tcPr>
          <w:p w14:paraId="75CAD400" w14:textId="1F518B6B" w:rsidR="00912DFB" w:rsidRPr="00741157" w:rsidRDefault="006D05BC" w:rsidP="00912DFB">
            <w:pPr>
              <w:pStyle w:val="Tabletext"/>
              <w:rPr>
                <w:rFonts w:cs="Arial"/>
                <w:sz w:val="20"/>
              </w:rPr>
            </w:pPr>
            <w:r w:rsidRPr="00741157">
              <w:rPr>
                <w:rFonts w:cs="Arial"/>
                <w:sz w:val="20"/>
              </w:rPr>
              <w:t>60.9</w:t>
            </w:r>
          </w:p>
          <w:p w14:paraId="6E28A32F" w14:textId="3AA139C7" w:rsidR="00912DFB" w:rsidRPr="00741157" w:rsidRDefault="00912DFB" w:rsidP="00912DFB">
            <w:pPr>
              <w:pStyle w:val="Tabletext"/>
              <w:rPr>
                <w:rFonts w:cs="Arial"/>
                <w:sz w:val="20"/>
              </w:rPr>
            </w:pPr>
            <w:r w:rsidRPr="00741157">
              <w:rPr>
                <w:rFonts w:cs="Arial"/>
                <w:sz w:val="20"/>
              </w:rPr>
              <w:t>(202</w:t>
            </w:r>
            <w:r w:rsidR="006D05BC" w:rsidRPr="00741157">
              <w:rPr>
                <w:rFonts w:cs="Arial"/>
                <w:sz w:val="20"/>
              </w:rPr>
              <w:t>1</w:t>
            </w:r>
            <w:r w:rsidRPr="00741157">
              <w:rPr>
                <w:rFonts w:cs="Arial"/>
                <w:sz w:val="20"/>
              </w:rPr>
              <w:t>)</w:t>
            </w:r>
          </w:p>
        </w:tc>
        <w:tc>
          <w:tcPr>
            <w:tcW w:w="1800" w:type="dxa"/>
            <w:noWrap/>
          </w:tcPr>
          <w:p w14:paraId="280926A1" w14:textId="75072D9A" w:rsidR="00912DFB" w:rsidRPr="00741157" w:rsidRDefault="00912DFB" w:rsidP="00912DFB">
            <w:pPr>
              <w:pStyle w:val="Tabletext"/>
              <w:rPr>
                <w:rFonts w:cs="Arial"/>
                <w:sz w:val="20"/>
              </w:rPr>
            </w:pPr>
            <w:r w:rsidRPr="00741157">
              <w:rPr>
                <w:rFonts w:cs="Arial"/>
                <w:sz w:val="20"/>
              </w:rPr>
              <w:t>N/S</w:t>
            </w:r>
          </w:p>
        </w:tc>
        <w:tc>
          <w:tcPr>
            <w:tcW w:w="1786" w:type="dxa"/>
          </w:tcPr>
          <w:p w14:paraId="021BBF57" w14:textId="71E688AA" w:rsidR="00912DFB" w:rsidRPr="00741157" w:rsidRDefault="00912DFB" w:rsidP="00912DFB">
            <w:pPr>
              <w:pStyle w:val="Tabletext"/>
              <w:rPr>
                <w:rFonts w:cs="Arial"/>
                <w:sz w:val="20"/>
              </w:rPr>
            </w:pPr>
            <w:r w:rsidRPr="00741157">
              <w:rPr>
                <w:rFonts w:cs="Arial"/>
                <w:sz w:val="20"/>
              </w:rPr>
              <w:t>▲</w:t>
            </w:r>
            <w:r w:rsidRPr="00741157">
              <w:rPr>
                <w:rFonts w:cs="Arial"/>
                <w:sz w:val="20"/>
              </w:rPr>
              <w:br/>
              <w:t>Upward</w:t>
            </w:r>
          </w:p>
        </w:tc>
      </w:tr>
      <w:tr w:rsidR="00912DFB" w:rsidRPr="00741157" w14:paraId="3EBEB762" w14:textId="77777777" w:rsidTr="00115F33">
        <w:trPr>
          <w:trHeight w:val="619"/>
        </w:trPr>
        <w:tc>
          <w:tcPr>
            <w:tcW w:w="1956" w:type="dxa"/>
          </w:tcPr>
          <w:p w14:paraId="6A3537F3" w14:textId="508FCC84" w:rsidR="00912DFB" w:rsidRPr="00741157" w:rsidRDefault="00000000" w:rsidP="00912DFB">
            <w:pPr>
              <w:pStyle w:val="Tabletext"/>
              <w:rPr>
                <w:rFonts w:cs="Arial"/>
                <w:sz w:val="20"/>
              </w:rPr>
            </w:pPr>
            <w:hyperlink w:anchor="_Measure_13.7_–" w:history="1">
              <w:r w:rsidR="00912DFB" w:rsidRPr="00741157">
                <w:rPr>
                  <w:rStyle w:val="Hyperlink"/>
                  <w:rFonts w:cs="Arial"/>
                  <w:sz w:val="20"/>
                </w:rPr>
                <w:t>13.7</w:t>
              </w:r>
            </w:hyperlink>
          </w:p>
        </w:tc>
        <w:tc>
          <w:tcPr>
            <w:tcW w:w="3451" w:type="dxa"/>
          </w:tcPr>
          <w:p w14:paraId="16B043EA" w14:textId="17368035" w:rsidR="00912DFB" w:rsidRPr="00741157" w:rsidRDefault="00912DFB" w:rsidP="00912DFB">
            <w:pPr>
              <w:pStyle w:val="Tabletext"/>
              <w:rPr>
                <w:rFonts w:cs="Arial"/>
                <w:sz w:val="20"/>
              </w:rPr>
            </w:pPr>
            <w:r w:rsidRPr="00741157">
              <w:rPr>
                <w:rFonts w:cs="Arial"/>
                <w:sz w:val="20"/>
              </w:rPr>
              <w:t>One-year survival from oesophag</w:t>
            </w:r>
            <w:r w:rsidR="00D53660" w:rsidRPr="00741157">
              <w:rPr>
                <w:rFonts w:cs="Arial"/>
                <w:sz w:val="20"/>
              </w:rPr>
              <w:t>eal</w:t>
            </w:r>
            <w:r w:rsidRPr="00741157">
              <w:rPr>
                <w:rFonts w:cs="Arial"/>
                <w:sz w:val="20"/>
              </w:rPr>
              <w:t xml:space="preserve"> cancer</w:t>
            </w:r>
          </w:p>
        </w:tc>
        <w:tc>
          <w:tcPr>
            <w:tcW w:w="1828" w:type="dxa"/>
          </w:tcPr>
          <w:p w14:paraId="032A2B4C" w14:textId="77777777" w:rsidR="00912DFB" w:rsidRPr="00741157" w:rsidRDefault="00912DFB" w:rsidP="00912DFB">
            <w:pPr>
              <w:pStyle w:val="Tabletext"/>
              <w:rPr>
                <w:rFonts w:cs="Arial"/>
                <w:sz w:val="20"/>
              </w:rPr>
            </w:pPr>
            <w:r w:rsidRPr="00741157">
              <w:rPr>
                <w:rFonts w:cs="Arial"/>
                <w:sz w:val="20"/>
              </w:rPr>
              <w:t>Per cent</w:t>
            </w:r>
          </w:p>
        </w:tc>
        <w:tc>
          <w:tcPr>
            <w:tcW w:w="1701" w:type="dxa"/>
            <w:noWrap/>
          </w:tcPr>
          <w:p w14:paraId="6BFC1B33" w14:textId="641BBA29" w:rsidR="00912DFB" w:rsidRPr="00741157" w:rsidRDefault="00912DFB" w:rsidP="00912DFB">
            <w:pPr>
              <w:pStyle w:val="Tabletext"/>
              <w:rPr>
                <w:rFonts w:cs="Arial"/>
                <w:sz w:val="20"/>
              </w:rPr>
            </w:pPr>
            <w:r w:rsidRPr="00741157">
              <w:rPr>
                <w:rFonts w:cs="Arial"/>
                <w:sz w:val="20"/>
              </w:rPr>
              <w:t>50.</w:t>
            </w:r>
            <w:r w:rsidR="006D05BC" w:rsidRPr="00741157">
              <w:rPr>
                <w:rFonts w:cs="Arial"/>
                <w:sz w:val="20"/>
              </w:rPr>
              <w:t>7</w:t>
            </w:r>
          </w:p>
          <w:p w14:paraId="03CBBA6F" w14:textId="242CF693" w:rsidR="00912DFB" w:rsidRPr="00741157" w:rsidRDefault="00912DFB" w:rsidP="00912DFB">
            <w:pPr>
              <w:pStyle w:val="Tabletext"/>
              <w:rPr>
                <w:rFonts w:cs="Arial"/>
                <w:sz w:val="20"/>
              </w:rPr>
            </w:pPr>
            <w:r w:rsidRPr="00741157">
              <w:rPr>
                <w:rFonts w:cs="Arial"/>
                <w:sz w:val="20"/>
              </w:rPr>
              <w:t>(2010)</w:t>
            </w:r>
          </w:p>
        </w:tc>
        <w:tc>
          <w:tcPr>
            <w:tcW w:w="1800" w:type="dxa"/>
            <w:noWrap/>
          </w:tcPr>
          <w:p w14:paraId="437B11AC" w14:textId="75522B53" w:rsidR="00912DFB" w:rsidRPr="00741157" w:rsidRDefault="00912DFB" w:rsidP="00912DFB">
            <w:pPr>
              <w:pStyle w:val="Tabletext"/>
              <w:rPr>
                <w:rFonts w:cs="Arial"/>
                <w:sz w:val="20"/>
              </w:rPr>
            </w:pPr>
            <w:r w:rsidRPr="00741157">
              <w:rPr>
                <w:rFonts w:cs="Arial"/>
                <w:sz w:val="20"/>
              </w:rPr>
              <w:t>5</w:t>
            </w:r>
            <w:r w:rsidR="006D05BC" w:rsidRPr="00741157">
              <w:rPr>
                <w:rFonts w:cs="Arial"/>
                <w:sz w:val="20"/>
              </w:rPr>
              <w:t>3</w:t>
            </w:r>
            <w:r w:rsidRPr="00741157">
              <w:rPr>
                <w:rFonts w:cs="Arial"/>
                <w:sz w:val="20"/>
              </w:rPr>
              <w:t>.</w:t>
            </w:r>
            <w:r w:rsidR="006D05BC" w:rsidRPr="00741157">
              <w:rPr>
                <w:rFonts w:cs="Arial"/>
                <w:sz w:val="20"/>
              </w:rPr>
              <w:t>1</w:t>
            </w:r>
          </w:p>
          <w:p w14:paraId="39BBF42B" w14:textId="15FBAAA7" w:rsidR="00912DFB" w:rsidRPr="00741157" w:rsidRDefault="00912DFB" w:rsidP="00912DFB">
            <w:pPr>
              <w:pStyle w:val="Tabletext"/>
              <w:rPr>
                <w:rFonts w:cs="Arial"/>
                <w:sz w:val="20"/>
              </w:rPr>
            </w:pPr>
            <w:r w:rsidRPr="00741157">
              <w:rPr>
                <w:rFonts w:cs="Arial"/>
                <w:sz w:val="20"/>
              </w:rPr>
              <w:t>(202</w:t>
            </w:r>
            <w:r w:rsidR="006D05BC" w:rsidRPr="00741157">
              <w:rPr>
                <w:rFonts w:cs="Arial"/>
                <w:sz w:val="20"/>
              </w:rPr>
              <w:t>1</w:t>
            </w:r>
            <w:r w:rsidRPr="00741157">
              <w:rPr>
                <w:rFonts w:cs="Arial"/>
                <w:sz w:val="20"/>
              </w:rPr>
              <w:t>)</w:t>
            </w:r>
          </w:p>
        </w:tc>
        <w:tc>
          <w:tcPr>
            <w:tcW w:w="1800" w:type="dxa"/>
            <w:noWrap/>
          </w:tcPr>
          <w:p w14:paraId="7A92D6CC" w14:textId="2F6D643C" w:rsidR="00912DFB" w:rsidRPr="00741157" w:rsidRDefault="00912DFB" w:rsidP="00912DFB">
            <w:pPr>
              <w:pStyle w:val="Tabletext"/>
              <w:rPr>
                <w:rFonts w:cs="Arial"/>
                <w:sz w:val="20"/>
              </w:rPr>
            </w:pPr>
            <w:r w:rsidRPr="00741157">
              <w:rPr>
                <w:rFonts w:cs="Arial"/>
                <w:sz w:val="20"/>
              </w:rPr>
              <w:t>N/S</w:t>
            </w:r>
          </w:p>
        </w:tc>
        <w:tc>
          <w:tcPr>
            <w:tcW w:w="1786" w:type="dxa"/>
          </w:tcPr>
          <w:p w14:paraId="6E474213" w14:textId="06424352" w:rsidR="00912DFB" w:rsidRPr="00741157" w:rsidRDefault="00912DFB" w:rsidP="00912DFB">
            <w:pPr>
              <w:pStyle w:val="Tabletext"/>
              <w:rPr>
                <w:rFonts w:cs="Arial"/>
                <w:sz w:val="20"/>
              </w:rPr>
            </w:pPr>
            <w:r w:rsidRPr="00741157">
              <w:rPr>
                <w:rFonts w:cs="Arial"/>
                <w:sz w:val="20"/>
              </w:rPr>
              <w:t>▲</w:t>
            </w:r>
            <w:r w:rsidRPr="00741157">
              <w:rPr>
                <w:rFonts w:cs="Arial"/>
                <w:sz w:val="20"/>
              </w:rPr>
              <w:br/>
              <w:t>Upward</w:t>
            </w:r>
          </w:p>
        </w:tc>
      </w:tr>
      <w:tr w:rsidR="00912DFB" w:rsidRPr="00741157" w14:paraId="245ADC35" w14:textId="77777777" w:rsidTr="00115F33">
        <w:trPr>
          <w:trHeight w:val="619"/>
        </w:trPr>
        <w:tc>
          <w:tcPr>
            <w:tcW w:w="1956" w:type="dxa"/>
          </w:tcPr>
          <w:p w14:paraId="358DF468" w14:textId="6BB7542B" w:rsidR="00912DFB" w:rsidRPr="00741157" w:rsidRDefault="00000000" w:rsidP="00912DFB">
            <w:pPr>
              <w:pStyle w:val="Tabletext"/>
              <w:rPr>
                <w:rFonts w:cs="Arial"/>
                <w:sz w:val="20"/>
              </w:rPr>
            </w:pPr>
            <w:hyperlink w:anchor="_Measure_13.8_–" w:history="1">
              <w:r w:rsidR="00912DFB" w:rsidRPr="00741157">
                <w:rPr>
                  <w:rStyle w:val="Hyperlink"/>
                  <w:rFonts w:cs="Arial"/>
                  <w:sz w:val="20"/>
                </w:rPr>
                <w:t>13.8</w:t>
              </w:r>
            </w:hyperlink>
          </w:p>
        </w:tc>
        <w:tc>
          <w:tcPr>
            <w:tcW w:w="3451" w:type="dxa"/>
          </w:tcPr>
          <w:p w14:paraId="21E61067" w14:textId="77777777" w:rsidR="00912DFB" w:rsidRPr="00741157" w:rsidRDefault="00912DFB" w:rsidP="00912DFB">
            <w:pPr>
              <w:pStyle w:val="Tabletext"/>
              <w:rPr>
                <w:rFonts w:cs="Arial"/>
                <w:sz w:val="20"/>
              </w:rPr>
            </w:pPr>
            <w:r w:rsidRPr="00741157">
              <w:rPr>
                <w:rFonts w:cs="Arial"/>
                <w:sz w:val="20"/>
              </w:rPr>
              <w:t>One-year survival from acute myeloid leukaemia</w:t>
            </w:r>
          </w:p>
        </w:tc>
        <w:tc>
          <w:tcPr>
            <w:tcW w:w="1828" w:type="dxa"/>
          </w:tcPr>
          <w:p w14:paraId="120FF1FF" w14:textId="77777777" w:rsidR="00912DFB" w:rsidRPr="00741157" w:rsidRDefault="00912DFB" w:rsidP="00912DFB">
            <w:pPr>
              <w:pStyle w:val="Tabletext"/>
              <w:rPr>
                <w:rFonts w:cs="Arial"/>
                <w:sz w:val="20"/>
              </w:rPr>
            </w:pPr>
            <w:r w:rsidRPr="00741157">
              <w:rPr>
                <w:rFonts w:cs="Arial"/>
                <w:sz w:val="20"/>
              </w:rPr>
              <w:t>Per cent</w:t>
            </w:r>
          </w:p>
        </w:tc>
        <w:tc>
          <w:tcPr>
            <w:tcW w:w="1701" w:type="dxa"/>
            <w:noWrap/>
          </w:tcPr>
          <w:p w14:paraId="32B16260" w14:textId="7B5F67F4" w:rsidR="00912DFB" w:rsidRPr="00741157" w:rsidRDefault="00912DFB" w:rsidP="00912DFB">
            <w:pPr>
              <w:pStyle w:val="Tabletext"/>
              <w:rPr>
                <w:rFonts w:cs="Arial"/>
                <w:sz w:val="20"/>
              </w:rPr>
            </w:pPr>
            <w:r w:rsidRPr="00741157">
              <w:rPr>
                <w:rFonts w:cs="Arial"/>
                <w:sz w:val="20"/>
              </w:rPr>
              <w:t>5</w:t>
            </w:r>
            <w:r w:rsidR="006D05BC" w:rsidRPr="00741157">
              <w:rPr>
                <w:rFonts w:cs="Arial"/>
                <w:sz w:val="20"/>
              </w:rPr>
              <w:t>3</w:t>
            </w:r>
            <w:r w:rsidRPr="00741157">
              <w:rPr>
                <w:rFonts w:cs="Arial"/>
                <w:sz w:val="20"/>
              </w:rPr>
              <w:t>.</w:t>
            </w:r>
            <w:r w:rsidR="006D05BC" w:rsidRPr="00741157">
              <w:rPr>
                <w:rFonts w:cs="Arial"/>
                <w:sz w:val="20"/>
              </w:rPr>
              <w:t>7</w:t>
            </w:r>
          </w:p>
          <w:p w14:paraId="08C38E6B" w14:textId="49A0A39C" w:rsidR="00912DFB" w:rsidRPr="00741157" w:rsidRDefault="00912DFB" w:rsidP="00912DFB">
            <w:pPr>
              <w:pStyle w:val="Tabletext"/>
              <w:rPr>
                <w:rFonts w:cs="Arial"/>
                <w:sz w:val="20"/>
              </w:rPr>
            </w:pPr>
            <w:r w:rsidRPr="00741157">
              <w:rPr>
                <w:rFonts w:cs="Arial"/>
                <w:sz w:val="20"/>
              </w:rPr>
              <w:t>(2010)</w:t>
            </w:r>
          </w:p>
        </w:tc>
        <w:tc>
          <w:tcPr>
            <w:tcW w:w="1800" w:type="dxa"/>
            <w:noWrap/>
          </w:tcPr>
          <w:p w14:paraId="3A39E459" w14:textId="5D254962" w:rsidR="00912DFB" w:rsidRPr="00741157" w:rsidRDefault="004F2411" w:rsidP="00912DFB">
            <w:pPr>
              <w:pStyle w:val="Tabletext"/>
              <w:rPr>
                <w:rFonts w:cs="Arial"/>
                <w:sz w:val="20"/>
              </w:rPr>
            </w:pPr>
            <w:r w:rsidRPr="00741157">
              <w:rPr>
                <w:rFonts w:cs="Arial"/>
                <w:sz w:val="20"/>
              </w:rPr>
              <w:t>55</w:t>
            </w:r>
            <w:r w:rsidR="00912DFB" w:rsidRPr="00741157">
              <w:rPr>
                <w:rFonts w:cs="Arial"/>
                <w:sz w:val="20"/>
              </w:rPr>
              <w:t>.</w:t>
            </w:r>
            <w:r w:rsidRPr="00741157">
              <w:rPr>
                <w:rFonts w:cs="Arial"/>
                <w:sz w:val="20"/>
              </w:rPr>
              <w:t>7</w:t>
            </w:r>
          </w:p>
          <w:p w14:paraId="513B5CFC" w14:textId="2D1565DE" w:rsidR="00912DFB" w:rsidRPr="00741157" w:rsidRDefault="00912DFB" w:rsidP="00912DFB">
            <w:pPr>
              <w:pStyle w:val="Tabletext"/>
              <w:rPr>
                <w:rFonts w:cs="Arial"/>
                <w:sz w:val="20"/>
              </w:rPr>
            </w:pPr>
            <w:r w:rsidRPr="00741157">
              <w:rPr>
                <w:rFonts w:cs="Arial"/>
                <w:sz w:val="20"/>
              </w:rPr>
              <w:t>(202</w:t>
            </w:r>
            <w:r w:rsidR="004F2411" w:rsidRPr="00741157">
              <w:rPr>
                <w:rFonts w:cs="Arial"/>
                <w:sz w:val="20"/>
              </w:rPr>
              <w:t>1</w:t>
            </w:r>
            <w:r w:rsidRPr="00741157">
              <w:rPr>
                <w:rFonts w:cs="Arial"/>
                <w:sz w:val="20"/>
              </w:rPr>
              <w:t>)</w:t>
            </w:r>
          </w:p>
        </w:tc>
        <w:tc>
          <w:tcPr>
            <w:tcW w:w="1800" w:type="dxa"/>
            <w:noWrap/>
          </w:tcPr>
          <w:p w14:paraId="6D6B1FA3" w14:textId="12AB22F3" w:rsidR="00912DFB" w:rsidRPr="00741157" w:rsidRDefault="00912DFB" w:rsidP="00912DFB">
            <w:pPr>
              <w:pStyle w:val="Tabletext"/>
              <w:rPr>
                <w:rFonts w:cs="Arial"/>
                <w:sz w:val="20"/>
              </w:rPr>
            </w:pPr>
            <w:r w:rsidRPr="00741157">
              <w:rPr>
                <w:rFonts w:cs="Arial"/>
                <w:sz w:val="20"/>
              </w:rPr>
              <w:t>N/S</w:t>
            </w:r>
          </w:p>
        </w:tc>
        <w:tc>
          <w:tcPr>
            <w:tcW w:w="1786" w:type="dxa"/>
          </w:tcPr>
          <w:p w14:paraId="41A9A63A" w14:textId="07BFE3FE" w:rsidR="00912DFB" w:rsidRPr="00741157" w:rsidRDefault="004F2411" w:rsidP="00912DFB">
            <w:pPr>
              <w:pStyle w:val="Tabletext"/>
              <w:rPr>
                <w:rFonts w:cs="Arial"/>
                <w:sz w:val="20"/>
              </w:rPr>
            </w:pPr>
            <w:r w:rsidRPr="00741157">
              <w:rPr>
                <w:rFonts w:cs="Arial"/>
                <w:sz w:val="20"/>
              </w:rPr>
              <w:t xml:space="preserve">■ </w:t>
            </w:r>
            <w:r w:rsidRPr="00741157">
              <w:rPr>
                <w:rFonts w:cs="Arial"/>
                <w:sz w:val="20"/>
              </w:rPr>
              <w:br/>
              <w:t>No change</w:t>
            </w:r>
          </w:p>
        </w:tc>
      </w:tr>
      <w:tr w:rsidR="00912DFB" w:rsidRPr="00741157" w14:paraId="422A4610" w14:textId="77777777" w:rsidTr="00115F33">
        <w:trPr>
          <w:trHeight w:val="619"/>
        </w:trPr>
        <w:tc>
          <w:tcPr>
            <w:tcW w:w="1956" w:type="dxa"/>
          </w:tcPr>
          <w:p w14:paraId="4CBEAEA0" w14:textId="76F83A5A" w:rsidR="00912DFB" w:rsidRPr="00741157" w:rsidRDefault="00000000" w:rsidP="00912DFB">
            <w:pPr>
              <w:pStyle w:val="Tabletext"/>
              <w:rPr>
                <w:rFonts w:cs="Arial"/>
                <w:sz w:val="20"/>
              </w:rPr>
            </w:pPr>
            <w:hyperlink w:anchor="_Measure_13.9_–" w:history="1">
              <w:r w:rsidR="00912DFB" w:rsidRPr="00741157">
                <w:rPr>
                  <w:rStyle w:val="Hyperlink"/>
                  <w:rFonts w:cs="Arial"/>
                  <w:sz w:val="20"/>
                </w:rPr>
                <w:t>13.9</w:t>
              </w:r>
            </w:hyperlink>
          </w:p>
        </w:tc>
        <w:tc>
          <w:tcPr>
            <w:tcW w:w="3451" w:type="dxa"/>
          </w:tcPr>
          <w:p w14:paraId="4A3E1401" w14:textId="65223550" w:rsidR="00912DFB" w:rsidRPr="00741157" w:rsidRDefault="00912DFB" w:rsidP="00912DFB">
            <w:pPr>
              <w:pStyle w:val="Tabletext"/>
              <w:rPr>
                <w:rFonts w:cs="Arial"/>
                <w:sz w:val="20"/>
              </w:rPr>
            </w:pPr>
            <w:r w:rsidRPr="00741157">
              <w:rPr>
                <w:rFonts w:cs="Arial"/>
                <w:sz w:val="20"/>
              </w:rPr>
              <w:t>Five-year relative survival from all cancers</w:t>
            </w:r>
          </w:p>
        </w:tc>
        <w:tc>
          <w:tcPr>
            <w:tcW w:w="1828" w:type="dxa"/>
          </w:tcPr>
          <w:p w14:paraId="4A924913" w14:textId="77777777" w:rsidR="00912DFB" w:rsidRPr="00741157" w:rsidRDefault="00912DFB" w:rsidP="00912DFB">
            <w:pPr>
              <w:pStyle w:val="Tabletext"/>
              <w:rPr>
                <w:rFonts w:cs="Arial"/>
                <w:sz w:val="20"/>
              </w:rPr>
            </w:pPr>
            <w:r w:rsidRPr="00741157">
              <w:rPr>
                <w:rFonts w:cs="Arial"/>
                <w:sz w:val="20"/>
              </w:rPr>
              <w:t>Per cent</w:t>
            </w:r>
          </w:p>
        </w:tc>
        <w:tc>
          <w:tcPr>
            <w:tcW w:w="1701" w:type="dxa"/>
            <w:noWrap/>
          </w:tcPr>
          <w:p w14:paraId="168D4353" w14:textId="25C38748" w:rsidR="00912DFB" w:rsidRPr="00741157" w:rsidRDefault="00912DFB" w:rsidP="00912DFB">
            <w:pPr>
              <w:pStyle w:val="Tabletext"/>
              <w:rPr>
                <w:rFonts w:cs="Arial"/>
                <w:sz w:val="20"/>
              </w:rPr>
            </w:pPr>
            <w:r w:rsidRPr="00741157">
              <w:rPr>
                <w:rFonts w:cs="Arial"/>
                <w:sz w:val="20"/>
              </w:rPr>
              <w:t>68.</w:t>
            </w:r>
            <w:r w:rsidR="004F2411" w:rsidRPr="00741157">
              <w:rPr>
                <w:rFonts w:cs="Arial"/>
                <w:sz w:val="20"/>
              </w:rPr>
              <w:t>1</w:t>
            </w:r>
          </w:p>
          <w:p w14:paraId="690A2827" w14:textId="21E680A6" w:rsidR="00912DFB" w:rsidRPr="00741157" w:rsidRDefault="00912DFB" w:rsidP="00912DFB">
            <w:pPr>
              <w:pStyle w:val="Tabletext"/>
              <w:rPr>
                <w:rFonts w:cs="Arial"/>
                <w:sz w:val="20"/>
              </w:rPr>
            </w:pPr>
            <w:r w:rsidRPr="00741157">
              <w:rPr>
                <w:rFonts w:cs="Arial"/>
                <w:sz w:val="20"/>
              </w:rPr>
              <w:t>(2010–2014)</w:t>
            </w:r>
          </w:p>
        </w:tc>
        <w:tc>
          <w:tcPr>
            <w:tcW w:w="1800" w:type="dxa"/>
            <w:noWrap/>
          </w:tcPr>
          <w:p w14:paraId="09F531F5" w14:textId="2D0916E2" w:rsidR="00912DFB" w:rsidRPr="00741157" w:rsidRDefault="00912DFB" w:rsidP="00912DFB">
            <w:pPr>
              <w:pStyle w:val="Tabletext"/>
              <w:rPr>
                <w:rFonts w:cs="Arial"/>
                <w:sz w:val="20"/>
              </w:rPr>
            </w:pPr>
            <w:r w:rsidRPr="00741157">
              <w:rPr>
                <w:rFonts w:cs="Arial"/>
                <w:sz w:val="20"/>
              </w:rPr>
              <w:t>70.</w:t>
            </w:r>
            <w:r w:rsidR="004F2411" w:rsidRPr="00741157">
              <w:rPr>
                <w:rFonts w:cs="Arial"/>
                <w:sz w:val="20"/>
              </w:rPr>
              <w:t>3</w:t>
            </w:r>
          </w:p>
          <w:p w14:paraId="45B36098" w14:textId="0B71516B" w:rsidR="00912DFB" w:rsidRPr="00741157" w:rsidRDefault="00912DFB" w:rsidP="00912DFB">
            <w:pPr>
              <w:pStyle w:val="Tabletext"/>
              <w:rPr>
                <w:rFonts w:cs="Arial"/>
                <w:sz w:val="20"/>
              </w:rPr>
            </w:pPr>
            <w:r w:rsidRPr="00741157">
              <w:rPr>
                <w:rFonts w:cs="Arial"/>
                <w:sz w:val="20"/>
              </w:rPr>
              <w:t>(2015–2019)</w:t>
            </w:r>
          </w:p>
        </w:tc>
        <w:tc>
          <w:tcPr>
            <w:tcW w:w="1800" w:type="dxa"/>
            <w:noWrap/>
          </w:tcPr>
          <w:p w14:paraId="0D8D8DCD" w14:textId="6934FB0C" w:rsidR="00912DFB" w:rsidRPr="00741157" w:rsidRDefault="00912DFB" w:rsidP="00912DFB">
            <w:pPr>
              <w:pStyle w:val="Tabletext"/>
              <w:rPr>
                <w:rFonts w:cs="Arial"/>
                <w:sz w:val="20"/>
              </w:rPr>
            </w:pPr>
            <w:r w:rsidRPr="00741157">
              <w:rPr>
                <w:rFonts w:cs="Arial"/>
                <w:sz w:val="20"/>
              </w:rPr>
              <w:t>Double the improvement in five-year survival by 2040 from baseline</w:t>
            </w:r>
          </w:p>
        </w:tc>
        <w:tc>
          <w:tcPr>
            <w:tcW w:w="1786" w:type="dxa"/>
          </w:tcPr>
          <w:p w14:paraId="0A859824" w14:textId="1A4AD1D2" w:rsidR="00912DFB" w:rsidRPr="00741157" w:rsidRDefault="00912DFB" w:rsidP="00912DFB">
            <w:pPr>
              <w:pStyle w:val="Tabletext"/>
              <w:rPr>
                <w:rFonts w:cs="Arial"/>
                <w:sz w:val="20"/>
              </w:rPr>
            </w:pPr>
            <w:r w:rsidRPr="00741157">
              <w:rPr>
                <w:rFonts w:cs="Arial"/>
                <w:sz w:val="20"/>
              </w:rPr>
              <w:t>▲</w:t>
            </w:r>
            <w:r w:rsidRPr="00741157">
              <w:rPr>
                <w:rFonts w:cs="Arial"/>
                <w:sz w:val="20"/>
              </w:rPr>
              <w:br/>
              <w:t>Upward</w:t>
            </w:r>
          </w:p>
        </w:tc>
      </w:tr>
      <w:tr w:rsidR="00912DFB" w:rsidRPr="00741157" w14:paraId="6795D4F0" w14:textId="77777777" w:rsidTr="00115F33">
        <w:trPr>
          <w:trHeight w:val="619"/>
        </w:trPr>
        <w:tc>
          <w:tcPr>
            <w:tcW w:w="1956" w:type="dxa"/>
          </w:tcPr>
          <w:p w14:paraId="6ACEBB5C" w14:textId="6FA2AE92" w:rsidR="00912DFB" w:rsidRPr="00741157" w:rsidRDefault="00000000" w:rsidP="00912DFB">
            <w:pPr>
              <w:pStyle w:val="Tabletext"/>
              <w:rPr>
                <w:rFonts w:cs="Arial"/>
                <w:sz w:val="20"/>
              </w:rPr>
            </w:pPr>
            <w:hyperlink w:anchor="_Measure_13.10_–" w:history="1">
              <w:r w:rsidR="00912DFB" w:rsidRPr="00741157">
                <w:rPr>
                  <w:rStyle w:val="Hyperlink"/>
                  <w:rFonts w:cs="Arial"/>
                  <w:sz w:val="20"/>
                </w:rPr>
                <w:t>13.10</w:t>
              </w:r>
            </w:hyperlink>
          </w:p>
        </w:tc>
        <w:tc>
          <w:tcPr>
            <w:tcW w:w="3451" w:type="dxa"/>
          </w:tcPr>
          <w:p w14:paraId="17F6B9AD" w14:textId="778664EE" w:rsidR="00912DFB" w:rsidRPr="00741157" w:rsidRDefault="00912DFB" w:rsidP="00912DFB">
            <w:pPr>
              <w:pStyle w:val="Tabletext"/>
              <w:rPr>
                <w:rFonts w:cs="Arial"/>
                <w:sz w:val="20"/>
              </w:rPr>
            </w:pPr>
            <w:r w:rsidRPr="00741157">
              <w:rPr>
                <w:rFonts w:cs="Arial"/>
                <w:sz w:val="20"/>
              </w:rPr>
              <w:t>Five-year relative survival from lung cancer</w:t>
            </w:r>
          </w:p>
        </w:tc>
        <w:tc>
          <w:tcPr>
            <w:tcW w:w="1828" w:type="dxa"/>
          </w:tcPr>
          <w:p w14:paraId="6F3DE20F" w14:textId="77777777" w:rsidR="00912DFB" w:rsidRPr="00741157" w:rsidRDefault="00912DFB" w:rsidP="00912DFB">
            <w:pPr>
              <w:pStyle w:val="Tabletext"/>
              <w:rPr>
                <w:rFonts w:cs="Arial"/>
                <w:sz w:val="20"/>
              </w:rPr>
            </w:pPr>
            <w:r w:rsidRPr="00741157">
              <w:rPr>
                <w:rFonts w:cs="Arial"/>
                <w:sz w:val="20"/>
              </w:rPr>
              <w:t>Per cent</w:t>
            </w:r>
          </w:p>
        </w:tc>
        <w:tc>
          <w:tcPr>
            <w:tcW w:w="1701" w:type="dxa"/>
            <w:noWrap/>
          </w:tcPr>
          <w:p w14:paraId="77D9A834" w14:textId="79E292DA" w:rsidR="00912DFB" w:rsidRPr="00741157" w:rsidRDefault="00912DFB" w:rsidP="00912DFB">
            <w:pPr>
              <w:pStyle w:val="Tabletext"/>
              <w:rPr>
                <w:rFonts w:cs="Arial"/>
                <w:sz w:val="20"/>
              </w:rPr>
            </w:pPr>
            <w:r w:rsidRPr="00741157">
              <w:rPr>
                <w:rFonts w:cs="Arial"/>
                <w:sz w:val="20"/>
              </w:rPr>
              <w:t>1</w:t>
            </w:r>
            <w:r w:rsidR="004F2411" w:rsidRPr="00741157">
              <w:rPr>
                <w:rFonts w:cs="Arial"/>
                <w:sz w:val="20"/>
              </w:rPr>
              <w:t>9</w:t>
            </w:r>
            <w:r w:rsidRPr="00741157">
              <w:rPr>
                <w:rFonts w:cs="Arial"/>
                <w:sz w:val="20"/>
              </w:rPr>
              <w:t>.</w:t>
            </w:r>
            <w:r w:rsidR="004F2411" w:rsidRPr="00741157">
              <w:rPr>
                <w:rFonts w:cs="Arial"/>
                <w:sz w:val="20"/>
              </w:rPr>
              <w:t>1</w:t>
            </w:r>
          </w:p>
          <w:p w14:paraId="34164CD7" w14:textId="68C7E24D" w:rsidR="00912DFB" w:rsidRPr="00741157" w:rsidRDefault="00912DFB" w:rsidP="00912DFB">
            <w:pPr>
              <w:pStyle w:val="Tabletext"/>
              <w:rPr>
                <w:rFonts w:cs="Arial"/>
                <w:sz w:val="20"/>
              </w:rPr>
            </w:pPr>
            <w:r w:rsidRPr="00741157">
              <w:rPr>
                <w:rFonts w:cs="Arial"/>
                <w:sz w:val="20"/>
              </w:rPr>
              <w:t>(2010–2014)</w:t>
            </w:r>
          </w:p>
        </w:tc>
        <w:tc>
          <w:tcPr>
            <w:tcW w:w="1800" w:type="dxa"/>
            <w:noWrap/>
          </w:tcPr>
          <w:p w14:paraId="45E5B171" w14:textId="77777777" w:rsidR="00912DFB" w:rsidRPr="00741157" w:rsidRDefault="00912DFB" w:rsidP="00912DFB">
            <w:pPr>
              <w:pStyle w:val="Tabletext"/>
              <w:rPr>
                <w:rFonts w:cs="Arial"/>
                <w:sz w:val="20"/>
              </w:rPr>
            </w:pPr>
            <w:r w:rsidRPr="00741157">
              <w:rPr>
                <w:rFonts w:cs="Arial"/>
                <w:sz w:val="20"/>
              </w:rPr>
              <w:t>25.2</w:t>
            </w:r>
          </w:p>
          <w:p w14:paraId="568EA374" w14:textId="55C1A2B0" w:rsidR="00912DFB" w:rsidRPr="00741157" w:rsidRDefault="00912DFB" w:rsidP="00912DFB">
            <w:pPr>
              <w:pStyle w:val="Tabletext"/>
              <w:rPr>
                <w:rFonts w:cs="Arial"/>
                <w:sz w:val="20"/>
              </w:rPr>
            </w:pPr>
            <w:r w:rsidRPr="00741157">
              <w:rPr>
                <w:rFonts w:cs="Arial"/>
                <w:sz w:val="20"/>
              </w:rPr>
              <w:t>(2015–2019)</w:t>
            </w:r>
          </w:p>
        </w:tc>
        <w:tc>
          <w:tcPr>
            <w:tcW w:w="1800" w:type="dxa"/>
            <w:noWrap/>
          </w:tcPr>
          <w:p w14:paraId="392180B1" w14:textId="0405AB5C" w:rsidR="00912DFB" w:rsidRPr="00741157" w:rsidRDefault="00912DFB" w:rsidP="00912DFB">
            <w:pPr>
              <w:pStyle w:val="Tabletext"/>
              <w:rPr>
                <w:rFonts w:cs="Arial"/>
                <w:sz w:val="20"/>
              </w:rPr>
            </w:pPr>
            <w:r w:rsidRPr="00741157">
              <w:rPr>
                <w:rFonts w:cs="Arial"/>
                <w:sz w:val="20"/>
              </w:rPr>
              <w:t>N/S</w:t>
            </w:r>
          </w:p>
        </w:tc>
        <w:tc>
          <w:tcPr>
            <w:tcW w:w="1786" w:type="dxa"/>
          </w:tcPr>
          <w:p w14:paraId="5552E130" w14:textId="4A400EA9" w:rsidR="00912DFB" w:rsidRPr="00741157" w:rsidRDefault="00912DFB" w:rsidP="00912DFB">
            <w:pPr>
              <w:pStyle w:val="Tabletext"/>
              <w:rPr>
                <w:rFonts w:cs="Arial"/>
                <w:sz w:val="20"/>
              </w:rPr>
            </w:pPr>
            <w:r w:rsidRPr="00741157">
              <w:rPr>
                <w:rFonts w:cs="Arial"/>
                <w:sz w:val="20"/>
              </w:rPr>
              <w:t>▲</w:t>
            </w:r>
            <w:r w:rsidRPr="00741157">
              <w:rPr>
                <w:rFonts w:cs="Arial"/>
                <w:sz w:val="20"/>
              </w:rPr>
              <w:br/>
              <w:t>Upward</w:t>
            </w:r>
          </w:p>
        </w:tc>
      </w:tr>
      <w:tr w:rsidR="00912DFB" w:rsidRPr="00741157" w14:paraId="5AA17B20" w14:textId="77777777" w:rsidTr="00115F33">
        <w:trPr>
          <w:trHeight w:val="619"/>
        </w:trPr>
        <w:tc>
          <w:tcPr>
            <w:tcW w:w="1956" w:type="dxa"/>
          </w:tcPr>
          <w:p w14:paraId="7A16E79B" w14:textId="67EECE17" w:rsidR="00912DFB" w:rsidRPr="00741157" w:rsidRDefault="00000000" w:rsidP="00912DFB">
            <w:pPr>
              <w:pStyle w:val="Tabletext"/>
              <w:rPr>
                <w:rFonts w:cs="Arial"/>
                <w:sz w:val="20"/>
              </w:rPr>
            </w:pPr>
            <w:hyperlink w:anchor="_Measure_13.11_–" w:history="1">
              <w:r w:rsidR="00912DFB" w:rsidRPr="00741157">
                <w:rPr>
                  <w:rStyle w:val="Hyperlink"/>
                  <w:rFonts w:cs="Arial"/>
                  <w:sz w:val="20"/>
                </w:rPr>
                <w:t>13.11</w:t>
              </w:r>
            </w:hyperlink>
          </w:p>
        </w:tc>
        <w:tc>
          <w:tcPr>
            <w:tcW w:w="3451" w:type="dxa"/>
          </w:tcPr>
          <w:p w14:paraId="5BC01F24" w14:textId="5280616D" w:rsidR="00912DFB" w:rsidRPr="00741157" w:rsidRDefault="00912DFB" w:rsidP="00912DFB">
            <w:pPr>
              <w:pStyle w:val="Tabletext"/>
              <w:rPr>
                <w:rFonts w:cs="Arial"/>
                <w:sz w:val="20"/>
              </w:rPr>
            </w:pPr>
            <w:r w:rsidRPr="00741157">
              <w:rPr>
                <w:rFonts w:cs="Arial"/>
                <w:sz w:val="20"/>
              </w:rPr>
              <w:t>Five-year relative survival from pancreatic cancer</w:t>
            </w:r>
          </w:p>
        </w:tc>
        <w:tc>
          <w:tcPr>
            <w:tcW w:w="1828" w:type="dxa"/>
          </w:tcPr>
          <w:p w14:paraId="74778F67" w14:textId="77777777" w:rsidR="00912DFB" w:rsidRPr="00741157" w:rsidRDefault="00912DFB" w:rsidP="00912DFB">
            <w:pPr>
              <w:pStyle w:val="Tabletext"/>
              <w:rPr>
                <w:rFonts w:cs="Arial"/>
                <w:sz w:val="20"/>
              </w:rPr>
            </w:pPr>
            <w:r w:rsidRPr="00741157">
              <w:rPr>
                <w:rFonts w:cs="Arial"/>
                <w:sz w:val="20"/>
              </w:rPr>
              <w:t>Per cent</w:t>
            </w:r>
          </w:p>
        </w:tc>
        <w:tc>
          <w:tcPr>
            <w:tcW w:w="1701" w:type="dxa"/>
            <w:noWrap/>
          </w:tcPr>
          <w:p w14:paraId="2B64CEEF" w14:textId="2839E203" w:rsidR="00912DFB" w:rsidRPr="00741157" w:rsidRDefault="00912DFB" w:rsidP="00912DFB">
            <w:pPr>
              <w:pStyle w:val="Tabletext"/>
              <w:rPr>
                <w:rFonts w:cs="Arial"/>
                <w:sz w:val="20"/>
              </w:rPr>
            </w:pPr>
            <w:r w:rsidRPr="00741157">
              <w:rPr>
                <w:rFonts w:cs="Arial"/>
                <w:sz w:val="20"/>
              </w:rPr>
              <w:t>10.</w:t>
            </w:r>
            <w:r w:rsidR="004F2411" w:rsidRPr="00741157">
              <w:rPr>
                <w:rFonts w:cs="Arial"/>
                <w:sz w:val="20"/>
              </w:rPr>
              <w:t>1</w:t>
            </w:r>
          </w:p>
          <w:p w14:paraId="29C54EC4" w14:textId="2BED7C8F" w:rsidR="00912DFB" w:rsidRPr="00741157" w:rsidRDefault="00912DFB" w:rsidP="00912DFB">
            <w:pPr>
              <w:pStyle w:val="Tabletext"/>
              <w:rPr>
                <w:rFonts w:cs="Arial"/>
                <w:sz w:val="20"/>
              </w:rPr>
            </w:pPr>
            <w:r w:rsidRPr="00741157">
              <w:rPr>
                <w:rFonts w:cs="Arial"/>
                <w:sz w:val="20"/>
              </w:rPr>
              <w:t>(2010–2014)</w:t>
            </w:r>
          </w:p>
        </w:tc>
        <w:tc>
          <w:tcPr>
            <w:tcW w:w="1800" w:type="dxa"/>
            <w:noWrap/>
          </w:tcPr>
          <w:p w14:paraId="7F219041" w14:textId="477BB4E5" w:rsidR="00912DFB" w:rsidRPr="00741157" w:rsidRDefault="00912DFB" w:rsidP="00912DFB">
            <w:pPr>
              <w:pStyle w:val="Tabletext"/>
              <w:rPr>
                <w:rFonts w:cs="Arial"/>
                <w:sz w:val="20"/>
              </w:rPr>
            </w:pPr>
            <w:r w:rsidRPr="00741157">
              <w:rPr>
                <w:rFonts w:cs="Arial"/>
                <w:sz w:val="20"/>
              </w:rPr>
              <w:t>12.8</w:t>
            </w:r>
          </w:p>
          <w:p w14:paraId="116B81DC" w14:textId="45A808A5" w:rsidR="00912DFB" w:rsidRPr="00741157" w:rsidRDefault="00912DFB" w:rsidP="00912DFB">
            <w:pPr>
              <w:pStyle w:val="Tabletext"/>
              <w:rPr>
                <w:rFonts w:cs="Arial"/>
                <w:sz w:val="20"/>
              </w:rPr>
            </w:pPr>
            <w:r w:rsidRPr="00741157">
              <w:rPr>
                <w:rFonts w:cs="Arial"/>
                <w:sz w:val="20"/>
              </w:rPr>
              <w:t>(2015–2019)</w:t>
            </w:r>
          </w:p>
        </w:tc>
        <w:tc>
          <w:tcPr>
            <w:tcW w:w="1800" w:type="dxa"/>
            <w:noWrap/>
          </w:tcPr>
          <w:p w14:paraId="6461816D" w14:textId="67B774B8" w:rsidR="00912DFB" w:rsidRPr="00741157" w:rsidRDefault="00912DFB" w:rsidP="00912DFB">
            <w:pPr>
              <w:pStyle w:val="Tabletext"/>
              <w:rPr>
                <w:rFonts w:cs="Arial"/>
                <w:sz w:val="20"/>
              </w:rPr>
            </w:pPr>
            <w:r w:rsidRPr="00741157">
              <w:rPr>
                <w:rFonts w:cs="Arial"/>
                <w:sz w:val="20"/>
              </w:rPr>
              <w:t>N/S</w:t>
            </w:r>
          </w:p>
        </w:tc>
        <w:tc>
          <w:tcPr>
            <w:tcW w:w="1786" w:type="dxa"/>
          </w:tcPr>
          <w:p w14:paraId="0BAF2EC2" w14:textId="45E65882" w:rsidR="00912DFB" w:rsidRPr="00741157" w:rsidRDefault="00FE0B53" w:rsidP="00912DFB">
            <w:pPr>
              <w:pStyle w:val="Tabletext"/>
              <w:rPr>
                <w:rFonts w:cs="Arial"/>
                <w:sz w:val="20"/>
              </w:rPr>
            </w:pPr>
            <w:r w:rsidRPr="00741157">
              <w:rPr>
                <w:rFonts w:cs="Arial"/>
                <w:sz w:val="20"/>
              </w:rPr>
              <w:t>▲</w:t>
            </w:r>
            <w:r w:rsidRPr="00741157">
              <w:rPr>
                <w:rFonts w:cs="Arial"/>
                <w:sz w:val="20"/>
              </w:rPr>
              <w:br/>
              <w:t>Upward</w:t>
            </w:r>
          </w:p>
        </w:tc>
      </w:tr>
      <w:tr w:rsidR="00912DFB" w:rsidRPr="00741157" w14:paraId="56D23EEA" w14:textId="77777777" w:rsidTr="00115F33">
        <w:trPr>
          <w:trHeight w:val="619"/>
        </w:trPr>
        <w:tc>
          <w:tcPr>
            <w:tcW w:w="1956" w:type="dxa"/>
          </w:tcPr>
          <w:p w14:paraId="7FFD72BB" w14:textId="5562CA52" w:rsidR="00912DFB" w:rsidRPr="00741157" w:rsidRDefault="00000000" w:rsidP="00912DFB">
            <w:pPr>
              <w:pStyle w:val="Tabletext"/>
              <w:rPr>
                <w:rFonts w:cs="Arial"/>
                <w:sz w:val="20"/>
              </w:rPr>
            </w:pPr>
            <w:hyperlink w:anchor="_Measure_13.12_–" w:history="1">
              <w:r w:rsidR="00912DFB" w:rsidRPr="00741157">
                <w:rPr>
                  <w:rStyle w:val="Hyperlink"/>
                  <w:rFonts w:cs="Arial"/>
                  <w:sz w:val="20"/>
                </w:rPr>
                <w:t>13.12</w:t>
              </w:r>
            </w:hyperlink>
          </w:p>
        </w:tc>
        <w:tc>
          <w:tcPr>
            <w:tcW w:w="3451" w:type="dxa"/>
          </w:tcPr>
          <w:p w14:paraId="392776A8" w14:textId="3B5D08E7" w:rsidR="00912DFB" w:rsidRPr="00741157" w:rsidRDefault="00912DFB" w:rsidP="00912DFB">
            <w:pPr>
              <w:pStyle w:val="Tabletext"/>
              <w:rPr>
                <w:rFonts w:cs="Arial"/>
                <w:sz w:val="20"/>
              </w:rPr>
            </w:pPr>
            <w:r w:rsidRPr="00741157">
              <w:rPr>
                <w:rFonts w:cs="Arial"/>
                <w:sz w:val="20"/>
              </w:rPr>
              <w:t>Five-year relative survival from ovarian cancer</w:t>
            </w:r>
          </w:p>
        </w:tc>
        <w:tc>
          <w:tcPr>
            <w:tcW w:w="1828" w:type="dxa"/>
          </w:tcPr>
          <w:p w14:paraId="39FFD549" w14:textId="77777777" w:rsidR="00912DFB" w:rsidRPr="00741157" w:rsidRDefault="00912DFB" w:rsidP="00912DFB">
            <w:pPr>
              <w:pStyle w:val="Tabletext"/>
              <w:rPr>
                <w:rFonts w:cs="Arial"/>
                <w:sz w:val="20"/>
              </w:rPr>
            </w:pPr>
            <w:r w:rsidRPr="00741157">
              <w:rPr>
                <w:rFonts w:cs="Arial"/>
                <w:sz w:val="20"/>
              </w:rPr>
              <w:t>Per cent</w:t>
            </w:r>
          </w:p>
        </w:tc>
        <w:tc>
          <w:tcPr>
            <w:tcW w:w="1701" w:type="dxa"/>
            <w:noWrap/>
          </w:tcPr>
          <w:p w14:paraId="4F8757ED" w14:textId="53B9D6C0" w:rsidR="00912DFB" w:rsidRPr="00741157" w:rsidRDefault="00912DFB" w:rsidP="00912DFB">
            <w:pPr>
              <w:pStyle w:val="Tabletext"/>
              <w:rPr>
                <w:rFonts w:cs="Arial"/>
                <w:sz w:val="20"/>
              </w:rPr>
            </w:pPr>
            <w:r w:rsidRPr="00741157">
              <w:rPr>
                <w:rFonts w:cs="Arial"/>
                <w:sz w:val="20"/>
              </w:rPr>
              <w:t>44.</w:t>
            </w:r>
            <w:r w:rsidR="004F2411" w:rsidRPr="00741157">
              <w:rPr>
                <w:rFonts w:cs="Arial"/>
                <w:sz w:val="20"/>
              </w:rPr>
              <w:t>2</w:t>
            </w:r>
          </w:p>
          <w:p w14:paraId="26A62B96" w14:textId="0A8D4CBD" w:rsidR="00912DFB" w:rsidRPr="00741157" w:rsidRDefault="00912DFB" w:rsidP="00912DFB">
            <w:pPr>
              <w:pStyle w:val="Tabletext"/>
              <w:rPr>
                <w:rFonts w:cs="Arial"/>
                <w:sz w:val="20"/>
              </w:rPr>
            </w:pPr>
            <w:r w:rsidRPr="00741157">
              <w:rPr>
                <w:rFonts w:cs="Arial"/>
                <w:sz w:val="20"/>
              </w:rPr>
              <w:t>(2010–2014)</w:t>
            </w:r>
          </w:p>
        </w:tc>
        <w:tc>
          <w:tcPr>
            <w:tcW w:w="1800" w:type="dxa"/>
            <w:noWrap/>
          </w:tcPr>
          <w:p w14:paraId="43F4E842" w14:textId="410B184B" w:rsidR="00912DFB" w:rsidRPr="00741157" w:rsidRDefault="00912DFB" w:rsidP="00912DFB">
            <w:pPr>
              <w:pStyle w:val="Tabletext"/>
              <w:rPr>
                <w:rFonts w:cs="Arial"/>
                <w:sz w:val="20"/>
              </w:rPr>
            </w:pPr>
            <w:r w:rsidRPr="00741157">
              <w:rPr>
                <w:rFonts w:cs="Arial"/>
                <w:sz w:val="20"/>
              </w:rPr>
              <w:t>47.</w:t>
            </w:r>
            <w:r w:rsidR="004F2411" w:rsidRPr="00741157">
              <w:rPr>
                <w:rFonts w:cs="Arial"/>
                <w:sz w:val="20"/>
              </w:rPr>
              <w:t>2</w:t>
            </w:r>
          </w:p>
          <w:p w14:paraId="4FE2D9B5" w14:textId="257EFE79" w:rsidR="00912DFB" w:rsidRPr="00741157" w:rsidRDefault="00912DFB" w:rsidP="00912DFB">
            <w:pPr>
              <w:pStyle w:val="Tabletext"/>
              <w:rPr>
                <w:rFonts w:cs="Arial"/>
                <w:sz w:val="20"/>
              </w:rPr>
            </w:pPr>
            <w:r w:rsidRPr="00741157">
              <w:rPr>
                <w:rFonts w:cs="Arial"/>
                <w:sz w:val="20"/>
              </w:rPr>
              <w:t>(2015–2019)</w:t>
            </w:r>
          </w:p>
        </w:tc>
        <w:tc>
          <w:tcPr>
            <w:tcW w:w="1800" w:type="dxa"/>
            <w:noWrap/>
          </w:tcPr>
          <w:p w14:paraId="4CC6C1C8" w14:textId="18EA186B" w:rsidR="00912DFB" w:rsidRPr="00741157" w:rsidRDefault="00912DFB" w:rsidP="00912DFB">
            <w:pPr>
              <w:pStyle w:val="Tabletext"/>
              <w:rPr>
                <w:rFonts w:cs="Arial"/>
                <w:sz w:val="20"/>
              </w:rPr>
            </w:pPr>
            <w:r w:rsidRPr="00741157">
              <w:rPr>
                <w:rFonts w:cs="Arial"/>
                <w:sz w:val="20"/>
              </w:rPr>
              <w:t>N/S</w:t>
            </w:r>
          </w:p>
        </w:tc>
        <w:tc>
          <w:tcPr>
            <w:tcW w:w="1786" w:type="dxa"/>
          </w:tcPr>
          <w:p w14:paraId="0004E502" w14:textId="5FB7EC71" w:rsidR="00912DFB" w:rsidRPr="00741157" w:rsidRDefault="00FE0B53" w:rsidP="00912DFB">
            <w:pPr>
              <w:pStyle w:val="Tabletext"/>
              <w:rPr>
                <w:rFonts w:cs="Arial"/>
                <w:sz w:val="20"/>
              </w:rPr>
            </w:pPr>
            <w:r w:rsidRPr="00741157">
              <w:rPr>
                <w:rFonts w:cs="Arial"/>
                <w:sz w:val="20"/>
              </w:rPr>
              <w:t>▲</w:t>
            </w:r>
            <w:r w:rsidRPr="00741157">
              <w:rPr>
                <w:rFonts w:cs="Arial"/>
                <w:sz w:val="20"/>
              </w:rPr>
              <w:br/>
              <w:t>Upward</w:t>
            </w:r>
          </w:p>
        </w:tc>
      </w:tr>
      <w:tr w:rsidR="00912DFB" w:rsidRPr="00741157" w14:paraId="253AB7B5" w14:textId="77777777" w:rsidTr="00115F33">
        <w:trPr>
          <w:trHeight w:val="619"/>
        </w:trPr>
        <w:tc>
          <w:tcPr>
            <w:tcW w:w="1956" w:type="dxa"/>
          </w:tcPr>
          <w:p w14:paraId="5AC471E5" w14:textId="7161474F" w:rsidR="00912DFB" w:rsidRPr="00741157" w:rsidRDefault="00000000" w:rsidP="00912DFB">
            <w:pPr>
              <w:pStyle w:val="Tabletext"/>
              <w:rPr>
                <w:rFonts w:cs="Arial"/>
                <w:sz w:val="20"/>
              </w:rPr>
            </w:pPr>
            <w:hyperlink w:anchor="_Measure_13.13_–" w:history="1">
              <w:r w:rsidR="00912DFB" w:rsidRPr="00741157">
                <w:rPr>
                  <w:rStyle w:val="Hyperlink"/>
                  <w:rFonts w:cs="Arial"/>
                  <w:sz w:val="20"/>
                </w:rPr>
                <w:t>13.13</w:t>
              </w:r>
            </w:hyperlink>
          </w:p>
        </w:tc>
        <w:tc>
          <w:tcPr>
            <w:tcW w:w="3451" w:type="dxa"/>
          </w:tcPr>
          <w:p w14:paraId="3D52528E" w14:textId="5F1A01E7" w:rsidR="00912DFB" w:rsidRPr="00741157" w:rsidRDefault="00912DFB" w:rsidP="00912DFB">
            <w:pPr>
              <w:pStyle w:val="Tabletext"/>
              <w:rPr>
                <w:rFonts w:cs="Arial"/>
                <w:sz w:val="20"/>
              </w:rPr>
            </w:pPr>
            <w:r w:rsidRPr="00741157">
              <w:rPr>
                <w:rFonts w:cs="Arial"/>
                <w:sz w:val="20"/>
              </w:rPr>
              <w:t>Five-year relative survival from colorectal cancer</w:t>
            </w:r>
          </w:p>
        </w:tc>
        <w:tc>
          <w:tcPr>
            <w:tcW w:w="1828" w:type="dxa"/>
          </w:tcPr>
          <w:p w14:paraId="1A35EECD" w14:textId="77777777" w:rsidR="00912DFB" w:rsidRPr="00741157" w:rsidRDefault="00912DFB" w:rsidP="00912DFB">
            <w:pPr>
              <w:pStyle w:val="Tabletext"/>
              <w:rPr>
                <w:rFonts w:cs="Arial"/>
                <w:sz w:val="20"/>
              </w:rPr>
            </w:pPr>
            <w:r w:rsidRPr="00741157">
              <w:rPr>
                <w:rFonts w:cs="Arial"/>
                <w:sz w:val="20"/>
              </w:rPr>
              <w:t>Per cent</w:t>
            </w:r>
          </w:p>
        </w:tc>
        <w:tc>
          <w:tcPr>
            <w:tcW w:w="1701" w:type="dxa"/>
            <w:noWrap/>
          </w:tcPr>
          <w:p w14:paraId="0552C94F" w14:textId="69A91027" w:rsidR="00912DFB" w:rsidRPr="00741157" w:rsidRDefault="00912DFB" w:rsidP="00912DFB">
            <w:pPr>
              <w:pStyle w:val="Tabletext"/>
              <w:rPr>
                <w:rFonts w:cs="Arial"/>
                <w:sz w:val="20"/>
              </w:rPr>
            </w:pPr>
            <w:r w:rsidRPr="00741157">
              <w:rPr>
                <w:rFonts w:cs="Arial"/>
                <w:sz w:val="20"/>
              </w:rPr>
              <w:t>6</w:t>
            </w:r>
            <w:r w:rsidR="0093027C" w:rsidRPr="00741157">
              <w:rPr>
                <w:rFonts w:cs="Arial"/>
                <w:sz w:val="20"/>
              </w:rPr>
              <w:t>8</w:t>
            </w:r>
            <w:r w:rsidRPr="00741157">
              <w:rPr>
                <w:rFonts w:cs="Arial"/>
                <w:sz w:val="20"/>
              </w:rPr>
              <w:t>.</w:t>
            </w:r>
            <w:r w:rsidR="0093027C" w:rsidRPr="00741157">
              <w:rPr>
                <w:rFonts w:cs="Arial"/>
                <w:sz w:val="20"/>
              </w:rPr>
              <w:t>9</w:t>
            </w:r>
          </w:p>
          <w:p w14:paraId="2216E074" w14:textId="69C5ACA0" w:rsidR="00912DFB" w:rsidRPr="00741157" w:rsidRDefault="00912DFB" w:rsidP="00912DFB">
            <w:pPr>
              <w:pStyle w:val="Tabletext"/>
              <w:rPr>
                <w:rFonts w:cs="Arial"/>
                <w:sz w:val="20"/>
              </w:rPr>
            </w:pPr>
            <w:r w:rsidRPr="00741157">
              <w:rPr>
                <w:rFonts w:cs="Arial"/>
                <w:sz w:val="20"/>
              </w:rPr>
              <w:t>(2010–2014)</w:t>
            </w:r>
          </w:p>
        </w:tc>
        <w:tc>
          <w:tcPr>
            <w:tcW w:w="1800" w:type="dxa"/>
            <w:noWrap/>
          </w:tcPr>
          <w:p w14:paraId="42D5E1B0" w14:textId="6F07CA6E" w:rsidR="00912DFB" w:rsidRPr="00741157" w:rsidRDefault="00912DFB" w:rsidP="00912DFB">
            <w:pPr>
              <w:pStyle w:val="Tabletext"/>
              <w:rPr>
                <w:rFonts w:cs="Arial"/>
                <w:sz w:val="20"/>
              </w:rPr>
            </w:pPr>
            <w:r w:rsidRPr="00741157">
              <w:rPr>
                <w:rFonts w:cs="Arial"/>
                <w:sz w:val="20"/>
              </w:rPr>
              <w:t>70.</w:t>
            </w:r>
            <w:r w:rsidR="0093027C" w:rsidRPr="00741157">
              <w:rPr>
                <w:rFonts w:cs="Arial"/>
                <w:sz w:val="20"/>
              </w:rPr>
              <w:t>6</w:t>
            </w:r>
          </w:p>
          <w:p w14:paraId="62AD7B89" w14:textId="223FECD0" w:rsidR="00912DFB" w:rsidRPr="00741157" w:rsidRDefault="00912DFB" w:rsidP="00912DFB">
            <w:pPr>
              <w:pStyle w:val="Tabletext"/>
              <w:rPr>
                <w:rFonts w:cs="Arial"/>
                <w:sz w:val="20"/>
              </w:rPr>
            </w:pPr>
            <w:r w:rsidRPr="00741157">
              <w:rPr>
                <w:rFonts w:cs="Arial"/>
                <w:sz w:val="20"/>
              </w:rPr>
              <w:t>(2015–2019)</w:t>
            </w:r>
          </w:p>
        </w:tc>
        <w:tc>
          <w:tcPr>
            <w:tcW w:w="1800" w:type="dxa"/>
            <w:noWrap/>
          </w:tcPr>
          <w:p w14:paraId="346915DB" w14:textId="44A2141B" w:rsidR="00912DFB" w:rsidRPr="00741157" w:rsidRDefault="00912DFB" w:rsidP="00912DFB">
            <w:pPr>
              <w:pStyle w:val="Tabletext"/>
              <w:rPr>
                <w:rFonts w:cs="Arial"/>
                <w:sz w:val="20"/>
              </w:rPr>
            </w:pPr>
            <w:r w:rsidRPr="00741157">
              <w:rPr>
                <w:rFonts w:cs="Arial"/>
                <w:sz w:val="20"/>
              </w:rPr>
              <w:t>N/S</w:t>
            </w:r>
          </w:p>
        </w:tc>
        <w:tc>
          <w:tcPr>
            <w:tcW w:w="1786" w:type="dxa"/>
          </w:tcPr>
          <w:p w14:paraId="3E78394B" w14:textId="13C38A99" w:rsidR="00912DFB" w:rsidRPr="00741157" w:rsidRDefault="00FE0B53" w:rsidP="00912DFB">
            <w:pPr>
              <w:pStyle w:val="Tabletext"/>
              <w:rPr>
                <w:rFonts w:cs="Arial"/>
                <w:sz w:val="20"/>
              </w:rPr>
            </w:pPr>
            <w:r w:rsidRPr="00741157">
              <w:rPr>
                <w:rFonts w:cs="Arial"/>
                <w:sz w:val="20"/>
              </w:rPr>
              <w:t xml:space="preserve">■ </w:t>
            </w:r>
            <w:r w:rsidRPr="00741157">
              <w:rPr>
                <w:rFonts w:cs="Arial"/>
                <w:sz w:val="20"/>
              </w:rPr>
              <w:br/>
              <w:t>No change</w:t>
            </w:r>
          </w:p>
        </w:tc>
      </w:tr>
      <w:tr w:rsidR="00912DFB" w:rsidRPr="00741157" w14:paraId="27C57447" w14:textId="77777777" w:rsidTr="00115F33">
        <w:trPr>
          <w:trHeight w:val="619"/>
        </w:trPr>
        <w:tc>
          <w:tcPr>
            <w:tcW w:w="1956" w:type="dxa"/>
          </w:tcPr>
          <w:p w14:paraId="58A65CD7" w14:textId="04DEC9AA" w:rsidR="00912DFB" w:rsidRPr="00741157" w:rsidRDefault="00000000" w:rsidP="00912DFB">
            <w:pPr>
              <w:pStyle w:val="Tabletext"/>
              <w:rPr>
                <w:rFonts w:cs="Arial"/>
                <w:sz w:val="20"/>
              </w:rPr>
            </w:pPr>
            <w:hyperlink w:anchor="_Measure_13.14_–" w:history="1">
              <w:r w:rsidR="00912DFB" w:rsidRPr="00741157">
                <w:rPr>
                  <w:rStyle w:val="Hyperlink"/>
                  <w:rFonts w:cs="Arial"/>
                  <w:sz w:val="20"/>
                </w:rPr>
                <w:t>13.14</w:t>
              </w:r>
            </w:hyperlink>
          </w:p>
        </w:tc>
        <w:tc>
          <w:tcPr>
            <w:tcW w:w="3451" w:type="dxa"/>
          </w:tcPr>
          <w:p w14:paraId="014485E4" w14:textId="5C4FD00B" w:rsidR="00912DFB" w:rsidRPr="00741157" w:rsidRDefault="00912DFB" w:rsidP="00912DFB">
            <w:pPr>
              <w:pStyle w:val="Tabletext"/>
              <w:rPr>
                <w:rFonts w:cs="Arial"/>
                <w:sz w:val="20"/>
              </w:rPr>
            </w:pPr>
            <w:r w:rsidRPr="00741157">
              <w:rPr>
                <w:rFonts w:cs="Arial"/>
                <w:sz w:val="20"/>
              </w:rPr>
              <w:t>Five-year relative survival from brain cancer</w:t>
            </w:r>
          </w:p>
        </w:tc>
        <w:tc>
          <w:tcPr>
            <w:tcW w:w="1828" w:type="dxa"/>
          </w:tcPr>
          <w:p w14:paraId="3CD130E1" w14:textId="77777777" w:rsidR="00912DFB" w:rsidRPr="00741157" w:rsidRDefault="00912DFB" w:rsidP="00912DFB">
            <w:pPr>
              <w:pStyle w:val="Tabletext"/>
              <w:rPr>
                <w:rFonts w:cs="Arial"/>
                <w:sz w:val="20"/>
              </w:rPr>
            </w:pPr>
            <w:r w:rsidRPr="00741157">
              <w:rPr>
                <w:rFonts w:cs="Arial"/>
                <w:sz w:val="20"/>
              </w:rPr>
              <w:t>Per cent</w:t>
            </w:r>
          </w:p>
        </w:tc>
        <w:tc>
          <w:tcPr>
            <w:tcW w:w="1701" w:type="dxa"/>
            <w:noWrap/>
          </w:tcPr>
          <w:p w14:paraId="06C4FCD4" w14:textId="74EA2B9C" w:rsidR="00912DFB" w:rsidRPr="00741157" w:rsidRDefault="00912DFB" w:rsidP="00912DFB">
            <w:pPr>
              <w:pStyle w:val="Tabletext"/>
              <w:rPr>
                <w:rFonts w:cs="Arial"/>
                <w:sz w:val="20"/>
              </w:rPr>
            </w:pPr>
            <w:r w:rsidRPr="00741157">
              <w:rPr>
                <w:rFonts w:cs="Arial"/>
                <w:sz w:val="20"/>
              </w:rPr>
              <w:t>27.</w:t>
            </w:r>
            <w:r w:rsidR="0093027C" w:rsidRPr="00741157">
              <w:rPr>
                <w:rFonts w:cs="Arial"/>
                <w:sz w:val="20"/>
              </w:rPr>
              <w:t>3</w:t>
            </w:r>
          </w:p>
          <w:p w14:paraId="404CF24B" w14:textId="072DFE9C" w:rsidR="00912DFB" w:rsidRPr="00741157" w:rsidRDefault="00912DFB" w:rsidP="00912DFB">
            <w:pPr>
              <w:pStyle w:val="Tabletext"/>
              <w:rPr>
                <w:rFonts w:cs="Arial"/>
                <w:sz w:val="20"/>
              </w:rPr>
            </w:pPr>
            <w:r w:rsidRPr="00741157">
              <w:rPr>
                <w:rFonts w:cs="Arial"/>
                <w:sz w:val="20"/>
              </w:rPr>
              <w:t>(2010–2014)</w:t>
            </w:r>
          </w:p>
        </w:tc>
        <w:tc>
          <w:tcPr>
            <w:tcW w:w="1800" w:type="dxa"/>
            <w:noWrap/>
          </w:tcPr>
          <w:p w14:paraId="78E0B3B1" w14:textId="1FAD6CA5" w:rsidR="00912DFB" w:rsidRPr="00741157" w:rsidRDefault="00912DFB" w:rsidP="00912DFB">
            <w:pPr>
              <w:pStyle w:val="Tabletext"/>
              <w:rPr>
                <w:rFonts w:cs="Arial"/>
                <w:sz w:val="20"/>
              </w:rPr>
            </w:pPr>
            <w:r w:rsidRPr="00741157">
              <w:rPr>
                <w:rFonts w:cs="Arial"/>
                <w:sz w:val="20"/>
              </w:rPr>
              <w:t>26.</w:t>
            </w:r>
            <w:r w:rsidR="0093027C" w:rsidRPr="00741157">
              <w:rPr>
                <w:rFonts w:cs="Arial"/>
                <w:sz w:val="20"/>
              </w:rPr>
              <w:t>5</w:t>
            </w:r>
          </w:p>
          <w:p w14:paraId="62F80248" w14:textId="00708D13" w:rsidR="00912DFB" w:rsidRPr="00741157" w:rsidRDefault="00912DFB" w:rsidP="00912DFB">
            <w:pPr>
              <w:pStyle w:val="Tabletext"/>
              <w:rPr>
                <w:rFonts w:cs="Arial"/>
                <w:sz w:val="20"/>
              </w:rPr>
            </w:pPr>
            <w:r w:rsidRPr="00741157">
              <w:rPr>
                <w:rFonts w:cs="Arial"/>
                <w:sz w:val="20"/>
              </w:rPr>
              <w:t>(2015–2019)</w:t>
            </w:r>
          </w:p>
        </w:tc>
        <w:tc>
          <w:tcPr>
            <w:tcW w:w="1800" w:type="dxa"/>
            <w:noWrap/>
          </w:tcPr>
          <w:p w14:paraId="5F7C7898" w14:textId="420E9620" w:rsidR="00912DFB" w:rsidRPr="00741157" w:rsidRDefault="00912DFB" w:rsidP="00912DFB">
            <w:pPr>
              <w:pStyle w:val="Tabletext"/>
              <w:rPr>
                <w:rFonts w:cs="Arial"/>
                <w:sz w:val="20"/>
              </w:rPr>
            </w:pPr>
            <w:r w:rsidRPr="00741157">
              <w:rPr>
                <w:rFonts w:cs="Arial"/>
                <w:sz w:val="20"/>
              </w:rPr>
              <w:t>N/S</w:t>
            </w:r>
          </w:p>
        </w:tc>
        <w:tc>
          <w:tcPr>
            <w:tcW w:w="1786" w:type="dxa"/>
          </w:tcPr>
          <w:p w14:paraId="452B4366" w14:textId="1CEC786D" w:rsidR="00912DFB" w:rsidRPr="00741157" w:rsidRDefault="00FE0B53" w:rsidP="00912DFB">
            <w:pPr>
              <w:pStyle w:val="Tabletext"/>
              <w:rPr>
                <w:rFonts w:cs="Arial"/>
                <w:sz w:val="20"/>
              </w:rPr>
            </w:pPr>
            <w:r w:rsidRPr="00741157">
              <w:rPr>
                <w:rFonts w:cs="Arial"/>
                <w:sz w:val="20"/>
              </w:rPr>
              <w:t xml:space="preserve">■ </w:t>
            </w:r>
            <w:r w:rsidRPr="00741157">
              <w:rPr>
                <w:rFonts w:cs="Arial"/>
                <w:sz w:val="20"/>
              </w:rPr>
              <w:br/>
              <w:t>No change</w:t>
            </w:r>
          </w:p>
        </w:tc>
      </w:tr>
      <w:tr w:rsidR="00912DFB" w:rsidRPr="00741157" w14:paraId="0F1F09DA" w14:textId="77777777" w:rsidTr="00115F33">
        <w:trPr>
          <w:trHeight w:val="619"/>
        </w:trPr>
        <w:tc>
          <w:tcPr>
            <w:tcW w:w="1956" w:type="dxa"/>
          </w:tcPr>
          <w:p w14:paraId="5D0A8190" w14:textId="42117FF3" w:rsidR="00912DFB" w:rsidRPr="00741157" w:rsidRDefault="00000000" w:rsidP="00912DFB">
            <w:pPr>
              <w:pStyle w:val="Tabletext"/>
              <w:rPr>
                <w:rFonts w:cs="Arial"/>
                <w:sz w:val="20"/>
              </w:rPr>
            </w:pPr>
            <w:hyperlink w:anchor="_Measure_13.15_–" w:history="1">
              <w:r w:rsidR="00912DFB" w:rsidRPr="00741157">
                <w:rPr>
                  <w:rStyle w:val="Hyperlink"/>
                  <w:rFonts w:cs="Arial"/>
                  <w:sz w:val="20"/>
                </w:rPr>
                <w:t>13.15</w:t>
              </w:r>
            </w:hyperlink>
          </w:p>
        </w:tc>
        <w:tc>
          <w:tcPr>
            <w:tcW w:w="3451" w:type="dxa"/>
          </w:tcPr>
          <w:p w14:paraId="77194CDF" w14:textId="734D5D13" w:rsidR="00912DFB" w:rsidRPr="00741157" w:rsidRDefault="00912DFB" w:rsidP="00912DFB">
            <w:pPr>
              <w:pStyle w:val="Tabletext"/>
              <w:rPr>
                <w:rFonts w:cs="Arial"/>
                <w:sz w:val="20"/>
              </w:rPr>
            </w:pPr>
            <w:r w:rsidRPr="00741157">
              <w:rPr>
                <w:rFonts w:cs="Arial"/>
                <w:sz w:val="20"/>
              </w:rPr>
              <w:t>Five-year relative survival from oesophag</w:t>
            </w:r>
            <w:r w:rsidR="00D53660" w:rsidRPr="00741157">
              <w:rPr>
                <w:rFonts w:cs="Arial"/>
                <w:sz w:val="20"/>
              </w:rPr>
              <w:t>eal</w:t>
            </w:r>
            <w:r w:rsidRPr="00741157">
              <w:rPr>
                <w:rFonts w:cs="Arial"/>
                <w:sz w:val="20"/>
              </w:rPr>
              <w:t xml:space="preserve"> cancer</w:t>
            </w:r>
          </w:p>
        </w:tc>
        <w:tc>
          <w:tcPr>
            <w:tcW w:w="1828" w:type="dxa"/>
          </w:tcPr>
          <w:p w14:paraId="20A705DE" w14:textId="77777777" w:rsidR="00912DFB" w:rsidRPr="00741157" w:rsidRDefault="00912DFB" w:rsidP="00912DFB">
            <w:pPr>
              <w:pStyle w:val="Tabletext"/>
              <w:rPr>
                <w:rFonts w:cs="Arial"/>
                <w:sz w:val="20"/>
              </w:rPr>
            </w:pPr>
            <w:r w:rsidRPr="00741157">
              <w:rPr>
                <w:rFonts w:cs="Arial"/>
                <w:sz w:val="20"/>
              </w:rPr>
              <w:t>Per cent</w:t>
            </w:r>
          </w:p>
        </w:tc>
        <w:tc>
          <w:tcPr>
            <w:tcW w:w="1701" w:type="dxa"/>
            <w:noWrap/>
          </w:tcPr>
          <w:p w14:paraId="71B2ED84" w14:textId="05DD0328" w:rsidR="00912DFB" w:rsidRPr="00741157" w:rsidRDefault="00912DFB" w:rsidP="00912DFB">
            <w:pPr>
              <w:pStyle w:val="Tabletext"/>
              <w:rPr>
                <w:rFonts w:cs="Arial"/>
                <w:sz w:val="20"/>
              </w:rPr>
            </w:pPr>
            <w:r w:rsidRPr="00741157">
              <w:rPr>
                <w:rFonts w:cs="Arial"/>
                <w:sz w:val="20"/>
              </w:rPr>
              <w:t>2</w:t>
            </w:r>
            <w:r w:rsidR="0093027C" w:rsidRPr="00741157">
              <w:rPr>
                <w:rFonts w:cs="Arial"/>
                <w:sz w:val="20"/>
              </w:rPr>
              <w:t>1</w:t>
            </w:r>
            <w:r w:rsidR="00FE0B53" w:rsidRPr="00741157">
              <w:rPr>
                <w:rFonts w:cs="Arial"/>
                <w:sz w:val="20"/>
              </w:rPr>
              <w:t>.</w:t>
            </w:r>
            <w:r w:rsidR="0093027C" w:rsidRPr="00741157">
              <w:rPr>
                <w:rFonts w:cs="Arial"/>
                <w:sz w:val="20"/>
              </w:rPr>
              <w:t>7</w:t>
            </w:r>
          </w:p>
          <w:p w14:paraId="4298DD0E" w14:textId="5741823B" w:rsidR="00912DFB" w:rsidRPr="00741157" w:rsidRDefault="00912DFB" w:rsidP="00912DFB">
            <w:pPr>
              <w:pStyle w:val="Tabletext"/>
              <w:rPr>
                <w:rFonts w:cs="Arial"/>
                <w:sz w:val="20"/>
              </w:rPr>
            </w:pPr>
            <w:r w:rsidRPr="00741157">
              <w:rPr>
                <w:rFonts w:cs="Arial"/>
                <w:sz w:val="20"/>
              </w:rPr>
              <w:t>(2010–2014)</w:t>
            </w:r>
          </w:p>
        </w:tc>
        <w:tc>
          <w:tcPr>
            <w:tcW w:w="1800" w:type="dxa"/>
            <w:noWrap/>
          </w:tcPr>
          <w:p w14:paraId="5434BCE0" w14:textId="383ED7B4" w:rsidR="00912DFB" w:rsidRPr="00741157" w:rsidRDefault="00FE0B53" w:rsidP="00912DFB">
            <w:pPr>
              <w:pStyle w:val="Tabletext"/>
              <w:rPr>
                <w:rFonts w:cs="Arial"/>
                <w:sz w:val="20"/>
              </w:rPr>
            </w:pPr>
            <w:r w:rsidRPr="00741157">
              <w:rPr>
                <w:rFonts w:cs="Arial"/>
                <w:sz w:val="20"/>
              </w:rPr>
              <w:t>25.</w:t>
            </w:r>
            <w:r w:rsidR="0093027C" w:rsidRPr="00741157">
              <w:rPr>
                <w:rFonts w:cs="Arial"/>
                <w:sz w:val="20"/>
              </w:rPr>
              <w:t>5</w:t>
            </w:r>
          </w:p>
          <w:p w14:paraId="7D653FE5" w14:textId="51A72A98" w:rsidR="00912DFB" w:rsidRPr="00741157" w:rsidRDefault="00912DFB" w:rsidP="00912DFB">
            <w:pPr>
              <w:pStyle w:val="Tabletext"/>
              <w:rPr>
                <w:rFonts w:cs="Arial"/>
                <w:sz w:val="20"/>
              </w:rPr>
            </w:pPr>
            <w:r w:rsidRPr="00741157">
              <w:rPr>
                <w:rFonts w:cs="Arial"/>
                <w:sz w:val="20"/>
              </w:rPr>
              <w:t>(2015–2019)</w:t>
            </w:r>
          </w:p>
        </w:tc>
        <w:tc>
          <w:tcPr>
            <w:tcW w:w="1800" w:type="dxa"/>
            <w:noWrap/>
          </w:tcPr>
          <w:p w14:paraId="30511DEB" w14:textId="4BA2DD3F" w:rsidR="00912DFB" w:rsidRPr="00741157" w:rsidRDefault="00912DFB" w:rsidP="00912DFB">
            <w:pPr>
              <w:pStyle w:val="Tabletext"/>
              <w:rPr>
                <w:rFonts w:cs="Arial"/>
                <w:sz w:val="20"/>
              </w:rPr>
            </w:pPr>
            <w:r w:rsidRPr="00741157">
              <w:rPr>
                <w:rFonts w:cs="Arial"/>
                <w:sz w:val="20"/>
              </w:rPr>
              <w:t>N/S</w:t>
            </w:r>
          </w:p>
        </w:tc>
        <w:tc>
          <w:tcPr>
            <w:tcW w:w="1786" w:type="dxa"/>
          </w:tcPr>
          <w:p w14:paraId="32F57F3D" w14:textId="269F7257" w:rsidR="00912DFB" w:rsidRPr="00741157" w:rsidRDefault="00FE0B53" w:rsidP="00912DFB">
            <w:pPr>
              <w:pStyle w:val="Tabletext"/>
              <w:rPr>
                <w:rFonts w:cs="Arial"/>
                <w:sz w:val="20"/>
              </w:rPr>
            </w:pPr>
            <w:r w:rsidRPr="00741157">
              <w:rPr>
                <w:rFonts w:cs="Arial"/>
                <w:sz w:val="20"/>
              </w:rPr>
              <w:t>▲</w:t>
            </w:r>
            <w:r w:rsidRPr="00741157">
              <w:rPr>
                <w:rFonts w:cs="Arial"/>
                <w:sz w:val="20"/>
              </w:rPr>
              <w:br/>
              <w:t>Upward</w:t>
            </w:r>
          </w:p>
        </w:tc>
      </w:tr>
      <w:tr w:rsidR="00912DFB" w:rsidRPr="00741157" w14:paraId="455525E5" w14:textId="77777777" w:rsidTr="00115F33">
        <w:trPr>
          <w:trHeight w:val="619"/>
        </w:trPr>
        <w:tc>
          <w:tcPr>
            <w:tcW w:w="1956" w:type="dxa"/>
          </w:tcPr>
          <w:p w14:paraId="34C996A2" w14:textId="7BD0F4B3" w:rsidR="00912DFB" w:rsidRPr="00741157" w:rsidRDefault="00000000" w:rsidP="00912DFB">
            <w:pPr>
              <w:pStyle w:val="Tabletext"/>
              <w:rPr>
                <w:rFonts w:cs="Arial"/>
                <w:sz w:val="20"/>
              </w:rPr>
            </w:pPr>
            <w:hyperlink w:anchor="_Measure_13.16_–" w:history="1">
              <w:r w:rsidR="00912DFB" w:rsidRPr="00741157">
                <w:rPr>
                  <w:rStyle w:val="Hyperlink"/>
                  <w:rFonts w:cs="Arial"/>
                  <w:sz w:val="20"/>
                </w:rPr>
                <w:t>13.16</w:t>
              </w:r>
            </w:hyperlink>
          </w:p>
        </w:tc>
        <w:tc>
          <w:tcPr>
            <w:tcW w:w="3451" w:type="dxa"/>
          </w:tcPr>
          <w:p w14:paraId="34A4A5A9" w14:textId="4A7704CF" w:rsidR="00912DFB" w:rsidRPr="00741157" w:rsidRDefault="00912DFB" w:rsidP="00912DFB">
            <w:pPr>
              <w:pStyle w:val="Tabletext"/>
              <w:rPr>
                <w:rFonts w:cs="Arial"/>
                <w:sz w:val="20"/>
              </w:rPr>
            </w:pPr>
            <w:r w:rsidRPr="00741157">
              <w:rPr>
                <w:rFonts w:cs="Arial"/>
                <w:sz w:val="20"/>
              </w:rPr>
              <w:t>Five-year relative survival from acute myeloid leukaemia</w:t>
            </w:r>
          </w:p>
        </w:tc>
        <w:tc>
          <w:tcPr>
            <w:tcW w:w="1828" w:type="dxa"/>
          </w:tcPr>
          <w:p w14:paraId="2B7411F2" w14:textId="77777777" w:rsidR="00912DFB" w:rsidRPr="00741157" w:rsidRDefault="00912DFB" w:rsidP="00912DFB">
            <w:pPr>
              <w:pStyle w:val="Tabletext"/>
              <w:rPr>
                <w:rFonts w:cs="Arial"/>
                <w:sz w:val="20"/>
              </w:rPr>
            </w:pPr>
            <w:r w:rsidRPr="00741157">
              <w:rPr>
                <w:rFonts w:cs="Arial"/>
                <w:sz w:val="20"/>
              </w:rPr>
              <w:t>Per cent</w:t>
            </w:r>
          </w:p>
        </w:tc>
        <w:tc>
          <w:tcPr>
            <w:tcW w:w="1701" w:type="dxa"/>
            <w:noWrap/>
          </w:tcPr>
          <w:p w14:paraId="1CD57B9E" w14:textId="750E7B8B" w:rsidR="00912DFB" w:rsidRPr="00741157" w:rsidRDefault="00912DFB" w:rsidP="00912DFB">
            <w:pPr>
              <w:pStyle w:val="Tabletext"/>
              <w:rPr>
                <w:rFonts w:cs="Arial"/>
                <w:sz w:val="20"/>
              </w:rPr>
            </w:pPr>
            <w:r w:rsidRPr="00741157">
              <w:rPr>
                <w:rFonts w:cs="Arial"/>
                <w:sz w:val="20"/>
              </w:rPr>
              <w:t>2</w:t>
            </w:r>
            <w:r w:rsidR="0093027C" w:rsidRPr="00741157">
              <w:rPr>
                <w:rFonts w:cs="Arial"/>
                <w:sz w:val="20"/>
              </w:rPr>
              <w:t>8</w:t>
            </w:r>
            <w:r w:rsidRPr="00741157">
              <w:rPr>
                <w:rFonts w:cs="Arial"/>
                <w:sz w:val="20"/>
              </w:rPr>
              <w:t>.</w:t>
            </w:r>
            <w:r w:rsidR="0093027C" w:rsidRPr="00741157">
              <w:rPr>
                <w:rFonts w:cs="Arial"/>
                <w:sz w:val="20"/>
              </w:rPr>
              <w:t>1</w:t>
            </w:r>
          </w:p>
          <w:p w14:paraId="1EE14AAE" w14:textId="5F7C5848" w:rsidR="00912DFB" w:rsidRPr="00741157" w:rsidRDefault="00912DFB" w:rsidP="00912DFB">
            <w:pPr>
              <w:pStyle w:val="Tabletext"/>
              <w:rPr>
                <w:rFonts w:cs="Arial"/>
                <w:sz w:val="20"/>
              </w:rPr>
            </w:pPr>
            <w:r w:rsidRPr="00741157">
              <w:rPr>
                <w:rFonts w:cs="Arial"/>
                <w:sz w:val="20"/>
              </w:rPr>
              <w:t>(2010–2014)</w:t>
            </w:r>
          </w:p>
        </w:tc>
        <w:tc>
          <w:tcPr>
            <w:tcW w:w="1800" w:type="dxa"/>
            <w:noWrap/>
          </w:tcPr>
          <w:p w14:paraId="1F7E6D39" w14:textId="57513BA4" w:rsidR="00912DFB" w:rsidRPr="00741157" w:rsidRDefault="00FE0B53" w:rsidP="00912DFB">
            <w:pPr>
              <w:pStyle w:val="Tabletext"/>
              <w:rPr>
                <w:rFonts w:cs="Arial"/>
                <w:sz w:val="20"/>
              </w:rPr>
            </w:pPr>
            <w:r w:rsidRPr="00741157">
              <w:rPr>
                <w:rFonts w:cs="Arial"/>
                <w:sz w:val="20"/>
              </w:rPr>
              <w:t>32.</w:t>
            </w:r>
            <w:r w:rsidR="0093027C" w:rsidRPr="00741157">
              <w:rPr>
                <w:rFonts w:cs="Arial"/>
                <w:sz w:val="20"/>
              </w:rPr>
              <w:t>8</w:t>
            </w:r>
          </w:p>
          <w:p w14:paraId="43FABFEA" w14:textId="5030EFE9" w:rsidR="00912DFB" w:rsidRPr="00741157" w:rsidRDefault="00912DFB" w:rsidP="00912DFB">
            <w:pPr>
              <w:pStyle w:val="Tabletext"/>
              <w:rPr>
                <w:rFonts w:cs="Arial"/>
                <w:sz w:val="20"/>
              </w:rPr>
            </w:pPr>
            <w:r w:rsidRPr="00741157">
              <w:rPr>
                <w:rFonts w:cs="Arial"/>
                <w:sz w:val="20"/>
              </w:rPr>
              <w:t>(2015–2019)</w:t>
            </w:r>
          </w:p>
        </w:tc>
        <w:tc>
          <w:tcPr>
            <w:tcW w:w="1800" w:type="dxa"/>
            <w:noWrap/>
          </w:tcPr>
          <w:p w14:paraId="05A15186" w14:textId="71D9CD38" w:rsidR="00912DFB" w:rsidRPr="00741157" w:rsidRDefault="00912DFB" w:rsidP="00912DFB">
            <w:pPr>
              <w:pStyle w:val="Tabletext"/>
              <w:rPr>
                <w:rFonts w:cs="Arial"/>
                <w:sz w:val="20"/>
              </w:rPr>
            </w:pPr>
            <w:r w:rsidRPr="00741157">
              <w:rPr>
                <w:rFonts w:cs="Arial"/>
                <w:sz w:val="20"/>
              </w:rPr>
              <w:t>N/S</w:t>
            </w:r>
          </w:p>
        </w:tc>
        <w:tc>
          <w:tcPr>
            <w:tcW w:w="1786" w:type="dxa"/>
          </w:tcPr>
          <w:p w14:paraId="18C1292B" w14:textId="7E40557A" w:rsidR="00912DFB" w:rsidRPr="00741157" w:rsidRDefault="00FE0B53" w:rsidP="00912DFB">
            <w:pPr>
              <w:pStyle w:val="Tabletext"/>
              <w:rPr>
                <w:rFonts w:cs="Arial"/>
                <w:sz w:val="20"/>
              </w:rPr>
            </w:pPr>
            <w:r w:rsidRPr="00741157">
              <w:rPr>
                <w:rFonts w:cs="Arial"/>
                <w:sz w:val="20"/>
              </w:rPr>
              <w:t>▲</w:t>
            </w:r>
            <w:r w:rsidRPr="00741157">
              <w:rPr>
                <w:rFonts w:cs="Arial"/>
                <w:sz w:val="20"/>
              </w:rPr>
              <w:br/>
              <w:t>Upward</w:t>
            </w:r>
          </w:p>
        </w:tc>
      </w:tr>
      <w:tr w:rsidR="00912DFB" w:rsidRPr="00741157" w14:paraId="215D3D25" w14:textId="77777777" w:rsidTr="00115F33">
        <w:trPr>
          <w:trHeight w:val="619"/>
        </w:trPr>
        <w:tc>
          <w:tcPr>
            <w:tcW w:w="1956" w:type="dxa"/>
          </w:tcPr>
          <w:p w14:paraId="6E9BA2C5" w14:textId="5F2B7F49" w:rsidR="00912DFB" w:rsidRPr="00741157" w:rsidRDefault="00000000" w:rsidP="00912DFB">
            <w:pPr>
              <w:pStyle w:val="Tabletext"/>
              <w:rPr>
                <w:rFonts w:cs="Arial"/>
                <w:sz w:val="20"/>
              </w:rPr>
            </w:pPr>
            <w:hyperlink w:anchor="_Appendix_1:_Measures" w:history="1">
              <w:r w:rsidR="00912DFB" w:rsidRPr="00741157">
                <w:rPr>
                  <w:rStyle w:val="Hyperlink"/>
                  <w:rFonts w:cs="Arial"/>
                  <w:sz w:val="20"/>
                </w:rPr>
                <w:t>13.17</w:t>
              </w:r>
            </w:hyperlink>
          </w:p>
        </w:tc>
        <w:tc>
          <w:tcPr>
            <w:tcW w:w="3451" w:type="dxa"/>
          </w:tcPr>
          <w:p w14:paraId="069E3DD0" w14:textId="77777777" w:rsidR="00912DFB" w:rsidRPr="00741157" w:rsidRDefault="00912DFB" w:rsidP="00912DFB">
            <w:pPr>
              <w:pStyle w:val="Tabletext"/>
              <w:rPr>
                <w:rFonts w:cs="Arial"/>
                <w:sz w:val="20"/>
              </w:rPr>
            </w:pPr>
            <w:r w:rsidRPr="00741157">
              <w:rPr>
                <w:rFonts w:cs="Arial"/>
                <w:sz w:val="20"/>
              </w:rPr>
              <w:t>Five-year survival from all cancers diagnosed at stages 1 and 2</w:t>
            </w:r>
          </w:p>
          <w:p w14:paraId="63C064F0" w14:textId="2D65E450" w:rsidR="00912DFB" w:rsidRPr="00741157" w:rsidRDefault="00912DFB" w:rsidP="00912DFB">
            <w:pPr>
              <w:pStyle w:val="Tabletext"/>
              <w:rPr>
                <w:rFonts w:cs="Arial"/>
                <w:sz w:val="20"/>
              </w:rPr>
            </w:pPr>
            <w:r w:rsidRPr="00741157">
              <w:rPr>
                <w:rFonts w:cs="Arial"/>
                <w:sz w:val="20"/>
              </w:rPr>
              <w:t>(N</w:t>
            </w:r>
            <w:r w:rsidR="009052D3" w:rsidRPr="00741157">
              <w:rPr>
                <w:rFonts w:cs="Arial"/>
                <w:sz w:val="20"/>
              </w:rPr>
              <w:t>ote:</w:t>
            </w:r>
            <w:r w:rsidRPr="00741157">
              <w:rPr>
                <w:rFonts w:cs="Arial"/>
                <w:sz w:val="20"/>
              </w:rPr>
              <w:t xml:space="preserve"> Currently not ‘all’ cancers at stages 1 and 2 can be reported against this measure)</w:t>
            </w:r>
          </w:p>
        </w:tc>
        <w:tc>
          <w:tcPr>
            <w:tcW w:w="1828" w:type="dxa"/>
          </w:tcPr>
          <w:p w14:paraId="66ED3150" w14:textId="77777777" w:rsidR="00912DFB" w:rsidRPr="00741157" w:rsidRDefault="00912DFB" w:rsidP="00912DFB">
            <w:pPr>
              <w:pStyle w:val="Tabletext"/>
              <w:rPr>
                <w:rFonts w:cs="Arial"/>
                <w:sz w:val="20"/>
              </w:rPr>
            </w:pPr>
            <w:r w:rsidRPr="00741157">
              <w:rPr>
                <w:rFonts w:cs="Arial"/>
                <w:sz w:val="20"/>
              </w:rPr>
              <w:t>Per cent</w:t>
            </w:r>
          </w:p>
        </w:tc>
        <w:tc>
          <w:tcPr>
            <w:tcW w:w="1701" w:type="dxa"/>
            <w:noWrap/>
          </w:tcPr>
          <w:p w14:paraId="125B3CB0" w14:textId="515B038F" w:rsidR="00912DFB" w:rsidRDefault="00912DFB" w:rsidP="00912DFB">
            <w:pPr>
              <w:pStyle w:val="Tabletext"/>
              <w:rPr>
                <w:rFonts w:cs="Arial"/>
                <w:sz w:val="20"/>
              </w:rPr>
            </w:pPr>
            <w:r w:rsidRPr="00741157">
              <w:rPr>
                <w:rFonts w:cs="Arial"/>
                <w:sz w:val="20"/>
              </w:rPr>
              <w:t>9</w:t>
            </w:r>
            <w:r w:rsidR="00C96C80">
              <w:rPr>
                <w:rFonts w:cs="Arial"/>
                <w:sz w:val="20"/>
              </w:rPr>
              <w:t>7.7 [breast]</w:t>
            </w:r>
          </w:p>
          <w:p w14:paraId="2BA45F9D" w14:textId="01CE5A09" w:rsidR="00C96C80" w:rsidRDefault="00C96C80" w:rsidP="00912DFB">
            <w:pPr>
              <w:pStyle w:val="Tabletext"/>
              <w:rPr>
                <w:rFonts w:cs="Arial"/>
                <w:sz w:val="20"/>
              </w:rPr>
            </w:pPr>
            <w:r>
              <w:rPr>
                <w:rFonts w:cs="Arial"/>
                <w:sz w:val="20"/>
              </w:rPr>
              <w:t>92.9 [CRC]</w:t>
            </w:r>
          </w:p>
          <w:p w14:paraId="2DF663E7" w14:textId="6912D092" w:rsidR="00C96C80" w:rsidRPr="00741157" w:rsidRDefault="00C96C80" w:rsidP="00912DFB">
            <w:pPr>
              <w:pStyle w:val="Tabletext"/>
              <w:rPr>
                <w:rFonts w:cs="Arial"/>
                <w:sz w:val="20"/>
              </w:rPr>
            </w:pPr>
            <w:r>
              <w:rPr>
                <w:rFonts w:cs="Arial"/>
                <w:sz w:val="20"/>
              </w:rPr>
              <w:t>97.3 [prostate]</w:t>
            </w:r>
          </w:p>
          <w:p w14:paraId="7F3BBB90" w14:textId="2A6D9BFA" w:rsidR="00912DFB" w:rsidRPr="00741157" w:rsidRDefault="00912DFB" w:rsidP="00912DFB">
            <w:pPr>
              <w:pStyle w:val="Tabletext"/>
              <w:rPr>
                <w:rFonts w:cs="Arial"/>
                <w:color w:val="87189D"/>
                <w:sz w:val="20"/>
              </w:rPr>
            </w:pPr>
            <w:r w:rsidRPr="00741157">
              <w:rPr>
                <w:rFonts w:cs="Arial"/>
                <w:sz w:val="20"/>
              </w:rPr>
              <w:t>(2010–2014)</w:t>
            </w:r>
          </w:p>
        </w:tc>
        <w:tc>
          <w:tcPr>
            <w:tcW w:w="1800" w:type="dxa"/>
          </w:tcPr>
          <w:p w14:paraId="7025C7F4" w14:textId="6460C809" w:rsidR="00912DFB" w:rsidRDefault="00912DFB" w:rsidP="00912DFB">
            <w:pPr>
              <w:pStyle w:val="Tabletext"/>
              <w:rPr>
                <w:rFonts w:cs="Arial"/>
                <w:sz w:val="20"/>
              </w:rPr>
            </w:pPr>
            <w:r w:rsidRPr="00741157">
              <w:rPr>
                <w:rFonts w:cs="Arial"/>
                <w:sz w:val="20"/>
              </w:rPr>
              <w:t>9</w:t>
            </w:r>
            <w:r w:rsidR="00C96C80">
              <w:rPr>
                <w:rFonts w:cs="Arial"/>
                <w:sz w:val="20"/>
              </w:rPr>
              <w:t>8</w:t>
            </w:r>
            <w:r w:rsidRPr="00741157">
              <w:rPr>
                <w:rFonts w:cs="Arial"/>
                <w:sz w:val="20"/>
              </w:rPr>
              <w:t>.</w:t>
            </w:r>
            <w:r w:rsidR="00C96C80">
              <w:rPr>
                <w:rFonts w:cs="Arial"/>
                <w:sz w:val="20"/>
              </w:rPr>
              <w:t>2 [breast]</w:t>
            </w:r>
          </w:p>
          <w:p w14:paraId="6FE6E706" w14:textId="5A993089" w:rsidR="00C96C80" w:rsidRDefault="00C96C80" w:rsidP="00912DFB">
            <w:pPr>
              <w:pStyle w:val="Tabletext"/>
              <w:rPr>
                <w:rFonts w:cs="Arial"/>
                <w:sz w:val="20"/>
              </w:rPr>
            </w:pPr>
            <w:r>
              <w:rPr>
                <w:rFonts w:cs="Arial"/>
                <w:sz w:val="20"/>
              </w:rPr>
              <w:t>94.0 [CRC]</w:t>
            </w:r>
          </w:p>
          <w:p w14:paraId="1576C2D2" w14:textId="18E19FC4" w:rsidR="00C96C80" w:rsidRPr="00741157" w:rsidRDefault="00C96C80" w:rsidP="00912DFB">
            <w:pPr>
              <w:pStyle w:val="Tabletext"/>
              <w:rPr>
                <w:rFonts w:cs="Arial"/>
                <w:sz w:val="20"/>
              </w:rPr>
            </w:pPr>
            <w:r>
              <w:rPr>
                <w:rFonts w:cs="Arial"/>
                <w:sz w:val="20"/>
              </w:rPr>
              <w:t>98.4 [prostate]</w:t>
            </w:r>
          </w:p>
          <w:p w14:paraId="22B1A071" w14:textId="605B8A15" w:rsidR="00912DFB" w:rsidRPr="00741157" w:rsidRDefault="00912DFB" w:rsidP="00912DFB">
            <w:pPr>
              <w:pStyle w:val="Tabletext"/>
              <w:rPr>
                <w:rFonts w:cs="Arial"/>
                <w:color w:val="87189D"/>
                <w:sz w:val="20"/>
              </w:rPr>
            </w:pPr>
            <w:r w:rsidRPr="00741157">
              <w:rPr>
                <w:rFonts w:cs="Arial"/>
                <w:sz w:val="20"/>
              </w:rPr>
              <w:t>(2015–2019)</w:t>
            </w:r>
          </w:p>
        </w:tc>
        <w:tc>
          <w:tcPr>
            <w:tcW w:w="1800" w:type="dxa"/>
            <w:noWrap/>
          </w:tcPr>
          <w:p w14:paraId="1364CDFE" w14:textId="77777777" w:rsidR="00912DFB" w:rsidRPr="00741157" w:rsidRDefault="00912DFB" w:rsidP="00912DFB">
            <w:pPr>
              <w:pStyle w:val="Tabletext"/>
              <w:rPr>
                <w:rFonts w:cs="Arial"/>
                <w:sz w:val="20"/>
              </w:rPr>
            </w:pPr>
            <w:r w:rsidRPr="00741157">
              <w:rPr>
                <w:rFonts w:cs="Arial"/>
                <w:sz w:val="20"/>
              </w:rPr>
              <w:t>N/S</w:t>
            </w:r>
          </w:p>
        </w:tc>
        <w:tc>
          <w:tcPr>
            <w:tcW w:w="1786" w:type="dxa"/>
          </w:tcPr>
          <w:p w14:paraId="4DB26473" w14:textId="77777777" w:rsidR="00912DFB" w:rsidRDefault="00912DFB" w:rsidP="00912DFB">
            <w:pPr>
              <w:pStyle w:val="Tabletext"/>
              <w:rPr>
                <w:rFonts w:cs="Arial"/>
                <w:sz w:val="20"/>
              </w:rPr>
            </w:pPr>
            <w:r w:rsidRPr="00741157">
              <w:rPr>
                <w:rFonts w:cs="Arial"/>
                <w:sz w:val="20"/>
              </w:rPr>
              <w:t xml:space="preserve">■ </w:t>
            </w:r>
            <w:r w:rsidRPr="00741157">
              <w:rPr>
                <w:rFonts w:cs="Arial"/>
                <w:sz w:val="20"/>
              </w:rPr>
              <w:br/>
              <w:t>No change</w:t>
            </w:r>
            <w:r w:rsidR="00115F33">
              <w:rPr>
                <w:rFonts w:cs="Arial"/>
                <w:sz w:val="20"/>
              </w:rPr>
              <w:t xml:space="preserve"> </w:t>
            </w:r>
          </w:p>
          <w:p w14:paraId="1D3F52EE" w14:textId="767A78B9" w:rsidR="00115F33" w:rsidRPr="00741157" w:rsidRDefault="00115F33" w:rsidP="00912DFB">
            <w:pPr>
              <w:pStyle w:val="Tabletext"/>
              <w:rPr>
                <w:rFonts w:cs="Arial"/>
                <w:sz w:val="20"/>
              </w:rPr>
            </w:pPr>
            <w:r>
              <w:rPr>
                <w:rFonts w:cs="Arial"/>
                <w:sz w:val="20"/>
              </w:rPr>
              <w:t>[breast, CRC, prostate]</w:t>
            </w:r>
          </w:p>
        </w:tc>
      </w:tr>
      <w:tr w:rsidR="00912DFB" w:rsidRPr="00741157" w14:paraId="64756B25" w14:textId="77777777" w:rsidTr="00115F33">
        <w:trPr>
          <w:trHeight w:val="619"/>
        </w:trPr>
        <w:tc>
          <w:tcPr>
            <w:tcW w:w="1956" w:type="dxa"/>
          </w:tcPr>
          <w:p w14:paraId="10FF6F43" w14:textId="24BCBC53" w:rsidR="00912DFB" w:rsidRPr="00741157" w:rsidRDefault="00000000" w:rsidP="00912DFB">
            <w:pPr>
              <w:pStyle w:val="Tabletext"/>
              <w:rPr>
                <w:rFonts w:cs="Arial"/>
                <w:sz w:val="20"/>
              </w:rPr>
            </w:pPr>
            <w:hyperlink w:anchor="_Appendix_1:_Measures" w:history="1">
              <w:r w:rsidR="00912DFB" w:rsidRPr="00741157">
                <w:rPr>
                  <w:rStyle w:val="Hyperlink"/>
                  <w:rFonts w:cs="Arial"/>
                  <w:sz w:val="20"/>
                </w:rPr>
                <w:t>13.18</w:t>
              </w:r>
            </w:hyperlink>
          </w:p>
        </w:tc>
        <w:tc>
          <w:tcPr>
            <w:tcW w:w="3451" w:type="dxa"/>
          </w:tcPr>
          <w:p w14:paraId="11AC92A3" w14:textId="77777777" w:rsidR="00912DFB" w:rsidRPr="00741157" w:rsidRDefault="00912DFB" w:rsidP="00912DFB">
            <w:pPr>
              <w:pStyle w:val="Tabletext"/>
              <w:rPr>
                <w:rFonts w:cs="Arial"/>
                <w:sz w:val="20"/>
              </w:rPr>
            </w:pPr>
            <w:r w:rsidRPr="00741157">
              <w:rPr>
                <w:rFonts w:cs="Arial"/>
                <w:sz w:val="20"/>
              </w:rPr>
              <w:t>Five-year survival from all cancers diagnosed at stages 3 and 4</w:t>
            </w:r>
          </w:p>
          <w:p w14:paraId="325C275F" w14:textId="010D0B2D" w:rsidR="00912DFB" w:rsidRPr="00741157" w:rsidRDefault="00912DFB" w:rsidP="00912DFB">
            <w:pPr>
              <w:pStyle w:val="Tabletext"/>
              <w:rPr>
                <w:rFonts w:cs="Arial"/>
                <w:sz w:val="20"/>
              </w:rPr>
            </w:pPr>
            <w:r w:rsidRPr="00741157">
              <w:rPr>
                <w:rFonts w:cs="Arial"/>
                <w:sz w:val="20"/>
              </w:rPr>
              <w:t>(N</w:t>
            </w:r>
            <w:r w:rsidR="009052D3" w:rsidRPr="00741157">
              <w:rPr>
                <w:rFonts w:cs="Arial"/>
                <w:sz w:val="20"/>
              </w:rPr>
              <w:t>ote:</w:t>
            </w:r>
            <w:r w:rsidRPr="00741157">
              <w:rPr>
                <w:rFonts w:cs="Arial"/>
                <w:sz w:val="20"/>
              </w:rPr>
              <w:t xml:space="preserve"> Currently not ‘all’ cancers at stages 3 and 4 can be reported against this measure)</w:t>
            </w:r>
          </w:p>
        </w:tc>
        <w:tc>
          <w:tcPr>
            <w:tcW w:w="1828" w:type="dxa"/>
          </w:tcPr>
          <w:p w14:paraId="145F2CAC" w14:textId="77777777" w:rsidR="00912DFB" w:rsidRPr="00741157" w:rsidRDefault="00912DFB" w:rsidP="00912DFB">
            <w:pPr>
              <w:pStyle w:val="Tabletext"/>
              <w:rPr>
                <w:rFonts w:cs="Arial"/>
                <w:sz w:val="20"/>
              </w:rPr>
            </w:pPr>
            <w:r w:rsidRPr="00741157">
              <w:rPr>
                <w:rFonts w:cs="Arial"/>
                <w:sz w:val="20"/>
              </w:rPr>
              <w:t>Per cent</w:t>
            </w:r>
          </w:p>
        </w:tc>
        <w:tc>
          <w:tcPr>
            <w:tcW w:w="1701" w:type="dxa"/>
            <w:noWrap/>
          </w:tcPr>
          <w:p w14:paraId="66E8DF0F" w14:textId="4DE18FAD" w:rsidR="00912DFB" w:rsidRDefault="00C96C80" w:rsidP="00912DFB">
            <w:pPr>
              <w:pStyle w:val="Tabletext"/>
              <w:rPr>
                <w:rFonts w:cs="Arial"/>
                <w:sz w:val="20"/>
              </w:rPr>
            </w:pPr>
            <w:r>
              <w:rPr>
                <w:rFonts w:cs="Arial"/>
                <w:sz w:val="20"/>
              </w:rPr>
              <w:t>64.3</w:t>
            </w:r>
            <w:r w:rsidR="00115F33">
              <w:rPr>
                <w:rFonts w:cs="Arial"/>
                <w:sz w:val="20"/>
              </w:rPr>
              <w:t xml:space="preserve"> [breast]</w:t>
            </w:r>
          </w:p>
          <w:p w14:paraId="6F1BC54B" w14:textId="77777777" w:rsidR="00115F33" w:rsidRDefault="00115F33" w:rsidP="00912DFB">
            <w:pPr>
              <w:pStyle w:val="Tabletext"/>
              <w:rPr>
                <w:rFonts w:cs="Arial"/>
                <w:sz w:val="20"/>
              </w:rPr>
            </w:pPr>
          </w:p>
          <w:p w14:paraId="4BBE4683" w14:textId="63C5C419" w:rsidR="00115F33" w:rsidRDefault="00C96C80" w:rsidP="00912DFB">
            <w:pPr>
              <w:pStyle w:val="Tabletext"/>
              <w:rPr>
                <w:rFonts w:cs="Arial"/>
                <w:sz w:val="20"/>
              </w:rPr>
            </w:pPr>
            <w:r>
              <w:rPr>
                <w:rFonts w:cs="Arial"/>
                <w:sz w:val="20"/>
              </w:rPr>
              <w:t>45.7</w:t>
            </w:r>
            <w:r w:rsidR="00115F33">
              <w:rPr>
                <w:rFonts w:cs="Arial"/>
                <w:sz w:val="20"/>
              </w:rPr>
              <w:t xml:space="preserve"> [CRC]</w:t>
            </w:r>
          </w:p>
          <w:p w14:paraId="3A9CF9D3" w14:textId="7F21B8DF" w:rsidR="00C96C80" w:rsidRPr="00741157" w:rsidRDefault="00C96C80" w:rsidP="00912DFB">
            <w:pPr>
              <w:pStyle w:val="Tabletext"/>
              <w:rPr>
                <w:rFonts w:cs="Arial"/>
                <w:sz w:val="20"/>
              </w:rPr>
            </w:pPr>
            <w:r>
              <w:rPr>
                <w:rFonts w:cs="Arial"/>
                <w:sz w:val="20"/>
              </w:rPr>
              <w:t>86.7</w:t>
            </w:r>
            <w:r w:rsidR="00115F33">
              <w:rPr>
                <w:rFonts w:cs="Arial"/>
                <w:sz w:val="20"/>
              </w:rPr>
              <w:t xml:space="preserve"> [prostate]</w:t>
            </w:r>
          </w:p>
          <w:p w14:paraId="67CE9DC8" w14:textId="0EC24175" w:rsidR="00912DFB" w:rsidRPr="00741157" w:rsidRDefault="00912DFB" w:rsidP="00912DFB">
            <w:pPr>
              <w:pStyle w:val="Tabletext"/>
              <w:rPr>
                <w:rFonts w:cs="Arial"/>
                <w:sz w:val="20"/>
              </w:rPr>
            </w:pPr>
            <w:r w:rsidRPr="00741157">
              <w:rPr>
                <w:rFonts w:cs="Arial"/>
                <w:sz w:val="20"/>
              </w:rPr>
              <w:t>(2010–2014)</w:t>
            </w:r>
          </w:p>
        </w:tc>
        <w:tc>
          <w:tcPr>
            <w:tcW w:w="1800" w:type="dxa"/>
          </w:tcPr>
          <w:p w14:paraId="3C107422" w14:textId="174A86BE" w:rsidR="00912DFB" w:rsidRDefault="00115F33" w:rsidP="00912DFB">
            <w:pPr>
              <w:pStyle w:val="Tabletext"/>
              <w:rPr>
                <w:rFonts w:cs="Arial"/>
                <w:sz w:val="20"/>
              </w:rPr>
            </w:pPr>
            <w:r>
              <w:rPr>
                <w:rFonts w:cs="Arial"/>
                <w:sz w:val="20"/>
              </w:rPr>
              <w:t>67.3 [breast]</w:t>
            </w:r>
          </w:p>
          <w:p w14:paraId="427E3771" w14:textId="77777777" w:rsidR="00115F33" w:rsidRDefault="00115F33" w:rsidP="00912DFB">
            <w:pPr>
              <w:pStyle w:val="Tabletext"/>
              <w:rPr>
                <w:rFonts w:cs="Arial"/>
                <w:sz w:val="20"/>
              </w:rPr>
            </w:pPr>
          </w:p>
          <w:p w14:paraId="72FD011D" w14:textId="3500E31A" w:rsidR="00115F33" w:rsidRDefault="00115F33" w:rsidP="00912DFB">
            <w:pPr>
              <w:pStyle w:val="Tabletext"/>
              <w:rPr>
                <w:rFonts w:cs="Arial"/>
                <w:sz w:val="20"/>
              </w:rPr>
            </w:pPr>
            <w:r>
              <w:rPr>
                <w:rFonts w:cs="Arial"/>
                <w:sz w:val="20"/>
              </w:rPr>
              <w:t>46.6 [CRC]</w:t>
            </w:r>
          </w:p>
          <w:p w14:paraId="4B5689C8" w14:textId="5DA3E109" w:rsidR="00115F33" w:rsidRPr="00741157" w:rsidRDefault="00115F33" w:rsidP="00912DFB">
            <w:pPr>
              <w:pStyle w:val="Tabletext"/>
              <w:rPr>
                <w:rFonts w:cs="Arial"/>
                <w:sz w:val="20"/>
              </w:rPr>
            </w:pPr>
            <w:r>
              <w:rPr>
                <w:rFonts w:cs="Arial"/>
                <w:sz w:val="20"/>
              </w:rPr>
              <w:t xml:space="preserve">84.6 [prostate] </w:t>
            </w:r>
          </w:p>
          <w:p w14:paraId="481A24B7" w14:textId="5E441F2E" w:rsidR="00912DFB" w:rsidRPr="00741157" w:rsidRDefault="00912DFB" w:rsidP="00912DFB">
            <w:pPr>
              <w:pStyle w:val="Tabletext"/>
              <w:rPr>
                <w:rFonts w:cs="Arial"/>
                <w:sz w:val="20"/>
              </w:rPr>
            </w:pPr>
            <w:r w:rsidRPr="00741157">
              <w:rPr>
                <w:rFonts w:cs="Arial"/>
                <w:sz w:val="20"/>
              </w:rPr>
              <w:t>(2015–2019)</w:t>
            </w:r>
          </w:p>
        </w:tc>
        <w:tc>
          <w:tcPr>
            <w:tcW w:w="1800" w:type="dxa"/>
            <w:noWrap/>
          </w:tcPr>
          <w:p w14:paraId="2DFF5A65" w14:textId="77777777" w:rsidR="00912DFB" w:rsidRPr="00741157" w:rsidRDefault="00912DFB" w:rsidP="00912DFB">
            <w:pPr>
              <w:pStyle w:val="Tabletext"/>
              <w:rPr>
                <w:rFonts w:cs="Arial"/>
                <w:sz w:val="20"/>
              </w:rPr>
            </w:pPr>
            <w:r w:rsidRPr="00741157">
              <w:rPr>
                <w:rFonts w:cs="Arial"/>
                <w:sz w:val="20"/>
              </w:rPr>
              <w:t>N/S</w:t>
            </w:r>
          </w:p>
        </w:tc>
        <w:tc>
          <w:tcPr>
            <w:tcW w:w="1786" w:type="dxa"/>
          </w:tcPr>
          <w:p w14:paraId="4042E99B" w14:textId="77777777" w:rsidR="00912DFB" w:rsidRDefault="00912DFB" w:rsidP="00912DFB">
            <w:pPr>
              <w:pStyle w:val="Tabletext"/>
              <w:rPr>
                <w:rFonts w:cs="Arial"/>
                <w:sz w:val="20"/>
              </w:rPr>
            </w:pPr>
            <w:r w:rsidRPr="00741157">
              <w:rPr>
                <w:rFonts w:cs="Arial"/>
                <w:sz w:val="20"/>
              </w:rPr>
              <w:t>▲</w:t>
            </w:r>
            <w:r w:rsidRPr="00741157">
              <w:rPr>
                <w:rFonts w:cs="Arial"/>
                <w:sz w:val="20"/>
              </w:rPr>
              <w:br/>
              <w:t>Upward</w:t>
            </w:r>
            <w:r w:rsidR="00115F33">
              <w:rPr>
                <w:rFonts w:cs="Arial"/>
                <w:sz w:val="20"/>
              </w:rPr>
              <w:t xml:space="preserve"> [breast]</w:t>
            </w:r>
          </w:p>
          <w:p w14:paraId="268F553D" w14:textId="77777777" w:rsidR="00115F33" w:rsidRDefault="00115F33" w:rsidP="00115F33">
            <w:pPr>
              <w:pStyle w:val="Tabletext"/>
              <w:rPr>
                <w:rFonts w:cs="Arial"/>
                <w:sz w:val="20"/>
              </w:rPr>
            </w:pPr>
            <w:r w:rsidRPr="00741157">
              <w:rPr>
                <w:rFonts w:cs="Arial"/>
                <w:sz w:val="20"/>
              </w:rPr>
              <w:t xml:space="preserve">■ </w:t>
            </w:r>
            <w:r w:rsidRPr="00741157">
              <w:rPr>
                <w:rFonts w:cs="Arial"/>
                <w:sz w:val="20"/>
              </w:rPr>
              <w:br/>
              <w:t>No change</w:t>
            </w:r>
            <w:r>
              <w:rPr>
                <w:rFonts w:cs="Arial"/>
                <w:sz w:val="20"/>
              </w:rPr>
              <w:t xml:space="preserve"> </w:t>
            </w:r>
          </w:p>
          <w:p w14:paraId="6208C882" w14:textId="5817DD3D" w:rsidR="00115F33" w:rsidRDefault="00115F33" w:rsidP="00115F33">
            <w:pPr>
              <w:pStyle w:val="Tabletext"/>
              <w:rPr>
                <w:rFonts w:cs="Arial"/>
                <w:sz w:val="20"/>
              </w:rPr>
            </w:pPr>
            <w:r>
              <w:rPr>
                <w:rFonts w:cs="Arial"/>
                <w:sz w:val="20"/>
              </w:rPr>
              <w:t>[CRC, prostate]</w:t>
            </w:r>
          </w:p>
          <w:p w14:paraId="383BAD55" w14:textId="510ECFB3" w:rsidR="00115F33" w:rsidRPr="00741157" w:rsidRDefault="00115F33" w:rsidP="00912DFB">
            <w:pPr>
              <w:pStyle w:val="Tabletext"/>
              <w:rPr>
                <w:rFonts w:cs="Arial"/>
                <w:sz w:val="20"/>
              </w:rPr>
            </w:pPr>
          </w:p>
        </w:tc>
      </w:tr>
    </w:tbl>
    <w:p w14:paraId="1408A7D8" w14:textId="77777777" w:rsidR="00243670" w:rsidRDefault="00243670" w:rsidP="009052D3">
      <w:pPr>
        <w:pStyle w:val="Heading5"/>
      </w:pPr>
    </w:p>
    <w:p w14:paraId="63F56D05" w14:textId="77777777" w:rsidR="00243670" w:rsidRDefault="00243670">
      <w:pPr>
        <w:rPr>
          <w:rFonts w:ascii="Arial" w:eastAsia="MS Mincho" w:hAnsi="Arial"/>
          <w:b/>
          <w:bCs/>
          <w:color w:val="AF272F"/>
          <w:lang w:eastAsia="en-US"/>
        </w:rPr>
      </w:pPr>
      <w:r>
        <w:br w:type="page"/>
      </w:r>
    </w:p>
    <w:p w14:paraId="69561A7A" w14:textId="2B1BC8DC" w:rsidR="00D16A3A" w:rsidRDefault="00D16A3A" w:rsidP="009052D3">
      <w:pPr>
        <w:pStyle w:val="Heading5"/>
      </w:pPr>
      <w:r w:rsidRPr="0007466C">
        <w:lastRenderedPageBreak/>
        <w:t>Key result: Improve quality of life</w:t>
      </w:r>
    </w:p>
    <w:tbl>
      <w:tblPr>
        <w:tblStyle w:val="TableGrid"/>
        <w:tblW w:w="14459"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7"/>
        <w:gridCol w:w="3260"/>
        <w:gridCol w:w="2268"/>
        <w:gridCol w:w="2126"/>
        <w:gridCol w:w="1701"/>
        <w:gridCol w:w="1701"/>
        <w:gridCol w:w="1276"/>
      </w:tblGrid>
      <w:tr w:rsidR="00D16A3A" w:rsidRPr="00885FE2" w14:paraId="51B94C5D" w14:textId="77777777" w:rsidTr="00360C87">
        <w:trPr>
          <w:trHeight w:val="621"/>
        </w:trPr>
        <w:tc>
          <w:tcPr>
            <w:tcW w:w="2127" w:type="dxa"/>
            <w:shd w:val="clear" w:color="auto" w:fill="EDCDCF"/>
          </w:tcPr>
          <w:p w14:paraId="7A47469C" w14:textId="111D44F1" w:rsidR="00D16A3A" w:rsidRPr="00D16A3A" w:rsidRDefault="00D16A3A" w:rsidP="00D16A3A">
            <w:pPr>
              <w:pStyle w:val="Tablecolhead"/>
            </w:pPr>
            <w:r w:rsidRPr="00D16A3A">
              <w:t>Measure #</w:t>
            </w:r>
          </w:p>
        </w:tc>
        <w:tc>
          <w:tcPr>
            <w:tcW w:w="3260" w:type="dxa"/>
            <w:shd w:val="clear" w:color="auto" w:fill="EDCDCF"/>
          </w:tcPr>
          <w:p w14:paraId="1B6CB64D" w14:textId="2AEA851B" w:rsidR="00D16A3A" w:rsidRPr="00D16A3A" w:rsidRDefault="00D16A3A" w:rsidP="00D16A3A">
            <w:pPr>
              <w:pStyle w:val="Tablecolhead"/>
            </w:pPr>
            <w:r w:rsidRPr="00D16A3A">
              <w:t>Description</w:t>
            </w:r>
          </w:p>
        </w:tc>
        <w:tc>
          <w:tcPr>
            <w:tcW w:w="2268" w:type="dxa"/>
            <w:shd w:val="clear" w:color="auto" w:fill="EDCDCF"/>
          </w:tcPr>
          <w:p w14:paraId="349A638B" w14:textId="444519C7" w:rsidR="00D16A3A" w:rsidRPr="00D16A3A" w:rsidRDefault="00D16A3A" w:rsidP="00D16A3A">
            <w:pPr>
              <w:pStyle w:val="Tablecolhead"/>
            </w:pPr>
            <w:r w:rsidRPr="00D16A3A">
              <w:t>Unit of measure</w:t>
            </w:r>
          </w:p>
        </w:tc>
        <w:tc>
          <w:tcPr>
            <w:tcW w:w="2126" w:type="dxa"/>
            <w:shd w:val="clear" w:color="auto" w:fill="EDCDCF"/>
          </w:tcPr>
          <w:p w14:paraId="29FAB944" w14:textId="77777777" w:rsidR="00D16A3A" w:rsidRPr="00D16A3A" w:rsidRDefault="00D16A3A" w:rsidP="00D16A3A">
            <w:pPr>
              <w:pStyle w:val="Tablecolhead"/>
            </w:pPr>
            <w:r w:rsidRPr="00D16A3A">
              <w:t>Baseline</w:t>
            </w:r>
          </w:p>
          <w:p w14:paraId="21E98E7C" w14:textId="12A2349B" w:rsidR="00D16A3A" w:rsidRPr="00D16A3A" w:rsidRDefault="00D16A3A" w:rsidP="00D16A3A">
            <w:pPr>
              <w:pStyle w:val="Tablecolhead"/>
            </w:pPr>
            <w:r w:rsidRPr="00D16A3A">
              <w:t>(year)</w:t>
            </w:r>
          </w:p>
        </w:tc>
        <w:tc>
          <w:tcPr>
            <w:tcW w:w="1701" w:type="dxa"/>
            <w:shd w:val="clear" w:color="auto" w:fill="EDCDCF"/>
          </w:tcPr>
          <w:p w14:paraId="73C8DC0C" w14:textId="77777777" w:rsidR="00D16A3A" w:rsidRPr="00D16A3A" w:rsidRDefault="00D16A3A" w:rsidP="00D16A3A">
            <w:pPr>
              <w:pStyle w:val="Tablecolhead"/>
            </w:pPr>
            <w:r w:rsidRPr="00D16A3A">
              <w:t>Most recent</w:t>
            </w:r>
          </w:p>
          <w:p w14:paraId="180BED5C" w14:textId="7BAEABF8" w:rsidR="00D16A3A" w:rsidRPr="00D16A3A" w:rsidRDefault="00D16A3A" w:rsidP="00D16A3A">
            <w:pPr>
              <w:pStyle w:val="Tablecolhead"/>
            </w:pPr>
            <w:r w:rsidRPr="00D16A3A">
              <w:t>(year)</w:t>
            </w:r>
          </w:p>
        </w:tc>
        <w:tc>
          <w:tcPr>
            <w:tcW w:w="1701" w:type="dxa"/>
            <w:shd w:val="clear" w:color="auto" w:fill="EDCDCF"/>
            <w:noWrap/>
          </w:tcPr>
          <w:p w14:paraId="1C9DB2BF" w14:textId="770853C8" w:rsidR="00D16A3A" w:rsidRPr="00D16A3A" w:rsidRDefault="00D16A3A" w:rsidP="00D16A3A">
            <w:pPr>
              <w:pStyle w:val="Tablecolhead"/>
            </w:pPr>
            <w:r w:rsidRPr="00D16A3A">
              <w:t>Target</w:t>
            </w:r>
          </w:p>
        </w:tc>
        <w:tc>
          <w:tcPr>
            <w:tcW w:w="1276" w:type="dxa"/>
            <w:shd w:val="clear" w:color="auto" w:fill="EDCDCF"/>
          </w:tcPr>
          <w:p w14:paraId="68DF186F" w14:textId="15832841" w:rsidR="00D16A3A" w:rsidRPr="00D16A3A" w:rsidRDefault="00D16A3A" w:rsidP="00D16A3A">
            <w:pPr>
              <w:pStyle w:val="Tablecolhead"/>
            </w:pPr>
            <w:r w:rsidRPr="00D16A3A">
              <w:t>Trend</w:t>
            </w:r>
          </w:p>
        </w:tc>
      </w:tr>
      <w:tr w:rsidR="0064412C" w:rsidRPr="00885FE2" w14:paraId="169255C8" w14:textId="77777777" w:rsidTr="00360C87">
        <w:trPr>
          <w:trHeight w:val="621"/>
        </w:trPr>
        <w:tc>
          <w:tcPr>
            <w:tcW w:w="2127" w:type="dxa"/>
          </w:tcPr>
          <w:p w14:paraId="688F63A5" w14:textId="3F83C9DC" w:rsidR="0064412C" w:rsidRPr="0099225F" w:rsidRDefault="00000000" w:rsidP="00C1114C">
            <w:pPr>
              <w:pStyle w:val="Tabletext"/>
              <w:rPr>
                <w:sz w:val="20"/>
              </w:rPr>
            </w:pPr>
            <w:hyperlink w:anchor="_Appendix_1:_Measures" w:history="1">
              <w:r w:rsidR="0064412C" w:rsidRPr="0099225F">
                <w:rPr>
                  <w:rStyle w:val="Hyperlink"/>
                  <w:sz w:val="20"/>
                </w:rPr>
                <w:t>14.1</w:t>
              </w:r>
            </w:hyperlink>
          </w:p>
        </w:tc>
        <w:tc>
          <w:tcPr>
            <w:tcW w:w="3260" w:type="dxa"/>
          </w:tcPr>
          <w:p w14:paraId="5FEE99C4" w14:textId="77777777" w:rsidR="0064412C" w:rsidRPr="0099225F" w:rsidRDefault="0064412C" w:rsidP="00C1114C">
            <w:pPr>
              <w:pStyle w:val="Tabletext"/>
              <w:rPr>
                <w:sz w:val="20"/>
              </w:rPr>
            </w:pPr>
            <w:r w:rsidRPr="0099225F">
              <w:rPr>
                <w:sz w:val="20"/>
              </w:rPr>
              <w:t>Health-related quality of life following primary treatment (TBD)</w:t>
            </w:r>
          </w:p>
        </w:tc>
        <w:tc>
          <w:tcPr>
            <w:tcW w:w="2268" w:type="dxa"/>
          </w:tcPr>
          <w:p w14:paraId="115E423F" w14:textId="77777777" w:rsidR="0064412C" w:rsidRPr="00741157" w:rsidRDefault="0064412C" w:rsidP="00C1114C">
            <w:pPr>
              <w:pStyle w:val="Tabletext"/>
              <w:rPr>
                <w:color w:val="87189D"/>
                <w:sz w:val="20"/>
              </w:rPr>
            </w:pPr>
            <w:r w:rsidRPr="00741157">
              <w:rPr>
                <w:color w:val="87189D"/>
                <w:sz w:val="20"/>
              </w:rPr>
              <w:t>No data available (refer to Appendix 1)</w:t>
            </w:r>
          </w:p>
        </w:tc>
        <w:tc>
          <w:tcPr>
            <w:tcW w:w="2126" w:type="dxa"/>
          </w:tcPr>
          <w:p w14:paraId="68201F69" w14:textId="0759DE42" w:rsidR="0064412C" w:rsidRPr="00741157" w:rsidRDefault="0064412C" w:rsidP="00C1114C">
            <w:pPr>
              <w:pStyle w:val="Tabletext"/>
              <w:rPr>
                <w:sz w:val="20"/>
              </w:rPr>
            </w:pPr>
            <w:r w:rsidRPr="00741157">
              <w:rPr>
                <w:sz w:val="20"/>
              </w:rPr>
              <w:t>N/A</w:t>
            </w:r>
          </w:p>
        </w:tc>
        <w:tc>
          <w:tcPr>
            <w:tcW w:w="1701" w:type="dxa"/>
          </w:tcPr>
          <w:p w14:paraId="5F8DD276" w14:textId="35ABC3F0" w:rsidR="0064412C" w:rsidRPr="00741157" w:rsidRDefault="0064412C" w:rsidP="00C1114C">
            <w:pPr>
              <w:pStyle w:val="Tabletext"/>
              <w:rPr>
                <w:sz w:val="20"/>
              </w:rPr>
            </w:pPr>
            <w:r w:rsidRPr="00741157">
              <w:rPr>
                <w:sz w:val="20"/>
              </w:rPr>
              <w:t>N/A</w:t>
            </w:r>
          </w:p>
        </w:tc>
        <w:tc>
          <w:tcPr>
            <w:tcW w:w="1701" w:type="dxa"/>
            <w:noWrap/>
          </w:tcPr>
          <w:p w14:paraId="5ECFE609" w14:textId="77777777" w:rsidR="0064412C" w:rsidRPr="00741157" w:rsidRDefault="0064412C" w:rsidP="00C1114C">
            <w:pPr>
              <w:pStyle w:val="Tabletext"/>
              <w:rPr>
                <w:sz w:val="20"/>
              </w:rPr>
            </w:pPr>
            <w:r w:rsidRPr="00741157">
              <w:rPr>
                <w:sz w:val="20"/>
              </w:rPr>
              <w:t>N/S</w:t>
            </w:r>
          </w:p>
        </w:tc>
        <w:tc>
          <w:tcPr>
            <w:tcW w:w="1276" w:type="dxa"/>
          </w:tcPr>
          <w:p w14:paraId="68B8DA0F" w14:textId="77777777" w:rsidR="0064412C" w:rsidRPr="00741157" w:rsidRDefault="0064412C" w:rsidP="00C1114C">
            <w:pPr>
              <w:pStyle w:val="Tabletext"/>
              <w:rPr>
                <w:sz w:val="20"/>
              </w:rPr>
            </w:pPr>
            <w:r w:rsidRPr="00741157">
              <w:rPr>
                <w:sz w:val="20"/>
              </w:rPr>
              <w:t>N/A</w:t>
            </w:r>
          </w:p>
        </w:tc>
      </w:tr>
    </w:tbl>
    <w:p w14:paraId="1C0BC206" w14:textId="15D1CA79" w:rsidR="00D16A3A" w:rsidRDefault="00D16A3A" w:rsidP="00A451D4">
      <w:pPr>
        <w:pStyle w:val="Heading3"/>
      </w:pPr>
      <w:bookmarkStart w:id="45" w:name="_Toc19007977"/>
      <w:r>
        <w:t xml:space="preserve">Action: Wellbeing and support </w:t>
      </w:r>
      <w:r w:rsidRPr="00DE68BE">
        <w:t xml:space="preserve">– </w:t>
      </w:r>
      <w:r w:rsidRPr="00110AA9">
        <w:t>Victorians with cancer and their families live well</w:t>
      </w:r>
      <w:bookmarkEnd w:id="45"/>
    </w:p>
    <w:p w14:paraId="2C51418D" w14:textId="0821CC23" w:rsidR="00D16A3A" w:rsidRDefault="00D16A3A" w:rsidP="007C7F00">
      <w:pPr>
        <w:pStyle w:val="Heading4"/>
      </w:pPr>
      <w:r w:rsidRPr="002D2BB5">
        <w:t>Outcome: Best possible experience of care systems</w:t>
      </w:r>
    </w:p>
    <w:p w14:paraId="13A11324" w14:textId="2567F6F0" w:rsidR="00D16A3A" w:rsidRDefault="00D16A3A" w:rsidP="00D16A3A">
      <w:pPr>
        <w:pStyle w:val="Heading5"/>
      </w:pPr>
      <w:r w:rsidRPr="002102A5">
        <w:t>Key result: Improve patient experience of health</w:t>
      </w:r>
      <w:r>
        <w:t xml:space="preserve"> </w:t>
      </w:r>
      <w:r w:rsidRPr="002102A5">
        <w:t>care</w:t>
      </w:r>
    </w:p>
    <w:tbl>
      <w:tblPr>
        <w:tblStyle w:val="TableGrid"/>
        <w:tblW w:w="14459"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7"/>
        <w:gridCol w:w="3402"/>
        <w:gridCol w:w="2126"/>
        <w:gridCol w:w="2131"/>
        <w:gridCol w:w="1696"/>
        <w:gridCol w:w="1706"/>
        <w:gridCol w:w="1271"/>
      </w:tblGrid>
      <w:tr w:rsidR="00D16A3A" w:rsidRPr="0099225F" w14:paraId="68D07645" w14:textId="77777777" w:rsidTr="00957CB6">
        <w:trPr>
          <w:trHeight w:val="686"/>
          <w:tblHeader/>
        </w:trPr>
        <w:tc>
          <w:tcPr>
            <w:tcW w:w="2127" w:type="dxa"/>
            <w:shd w:val="clear" w:color="auto" w:fill="EDCDCF"/>
          </w:tcPr>
          <w:p w14:paraId="7C645442" w14:textId="0F597629" w:rsidR="00D16A3A" w:rsidRPr="0099225F" w:rsidRDefault="00D16A3A" w:rsidP="00D16A3A">
            <w:pPr>
              <w:pStyle w:val="Tablecolhead"/>
              <w:rPr>
                <w:sz w:val="20"/>
              </w:rPr>
            </w:pPr>
            <w:r w:rsidRPr="0099225F">
              <w:rPr>
                <w:sz w:val="20"/>
              </w:rPr>
              <w:t>Measure #</w:t>
            </w:r>
          </w:p>
        </w:tc>
        <w:tc>
          <w:tcPr>
            <w:tcW w:w="3402" w:type="dxa"/>
            <w:shd w:val="clear" w:color="auto" w:fill="EDCDCF"/>
          </w:tcPr>
          <w:p w14:paraId="30017598" w14:textId="7616B6D1" w:rsidR="00D16A3A" w:rsidRPr="0099225F" w:rsidRDefault="00D16A3A" w:rsidP="00D16A3A">
            <w:pPr>
              <w:pStyle w:val="Tablecolhead"/>
              <w:rPr>
                <w:sz w:val="20"/>
              </w:rPr>
            </w:pPr>
            <w:r w:rsidRPr="0099225F">
              <w:rPr>
                <w:sz w:val="20"/>
              </w:rPr>
              <w:t>Description</w:t>
            </w:r>
          </w:p>
        </w:tc>
        <w:tc>
          <w:tcPr>
            <w:tcW w:w="2126" w:type="dxa"/>
            <w:shd w:val="clear" w:color="auto" w:fill="EDCDCF"/>
          </w:tcPr>
          <w:p w14:paraId="43090762" w14:textId="3D6C34A6" w:rsidR="00D16A3A" w:rsidRPr="0099225F" w:rsidRDefault="00D16A3A" w:rsidP="00D16A3A">
            <w:pPr>
              <w:pStyle w:val="Tablecolhead"/>
              <w:rPr>
                <w:sz w:val="20"/>
              </w:rPr>
            </w:pPr>
            <w:r w:rsidRPr="0099225F">
              <w:rPr>
                <w:sz w:val="20"/>
              </w:rPr>
              <w:t>Unit of measure</w:t>
            </w:r>
          </w:p>
        </w:tc>
        <w:tc>
          <w:tcPr>
            <w:tcW w:w="2131" w:type="dxa"/>
            <w:shd w:val="clear" w:color="auto" w:fill="EDCDCF"/>
            <w:noWrap/>
          </w:tcPr>
          <w:p w14:paraId="7B2CA509" w14:textId="77777777" w:rsidR="00D16A3A" w:rsidRPr="0099225F" w:rsidRDefault="00D16A3A" w:rsidP="00D16A3A">
            <w:pPr>
              <w:pStyle w:val="Tablecolhead"/>
              <w:rPr>
                <w:sz w:val="20"/>
              </w:rPr>
            </w:pPr>
            <w:r w:rsidRPr="0099225F">
              <w:rPr>
                <w:sz w:val="20"/>
              </w:rPr>
              <w:t>Baseline</w:t>
            </w:r>
          </w:p>
          <w:p w14:paraId="4C6D1929" w14:textId="7AC43736" w:rsidR="00D16A3A" w:rsidRPr="0099225F" w:rsidRDefault="00D16A3A" w:rsidP="00D16A3A">
            <w:pPr>
              <w:pStyle w:val="Tablecolhead"/>
              <w:rPr>
                <w:sz w:val="20"/>
              </w:rPr>
            </w:pPr>
            <w:r w:rsidRPr="0099225F">
              <w:rPr>
                <w:sz w:val="20"/>
              </w:rPr>
              <w:t>(year)</w:t>
            </w:r>
          </w:p>
        </w:tc>
        <w:tc>
          <w:tcPr>
            <w:tcW w:w="1696" w:type="dxa"/>
            <w:shd w:val="clear" w:color="auto" w:fill="EDCDCF"/>
            <w:noWrap/>
          </w:tcPr>
          <w:p w14:paraId="54871704" w14:textId="77777777" w:rsidR="00D16A3A" w:rsidRPr="0099225F" w:rsidRDefault="00D16A3A" w:rsidP="00D16A3A">
            <w:pPr>
              <w:pStyle w:val="Tablecolhead"/>
              <w:rPr>
                <w:sz w:val="20"/>
              </w:rPr>
            </w:pPr>
            <w:r w:rsidRPr="0099225F">
              <w:rPr>
                <w:sz w:val="20"/>
              </w:rPr>
              <w:t>Most recent</w:t>
            </w:r>
          </w:p>
          <w:p w14:paraId="106B1C94" w14:textId="5D8ACCCB" w:rsidR="00D16A3A" w:rsidRPr="0099225F" w:rsidRDefault="00D16A3A" w:rsidP="00D16A3A">
            <w:pPr>
              <w:pStyle w:val="Tablecolhead"/>
              <w:rPr>
                <w:sz w:val="20"/>
              </w:rPr>
            </w:pPr>
            <w:r w:rsidRPr="0099225F">
              <w:rPr>
                <w:sz w:val="20"/>
              </w:rPr>
              <w:t>(year)</w:t>
            </w:r>
          </w:p>
        </w:tc>
        <w:tc>
          <w:tcPr>
            <w:tcW w:w="1706" w:type="dxa"/>
            <w:shd w:val="clear" w:color="auto" w:fill="EDCDCF"/>
            <w:noWrap/>
          </w:tcPr>
          <w:p w14:paraId="783415B5" w14:textId="30DF6781" w:rsidR="00D16A3A" w:rsidRPr="0099225F" w:rsidRDefault="00D16A3A" w:rsidP="00D16A3A">
            <w:pPr>
              <w:pStyle w:val="Tablecolhead"/>
              <w:rPr>
                <w:sz w:val="20"/>
              </w:rPr>
            </w:pPr>
            <w:r w:rsidRPr="0099225F">
              <w:rPr>
                <w:sz w:val="20"/>
              </w:rPr>
              <w:t>Target</w:t>
            </w:r>
          </w:p>
        </w:tc>
        <w:tc>
          <w:tcPr>
            <w:tcW w:w="1271" w:type="dxa"/>
            <w:shd w:val="clear" w:color="auto" w:fill="EDCDCF"/>
          </w:tcPr>
          <w:p w14:paraId="0131A696" w14:textId="05929EF4" w:rsidR="00D16A3A" w:rsidRPr="0099225F" w:rsidRDefault="00D16A3A" w:rsidP="00D16A3A">
            <w:pPr>
              <w:pStyle w:val="Tablecolhead"/>
              <w:rPr>
                <w:sz w:val="20"/>
              </w:rPr>
            </w:pPr>
            <w:r w:rsidRPr="0099225F">
              <w:rPr>
                <w:sz w:val="20"/>
              </w:rPr>
              <w:t>Trend</w:t>
            </w:r>
          </w:p>
        </w:tc>
      </w:tr>
      <w:tr w:rsidR="0064412C" w:rsidRPr="0099225F" w14:paraId="4E04A2D3" w14:textId="77777777" w:rsidTr="00957CB6">
        <w:trPr>
          <w:trHeight w:val="686"/>
        </w:trPr>
        <w:tc>
          <w:tcPr>
            <w:tcW w:w="2127" w:type="dxa"/>
            <w:hideMark/>
          </w:tcPr>
          <w:p w14:paraId="1547479F" w14:textId="71AFCD25" w:rsidR="0064412C" w:rsidRPr="0099225F" w:rsidRDefault="00000000" w:rsidP="00C1114C">
            <w:pPr>
              <w:pStyle w:val="Tabletext"/>
              <w:rPr>
                <w:sz w:val="20"/>
              </w:rPr>
            </w:pPr>
            <w:hyperlink w:anchor="_Measure_15.1_–" w:history="1">
              <w:r w:rsidR="0064412C" w:rsidRPr="0099225F">
                <w:rPr>
                  <w:rStyle w:val="Hyperlink"/>
                  <w:sz w:val="20"/>
                </w:rPr>
                <w:t>15.1</w:t>
              </w:r>
            </w:hyperlink>
          </w:p>
        </w:tc>
        <w:tc>
          <w:tcPr>
            <w:tcW w:w="3402" w:type="dxa"/>
          </w:tcPr>
          <w:p w14:paraId="6A93536F" w14:textId="0F73A546" w:rsidR="0064412C" w:rsidRPr="0099225F" w:rsidRDefault="0064412C" w:rsidP="00C1114C">
            <w:pPr>
              <w:pStyle w:val="Tabletext"/>
              <w:rPr>
                <w:sz w:val="20"/>
              </w:rPr>
            </w:pPr>
            <w:r w:rsidRPr="0099225F">
              <w:rPr>
                <w:sz w:val="20"/>
              </w:rPr>
              <w:t xml:space="preserve">Proportion of adults admitted to public hospitals due to cancer who report </w:t>
            </w:r>
            <w:r w:rsidR="00224D14" w:rsidRPr="0099225F">
              <w:rPr>
                <w:sz w:val="20"/>
              </w:rPr>
              <w:t xml:space="preserve">a </w:t>
            </w:r>
            <w:r w:rsidRPr="0099225F">
              <w:rPr>
                <w:sz w:val="20"/>
              </w:rPr>
              <w:t>positive overall healthcare experience</w:t>
            </w:r>
          </w:p>
        </w:tc>
        <w:tc>
          <w:tcPr>
            <w:tcW w:w="2126" w:type="dxa"/>
          </w:tcPr>
          <w:p w14:paraId="30F4BDC4" w14:textId="77777777" w:rsidR="0064412C" w:rsidRPr="0099225F" w:rsidRDefault="0064412C" w:rsidP="00C1114C">
            <w:pPr>
              <w:pStyle w:val="Tabletext"/>
              <w:rPr>
                <w:sz w:val="20"/>
              </w:rPr>
            </w:pPr>
            <w:r w:rsidRPr="0099225F">
              <w:rPr>
                <w:sz w:val="20"/>
              </w:rPr>
              <w:t>Per cent</w:t>
            </w:r>
          </w:p>
        </w:tc>
        <w:tc>
          <w:tcPr>
            <w:tcW w:w="2131" w:type="dxa"/>
            <w:noWrap/>
          </w:tcPr>
          <w:p w14:paraId="679445ED" w14:textId="77777777" w:rsidR="0064412C" w:rsidRPr="0099225F" w:rsidRDefault="00070320" w:rsidP="00C1114C">
            <w:pPr>
              <w:pStyle w:val="Tabletext"/>
              <w:rPr>
                <w:sz w:val="20"/>
              </w:rPr>
            </w:pPr>
            <w:r w:rsidRPr="0099225F">
              <w:rPr>
                <w:sz w:val="20"/>
              </w:rPr>
              <w:t>97</w:t>
            </w:r>
          </w:p>
          <w:p w14:paraId="3820C605" w14:textId="326C2FF9" w:rsidR="00070320" w:rsidRPr="0099225F" w:rsidRDefault="00070320" w:rsidP="00C1114C">
            <w:pPr>
              <w:pStyle w:val="Tabletext"/>
              <w:rPr>
                <w:sz w:val="20"/>
              </w:rPr>
            </w:pPr>
            <w:r w:rsidRPr="0099225F">
              <w:rPr>
                <w:sz w:val="20"/>
              </w:rPr>
              <w:t>(2018)</w:t>
            </w:r>
          </w:p>
        </w:tc>
        <w:tc>
          <w:tcPr>
            <w:tcW w:w="1696" w:type="dxa"/>
            <w:noWrap/>
            <w:hideMark/>
          </w:tcPr>
          <w:p w14:paraId="2BD4BC09" w14:textId="6F156DB0" w:rsidR="0064412C" w:rsidRPr="0099225F" w:rsidRDefault="0064412C" w:rsidP="00C1114C">
            <w:pPr>
              <w:pStyle w:val="Tabletext"/>
              <w:rPr>
                <w:sz w:val="20"/>
              </w:rPr>
            </w:pPr>
            <w:r w:rsidRPr="0099225F">
              <w:rPr>
                <w:sz w:val="20"/>
              </w:rPr>
              <w:t>9</w:t>
            </w:r>
            <w:r w:rsidR="004442E1">
              <w:rPr>
                <w:sz w:val="20"/>
              </w:rPr>
              <w:t>8.3</w:t>
            </w:r>
          </w:p>
          <w:p w14:paraId="5C598209" w14:textId="4C95E2DA" w:rsidR="0064412C" w:rsidRPr="0099225F" w:rsidRDefault="0064412C" w:rsidP="00C1114C">
            <w:pPr>
              <w:pStyle w:val="Tabletext"/>
              <w:rPr>
                <w:sz w:val="20"/>
              </w:rPr>
            </w:pPr>
            <w:r w:rsidRPr="0099225F">
              <w:rPr>
                <w:sz w:val="20"/>
              </w:rPr>
              <w:t>(20</w:t>
            </w:r>
            <w:r w:rsidR="004442E1">
              <w:rPr>
                <w:sz w:val="20"/>
              </w:rPr>
              <w:t>2</w:t>
            </w:r>
            <w:r w:rsidR="001871B8">
              <w:rPr>
                <w:sz w:val="20"/>
              </w:rPr>
              <w:t>2</w:t>
            </w:r>
            <w:r w:rsidRPr="0099225F">
              <w:rPr>
                <w:sz w:val="20"/>
              </w:rPr>
              <w:t>)</w:t>
            </w:r>
          </w:p>
        </w:tc>
        <w:tc>
          <w:tcPr>
            <w:tcW w:w="1706" w:type="dxa"/>
            <w:noWrap/>
            <w:hideMark/>
          </w:tcPr>
          <w:p w14:paraId="70DE7366" w14:textId="4D459AE9" w:rsidR="0064412C" w:rsidRPr="0099225F" w:rsidRDefault="0064412C" w:rsidP="00C1114C">
            <w:pPr>
              <w:pStyle w:val="Tabletext"/>
              <w:rPr>
                <w:sz w:val="20"/>
              </w:rPr>
            </w:pPr>
            <w:r w:rsidRPr="0099225F">
              <w:rPr>
                <w:sz w:val="20"/>
              </w:rPr>
              <w:t>N/S</w:t>
            </w:r>
          </w:p>
        </w:tc>
        <w:tc>
          <w:tcPr>
            <w:tcW w:w="1271" w:type="dxa"/>
            <w:hideMark/>
          </w:tcPr>
          <w:p w14:paraId="20FE11FC" w14:textId="7E21782F" w:rsidR="0064412C" w:rsidRPr="0099225F" w:rsidRDefault="00070320" w:rsidP="00C1114C">
            <w:pPr>
              <w:pStyle w:val="Tabletext"/>
              <w:rPr>
                <w:sz w:val="20"/>
              </w:rPr>
            </w:pPr>
            <w:r w:rsidRPr="0099225F">
              <w:rPr>
                <w:sz w:val="20"/>
              </w:rPr>
              <w:t xml:space="preserve">■ </w:t>
            </w:r>
            <w:r w:rsidRPr="0099225F">
              <w:rPr>
                <w:sz w:val="20"/>
              </w:rPr>
              <w:br/>
              <w:t>No change</w:t>
            </w:r>
          </w:p>
        </w:tc>
      </w:tr>
      <w:tr w:rsidR="0064412C" w:rsidRPr="0099225F" w14:paraId="76F4AD33" w14:textId="77777777" w:rsidTr="00957CB6">
        <w:trPr>
          <w:trHeight w:val="686"/>
        </w:trPr>
        <w:tc>
          <w:tcPr>
            <w:tcW w:w="2127" w:type="dxa"/>
          </w:tcPr>
          <w:p w14:paraId="22E74DEC" w14:textId="2775D341" w:rsidR="0064412C" w:rsidRPr="0099225F" w:rsidRDefault="00000000" w:rsidP="00C1114C">
            <w:pPr>
              <w:pStyle w:val="Tabletext"/>
              <w:rPr>
                <w:sz w:val="20"/>
              </w:rPr>
            </w:pPr>
            <w:hyperlink w:anchor="_Measure_15.2_–" w:history="1">
              <w:r w:rsidR="0064412C" w:rsidRPr="0099225F">
                <w:rPr>
                  <w:rStyle w:val="Hyperlink"/>
                  <w:sz w:val="20"/>
                </w:rPr>
                <w:t>15.2</w:t>
              </w:r>
            </w:hyperlink>
          </w:p>
        </w:tc>
        <w:tc>
          <w:tcPr>
            <w:tcW w:w="3402" w:type="dxa"/>
          </w:tcPr>
          <w:p w14:paraId="1EA52556" w14:textId="4FF07476" w:rsidR="0064412C" w:rsidRPr="0099225F" w:rsidRDefault="0064412C" w:rsidP="00C1114C">
            <w:pPr>
              <w:pStyle w:val="Tabletext"/>
              <w:rPr>
                <w:sz w:val="20"/>
              </w:rPr>
            </w:pPr>
            <w:r w:rsidRPr="0099225F">
              <w:rPr>
                <w:sz w:val="20"/>
              </w:rPr>
              <w:t xml:space="preserve">Proportion of children and adolescents admitted to hospital due to cancer who report </w:t>
            </w:r>
            <w:r w:rsidR="00224D14" w:rsidRPr="0099225F">
              <w:rPr>
                <w:sz w:val="20"/>
              </w:rPr>
              <w:t xml:space="preserve">a </w:t>
            </w:r>
            <w:r w:rsidRPr="0099225F">
              <w:rPr>
                <w:sz w:val="20"/>
              </w:rPr>
              <w:t xml:space="preserve">positive healthcare experience </w:t>
            </w:r>
          </w:p>
        </w:tc>
        <w:tc>
          <w:tcPr>
            <w:tcW w:w="2126" w:type="dxa"/>
          </w:tcPr>
          <w:p w14:paraId="40961C79" w14:textId="77777777" w:rsidR="0064412C" w:rsidRPr="0099225F" w:rsidRDefault="0064412C" w:rsidP="00C1114C">
            <w:pPr>
              <w:pStyle w:val="Tabletext"/>
              <w:rPr>
                <w:sz w:val="20"/>
              </w:rPr>
            </w:pPr>
            <w:r w:rsidRPr="0099225F">
              <w:rPr>
                <w:sz w:val="20"/>
              </w:rPr>
              <w:t>Per cent</w:t>
            </w:r>
          </w:p>
        </w:tc>
        <w:tc>
          <w:tcPr>
            <w:tcW w:w="2131" w:type="dxa"/>
            <w:noWrap/>
          </w:tcPr>
          <w:p w14:paraId="3F81CDA9" w14:textId="77777777" w:rsidR="00E13C74" w:rsidRPr="0099225F" w:rsidRDefault="00E13C74" w:rsidP="00E13C74">
            <w:pPr>
              <w:pStyle w:val="Tabletext"/>
              <w:rPr>
                <w:sz w:val="20"/>
              </w:rPr>
            </w:pPr>
            <w:r w:rsidRPr="0099225F">
              <w:rPr>
                <w:sz w:val="20"/>
              </w:rPr>
              <w:t>93</w:t>
            </w:r>
          </w:p>
          <w:p w14:paraId="5C664EB6" w14:textId="71BB9B84" w:rsidR="0064412C" w:rsidRPr="0099225F" w:rsidRDefault="00E13C74" w:rsidP="00E13C74">
            <w:pPr>
              <w:pStyle w:val="Tabletext"/>
              <w:rPr>
                <w:color w:val="7B4900"/>
                <w:sz w:val="20"/>
              </w:rPr>
            </w:pPr>
            <w:r w:rsidRPr="0099225F">
              <w:rPr>
                <w:sz w:val="20"/>
              </w:rPr>
              <w:t>(2021)</w:t>
            </w:r>
          </w:p>
        </w:tc>
        <w:tc>
          <w:tcPr>
            <w:tcW w:w="1696" w:type="dxa"/>
          </w:tcPr>
          <w:p w14:paraId="59CF2BB1" w14:textId="3A5745CF" w:rsidR="006F6EB6" w:rsidRPr="0099225F" w:rsidRDefault="00E13C74" w:rsidP="00C1114C">
            <w:pPr>
              <w:pStyle w:val="Tabletext"/>
              <w:rPr>
                <w:sz w:val="20"/>
              </w:rPr>
            </w:pPr>
            <w:r w:rsidRPr="0099225F">
              <w:rPr>
                <w:sz w:val="20"/>
              </w:rPr>
              <w:t>N/A</w:t>
            </w:r>
          </w:p>
        </w:tc>
        <w:tc>
          <w:tcPr>
            <w:tcW w:w="1706" w:type="dxa"/>
            <w:noWrap/>
            <w:hideMark/>
          </w:tcPr>
          <w:p w14:paraId="7BCC080E" w14:textId="77777777" w:rsidR="0064412C" w:rsidRPr="0099225F" w:rsidRDefault="0064412C" w:rsidP="00C1114C">
            <w:pPr>
              <w:pStyle w:val="Tabletext"/>
              <w:rPr>
                <w:sz w:val="20"/>
              </w:rPr>
            </w:pPr>
            <w:r w:rsidRPr="0099225F">
              <w:rPr>
                <w:sz w:val="20"/>
              </w:rPr>
              <w:t>N/S</w:t>
            </w:r>
          </w:p>
        </w:tc>
        <w:tc>
          <w:tcPr>
            <w:tcW w:w="1271" w:type="dxa"/>
            <w:hideMark/>
          </w:tcPr>
          <w:p w14:paraId="5D5DEA5C" w14:textId="77777777" w:rsidR="0064412C" w:rsidRPr="0099225F" w:rsidRDefault="0064412C" w:rsidP="00C1114C">
            <w:pPr>
              <w:pStyle w:val="Tabletext"/>
              <w:rPr>
                <w:sz w:val="20"/>
              </w:rPr>
            </w:pPr>
            <w:r w:rsidRPr="0099225F">
              <w:rPr>
                <w:sz w:val="20"/>
              </w:rPr>
              <w:t>N/A</w:t>
            </w:r>
          </w:p>
        </w:tc>
      </w:tr>
      <w:tr w:rsidR="0064412C" w:rsidRPr="0099225F" w14:paraId="0F745AFF" w14:textId="77777777" w:rsidTr="00957CB6">
        <w:trPr>
          <w:trHeight w:val="686"/>
        </w:trPr>
        <w:tc>
          <w:tcPr>
            <w:tcW w:w="2127" w:type="dxa"/>
          </w:tcPr>
          <w:p w14:paraId="23A57F4E" w14:textId="19933C59" w:rsidR="0064412C" w:rsidRPr="0099225F" w:rsidRDefault="00000000" w:rsidP="00C1114C">
            <w:pPr>
              <w:pStyle w:val="Tabletext"/>
              <w:rPr>
                <w:sz w:val="20"/>
              </w:rPr>
            </w:pPr>
            <w:hyperlink w:anchor="_Measure_15.3_–" w:history="1">
              <w:r w:rsidR="0064412C" w:rsidRPr="0099225F">
                <w:rPr>
                  <w:rStyle w:val="Hyperlink"/>
                  <w:sz w:val="20"/>
                </w:rPr>
                <w:t>15.3</w:t>
              </w:r>
            </w:hyperlink>
          </w:p>
        </w:tc>
        <w:tc>
          <w:tcPr>
            <w:tcW w:w="3402" w:type="dxa"/>
          </w:tcPr>
          <w:p w14:paraId="1F119DE4" w14:textId="64C81BF1" w:rsidR="0064412C" w:rsidRPr="0099225F" w:rsidRDefault="0064412C" w:rsidP="00C1114C">
            <w:pPr>
              <w:pStyle w:val="Tabletext"/>
              <w:rPr>
                <w:sz w:val="20"/>
              </w:rPr>
            </w:pPr>
            <w:r w:rsidRPr="0099225F">
              <w:rPr>
                <w:sz w:val="20"/>
              </w:rPr>
              <w:t>Proportion of adults admitted to public hospitals due to cancer who report positive transition from care index score</w:t>
            </w:r>
          </w:p>
        </w:tc>
        <w:tc>
          <w:tcPr>
            <w:tcW w:w="2126" w:type="dxa"/>
          </w:tcPr>
          <w:p w14:paraId="01E30368" w14:textId="77777777" w:rsidR="0064412C" w:rsidRPr="0099225F" w:rsidRDefault="0064412C" w:rsidP="00C1114C">
            <w:pPr>
              <w:pStyle w:val="Tabletext"/>
              <w:rPr>
                <w:sz w:val="20"/>
              </w:rPr>
            </w:pPr>
            <w:r w:rsidRPr="0099225F">
              <w:rPr>
                <w:sz w:val="20"/>
              </w:rPr>
              <w:t>Per cent</w:t>
            </w:r>
          </w:p>
        </w:tc>
        <w:tc>
          <w:tcPr>
            <w:tcW w:w="2131" w:type="dxa"/>
            <w:noWrap/>
          </w:tcPr>
          <w:p w14:paraId="7215FA8A" w14:textId="77777777" w:rsidR="0064412C" w:rsidRPr="00784EB8" w:rsidRDefault="0064412C" w:rsidP="00C1114C">
            <w:pPr>
              <w:pStyle w:val="Tabletext"/>
              <w:rPr>
                <w:color w:val="13666B"/>
              </w:rPr>
            </w:pPr>
            <w:r w:rsidRPr="00784EB8">
              <w:rPr>
                <w:color w:val="13666B"/>
              </w:rPr>
              <w:t>Status to be determined</w:t>
            </w:r>
          </w:p>
        </w:tc>
        <w:tc>
          <w:tcPr>
            <w:tcW w:w="1696" w:type="dxa"/>
          </w:tcPr>
          <w:p w14:paraId="7D065C82" w14:textId="5E8A65F4" w:rsidR="0064412C" w:rsidRPr="00784EB8" w:rsidRDefault="0064412C" w:rsidP="00C1114C">
            <w:pPr>
              <w:pStyle w:val="Tabletext"/>
              <w:rPr>
                <w:color w:val="13666B"/>
              </w:rPr>
            </w:pPr>
            <w:r w:rsidRPr="00784EB8">
              <w:rPr>
                <w:color w:val="13666B"/>
              </w:rPr>
              <w:t>Status to be determined</w:t>
            </w:r>
          </w:p>
        </w:tc>
        <w:tc>
          <w:tcPr>
            <w:tcW w:w="1706" w:type="dxa"/>
            <w:noWrap/>
            <w:hideMark/>
          </w:tcPr>
          <w:p w14:paraId="7817DC1D" w14:textId="77777777" w:rsidR="0064412C" w:rsidRPr="0099225F" w:rsidRDefault="0064412C" w:rsidP="00C1114C">
            <w:pPr>
              <w:pStyle w:val="Tabletext"/>
              <w:rPr>
                <w:sz w:val="20"/>
              </w:rPr>
            </w:pPr>
            <w:r w:rsidRPr="0099225F">
              <w:rPr>
                <w:sz w:val="20"/>
              </w:rPr>
              <w:t>N/S</w:t>
            </w:r>
          </w:p>
        </w:tc>
        <w:tc>
          <w:tcPr>
            <w:tcW w:w="1271" w:type="dxa"/>
            <w:hideMark/>
          </w:tcPr>
          <w:p w14:paraId="4664433D" w14:textId="77777777" w:rsidR="0064412C" w:rsidRPr="0099225F" w:rsidRDefault="0064412C" w:rsidP="00C1114C">
            <w:pPr>
              <w:pStyle w:val="Tabletext"/>
              <w:rPr>
                <w:sz w:val="20"/>
              </w:rPr>
            </w:pPr>
            <w:r w:rsidRPr="0099225F">
              <w:rPr>
                <w:sz w:val="20"/>
              </w:rPr>
              <w:t>N/A</w:t>
            </w:r>
          </w:p>
        </w:tc>
      </w:tr>
      <w:tr w:rsidR="0064412C" w:rsidRPr="0099225F" w14:paraId="003D07C7" w14:textId="77777777" w:rsidTr="00957CB6">
        <w:trPr>
          <w:trHeight w:val="686"/>
        </w:trPr>
        <w:tc>
          <w:tcPr>
            <w:tcW w:w="2127" w:type="dxa"/>
          </w:tcPr>
          <w:p w14:paraId="7DD3A853" w14:textId="1E007533" w:rsidR="0064412C" w:rsidRPr="0099225F" w:rsidRDefault="00000000" w:rsidP="00C1114C">
            <w:pPr>
              <w:pStyle w:val="Tabletext"/>
              <w:rPr>
                <w:sz w:val="20"/>
              </w:rPr>
            </w:pPr>
            <w:hyperlink w:anchor="_Measure_15.4_–" w:history="1">
              <w:r w:rsidR="0064412C" w:rsidRPr="0099225F">
                <w:rPr>
                  <w:rStyle w:val="Hyperlink"/>
                  <w:sz w:val="20"/>
                </w:rPr>
                <w:t>15.4</w:t>
              </w:r>
            </w:hyperlink>
          </w:p>
        </w:tc>
        <w:tc>
          <w:tcPr>
            <w:tcW w:w="3402" w:type="dxa"/>
          </w:tcPr>
          <w:p w14:paraId="3BED6121" w14:textId="3EB7FDE6" w:rsidR="0064412C" w:rsidRPr="0099225F" w:rsidRDefault="0064412C" w:rsidP="00C1114C">
            <w:pPr>
              <w:pStyle w:val="Tabletext"/>
              <w:rPr>
                <w:sz w:val="20"/>
              </w:rPr>
            </w:pPr>
            <w:r w:rsidRPr="0099225F">
              <w:rPr>
                <w:sz w:val="20"/>
              </w:rPr>
              <w:t xml:space="preserve">Proportion of adults attending emergency departments due to cancer who report </w:t>
            </w:r>
            <w:r w:rsidR="00224D14" w:rsidRPr="0099225F">
              <w:rPr>
                <w:sz w:val="20"/>
              </w:rPr>
              <w:t xml:space="preserve">a </w:t>
            </w:r>
            <w:r w:rsidRPr="0099225F">
              <w:rPr>
                <w:sz w:val="20"/>
              </w:rPr>
              <w:t>positive overall healthcare experience</w:t>
            </w:r>
            <w:r w:rsidR="001D35CE" w:rsidRPr="0099225F">
              <w:rPr>
                <w:sz w:val="20"/>
              </w:rPr>
              <w:t xml:space="preserve"> </w:t>
            </w:r>
          </w:p>
        </w:tc>
        <w:tc>
          <w:tcPr>
            <w:tcW w:w="2126" w:type="dxa"/>
          </w:tcPr>
          <w:p w14:paraId="1CB3F4E6" w14:textId="77777777" w:rsidR="0064412C" w:rsidRPr="0099225F" w:rsidRDefault="0064412C" w:rsidP="00C1114C">
            <w:pPr>
              <w:pStyle w:val="Tabletext"/>
              <w:rPr>
                <w:sz w:val="20"/>
              </w:rPr>
            </w:pPr>
            <w:r w:rsidRPr="0099225F">
              <w:rPr>
                <w:sz w:val="20"/>
              </w:rPr>
              <w:t>Per cent</w:t>
            </w:r>
          </w:p>
        </w:tc>
        <w:tc>
          <w:tcPr>
            <w:tcW w:w="2131" w:type="dxa"/>
            <w:noWrap/>
          </w:tcPr>
          <w:p w14:paraId="69678391" w14:textId="275E8A80" w:rsidR="0064412C" w:rsidRPr="0099225F" w:rsidRDefault="00A2577D" w:rsidP="00C1114C">
            <w:pPr>
              <w:pStyle w:val="Tabletext"/>
              <w:rPr>
                <w:sz w:val="20"/>
              </w:rPr>
            </w:pPr>
            <w:r w:rsidRPr="0099225F">
              <w:rPr>
                <w:sz w:val="20"/>
              </w:rPr>
              <w:t>8</w:t>
            </w:r>
            <w:r w:rsidR="00AD071D">
              <w:rPr>
                <w:sz w:val="20"/>
              </w:rPr>
              <w:t>0</w:t>
            </w:r>
          </w:p>
          <w:p w14:paraId="00EB9866" w14:textId="77D0F586" w:rsidR="00A2577D" w:rsidRPr="0099225F" w:rsidRDefault="00A2577D" w:rsidP="00C1114C">
            <w:pPr>
              <w:pStyle w:val="Tabletext"/>
              <w:rPr>
                <w:sz w:val="20"/>
              </w:rPr>
            </w:pPr>
            <w:r w:rsidRPr="0099225F">
              <w:rPr>
                <w:sz w:val="20"/>
              </w:rPr>
              <w:t>(2019)</w:t>
            </w:r>
          </w:p>
        </w:tc>
        <w:tc>
          <w:tcPr>
            <w:tcW w:w="1696" w:type="dxa"/>
          </w:tcPr>
          <w:p w14:paraId="204C49CE" w14:textId="77777777" w:rsidR="0064412C" w:rsidRDefault="00AD071D" w:rsidP="00C1114C">
            <w:pPr>
              <w:pStyle w:val="Tabletext"/>
              <w:rPr>
                <w:color w:val="000000" w:themeColor="text1"/>
                <w:sz w:val="20"/>
              </w:rPr>
            </w:pPr>
            <w:r>
              <w:rPr>
                <w:color w:val="000000" w:themeColor="text1"/>
                <w:sz w:val="20"/>
              </w:rPr>
              <w:t>69.9</w:t>
            </w:r>
          </w:p>
          <w:p w14:paraId="3EC6E117" w14:textId="261CD414" w:rsidR="00AD071D" w:rsidRPr="00243670" w:rsidRDefault="00AD071D" w:rsidP="00C1114C">
            <w:pPr>
              <w:pStyle w:val="Tabletext"/>
              <w:rPr>
                <w:color w:val="000000" w:themeColor="text1"/>
                <w:sz w:val="20"/>
              </w:rPr>
            </w:pPr>
            <w:r>
              <w:rPr>
                <w:color w:val="000000" w:themeColor="text1"/>
                <w:sz w:val="20"/>
              </w:rPr>
              <w:t>(202</w:t>
            </w:r>
            <w:r w:rsidR="001871B8">
              <w:rPr>
                <w:color w:val="000000" w:themeColor="text1"/>
                <w:sz w:val="20"/>
              </w:rPr>
              <w:t>2</w:t>
            </w:r>
            <w:r>
              <w:rPr>
                <w:color w:val="000000" w:themeColor="text1"/>
                <w:sz w:val="20"/>
              </w:rPr>
              <w:t>)</w:t>
            </w:r>
          </w:p>
        </w:tc>
        <w:tc>
          <w:tcPr>
            <w:tcW w:w="1706" w:type="dxa"/>
            <w:noWrap/>
            <w:hideMark/>
          </w:tcPr>
          <w:p w14:paraId="6EB5F868" w14:textId="77777777" w:rsidR="0064412C" w:rsidRPr="0099225F" w:rsidRDefault="0064412C" w:rsidP="00C1114C">
            <w:pPr>
              <w:pStyle w:val="Tabletext"/>
              <w:rPr>
                <w:sz w:val="20"/>
              </w:rPr>
            </w:pPr>
            <w:r w:rsidRPr="0099225F">
              <w:rPr>
                <w:sz w:val="20"/>
              </w:rPr>
              <w:t>N/S</w:t>
            </w:r>
          </w:p>
        </w:tc>
        <w:tc>
          <w:tcPr>
            <w:tcW w:w="1271" w:type="dxa"/>
            <w:hideMark/>
          </w:tcPr>
          <w:p w14:paraId="5607B1CE" w14:textId="4B8CD1CF" w:rsidR="0064412C" w:rsidRPr="0099225F" w:rsidRDefault="00A90DF2" w:rsidP="00C1114C">
            <w:pPr>
              <w:pStyle w:val="Tabletext"/>
              <w:rPr>
                <w:sz w:val="20"/>
              </w:rPr>
            </w:pPr>
            <w:r w:rsidRPr="0099225F">
              <w:rPr>
                <w:sz w:val="20"/>
              </w:rPr>
              <w:t>▼</w:t>
            </w:r>
            <w:r w:rsidRPr="0099225F">
              <w:rPr>
                <w:sz w:val="20"/>
              </w:rPr>
              <w:br/>
              <w:t>Downward</w:t>
            </w:r>
          </w:p>
        </w:tc>
      </w:tr>
      <w:tr w:rsidR="0064412C" w:rsidRPr="0099225F" w14:paraId="6D8A784A" w14:textId="77777777" w:rsidTr="00957CB6">
        <w:trPr>
          <w:trHeight w:val="435"/>
        </w:trPr>
        <w:tc>
          <w:tcPr>
            <w:tcW w:w="2127" w:type="dxa"/>
          </w:tcPr>
          <w:p w14:paraId="40600BE6" w14:textId="642ABF92" w:rsidR="0064412C" w:rsidRPr="0099225F" w:rsidRDefault="00000000" w:rsidP="00C1114C">
            <w:pPr>
              <w:pStyle w:val="Tabletext"/>
              <w:rPr>
                <w:sz w:val="20"/>
              </w:rPr>
            </w:pPr>
            <w:hyperlink w:anchor="_Measure_15.5_–" w:history="1">
              <w:r w:rsidR="0064412C" w:rsidRPr="0099225F">
                <w:rPr>
                  <w:rStyle w:val="Hyperlink"/>
                  <w:sz w:val="20"/>
                </w:rPr>
                <w:t>15.5</w:t>
              </w:r>
            </w:hyperlink>
          </w:p>
        </w:tc>
        <w:tc>
          <w:tcPr>
            <w:tcW w:w="3402" w:type="dxa"/>
          </w:tcPr>
          <w:p w14:paraId="3FB54FA5" w14:textId="7EFCCF17" w:rsidR="0064412C" w:rsidRPr="0099225F" w:rsidRDefault="0064412C" w:rsidP="00C1114C">
            <w:pPr>
              <w:pStyle w:val="Tabletext"/>
              <w:rPr>
                <w:sz w:val="20"/>
              </w:rPr>
            </w:pPr>
            <w:r w:rsidRPr="0099225F">
              <w:rPr>
                <w:sz w:val="20"/>
              </w:rPr>
              <w:t xml:space="preserve">Proportion of people attending hospital outpatients due to cancer </w:t>
            </w:r>
            <w:r w:rsidRPr="0099225F">
              <w:rPr>
                <w:sz w:val="20"/>
              </w:rPr>
              <w:lastRenderedPageBreak/>
              <w:t>who report</w:t>
            </w:r>
            <w:r w:rsidR="00224D14" w:rsidRPr="0099225F">
              <w:rPr>
                <w:sz w:val="20"/>
              </w:rPr>
              <w:t xml:space="preserve"> a</w:t>
            </w:r>
            <w:r w:rsidRPr="0099225F">
              <w:rPr>
                <w:sz w:val="20"/>
              </w:rPr>
              <w:t xml:space="preserve"> positive healthcare experience (TBD)</w:t>
            </w:r>
          </w:p>
        </w:tc>
        <w:tc>
          <w:tcPr>
            <w:tcW w:w="2126" w:type="dxa"/>
          </w:tcPr>
          <w:p w14:paraId="29BD540B" w14:textId="77777777" w:rsidR="0064412C" w:rsidRPr="0099225F" w:rsidRDefault="0064412C" w:rsidP="00C1114C">
            <w:pPr>
              <w:pStyle w:val="Tabletext"/>
              <w:rPr>
                <w:sz w:val="20"/>
              </w:rPr>
            </w:pPr>
            <w:r w:rsidRPr="0099225F">
              <w:rPr>
                <w:sz w:val="20"/>
              </w:rPr>
              <w:lastRenderedPageBreak/>
              <w:t>Per cent</w:t>
            </w:r>
          </w:p>
        </w:tc>
        <w:tc>
          <w:tcPr>
            <w:tcW w:w="2131" w:type="dxa"/>
            <w:noWrap/>
          </w:tcPr>
          <w:p w14:paraId="3C8F5DA0" w14:textId="77777777" w:rsidR="0064412C" w:rsidRPr="00784EB8" w:rsidRDefault="0064412C" w:rsidP="00C1114C">
            <w:pPr>
              <w:pStyle w:val="Tabletext"/>
              <w:rPr>
                <w:color w:val="13666B"/>
              </w:rPr>
            </w:pPr>
            <w:r w:rsidRPr="00784EB8">
              <w:rPr>
                <w:color w:val="13666B"/>
              </w:rPr>
              <w:t>Status to be determined</w:t>
            </w:r>
          </w:p>
        </w:tc>
        <w:tc>
          <w:tcPr>
            <w:tcW w:w="1696" w:type="dxa"/>
          </w:tcPr>
          <w:p w14:paraId="5F4E0170" w14:textId="1561FFD7" w:rsidR="0064412C" w:rsidRPr="00784EB8" w:rsidRDefault="0064412C" w:rsidP="00C1114C">
            <w:pPr>
              <w:pStyle w:val="Tabletext"/>
              <w:rPr>
                <w:color w:val="13666B"/>
              </w:rPr>
            </w:pPr>
            <w:r w:rsidRPr="00784EB8">
              <w:rPr>
                <w:color w:val="13666B"/>
              </w:rPr>
              <w:t>Status to be determined</w:t>
            </w:r>
          </w:p>
        </w:tc>
        <w:tc>
          <w:tcPr>
            <w:tcW w:w="1706" w:type="dxa"/>
            <w:noWrap/>
            <w:hideMark/>
          </w:tcPr>
          <w:p w14:paraId="4E99FE8D" w14:textId="77777777" w:rsidR="0064412C" w:rsidRPr="0099225F" w:rsidRDefault="0064412C" w:rsidP="00C1114C">
            <w:pPr>
              <w:pStyle w:val="Tabletext"/>
              <w:rPr>
                <w:sz w:val="20"/>
              </w:rPr>
            </w:pPr>
            <w:r w:rsidRPr="0099225F">
              <w:rPr>
                <w:sz w:val="20"/>
              </w:rPr>
              <w:t>N/S</w:t>
            </w:r>
          </w:p>
        </w:tc>
        <w:tc>
          <w:tcPr>
            <w:tcW w:w="1271" w:type="dxa"/>
            <w:hideMark/>
          </w:tcPr>
          <w:p w14:paraId="04C75166" w14:textId="77777777" w:rsidR="0064412C" w:rsidRPr="0099225F" w:rsidRDefault="0064412C" w:rsidP="00C1114C">
            <w:pPr>
              <w:pStyle w:val="Tabletext"/>
              <w:rPr>
                <w:sz w:val="20"/>
              </w:rPr>
            </w:pPr>
            <w:r w:rsidRPr="0099225F">
              <w:rPr>
                <w:sz w:val="20"/>
              </w:rPr>
              <w:t>N/A</w:t>
            </w:r>
          </w:p>
        </w:tc>
      </w:tr>
      <w:tr w:rsidR="0064412C" w:rsidRPr="0099225F" w14:paraId="2CB085A5" w14:textId="77777777" w:rsidTr="00957CB6">
        <w:trPr>
          <w:trHeight w:val="686"/>
        </w:trPr>
        <w:tc>
          <w:tcPr>
            <w:tcW w:w="2127" w:type="dxa"/>
          </w:tcPr>
          <w:p w14:paraId="74359E99" w14:textId="4FC7F16D" w:rsidR="0064412C" w:rsidRPr="0099225F" w:rsidRDefault="00000000" w:rsidP="00C1114C">
            <w:pPr>
              <w:pStyle w:val="Tabletext"/>
              <w:rPr>
                <w:sz w:val="20"/>
              </w:rPr>
            </w:pPr>
            <w:hyperlink w:anchor="_Measure_15.6_–" w:history="1">
              <w:r w:rsidR="0064412C" w:rsidRPr="0099225F">
                <w:rPr>
                  <w:rStyle w:val="Hyperlink"/>
                  <w:sz w:val="20"/>
                </w:rPr>
                <w:t>15.6</w:t>
              </w:r>
            </w:hyperlink>
          </w:p>
        </w:tc>
        <w:tc>
          <w:tcPr>
            <w:tcW w:w="3402" w:type="dxa"/>
            <w:hideMark/>
          </w:tcPr>
          <w:p w14:paraId="48124D31" w14:textId="23B90AB9" w:rsidR="0064412C" w:rsidRPr="0099225F" w:rsidRDefault="0064412C" w:rsidP="00C1114C">
            <w:pPr>
              <w:pStyle w:val="Tabletext"/>
              <w:rPr>
                <w:sz w:val="20"/>
              </w:rPr>
            </w:pPr>
            <w:r w:rsidRPr="0099225F">
              <w:rPr>
                <w:sz w:val="20"/>
              </w:rPr>
              <w:t xml:space="preserve">Proportion of people attending primary care due to cancer who report </w:t>
            </w:r>
            <w:r w:rsidR="00224D14" w:rsidRPr="0099225F">
              <w:rPr>
                <w:sz w:val="20"/>
              </w:rPr>
              <w:t xml:space="preserve">a </w:t>
            </w:r>
            <w:r w:rsidRPr="0099225F">
              <w:rPr>
                <w:sz w:val="20"/>
              </w:rPr>
              <w:t>positive healthcare experience (TBD)</w:t>
            </w:r>
          </w:p>
        </w:tc>
        <w:tc>
          <w:tcPr>
            <w:tcW w:w="2126" w:type="dxa"/>
          </w:tcPr>
          <w:p w14:paraId="01282327" w14:textId="77777777" w:rsidR="0064412C" w:rsidRPr="0099225F" w:rsidRDefault="0064412C" w:rsidP="00C1114C">
            <w:pPr>
              <w:pStyle w:val="Tabletext"/>
              <w:rPr>
                <w:sz w:val="20"/>
              </w:rPr>
            </w:pPr>
            <w:r w:rsidRPr="0099225F">
              <w:rPr>
                <w:sz w:val="20"/>
              </w:rPr>
              <w:t>Per cent</w:t>
            </w:r>
          </w:p>
        </w:tc>
        <w:tc>
          <w:tcPr>
            <w:tcW w:w="2131" w:type="dxa"/>
            <w:noWrap/>
          </w:tcPr>
          <w:p w14:paraId="2DB518EF" w14:textId="77777777" w:rsidR="0064412C" w:rsidRPr="00784EB8" w:rsidRDefault="0064412C" w:rsidP="00C1114C">
            <w:pPr>
              <w:pStyle w:val="Tabletext"/>
              <w:rPr>
                <w:color w:val="13666B"/>
              </w:rPr>
            </w:pPr>
            <w:r w:rsidRPr="00784EB8">
              <w:rPr>
                <w:color w:val="13666B"/>
              </w:rPr>
              <w:t>Status to be determined</w:t>
            </w:r>
          </w:p>
        </w:tc>
        <w:tc>
          <w:tcPr>
            <w:tcW w:w="1696" w:type="dxa"/>
          </w:tcPr>
          <w:p w14:paraId="7BD9342E" w14:textId="6BA0927A" w:rsidR="0064412C" w:rsidRPr="00784EB8" w:rsidRDefault="0064412C" w:rsidP="00C1114C">
            <w:pPr>
              <w:pStyle w:val="Tabletext"/>
              <w:rPr>
                <w:color w:val="13666B"/>
              </w:rPr>
            </w:pPr>
            <w:r w:rsidRPr="00784EB8">
              <w:rPr>
                <w:color w:val="13666B"/>
              </w:rPr>
              <w:t>Status to be determined</w:t>
            </w:r>
          </w:p>
        </w:tc>
        <w:tc>
          <w:tcPr>
            <w:tcW w:w="1706" w:type="dxa"/>
            <w:noWrap/>
            <w:hideMark/>
          </w:tcPr>
          <w:p w14:paraId="56B3BE93" w14:textId="77777777" w:rsidR="0064412C" w:rsidRPr="0099225F" w:rsidRDefault="0064412C" w:rsidP="00C1114C">
            <w:pPr>
              <w:pStyle w:val="Tabletext"/>
              <w:rPr>
                <w:sz w:val="20"/>
              </w:rPr>
            </w:pPr>
            <w:r w:rsidRPr="0099225F">
              <w:rPr>
                <w:sz w:val="20"/>
              </w:rPr>
              <w:t>N/S</w:t>
            </w:r>
          </w:p>
        </w:tc>
        <w:tc>
          <w:tcPr>
            <w:tcW w:w="1271" w:type="dxa"/>
            <w:hideMark/>
          </w:tcPr>
          <w:p w14:paraId="48A2E824" w14:textId="77777777" w:rsidR="0064412C" w:rsidRPr="0099225F" w:rsidRDefault="0064412C" w:rsidP="00C1114C">
            <w:pPr>
              <w:pStyle w:val="Tabletext"/>
              <w:rPr>
                <w:sz w:val="20"/>
              </w:rPr>
            </w:pPr>
            <w:r w:rsidRPr="0099225F">
              <w:rPr>
                <w:sz w:val="20"/>
              </w:rPr>
              <w:t>N/A</w:t>
            </w:r>
          </w:p>
        </w:tc>
      </w:tr>
    </w:tbl>
    <w:p w14:paraId="45DF1296" w14:textId="63635D77" w:rsidR="007F1BA2" w:rsidRDefault="007F1BA2" w:rsidP="007F1BA2">
      <w:pPr>
        <w:pStyle w:val="Heading5"/>
      </w:pPr>
      <w:r w:rsidRPr="00E01AE4">
        <w:t>Key result: Improve patient experience of screening</w:t>
      </w:r>
    </w:p>
    <w:tbl>
      <w:tblPr>
        <w:tblStyle w:val="TableGrid"/>
        <w:tblW w:w="14459"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7"/>
        <w:gridCol w:w="3402"/>
        <w:gridCol w:w="2126"/>
        <w:gridCol w:w="2131"/>
        <w:gridCol w:w="1696"/>
        <w:gridCol w:w="1706"/>
        <w:gridCol w:w="1271"/>
      </w:tblGrid>
      <w:tr w:rsidR="007F1BA2" w:rsidRPr="0099225F" w14:paraId="7503525D" w14:textId="77777777" w:rsidTr="00957CB6">
        <w:trPr>
          <w:trHeight w:val="590"/>
        </w:trPr>
        <w:tc>
          <w:tcPr>
            <w:tcW w:w="2127" w:type="dxa"/>
            <w:shd w:val="clear" w:color="auto" w:fill="EDCDCF"/>
          </w:tcPr>
          <w:p w14:paraId="4F967A3F" w14:textId="16C7C2E2" w:rsidR="007F1BA2" w:rsidRPr="0099225F" w:rsidRDefault="007F1BA2" w:rsidP="007F1BA2">
            <w:pPr>
              <w:pStyle w:val="Tablecolhead"/>
              <w:rPr>
                <w:sz w:val="20"/>
              </w:rPr>
            </w:pPr>
            <w:r w:rsidRPr="0099225F">
              <w:rPr>
                <w:sz w:val="20"/>
              </w:rPr>
              <w:t>Measure #</w:t>
            </w:r>
          </w:p>
        </w:tc>
        <w:tc>
          <w:tcPr>
            <w:tcW w:w="3402" w:type="dxa"/>
            <w:shd w:val="clear" w:color="auto" w:fill="EDCDCF"/>
          </w:tcPr>
          <w:p w14:paraId="5ADCAA49" w14:textId="088C146D" w:rsidR="007F1BA2" w:rsidRPr="0099225F" w:rsidRDefault="007F1BA2" w:rsidP="007F1BA2">
            <w:pPr>
              <w:pStyle w:val="Tablecolhead"/>
              <w:rPr>
                <w:sz w:val="20"/>
              </w:rPr>
            </w:pPr>
            <w:r w:rsidRPr="0099225F">
              <w:rPr>
                <w:sz w:val="20"/>
              </w:rPr>
              <w:t>Description</w:t>
            </w:r>
          </w:p>
        </w:tc>
        <w:tc>
          <w:tcPr>
            <w:tcW w:w="2126" w:type="dxa"/>
            <w:shd w:val="clear" w:color="auto" w:fill="EDCDCF"/>
          </w:tcPr>
          <w:p w14:paraId="5E7DA5D5" w14:textId="60236720" w:rsidR="007F1BA2" w:rsidRPr="0099225F" w:rsidRDefault="007F1BA2" w:rsidP="007F1BA2">
            <w:pPr>
              <w:pStyle w:val="Tablecolhead"/>
              <w:rPr>
                <w:sz w:val="20"/>
              </w:rPr>
            </w:pPr>
            <w:r w:rsidRPr="0099225F">
              <w:rPr>
                <w:sz w:val="20"/>
              </w:rPr>
              <w:t>Unit of measure</w:t>
            </w:r>
          </w:p>
        </w:tc>
        <w:tc>
          <w:tcPr>
            <w:tcW w:w="2131" w:type="dxa"/>
            <w:shd w:val="clear" w:color="auto" w:fill="EDCDCF"/>
            <w:noWrap/>
          </w:tcPr>
          <w:p w14:paraId="49382AD7" w14:textId="77777777" w:rsidR="007F1BA2" w:rsidRPr="0099225F" w:rsidRDefault="007F1BA2" w:rsidP="007F1BA2">
            <w:pPr>
              <w:pStyle w:val="Tablecolhead"/>
              <w:rPr>
                <w:sz w:val="20"/>
              </w:rPr>
            </w:pPr>
            <w:r w:rsidRPr="0099225F">
              <w:rPr>
                <w:sz w:val="20"/>
              </w:rPr>
              <w:t>Baseline</w:t>
            </w:r>
          </w:p>
          <w:p w14:paraId="154FCB20" w14:textId="0AD04962" w:rsidR="007F1BA2" w:rsidRPr="0099225F" w:rsidRDefault="007F1BA2" w:rsidP="007F1BA2">
            <w:pPr>
              <w:pStyle w:val="Tablecolhead"/>
              <w:rPr>
                <w:sz w:val="20"/>
              </w:rPr>
            </w:pPr>
            <w:r w:rsidRPr="0099225F">
              <w:rPr>
                <w:sz w:val="20"/>
              </w:rPr>
              <w:t>(year)</w:t>
            </w:r>
          </w:p>
        </w:tc>
        <w:tc>
          <w:tcPr>
            <w:tcW w:w="1696" w:type="dxa"/>
            <w:shd w:val="clear" w:color="auto" w:fill="EDCDCF"/>
            <w:noWrap/>
          </w:tcPr>
          <w:p w14:paraId="739BEED1" w14:textId="77777777" w:rsidR="007F1BA2" w:rsidRPr="0099225F" w:rsidRDefault="007F1BA2" w:rsidP="007F1BA2">
            <w:pPr>
              <w:pStyle w:val="Tablecolhead"/>
              <w:rPr>
                <w:sz w:val="20"/>
              </w:rPr>
            </w:pPr>
            <w:r w:rsidRPr="0099225F">
              <w:rPr>
                <w:sz w:val="20"/>
              </w:rPr>
              <w:t>Most recent</w:t>
            </w:r>
          </w:p>
          <w:p w14:paraId="31304FEF" w14:textId="4025CD4C" w:rsidR="007F1BA2" w:rsidRPr="0099225F" w:rsidRDefault="007F1BA2" w:rsidP="007F1BA2">
            <w:pPr>
              <w:pStyle w:val="Tablecolhead"/>
              <w:rPr>
                <w:sz w:val="20"/>
              </w:rPr>
            </w:pPr>
            <w:r w:rsidRPr="0099225F">
              <w:rPr>
                <w:sz w:val="20"/>
              </w:rPr>
              <w:t>(year)</w:t>
            </w:r>
          </w:p>
        </w:tc>
        <w:tc>
          <w:tcPr>
            <w:tcW w:w="1706" w:type="dxa"/>
            <w:shd w:val="clear" w:color="auto" w:fill="EDCDCF"/>
            <w:noWrap/>
          </w:tcPr>
          <w:p w14:paraId="25775E57" w14:textId="0541C2BE" w:rsidR="007F1BA2" w:rsidRPr="0099225F" w:rsidRDefault="007F1BA2" w:rsidP="007F1BA2">
            <w:pPr>
              <w:pStyle w:val="Tablecolhead"/>
              <w:rPr>
                <w:sz w:val="20"/>
              </w:rPr>
            </w:pPr>
            <w:r w:rsidRPr="0099225F">
              <w:rPr>
                <w:sz w:val="20"/>
              </w:rPr>
              <w:t>Target</w:t>
            </w:r>
          </w:p>
        </w:tc>
        <w:tc>
          <w:tcPr>
            <w:tcW w:w="1271" w:type="dxa"/>
            <w:shd w:val="clear" w:color="auto" w:fill="EDCDCF"/>
          </w:tcPr>
          <w:p w14:paraId="6F6AF343" w14:textId="46D8963D" w:rsidR="007F1BA2" w:rsidRPr="0099225F" w:rsidRDefault="007F1BA2" w:rsidP="007F1BA2">
            <w:pPr>
              <w:pStyle w:val="Tablecolhead"/>
              <w:rPr>
                <w:sz w:val="20"/>
              </w:rPr>
            </w:pPr>
            <w:r w:rsidRPr="0099225F">
              <w:rPr>
                <w:sz w:val="20"/>
              </w:rPr>
              <w:t>Trend</w:t>
            </w:r>
          </w:p>
        </w:tc>
      </w:tr>
      <w:tr w:rsidR="0064412C" w:rsidRPr="0099225F" w14:paraId="2BEDC771" w14:textId="77777777" w:rsidTr="00957CB6">
        <w:trPr>
          <w:trHeight w:val="590"/>
        </w:trPr>
        <w:tc>
          <w:tcPr>
            <w:tcW w:w="2127" w:type="dxa"/>
          </w:tcPr>
          <w:p w14:paraId="4D0F98B4" w14:textId="1F33466C" w:rsidR="0064412C" w:rsidRPr="0099225F" w:rsidRDefault="00000000" w:rsidP="007F1BA2">
            <w:pPr>
              <w:pStyle w:val="Tabletext"/>
              <w:rPr>
                <w:sz w:val="20"/>
              </w:rPr>
            </w:pPr>
            <w:hyperlink w:anchor="_Measure_16.1_–" w:history="1">
              <w:r w:rsidR="0064412C" w:rsidRPr="0099225F">
                <w:rPr>
                  <w:rStyle w:val="Hyperlink"/>
                  <w:sz w:val="20"/>
                </w:rPr>
                <w:t>16.1</w:t>
              </w:r>
            </w:hyperlink>
          </w:p>
        </w:tc>
        <w:tc>
          <w:tcPr>
            <w:tcW w:w="3402" w:type="dxa"/>
          </w:tcPr>
          <w:p w14:paraId="6A61FCC4" w14:textId="02C93234" w:rsidR="0064412C" w:rsidRPr="0099225F" w:rsidRDefault="0064412C" w:rsidP="007F1BA2">
            <w:pPr>
              <w:pStyle w:val="Tabletext"/>
              <w:rPr>
                <w:sz w:val="20"/>
              </w:rPr>
            </w:pPr>
            <w:r w:rsidRPr="0099225F">
              <w:rPr>
                <w:sz w:val="20"/>
              </w:rPr>
              <w:t>Proportion of women who have a mammogram by BreastScreen Victoria who rate the service as highly satisfactory</w:t>
            </w:r>
          </w:p>
        </w:tc>
        <w:tc>
          <w:tcPr>
            <w:tcW w:w="2126" w:type="dxa"/>
          </w:tcPr>
          <w:p w14:paraId="4C2AE111" w14:textId="77777777" w:rsidR="0064412C" w:rsidRPr="0099225F" w:rsidRDefault="0064412C" w:rsidP="007F1BA2">
            <w:pPr>
              <w:pStyle w:val="Tabletext"/>
              <w:rPr>
                <w:sz w:val="20"/>
              </w:rPr>
            </w:pPr>
            <w:r w:rsidRPr="0099225F">
              <w:rPr>
                <w:sz w:val="20"/>
              </w:rPr>
              <w:t>Per cent</w:t>
            </w:r>
          </w:p>
        </w:tc>
        <w:tc>
          <w:tcPr>
            <w:tcW w:w="2131" w:type="dxa"/>
            <w:noWrap/>
          </w:tcPr>
          <w:p w14:paraId="2409184D" w14:textId="5CDD4452" w:rsidR="0064412C" w:rsidRPr="0099225F" w:rsidRDefault="0064412C" w:rsidP="007F1BA2">
            <w:pPr>
              <w:pStyle w:val="Tabletext"/>
              <w:rPr>
                <w:sz w:val="20"/>
              </w:rPr>
            </w:pPr>
            <w:r w:rsidRPr="0099225F">
              <w:rPr>
                <w:sz w:val="20"/>
              </w:rPr>
              <w:t>9</w:t>
            </w:r>
            <w:r w:rsidR="0008281C">
              <w:rPr>
                <w:sz w:val="20"/>
              </w:rPr>
              <w:t>0</w:t>
            </w:r>
            <w:r w:rsidRPr="0099225F">
              <w:rPr>
                <w:sz w:val="20"/>
              </w:rPr>
              <w:t xml:space="preserve"> </w:t>
            </w:r>
          </w:p>
          <w:p w14:paraId="0BF6149F" w14:textId="71C695DE" w:rsidR="0064412C" w:rsidRPr="0099225F" w:rsidRDefault="0064412C" w:rsidP="007F1BA2">
            <w:pPr>
              <w:pStyle w:val="Tabletext"/>
              <w:rPr>
                <w:sz w:val="20"/>
              </w:rPr>
            </w:pPr>
            <w:r w:rsidRPr="0099225F">
              <w:rPr>
                <w:sz w:val="20"/>
              </w:rPr>
              <w:t>(201</w:t>
            </w:r>
            <w:r w:rsidR="0094432A" w:rsidRPr="0099225F">
              <w:rPr>
                <w:sz w:val="20"/>
              </w:rPr>
              <w:t>4</w:t>
            </w:r>
            <w:r w:rsidRPr="0099225F">
              <w:rPr>
                <w:sz w:val="20"/>
              </w:rPr>
              <w:t>)</w:t>
            </w:r>
          </w:p>
        </w:tc>
        <w:tc>
          <w:tcPr>
            <w:tcW w:w="1696" w:type="dxa"/>
            <w:noWrap/>
          </w:tcPr>
          <w:p w14:paraId="7A81D8A5" w14:textId="7F142CD8" w:rsidR="0064412C" w:rsidRPr="0099225F" w:rsidRDefault="0064412C" w:rsidP="007F1BA2">
            <w:pPr>
              <w:pStyle w:val="Tabletext"/>
              <w:rPr>
                <w:sz w:val="20"/>
              </w:rPr>
            </w:pPr>
            <w:r w:rsidRPr="0099225F">
              <w:rPr>
                <w:sz w:val="20"/>
              </w:rPr>
              <w:t>9</w:t>
            </w:r>
            <w:r w:rsidR="0008281C">
              <w:rPr>
                <w:sz w:val="20"/>
              </w:rPr>
              <w:t>1</w:t>
            </w:r>
            <w:r w:rsidRPr="0099225F">
              <w:rPr>
                <w:sz w:val="20"/>
              </w:rPr>
              <w:t xml:space="preserve"> </w:t>
            </w:r>
          </w:p>
          <w:p w14:paraId="62613DAE" w14:textId="49878BB3" w:rsidR="0064412C" w:rsidRPr="0099225F" w:rsidRDefault="0064412C" w:rsidP="007F1BA2">
            <w:pPr>
              <w:pStyle w:val="Tabletext"/>
              <w:rPr>
                <w:sz w:val="20"/>
              </w:rPr>
            </w:pPr>
            <w:r w:rsidRPr="0099225F">
              <w:rPr>
                <w:sz w:val="20"/>
              </w:rPr>
              <w:t>(20</w:t>
            </w:r>
            <w:r w:rsidR="0008281C">
              <w:rPr>
                <w:sz w:val="20"/>
              </w:rPr>
              <w:t>22</w:t>
            </w:r>
            <w:r w:rsidRPr="0099225F">
              <w:rPr>
                <w:sz w:val="20"/>
              </w:rPr>
              <w:t>)</w:t>
            </w:r>
          </w:p>
        </w:tc>
        <w:tc>
          <w:tcPr>
            <w:tcW w:w="1706" w:type="dxa"/>
            <w:noWrap/>
          </w:tcPr>
          <w:p w14:paraId="47883346" w14:textId="77777777" w:rsidR="0064412C" w:rsidRPr="0099225F" w:rsidRDefault="0064412C" w:rsidP="007F1BA2">
            <w:pPr>
              <w:pStyle w:val="Tabletext"/>
              <w:rPr>
                <w:sz w:val="20"/>
              </w:rPr>
            </w:pPr>
            <w:r w:rsidRPr="0099225F">
              <w:rPr>
                <w:sz w:val="20"/>
              </w:rPr>
              <w:t>N/S</w:t>
            </w:r>
          </w:p>
        </w:tc>
        <w:tc>
          <w:tcPr>
            <w:tcW w:w="1271" w:type="dxa"/>
          </w:tcPr>
          <w:p w14:paraId="4F23CFF5" w14:textId="1E121EC5" w:rsidR="0064412C" w:rsidRPr="0099225F" w:rsidRDefault="00CF3B53" w:rsidP="007F1BA2">
            <w:pPr>
              <w:pStyle w:val="Tabletext"/>
              <w:rPr>
                <w:sz w:val="20"/>
              </w:rPr>
            </w:pPr>
            <w:r w:rsidRPr="0099225F">
              <w:rPr>
                <w:sz w:val="20"/>
              </w:rPr>
              <w:t xml:space="preserve">■ </w:t>
            </w:r>
            <w:r w:rsidRPr="0099225F">
              <w:rPr>
                <w:sz w:val="20"/>
              </w:rPr>
              <w:br/>
              <w:t>No change</w:t>
            </w:r>
          </w:p>
        </w:tc>
      </w:tr>
      <w:tr w:rsidR="0064412C" w:rsidRPr="0099225F" w14:paraId="1BF236AC" w14:textId="77777777" w:rsidTr="00957CB6">
        <w:trPr>
          <w:trHeight w:val="546"/>
        </w:trPr>
        <w:tc>
          <w:tcPr>
            <w:tcW w:w="2127" w:type="dxa"/>
            <w:hideMark/>
          </w:tcPr>
          <w:p w14:paraId="5C0900EE" w14:textId="686E7A11" w:rsidR="0064412C" w:rsidRPr="0099225F" w:rsidRDefault="00000000" w:rsidP="007F1BA2">
            <w:pPr>
              <w:pStyle w:val="Tabletext"/>
              <w:rPr>
                <w:sz w:val="20"/>
              </w:rPr>
            </w:pPr>
            <w:hyperlink w:anchor="_Measure_16.2_–" w:history="1">
              <w:r w:rsidR="0064412C" w:rsidRPr="0099225F">
                <w:rPr>
                  <w:rStyle w:val="Hyperlink"/>
                  <w:sz w:val="20"/>
                </w:rPr>
                <w:t>16.2</w:t>
              </w:r>
            </w:hyperlink>
          </w:p>
        </w:tc>
        <w:tc>
          <w:tcPr>
            <w:tcW w:w="3402" w:type="dxa"/>
            <w:hideMark/>
          </w:tcPr>
          <w:p w14:paraId="6075A438" w14:textId="77777777" w:rsidR="0064412C" w:rsidRPr="0099225F" w:rsidRDefault="0064412C" w:rsidP="007F1BA2">
            <w:pPr>
              <w:pStyle w:val="Tabletext"/>
              <w:rPr>
                <w:sz w:val="20"/>
              </w:rPr>
            </w:pPr>
            <w:r w:rsidRPr="0099225F">
              <w:rPr>
                <w:sz w:val="20"/>
              </w:rPr>
              <w:t>Proportion of women who are rescreened at BreastScreen Victoria within 27 months of first screen</w:t>
            </w:r>
          </w:p>
        </w:tc>
        <w:tc>
          <w:tcPr>
            <w:tcW w:w="2126" w:type="dxa"/>
          </w:tcPr>
          <w:p w14:paraId="0C657BC2" w14:textId="7B97A4D7" w:rsidR="0064412C" w:rsidRPr="0099225F" w:rsidRDefault="0064412C" w:rsidP="00583BC7">
            <w:pPr>
              <w:pStyle w:val="Tabletext"/>
              <w:rPr>
                <w:sz w:val="20"/>
              </w:rPr>
            </w:pPr>
            <w:r w:rsidRPr="0099225F">
              <w:rPr>
                <w:sz w:val="20"/>
              </w:rPr>
              <w:t>Per cent (age-adjusted)</w:t>
            </w:r>
          </w:p>
        </w:tc>
        <w:tc>
          <w:tcPr>
            <w:tcW w:w="2131" w:type="dxa"/>
            <w:noWrap/>
          </w:tcPr>
          <w:p w14:paraId="2C496F7C" w14:textId="77777777" w:rsidR="0064412C" w:rsidRPr="0099225F" w:rsidRDefault="0064412C" w:rsidP="007F1BA2">
            <w:pPr>
              <w:pStyle w:val="Tabletext"/>
              <w:rPr>
                <w:sz w:val="20"/>
              </w:rPr>
            </w:pPr>
            <w:r w:rsidRPr="0099225F">
              <w:rPr>
                <w:sz w:val="20"/>
              </w:rPr>
              <w:t>57.7</w:t>
            </w:r>
          </w:p>
          <w:p w14:paraId="1846AFC2" w14:textId="77777777" w:rsidR="0064412C" w:rsidRPr="0099225F" w:rsidRDefault="0064412C" w:rsidP="007F1BA2">
            <w:pPr>
              <w:pStyle w:val="Tabletext"/>
              <w:rPr>
                <w:sz w:val="20"/>
              </w:rPr>
            </w:pPr>
            <w:r w:rsidRPr="0099225F">
              <w:rPr>
                <w:sz w:val="20"/>
              </w:rPr>
              <w:t>(2014)</w:t>
            </w:r>
          </w:p>
        </w:tc>
        <w:tc>
          <w:tcPr>
            <w:tcW w:w="1696" w:type="dxa"/>
            <w:noWrap/>
            <w:hideMark/>
          </w:tcPr>
          <w:p w14:paraId="72CA1267" w14:textId="1461363A" w:rsidR="0064412C" w:rsidRPr="0099225F" w:rsidRDefault="00483BC6" w:rsidP="007F1BA2">
            <w:pPr>
              <w:pStyle w:val="Tabletext"/>
              <w:rPr>
                <w:sz w:val="20"/>
              </w:rPr>
            </w:pPr>
            <w:r>
              <w:rPr>
                <w:sz w:val="20"/>
              </w:rPr>
              <w:t>35</w:t>
            </w:r>
            <w:r w:rsidR="003F37AD" w:rsidRPr="0099225F">
              <w:rPr>
                <w:sz w:val="20"/>
              </w:rPr>
              <w:t>.</w:t>
            </w:r>
            <w:r>
              <w:rPr>
                <w:sz w:val="20"/>
              </w:rPr>
              <w:t>3</w:t>
            </w:r>
          </w:p>
          <w:p w14:paraId="6AD1526E" w14:textId="4E9CBDBA" w:rsidR="003F37AD" w:rsidRPr="0099225F" w:rsidRDefault="003F37AD" w:rsidP="007F1BA2">
            <w:pPr>
              <w:pStyle w:val="Tabletext"/>
              <w:rPr>
                <w:sz w:val="20"/>
              </w:rPr>
            </w:pPr>
            <w:r w:rsidRPr="0099225F">
              <w:rPr>
                <w:sz w:val="20"/>
              </w:rPr>
              <w:t>(201</w:t>
            </w:r>
            <w:r w:rsidR="00483BC6">
              <w:rPr>
                <w:sz w:val="20"/>
              </w:rPr>
              <w:t>8</w:t>
            </w:r>
            <w:r w:rsidRPr="0099225F">
              <w:rPr>
                <w:sz w:val="20"/>
              </w:rPr>
              <w:t>)</w:t>
            </w:r>
          </w:p>
        </w:tc>
        <w:tc>
          <w:tcPr>
            <w:tcW w:w="1706" w:type="dxa"/>
            <w:noWrap/>
            <w:hideMark/>
          </w:tcPr>
          <w:p w14:paraId="7B54458F" w14:textId="77777777" w:rsidR="0064412C" w:rsidRPr="0099225F" w:rsidRDefault="0064412C" w:rsidP="007F1BA2">
            <w:pPr>
              <w:pStyle w:val="Tabletext"/>
              <w:rPr>
                <w:sz w:val="20"/>
              </w:rPr>
            </w:pPr>
            <w:r w:rsidRPr="0099225F">
              <w:rPr>
                <w:sz w:val="20"/>
              </w:rPr>
              <w:t>N/S</w:t>
            </w:r>
          </w:p>
        </w:tc>
        <w:tc>
          <w:tcPr>
            <w:tcW w:w="1271" w:type="dxa"/>
            <w:hideMark/>
          </w:tcPr>
          <w:p w14:paraId="6AFD8C09" w14:textId="4F7EBCDE" w:rsidR="0064412C" w:rsidRPr="0099225F" w:rsidRDefault="00483BC6" w:rsidP="007F1BA2">
            <w:pPr>
              <w:pStyle w:val="Tabletext"/>
              <w:rPr>
                <w:sz w:val="20"/>
              </w:rPr>
            </w:pPr>
            <w:r w:rsidRPr="0099225F">
              <w:rPr>
                <w:sz w:val="20"/>
              </w:rPr>
              <w:t>▼</w:t>
            </w:r>
            <w:r w:rsidRPr="0099225F">
              <w:rPr>
                <w:sz w:val="20"/>
              </w:rPr>
              <w:br/>
              <w:t>Downward</w:t>
            </w:r>
          </w:p>
        </w:tc>
      </w:tr>
      <w:tr w:rsidR="0064412C" w:rsidRPr="0099225F" w14:paraId="512EF629" w14:textId="77777777" w:rsidTr="00957CB6">
        <w:trPr>
          <w:trHeight w:val="546"/>
        </w:trPr>
        <w:tc>
          <w:tcPr>
            <w:tcW w:w="2127" w:type="dxa"/>
          </w:tcPr>
          <w:p w14:paraId="362832A3" w14:textId="7C9D72FF" w:rsidR="0064412C" w:rsidRPr="0099225F" w:rsidRDefault="00000000" w:rsidP="007F1BA2">
            <w:pPr>
              <w:pStyle w:val="Tabletext"/>
              <w:rPr>
                <w:sz w:val="20"/>
              </w:rPr>
            </w:pPr>
            <w:hyperlink w:anchor="_Measure_16.3_–" w:history="1">
              <w:r w:rsidR="0064412C" w:rsidRPr="0099225F">
                <w:rPr>
                  <w:rStyle w:val="Hyperlink"/>
                  <w:sz w:val="20"/>
                </w:rPr>
                <w:t>16.3</w:t>
              </w:r>
            </w:hyperlink>
          </w:p>
        </w:tc>
        <w:tc>
          <w:tcPr>
            <w:tcW w:w="3402" w:type="dxa"/>
          </w:tcPr>
          <w:p w14:paraId="3F2B5C00" w14:textId="4D0AEC2B" w:rsidR="0064412C" w:rsidRPr="0099225F" w:rsidRDefault="0064412C" w:rsidP="007F1BA2">
            <w:pPr>
              <w:pStyle w:val="Tabletext"/>
              <w:rPr>
                <w:sz w:val="20"/>
              </w:rPr>
            </w:pPr>
            <w:r w:rsidRPr="0099225F">
              <w:rPr>
                <w:sz w:val="20"/>
              </w:rPr>
              <w:t xml:space="preserve">Proportion of women who are rescreened for cervical cancer within three months of receiving a 27-month cervical screening register reminder letter </w:t>
            </w:r>
          </w:p>
        </w:tc>
        <w:tc>
          <w:tcPr>
            <w:tcW w:w="2126" w:type="dxa"/>
          </w:tcPr>
          <w:p w14:paraId="7D753C18" w14:textId="77777777" w:rsidR="0064412C" w:rsidRPr="0099225F" w:rsidRDefault="0064412C" w:rsidP="007F1BA2">
            <w:pPr>
              <w:pStyle w:val="Tabletext"/>
              <w:rPr>
                <w:sz w:val="20"/>
              </w:rPr>
            </w:pPr>
            <w:r w:rsidRPr="0099225F">
              <w:rPr>
                <w:sz w:val="20"/>
              </w:rPr>
              <w:t>Per cent</w:t>
            </w:r>
          </w:p>
        </w:tc>
        <w:tc>
          <w:tcPr>
            <w:tcW w:w="2131" w:type="dxa"/>
            <w:noWrap/>
          </w:tcPr>
          <w:p w14:paraId="158F6B98" w14:textId="58839745" w:rsidR="0064412C" w:rsidRPr="0099225F" w:rsidRDefault="0064412C" w:rsidP="007F1BA2">
            <w:pPr>
              <w:pStyle w:val="Tabletext"/>
              <w:rPr>
                <w:sz w:val="20"/>
              </w:rPr>
            </w:pPr>
            <w:r w:rsidRPr="0099225F">
              <w:rPr>
                <w:sz w:val="20"/>
              </w:rPr>
              <w:t xml:space="preserve">31.9 </w:t>
            </w:r>
          </w:p>
          <w:p w14:paraId="3A1F57E6" w14:textId="77777777" w:rsidR="0064412C" w:rsidRPr="0099225F" w:rsidRDefault="0064412C" w:rsidP="007F1BA2">
            <w:pPr>
              <w:pStyle w:val="Tabletext"/>
              <w:rPr>
                <w:sz w:val="20"/>
              </w:rPr>
            </w:pPr>
            <w:r w:rsidRPr="0099225F">
              <w:rPr>
                <w:sz w:val="20"/>
              </w:rPr>
              <w:t>(2015)</w:t>
            </w:r>
          </w:p>
        </w:tc>
        <w:tc>
          <w:tcPr>
            <w:tcW w:w="1696" w:type="dxa"/>
            <w:noWrap/>
          </w:tcPr>
          <w:p w14:paraId="497D79C6" w14:textId="77777777" w:rsidR="0064412C" w:rsidRDefault="0008281C" w:rsidP="007F1BA2">
            <w:pPr>
              <w:pStyle w:val="Tabletext"/>
              <w:rPr>
                <w:sz w:val="20"/>
              </w:rPr>
            </w:pPr>
            <w:r>
              <w:rPr>
                <w:sz w:val="20"/>
              </w:rPr>
              <w:t>50.4</w:t>
            </w:r>
          </w:p>
          <w:p w14:paraId="5F7BD670" w14:textId="3B0DD655" w:rsidR="0008281C" w:rsidRPr="0099225F" w:rsidRDefault="0008281C" w:rsidP="007F1BA2">
            <w:pPr>
              <w:pStyle w:val="Tabletext"/>
              <w:rPr>
                <w:sz w:val="20"/>
              </w:rPr>
            </w:pPr>
            <w:r>
              <w:rPr>
                <w:sz w:val="20"/>
              </w:rPr>
              <w:t>(2017)</w:t>
            </w:r>
          </w:p>
        </w:tc>
        <w:tc>
          <w:tcPr>
            <w:tcW w:w="1706" w:type="dxa"/>
            <w:noWrap/>
          </w:tcPr>
          <w:p w14:paraId="2CDE7642" w14:textId="77777777" w:rsidR="0064412C" w:rsidRPr="0099225F" w:rsidRDefault="0064412C" w:rsidP="007F1BA2">
            <w:pPr>
              <w:pStyle w:val="Tabletext"/>
              <w:rPr>
                <w:sz w:val="20"/>
              </w:rPr>
            </w:pPr>
            <w:r w:rsidRPr="0099225F">
              <w:rPr>
                <w:sz w:val="20"/>
              </w:rPr>
              <w:t>N/S</w:t>
            </w:r>
          </w:p>
        </w:tc>
        <w:tc>
          <w:tcPr>
            <w:tcW w:w="1271" w:type="dxa"/>
          </w:tcPr>
          <w:p w14:paraId="6D6B8735" w14:textId="648AE488" w:rsidR="0064412C" w:rsidRPr="0099225F" w:rsidRDefault="0064412C" w:rsidP="007F1BA2">
            <w:pPr>
              <w:pStyle w:val="Tabletext"/>
              <w:rPr>
                <w:sz w:val="20"/>
              </w:rPr>
            </w:pPr>
            <w:r w:rsidRPr="0099225F">
              <w:rPr>
                <w:sz w:val="20"/>
              </w:rPr>
              <w:t>N/A</w:t>
            </w:r>
          </w:p>
        </w:tc>
      </w:tr>
      <w:tr w:rsidR="0064412C" w:rsidRPr="0099225F" w14:paraId="5DDB87E9" w14:textId="77777777" w:rsidTr="00957CB6">
        <w:trPr>
          <w:trHeight w:val="546"/>
        </w:trPr>
        <w:tc>
          <w:tcPr>
            <w:tcW w:w="2127" w:type="dxa"/>
          </w:tcPr>
          <w:p w14:paraId="11A6711E" w14:textId="3D252741" w:rsidR="0064412C" w:rsidRPr="0099225F" w:rsidRDefault="00000000" w:rsidP="007F1BA2">
            <w:pPr>
              <w:pStyle w:val="Tabletext"/>
              <w:rPr>
                <w:sz w:val="20"/>
              </w:rPr>
            </w:pPr>
            <w:hyperlink w:anchor="_Measure_16.4_–" w:history="1">
              <w:r w:rsidR="0064412C" w:rsidRPr="0099225F">
                <w:rPr>
                  <w:rStyle w:val="Hyperlink"/>
                  <w:sz w:val="20"/>
                </w:rPr>
                <w:t>16.4</w:t>
              </w:r>
            </w:hyperlink>
          </w:p>
        </w:tc>
        <w:tc>
          <w:tcPr>
            <w:tcW w:w="3402" w:type="dxa"/>
          </w:tcPr>
          <w:p w14:paraId="394E46CB" w14:textId="20AC6E4D" w:rsidR="0064412C" w:rsidRPr="0099225F" w:rsidRDefault="0064412C" w:rsidP="007F1BA2">
            <w:pPr>
              <w:pStyle w:val="Tabletext"/>
              <w:rPr>
                <w:sz w:val="20"/>
              </w:rPr>
            </w:pPr>
            <w:r w:rsidRPr="0099225F">
              <w:rPr>
                <w:sz w:val="20"/>
              </w:rPr>
              <w:t xml:space="preserve">Proportion of adults who are rescreened by </w:t>
            </w:r>
            <w:r w:rsidR="00583BC7" w:rsidRPr="0099225F">
              <w:rPr>
                <w:sz w:val="20"/>
              </w:rPr>
              <w:t xml:space="preserve">the </w:t>
            </w:r>
            <w:r w:rsidRPr="0099225F">
              <w:rPr>
                <w:sz w:val="20"/>
              </w:rPr>
              <w:t xml:space="preserve">National Bowel Cancer Screening Program </w:t>
            </w:r>
          </w:p>
        </w:tc>
        <w:tc>
          <w:tcPr>
            <w:tcW w:w="2126" w:type="dxa"/>
          </w:tcPr>
          <w:p w14:paraId="0AFEAABF" w14:textId="77777777" w:rsidR="0064412C" w:rsidRPr="0099225F" w:rsidRDefault="0064412C" w:rsidP="007F1BA2">
            <w:pPr>
              <w:pStyle w:val="Tabletext"/>
              <w:rPr>
                <w:sz w:val="20"/>
              </w:rPr>
            </w:pPr>
            <w:r w:rsidRPr="0099225F">
              <w:rPr>
                <w:sz w:val="20"/>
              </w:rPr>
              <w:t>Per cent</w:t>
            </w:r>
          </w:p>
        </w:tc>
        <w:tc>
          <w:tcPr>
            <w:tcW w:w="2131" w:type="dxa"/>
            <w:noWrap/>
          </w:tcPr>
          <w:p w14:paraId="40A39629" w14:textId="77777777" w:rsidR="0064412C" w:rsidRPr="0099225F" w:rsidRDefault="0064412C" w:rsidP="007F1BA2">
            <w:pPr>
              <w:pStyle w:val="Tabletext"/>
              <w:rPr>
                <w:sz w:val="20"/>
              </w:rPr>
            </w:pPr>
            <w:r w:rsidRPr="0099225F">
              <w:rPr>
                <w:sz w:val="20"/>
              </w:rPr>
              <w:t>77</w:t>
            </w:r>
          </w:p>
          <w:p w14:paraId="66E9226C" w14:textId="02B6DFFD" w:rsidR="0064412C" w:rsidRPr="0099225F" w:rsidRDefault="0064412C" w:rsidP="007F1BA2">
            <w:pPr>
              <w:pStyle w:val="Tabletext"/>
              <w:rPr>
                <w:sz w:val="20"/>
              </w:rPr>
            </w:pPr>
            <w:r w:rsidRPr="0099225F">
              <w:rPr>
                <w:sz w:val="20"/>
              </w:rPr>
              <w:t>(2014–2015)</w:t>
            </w:r>
          </w:p>
        </w:tc>
        <w:tc>
          <w:tcPr>
            <w:tcW w:w="1696" w:type="dxa"/>
            <w:noWrap/>
          </w:tcPr>
          <w:p w14:paraId="26AA5B20" w14:textId="6595B50B" w:rsidR="0064412C" w:rsidRPr="004442E1" w:rsidRDefault="00352D84" w:rsidP="007F1BA2">
            <w:pPr>
              <w:pStyle w:val="Tabletext"/>
              <w:rPr>
                <w:sz w:val="20"/>
              </w:rPr>
            </w:pPr>
            <w:r w:rsidRPr="004442E1">
              <w:rPr>
                <w:sz w:val="20"/>
              </w:rPr>
              <w:t>8</w:t>
            </w:r>
            <w:r w:rsidR="004442E1" w:rsidRPr="004442E1">
              <w:rPr>
                <w:sz w:val="20"/>
              </w:rPr>
              <w:t>2</w:t>
            </w:r>
            <w:r w:rsidRPr="004442E1">
              <w:rPr>
                <w:sz w:val="20"/>
              </w:rPr>
              <w:t>.</w:t>
            </w:r>
            <w:r w:rsidR="004442E1" w:rsidRPr="004442E1">
              <w:rPr>
                <w:sz w:val="20"/>
              </w:rPr>
              <w:t>6</w:t>
            </w:r>
          </w:p>
          <w:p w14:paraId="18DA7C8D" w14:textId="07BA4C05" w:rsidR="0064412C" w:rsidRPr="0099225F" w:rsidRDefault="0064412C" w:rsidP="007F1BA2">
            <w:pPr>
              <w:pStyle w:val="Tabletext"/>
              <w:rPr>
                <w:sz w:val="20"/>
              </w:rPr>
            </w:pPr>
            <w:r w:rsidRPr="004442E1">
              <w:rPr>
                <w:sz w:val="20"/>
              </w:rPr>
              <w:t>(20</w:t>
            </w:r>
            <w:r w:rsidR="004442E1" w:rsidRPr="004442E1">
              <w:rPr>
                <w:sz w:val="20"/>
              </w:rPr>
              <w:t>20</w:t>
            </w:r>
            <w:r w:rsidRPr="004442E1">
              <w:rPr>
                <w:sz w:val="20"/>
              </w:rPr>
              <w:t>–20</w:t>
            </w:r>
            <w:r w:rsidR="004442E1" w:rsidRPr="004442E1">
              <w:rPr>
                <w:sz w:val="20"/>
              </w:rPr>
              <w:t>21</w:t>
            </w:r>
            <w:r w:rsidRPr="004442E1">
              <w:rPr>
                <w:sz w:val="20"/>
              </w:rPr>
              <w:t>)</w:t>
            </w:r>
          </w:p>
        </w:tc>
        <w:tc>
          <w:tcPr>
            <w:tcW w:w="1706" w:type="dxa"/>
            <w:noWrap/>
          </w:tcPr>
          <w:p w14:paraId="10E8F59B" w14:textId="77777777" w:rsidR="0064412C" w:rsidRPr="0099225F" w:rsidRDefault="0064412C" w:rsidP="007F1BA2">
            <w:pPr>
              <w:pStyle w:val="Tabletext"/>
              <w:rPr>
                <w:sz w:val="20"/>
              </w:rPr>
            </w:pPr>
            <w:r w:rsidRPr="0099225F">
              <w:rPr>
                <w:sz w:val="20"/>
              </w:rPr>
              <w:t>N/S</w:t>
            </w:r>
          </w:p>
        </w:tc>
        <w:tc>
          <w:tcPr>
            <w:tcW w:w="1271" w:type="dxa"/>
          </w:tcPr>
          <w:p w14:paraId="5423009E" w14:textId="775AD1E4" w:rsidR="0064412C" w:rsidRPr="0099225F" w:rsidRDefault="00352D84" w:rsidP="007F1BA2">
            <w:pPr>
              <w:pStyle w:val="Tabletext"/>
              <w:rPr>
                <w:sz w:val="20"/>
              </w:rPr>
            </w:pPr>
            <w:r w:rsidRPr="0099225F">
              <w:rPr>
                <w:sz w:val="20"/>
              </w:rPr>
              <w:t>▲</w:t>
            </w:r>
            <w:r w:rsidRPr="0099225F">
              <w:rPr>
                <w:sz w:val="20"/>
              </w:rPr>
              <w:br/>
              <w:t>Upward</w:t>
            </w:r>
          </w:p>
        </w:tc>
      </w:tr>
    </w:tbl>
    <w:p w14:paraId="4C29466A" w14:textId="77777777" w:rsidR="00DD743A" w:rsidRDefault="00DD743A" w:rsidP="00A451D4">
      <w:pPr>
        <w:pStyle w:val="Heading3"/>
      </w:pPr>
      <w:bookmarkStart w:id="46" w:name="_Toc19007978"/>
    </w:p>
    <w:p w14:paraId="36381923" w14:textId="77777777" w:rsidR="00DD743A" w:rsidRDefault="00DD743A">
      <w:pPr>
        <w:rPr>
          <w:rFonts w:ascii="Arial" w:eastAsia="MS Gothic" w:hAnsi="Arial"/>
          <w:bCs/>
          <w:color w:val="53565A"/>
          <w:sz w:val="30"/>
          <w:szCs w:val="26"/>
          <w:lang w:eastAsia="en-US"/>
        </w:rPr>
      </w:pPr>
      <w:r>
        <w:br w:type="page"/>
      </w:r>
    </w:p>
    <w:p w14:paraId="5D24BDF1" w14:textId="667F2194" w:rsidR="00C1114C" w:rsidRDefault="00662616" w:rsidP="00A451D4">
      <w:pPr>
        <w:pStyle w:val="Heading3"/>
      </w:pPr>
      <w:r>
        <w:lastRenderedPageBreak/>
        <w:t>Action: Research</w:t>
      </w:r>
      <w:r w:rsidRPr="00DE68BE">
        <w:t xml:space="preserve"> – </w:t>
      </w:r>
      <w:r w:rsidRPr="00110AA9">
        <w:t>Victoria has a strong and integrated research system</w:t>
      </w:r>
      <w:bookmarkEnd w:id="46"/>
    </w:p>
    <w:p w14:paraId="36DB41B0" w14:textId="13DDD7FE" w:rsidR="00662616" w:rsidRDefault="00662616" w:rsidP="007C7F00">
      <w:pPr>
        <w:pStyle w:val="Heading4"/>
      </w:pPr>
      <w:r w:rsidRPr="00885FE2">
        <w:t xml:space="preserve">Outcome: </w:t>
      </w:r>
      <w:r>
        <w:t>Integrated research systems</w:t>
      </w:r>
    </w:p>
    <w:p w14:paraId="40B3D934" w14:textId="4EA086FE" w:rsidR="00662616" w:rsidRDefault="00662616" w:rsidP="00662616">
      <w:pPr>
        <w:pStyle w:val="Heading5"/>
      </w:pPr>
      <w:r w:rsidRPr="00885FE2">
        <w:t xml:space="preserve">Key result: </w:t>
      </w:r>
      <w:r>
        <w:t>Innovations and improved evidence of best practice</w:t>
      </w:r>
    </w:p>
    <w:tbl>
      <w:tblPr>
        <w:tblStyle w:val="TableGrid"/>
        <w:tblW w:w="14459"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7"/>
        <w:gridCol w:w="3402"/>
        <w:gridCol w:w="2126"/>
        <w:gridCol w:w="2268"/>
        <w:gridCol w:w="1559"/>
        <w:gridCol w:w="1843"/>
        <w:gridCol w:w="1134"/>
      </w:tblGrid>
      <w:tr w:rsidR="00662616" w:rsidRPr="0099225F" w14:paraId="4EB0D99A" w14:textId="77777777" w:rsidTr="00360C87">
        <w:trPr>
          <w:trHeight w:val="564"/>
        </w:trPr>
        <w:tc>
          <w:tcPr>
            <w:tcW w:w="2127" w:type="dxa"/>
            <w:shd w:val="clear" w:color="auto" w:fill="EDCDCF"/>
          </w:tcPr>
          <w:p w14:paraId="27B7830F" w14:textId="7F2AAD52" w:rsidR="00662616" w:rsidRPr="0099225F" w:rsidRDefault="00662616" w:rsidP="00662616">
            <w:pPr>
              <w:pStyle w:val="Tablecolhead"/>
              <w:rPr>
                <w:sz w:val="20"/>
              </w:rPr>
            </w:pPr>
            <w:r w:rsidRPr="0099225F">
              <w:rPr>
                <w:sz w:val="20"/>
              </w:rPr>
              <w:t>Measure #</w:t>
            </w:r>
          </w:p>
        </w:tc>
        <w:tc>
          <w:tcPr>
            <w:tcW w:w="3402" w:type="dxa"/>
            <w:shd w:val="clear" w:color="auto" w:fill="EDCDCF"/>
          </w:tcPr>
          <w:p w14:paraId="462BAD71" w14:textId="2348143C" w:rsidR="00662616" w:rsidRPr="0099225F" w:rsidRDefault="00662616" w:rsidP="00662616">
            <w:pPr>
              <w:pStyle w:val="Tablecolhead"/>
              <w:rPr>
                <w:sz w:val="20"/>
              </w:rPr>
            </w:pPr>
            <w:r w:rsidRPr="0099225F">
              <w:rPr>
                <w:sz w:val="20"/>
              </w:rPr>
              <w:t>Description</w:t>
            </w:r>
          </w:p>
        </w:tc>
        <w:tc>
          <w:tcPr>
            <w:tcW w:w="2126" w:type="dxa"/>
            <w:shd w:val="clear" w:color="auto" w:fill="EDCDCF"/>
          </w:tcPr>
          <w:p w14:paraId="14A99D79" w14:textId="217A1926" w:rsidR="00662616" w:rsidRPr="0099225F" w:rsidRDefault="00662616" w:rsidP="00662616">
            <w:pPr>
              <w:pStyle w:val="Tablecolhead"/>
              <w:rPr>
                <w:sz w:val="20"/>
              </w:rPr>
            </w:pPr>
            <w:r w:rsidRPr="0099225F">
              <w:rPr>
                <w:sz w:val="20"/>
              </w:rPr>
              <w:t>Unit of measure</w:t>
            </w:r>
          </w:p>
        </w:tc>
        <w:tc>
          <w:tcPr>
            <w:tcW w:w="2268" w:type="dxa"/>
            <w:shd w:val="clear" w:color="auto" w:fill="EDCDCF"/>
            <w:noWrap/>
          </w:tcPr>
          <w:p w14:paraId="64238C90" w14:textId="77777777" w:rsidR="00662616" w:rsidRPr="0099225F" w:rsidRDefault="00662616" w:rsidP="00662616">
            <w:pPr>
              <w:pStyle w:val="Tablecolhead"/>
              <w:rPr>
                <w:sz w:val="20"/>
              </w:rPr>
            </w:pPr>
            <w:r w:rsidRPr="0099225F">
              <w:rPr>
                <w:sz w:val="20"/>
              </w:rPr>
              <w:t>Baseline</w:t>
            </w:r>
          </w:p>
          <w:p w14:paraId="4A0AE121" w14:textId="42D44E46" w:rsidR="00662616" w:rsidRPr="0099225F" w:rsidRDefault="00662616" w:rsidP="00662616">
            <w:pPr>
              <w:pStyle w:val="Tablecolhead"/>
              <w:rPr>
                <w:sz w:val="20"/>
              </w:rPr>
            </w:pPr>
            <w:r w:rsidRPr="0099225F">
              <w:rPr>
                <w:sz w:val="20"/>
              </w:rPr>
              <w:t>(year)</w:t>
            </w:r>
          </w:p>
        </w:tc>
        <w:tc>
          <w:tcPr>
            <w:tcW w:w="1559" w:type="dxa"/>
            <w:shd w:val="clear" w:color="auto" w:fill="EDCDCF"/>
            <w:noWrap/>
          </w:tcPr>
          <w:p w14:paraId="65CBA4BA" w14:textId="77777777" w:rsidR="00662616" w:rsidRPr="0099225F" w:rsidRDefault="00662616" w:rsidP="00662616">
            <w:pPr>
              <w:pStyle w:val="Tablecolhead"/>
              <w:rPr>
                <w:sz w:val="20"/>
              </w:rPr>
            </w:pPr>
            <w:r w:rsidRPr="0099225F">
              <w:rPr>
                <w:sz w:val="20"/>
              </w:rPr>
              <w:t>Most recent</w:t>
            </w:r>
          </w:p>
          <w:p w14:paraId="1E6B9558" w14:textId="507B507B" w:rsidR="00662616" w:rsidRPr="0099225F" w:rsidRDefault="00662616" w:rsidP="00662616">
            <w:pPr>
              <w:pStyle w:val="Tablecolhead"/>
              <w:rPr>
                <w:sz w:val="20"/>
              </w:rPr>
            </w:pPr>
            <w:r w:rsidRPr="0099225F">
              <w:rPr>
                <w:sz w:val="20"/>
              </w:rPr>
              <w:t>(year)</w:t>
            </w:r>
          </w:p>
        </w:tc>
        <w:tc>
          <w:tcPr>
            <w:tcW w:w="1843" w:type="dxa"/>
            <w:shd w:val="clear" w:color="auto" w:fill="EDCDCF"/>
            <w:noWrap/>
          </w:tcPr>
          <w:p w14:paraId="204D0918" w14:textId="25CB6184" w:rsidR="00662616" w:rsidRPr="0099225F" w:rsidRDefault="00662616" w:rsidP="00662616">
            <w:pPr>
              <w:pStyle w:val="Tablecolhead"/>
              <w:rPr>
                <w:sz w:val="20"/>
              </w:rPr>
            </w:pPr>
            <w:r w:rsidRPr="0099225F">
              <w:rPr>
                <w:sz w:val="20"/>
              </w:rPr>
              <w:t>Target</w:t>
            </w:r>
          </w:p>
        </w:tc>
        <w:tc>
          <w:tcPr>
            <w:tcW w:w="1134" w:type="dxa"/>
            <w:shd w:val="clear" w:color="auto" w:fill="EDCDCF"/>
          </w:tcPr>
          <w:p w14:paraId="46629311" w14:textId="0668CED6" w:rsidR="00662616" w:rsidRPr="0099225F" w:rsidRDefault="00662616" w:rsidP="00662616">
            <w:pPr>
              <w:pStyle w:val="Tablecolhead"/>
              <w:rPr>
                <w:sz w:val="20"/>
              </w:rPr>
            </w:pPr>
            <w:r w:rsidRPr="0099225F">
              <w:rPr>
                <w:sz w:val="20"/>
              </w:rPr>
              <w:t>Trend</w:t>
            </w:r>
          </w:p>
        </w:tc>
      </w:tr>
      <w:tr w:rsidR="0064412C" w:rsidRPr="0099225F" w14:paraId="56861F6C" w14:textId="77777777" w:rsidTr="00360C87">
        <w:trPr>
          <w:trHeight w:val="564"/>
        </w:trPr>
        <w:tc>
          <w:tcPr>
            <w:tcW w:w="2127" w:type="dxa"/>
          </w:tcPr>
          <w:p w14:paraId="03F4538A" w14:textId="5F476170" w:rsidR="0064412C" w:rsidRPr="0099225F" w:rsidRDefault="00000000" w:rsidP="00662616">
            <w:pPr>
              <w:pStyle w:val="Tabletext"/>
              <w:rPr>
                <w:sz w:val="20"/>
              </w:rPr>
            </w:pPr>
            <w:hyperlink w:anchor="_Measure_17.1_–" w:history="1">
              <w:r w:rsidR="0064412C" w:rsidRPr="0099225F">
                <w:rPr>
                  <w:rStyle w:val="Hyperlink"/>
                  <w:sz w:val="20"/>
                </w:rPr>
                <w:t>17.1</w:t>
              </w:r>
            </w:hyperlink>
          </w:p>
        </w:tc>
        <w:tc>
          <w:tcPr>
            <w:tcW w:w="3402" w:type="dxa"/>
          </w:tcPr>
          <w:p w14:paraId="4F358769" w14:textId="77777777" w:rsidR="0064412C" w:rsidRPr="0099225F" w:rsidRDefault="0064412C" w:rsidP="00662616">
            <w:pPr>
              <w:pStyle w:val="Tabletext"/>
              <w:rPr>
                <w:sz w:val="20"/>
              </w:rPr>
            </w:pPr>
            <w:r w:rsidRPr="0099225F">
              <w:rPr>
                <w:sz w:val="20"/>
              </w:rPr>
              <w:t>Number of new enrolments in cancer intervention clinical trials</w:t>
            </w:r>
          </w:p>
        </w:tc>
        <w:tc>
          <w:tcPr>
            <w:tcW w:w="2126" w:type="dxa"/>
          </w:tcPr>
          <w:p w14:paraId="53989C69" w14:textId="2DDB7EE0" w:rsidR="0064412C" w:rsidRPr="0099225F" w:rsidRDefault="0064412C" w:rsidP="00662616">
            <w:pPr>
              <w:pStyle w:val="Tabletext"/>
              <w:rPr>
                <w:sz w:val="20"/>
              </w:rPr>
            </w:pPr>
            <w:r w:rsidRPr="0099225F">
              <w:rPr>
                <w:sz w:val="20"/>
              </w:rPr>
              <w:t xml:space="preserve">Number </w:t>
            </w:r>
          </w:p>
        </w:tc>
        <w:tc>
          <w:tcPr>
            <w:tcW w:w="2268" w:type="dxa"/>
            <w:noWrap/>
          </w:tcPr>
          <w:p w14:paraId="20B55D1C" w14:textId="6F450ECA" w:rsidR="0064412C" w:rsidRPr="0099225F" w:rsidRDefault="0064412C" w:rsidP="00662616">
            <w:pPr>
              <w:pStyle w:val="Tabletext"/>
              <w:rPr>
                <w:sz w:val="20"/>
              </w:rPr>
            </w:pPr>
            <w:r w:rsidRPr="0099225F">
              <w:rPr>
                <w:sz w:val="20"/>
              </w:rPr>
              <w:t>1,</w:t>
            </w:r>
            <w:r w:rsidR="00B753E6" w:rsidRPr="0099225F">
              <w:rPr>
                <w:sz w:val="20"/>
              </w:rPr>
              <w:t>5</w:t>
            </w:r>
            <w:r w:rsidR="006C2ECF" w:rsidRPr="0099225F">
              <w:rPr>
                <w:sz w:val="20"/>
              </w:rPr>
              <w:t>5</w:t>
            </w:r>
            <w:r w:rsidR="00B753E6" w:rsidRPr="0099225F">
              <w:rPr>
                <w:sz w:val="20"/>
              </w:rPr>
              <w:t>2</w:t>
            </w:r>
          </w:p>
          <w:p w14:paraId="68C1C367" w14:textId="2DC0F112" w:rsidR="0064412C" w:rsidRPr="0099225F" w:rsidRDefault="0064412C" w:rsidP="00662616">
            <w:pPr>
              <w:pStyle w:val="Tabletext"/>
              <w:rPr>
                <w:sz w:val="20"/>
              </w:rPr>
            </w:pPr>
            <w:r w:rsidRPr="0099225F">
              <w:rPr>
                <w:sz w:val="20"/>
              </w:rPr>
              <w:t>(201</w:t>
            </w:r>
            <w:r w:rsidR="00B753E6" w:rsidRPr="0099225F">
              <w:rPr>
                <w:sz w:val="20"/>
              </w:rPr>
              <w:t>6</w:t>
            </w:r>
            <w:r w:rsidRPr="0099225F">
              <w:rPr>
                <w:sz w:val="20"/>
              </w:rPr>
              <w:t>)</w:t>
            </w:r>
          </w:p>
        </w:tc>
        <w:tc>
          <w:tcPr>
            <w:tcW w:w="1559" w:type="dxa"/>
            <w:noWrap/>
          </w:tcPr>
          <w:p w14:paraId="71E1CEEC" w14:textId="45E607D9" w:rsidR="0064412C" w:rsidRPr="0099225F" w:rsidRDefault="006C2ECF" w:rsidP="00662616">
            <w:pPr>
              <w:pStyle w:val="Tabletext"/>
              <w:rPr>
                <w:sz w:val="20"/>
              </w:rPr>
            </w:pPr>
            <w:r w:rsidRPr="0099225F">
              <w:rPr>
                <w:sz w:val="20"/>
              </w:rPr>
              <w:t>2</w:t>
            </w:r>
            <w:r w:rsidR="0064412C" w:rsidRPr="0099225F">
              <w:rPr>
                <w:sz w:val="20"/>
              </w:rPr>
              <w:t>,</w:t>
            </w:r>
            <w:r w:rsidRPr="0099225F">
              <w:rPr>
                <w:sz w:val="20"/>
              </w:rPr>
              <w:t>044</w:t>
            </w:r>
          </w:p>
          <w:p w14:paraId="7787773F" w14:textId="2E826AF2" w:rsidR="0064412C" w:rsidRPr="0099225F" w:rsidRDefault="0064412C" w:rsidP="00662616">
            <w:pPr>
              <w:pStyle w:val="Tabletext"/>
              <w:rPr>
                <w:sz w:val="20"/>
              </w:rPr>
            </w:pPr>
            <w:r w:rsidRPr="0099225F">
              <w:rPr>
                <w:sz w:val="20"/>
              </w:rPr>
              <w:t>(20</w:t>
            </w:r>
            <w:r w:rsidR="00B753E6" w:rsidRPr="0099225F">
              <w:rPr>
                <w:sz w:val="20"/>
              </w:rPr>
              <w:t>2</w:t>
            </w:r>
            <w:r w:rsidR="006C2ECF" w:rsidRPr="0099225F">
              <w:rPr>
                <w:sz w:val="20"/>
              </w:rPr>
              <w:t>1</w:t>
            </w:r>
            <w:r w:rsidRPr="0099225F">
              <w:rPr>
                <w:sz w:val="20"/>
              </w:rPr>
              <w:t>)</w:t>
            </w:r>
          </w:p>
        </w:tc>
        <w:tc>
          <w:tcPr>
            <w:tcW w:w="1843" w:type="dxa"/>
            <w:noWrap/>
          </w:tcPr>
          <w:p w14:paraId="22F6A57F" w14:textId="77777777" w:rsidR="0064412C" w:rsidRPr="0099225F" w:rsidRDefault="0064412C" w:rsidP="00662616">
            <w:pPr>
              <w:pStyle w:val="Tabletext"/>
              <w:rPr>
                <w:sz w:val="20"/>
              </w:rPr>
            </w:pPr>
            <w:r w:rsidRPr="0099225F">
              <w:rPr>
                <w:sz w:val="20"/>
              </w:rPr>
              <w:t>N/S</w:t>
            </w:r>
          </w:p>
        </w:tc>
        <w:tc>
          <w:tcPr>
            <w:tcW w:w="1134" w:type="dxa"/>
          </w:tcPr>
          <w:p w14:paraId="6B37CB7B" w14:textId="1FD1C1CD" w:rsidR="0064412C" w:rsidRPr="0099225F" w:rsidRDefault="00B753E6" w:rsidP="00662616">
            <w:pPr>
              <w:pStyle w:val="Tabletext"/>
              <w:rPr>
                <w:sz w:val="20"/>
              </w:rPr>
            </w:pPr>
            <w:r w:rsidRPr="0099225F">
              <w:rPr>
                <w:sz w:val="20"/>
              </w:rPr>
              <w:t>▲</w:t>
            </w:r>
            <w:r w:rsidRPr="0099225F">
              <w:rPr>
                <w:sz w:val="20"/>
              </w:rPr>
              <w:br/>
              <w:t>Upward</w:t>
            </w:r>
          </w:p>
        </w:tc>
      </w:tr>
      <w:tr w:rsidR="0064412C" w:rsidRPr="0099225F" w14:paraId="0B236E8F" w14:textId="77777777" w:rsidTr="00360C87">
        <w:trPr>
          <w:trHeight w:val="564"/>
        </w:trPr>
        <w:tc>
          <w:tcPr>
            <w:tcW w:w="2127" w:type="dxa"/>
            <w:hideMark/>
          </w:tcPr>
          <w:p w14:paraId="7270683E" w14:textId="5C1C22B8" w:rsidR="0064412C" w:rsidRPr="0099225F" w:rsidRDefault="00000000" w:rsidP="00662616">
            <w:pPr>
              <w:pStyle w:val="Tabletext"/>
              <w:rPr>
                <w:sz w:val="20"/>
              </w:rPr>
            </w:pPr>
            <w:hyperlink w:anchor="_Measure_17.2_–" w:history="1">
              <w:r w:rsidR="0064412C" w:rsidRPr="0099225F">
                <w:rPr>
                  <w:rStyle w:val="Hyperlink"/>
                  <w:sz w:val="20"/>
                </w:rPr>
                <w:t>17.2</w:t>
              </w:r>
            </w:hyperlink>
          </w:p>
        </w:tc>
        <w:tc>
          <w:tcPr>
            <w:tcW w:w="3402" w:type="dxa"/>
            <w:hideMark/>
          </w:tcPr>
          <w:p w14:paraId="5D5C15F2" w14:textId="77777777" w:rsidR="0064412C" w:rsidRPr="0099225F" w:rsidRDefault="0064412C" w:rsidP="00662616">
            <w:pPr>
              <w:pStyle w:val="Tabletext"/>
              <w:rPr>
                <w:sz w:val="20"/>
              </w:rPr>
            </w:pPr>
            <w:r w:rsidRPr="0099225F">
              <w:rPr>
                <w:sz w:val="20"/>
              </w:rPr>
              <w:t>Number of recruiting cancer intervention clinical trials</w:t>
            </w:r>
          </w:p>
        </w:tc>
        <w:tc>
          <w:tcPr>
            <w:tcW w:w="2126" w:type="dxa"/>
          </w:tcPr>
          <w:p w14:paraId="30C2D5D5" w14:textId="2A317500" w:rsidR="0064412C" w:rsidRPr="0099225F" w:rsidRDefault="0064412C" w:rsidP="00662616">
            <w:pPr>
              <w:pStyle w:val="Tabletext"/>
              <w:rPr>
                <w:sz w:val="20"/>
              </w:rPr>
            </w:pPr>
            <w:r w:rsidRPr="0099225F">
              <w:rPr>
                <w:sz w:val="20"/>
              </w:rPr>
              <w:t xml:space="preserve">Number </w:t>
            </w:r>
          </w:p>
        </w:tc>
        <w:tc>
          <w:tcPr>
            <w:tcW w:w="2268" w:type="dxa"/>
            <w:noWrap/>
          </w:tcPr>
          <w:p w14:paraId="3D921BF4" w14:textId="3738C4EC" w:rsidR="0064412C" w:rsidRPr="0099225F" w:rsidRDefault="00B753E6" w:rsidP="00662616">
            <w:pPr>
              <w:pStyle w:val="Tabletext"/>
              <w:rPr>
                <w:sz w:val="20"/>
              </w:rPr>
            </w:pPr>
            <w:r w:rsidRPr="0099225F">
              <w:rPr>
                <w:sz w:val="20"/>
              </w:rPr>
              <w:t>410</w:t>
            </w:r>
            <w:r w:rsidR="0064412C" w:rsidRPr="0099225F">
              <w:rPr>
                <w:sz w:val="20"/>
              </w:rPr>
              <w:t xml:space="preserve"> </w:t>
            </w:r>
          </w:p>
          <w:p w14:paraId="294735BC" w14:textId="45F4B6AF" w:rsidR="0064412C" w:rsidRPr="0099225F" w:rsidRDefault="0064412C" w:rsidP="00662616">
            <w:pPr>
              <w:pStyle w:val="Tabletext"/>
              <w:rPr>
                <w:sz w:val="20"/>
              </w:rPr>
            </w:pPr>
            <w:r w:rsidRPr="0099225F">
              <w:rPr>
                <w:sz w:val="20"/>
              </w:rPr>
              <w:t>(201</w:t>
            </w:r>
            <w:r w:rsidR="00B753E6" w:rsidRPr="0099225F">
              <w:rPr>
                <w:sz w:val="20"/>
              </w:rPr>
              <w:t>6</w:t>
            </w:r>
            <w:r w:rsidRPr="0099225F">
              <w:rPr>
                <w:sz w:val="20"/>
              </w:rPr>
              <w:t>)</w:t>
            </w:r>
          </w:p>
        </w:tc>
        <w:tc>
          <w:tcPr>
            <w:tcW w:w="1559" w:type="dxa"/>
            <w:noWrap/>
            <w:hideMark/>
          </w:tcPr>
          <w:p w14:paraId="2BE53BD3" w14:textId="12C04EF9" w:rsidR="0064412C" w:rsidRPr="0099225F" w:rsidRDefault="006C2ECF" w:rsidP="00662616">
            <w:pPr>
              <w:pStyle w:val="Tabletext"/>
              <w:rPr>
                <w:sz w:val="20"/>
              </w:rPr>
            </w:pPr>
            <w:r w:rsidRPr="0099225F">
              <w:rPr>
                <w:sz w:val="20"/>
              </w:rPr>
              <w:t>612</w:t>
            </w:r>
          </w:p>
          <w:p w14:paraId="1434CEEB" w14:textId="21AA5C32" w:rsidR="0064412C" w:rsidRPr="0099225F" w:rsidRDefault="0064412C" w:rsidP="00662616">
            <w:pPr>
              <w:pStyle w:val="Tabletext"/>
              <w:rPr>
                <w:sz w:val="20"/>
              </w:rPr>
            </w:pPr>
            <w:r w:rsidRPr="0099225F">
              <w:rPr>
                <w:sz w:val="20"/>
              </w:rPr>
              <w:t>(20</w:t>
            </w:r>
            <w:r w:rsidR="00B753E6" w:rsidRPr="0099225F">
              <w:rPr>
                <w:sz w:val="20"/>
              </w:rPr>
              <w:t>2</w:t>
            </w:r>
            <w:r w:rsidR="006C2ECF" w:rsidRPr="0099225F">
              <w:rPr>
                <w:sz w:val="20"/>
              </w:rPr>
              <w:t>1</w:t>
            </w:r>
            <w:r w:rsidRPr="0099225F">
              <w:rPr>
                <w:sz w:val="20"/>
              </w:rPr>
              <w:t>)</w:t>
            </w:r>
          </w:p>
        </w:tc>
        <w:tc>
          <w:tcPr>
            <w:tcW w:w="1843" w:type="dxa"/>
            <w:noWrap/>
            <w:hideMark/>
          </w:tcPr>
          <w:p w14:paraId="48F2C8DD" w14:textId="77777777" w:rsidR="0064412C" w:rsidRPr="0099225F" w:rsidRDefault="0064412C" w:rsidP="00662616">
            <w:pPr>
              <w:pStyle w:val="Tabletext"/>
              <w:rPr>
                <w:sz w:val="20"/>
              </w:rPr>
            </w:pPr>
            <w:r w:rsidRPr="0099225F">
              <w:rPr>
                <w:sz w:val="20"/>
              </w:rPr>
              <w:t>N/S</w:t>
            </w:r>
          </w:p>
        </w:tc>
        <w:tc>
          <w:tcPr>
            <w:tcW w:w="1134" w:type="dxa"/>
            <w:hideMark/>
          </w:tcPr>
          <w:p w14:paraId="2510A8AB" w14:textId="76267467" w:rsidR="0064412C" w:rsidRPr="0099225F" w:rsidRDefault="0034479E" w:rsidP="00662616">
            <w:pPr>
              <w:pStyle w:val="Tabletext"/>
              <w:rPr>
                <w:sz w:val="20"/>
              </w:rPr>
            </w:pPr>
            <w:r w:rsidRPr="0099225F">
              <w:rPr>
                <w:sz w:val="20"/>
              </w:rPr>
              <w:t>▲</w:t>
            </w:r>
            <w:r w:rsidRPr="0099225F">
              <w:rPr>
                <w:sz w:val="20"/>
              </w:rPr>
              <w:br/>
              <w:t>Upward</w:t>
            </w:r>
          </w:p>
        </w:tc>
      </w:tr>
      <w:tr w:rsidR="0064412C" w:rsidRPr="0099225F" w14:paraId="78C1CE4C" w14:textId="77777777" w:rsidTr="00360C87">
        <w:trPr>
          <w:trHeight w:val="564"/>
        </w:trPr>
        <w:tc>
          <w:tcPr>
            <w:tcW w:w="2127" w:type="dxa"/>
            <w:hideMark/>
          </w:tcPr>
          <w:p w14:paraId="69550D88" w14:textId="5BEF803E" w:rsidR="0064412C" w:rsidRPr="0099225F" w:rsidRDefault="00000000" w:rsidP="00662616">
            <w:pPr>
              <w:pStyle w:val="Tabletext"/>
              <w:rPr>
                <w:sz w:val="20"/>
              </w:rPr>
            </w:pPr>
            <w:hyperlink w:anchor="_Measure_17.3_–" w:history="1">
              <w:r w:rsidR="0064412C" w:rsidRPr="0099225F">
                <w:rPr>
                  <w:rStyle w:val="Hyperlink"/>
                  <w:sz w:val="20"/>
                </w:rPr>
                <w:t>17.3</w:t>
              </w:r>
            </w:hyperlink>
          </w:p>
        </w:tc>
        <w:tc>
          <w:tcPr>
            <w:tcW w:w="3402" w:type="dxa"/>
          </w:tcPr>
          <w:p w14:paraId="7EF51356" w14:textId="77777777" w:rsidR="0064412C" w:rsidRPr="0099225F" w:rsidRDefault="0064412C" w:rsidP="00662616">
            <w:pPr>
              <w:pStyle w:val="Tabletext"/>
              <w:rPr>
                <w:sz w:val="20"/>
              </w:rPr>
            </w:pPr>
            <w:r w:rsidRPr="0099225F">
              <w:rPr>
                <w:sz w:val="20"/>
              </w:rPr>
              <w:t>Number of human research ethics committee approved cancer-related studies</w:t>
            </w:r>
          </w:p>
        </w:tc>
        <w:tc>
          <w:tcPr>
            <w:tcW w:w="2126" w:type="dxa"/>
          </w:tcPr>
          <w:p w14:paraId="1AF3D0E4" w14:textId="66357AD9" w:rsidR="0064412C" w:rsidRPr="0099225F" w:rsidRDefault="0064412C" w:rsidP="00662616">
            <w:pPr>
              <w:pStyle w:val="Tabletext"/>
              <w:rPr>
                <w:sz w:val="20"/>
              </w:rPr>
            </w:pPr>
            <w:r w:rsidRPr="0099225F">
              <w:rPr>
                <w:sz w:val="20"/>
              </w:rPr>
              <w:t xml:space="preserve">Number </w:t>
            </w:r>
          </w:p>
        </w:tc>
        <w:tc>
          <w:tcPr>
            <w:tcW w:w="2268" w:type="dxa"/>
            <w:noWrap/>
          </w:tcPr>
          <w:p w14:paraId="16A17E0B" w14:textId="77777777" w:rsidR="0064412C" w:rsidRPr="0099225F" w:rsidRDefault="0064412C" w:rsidP="00662616">
            <w:pPr>
              <w:pStyle w:val="Tabletext"/>
              <w:rPr>
                <w:sz w:val="20"/>
              </w:rPr>
            </w:pPr>
            <w:r w:rsidRPr="0099225F">
              <w:rPr>
                <w:sz w:val="20"/>
              </w:rPr>
              <w:t>89</w:t>
            </w:r>
          </w:p>
          <w:p w14:paraId="4C6D1CD9" w14:textId="77777777" w:rsidR="0064412C" w:rsidRPr="0099225F" w:rsidRDefault="0064412C" w:rsidP="00662616">
            <w:pPr>
              <w:pStyle w:val="Tabletext"/>
              <w:rPr>
                <w:sz w:val="20"/>
              </w:rPr>
            </w:pPr>
            <w:r w:rsidRPr="0099225F">
              <w:rPr>
                <w:sz w:val="20"/>
              </w:rPr>
              <w:t>(2014)</w:t>
            </w:r>
          </w:p>
        </w:tc>
        <w:tc>
          <w:tcPr>
            <w:tcW w:w="1559" w:type="dxa"/>
            <w:noWrap/>
          </w:tcPr>
          <w:p w14:paraId="10F89B29" w14:textId="7B065C8C" w:rsidR="0064412C" w:rsidRPr="0099225F" w:rsidRDefault="00DC6C5C" w:rsidP="00662616">
            <w:pPr>
              <w:pStyle w:val="Tabletext"/>
              <w:rPr>
                <w:sz w:val="20"/>
              </w:rPr>
            </w:pPr>
            <w:r w:rsidRPr="0099225F">
              <w:rPr>
                <w:sz w:val="20"/>
              </w:rPr>
              <w:t>26</w:t>
            </w:r>
            <w:r w:rsidR="00127285" w:rsidRPr="0099225F">
              <w:rPr>
                <w:sz w:val="20"/>
              </w:rPr>
              <w:t>8</w:t>
            </w:r>
          </w:p>
          <w:p w14:paraId="2C651DB5" w14:textId="7065790A" w:rsidR="0064412C" w:rsidRPr="0099225F" w:rsidRDefault="0064412C" w:rsidP="00662616">
            <w:pPr>
              <w:pStyle w:val="Tabletext"/>
              <w:rPr>
                <w:sz w:val="20"/>
              </w:rPr>
            </w:pPr>
            <w:r w:rsidRPr="0099225F">
              <w:rPr>
                <w:sz w:val="20"/>
              </w:rPr>
              <w:t>(20</w:t>
            </w:r>
            <w:r w:rsidR="00127285" w:rsidRPr="0099225F">
              <w:rPr>
                <w:sz w:val="20"/>
              </w:rPr>
              <w:t>2</w:t>
            </w:r>
            <w:r w:rsidR="00DC6C5C" w:rsidRPr="0099225F">
              <w:rPr>
                <w:sz w:val="20"/>
              </w:rPr>
              <w:t>2</w:t>
            </w:r>
            <w:r w:rsidRPr="0099225F">
              <w:rPr>
                <w:sz w:val="20"/>
              </w:rPr>
              <w:t>)</w:t>
            </w:r>
          </w:p>
        </w:tc>
        <w:tc>
          <w:tcPr>
            <w:tcW w:w="1843" w:type="dxa"/>
            <w:noWrap/>
          </w:tcPr>
          <w:p w14:paraId="3E3169DE" w14:textId="77777777" w:rsidR="0064412C" w:rsidRPr="0099225F" w:rsidRDefault="0064412C" w:rsidP="00662616">
            <w:pPr>
              <w:pStyle w:val="Tabletext"/>
              <w:rPr>
                <w:sz w:val="20"/>
              </w:rPr>
            </w:pPr>
            <w:r w:rsidRPr="0099225F">
              <w:rPr>
                <w:sz w:val="20"/>
              </w:rPr>
              <w:t>N/S</w:t>
            </w:r>
          </w:p>
        </w:tc>
        <w:tc>
          <w:tcPr>
            <w:tcW w:w="1134" w:type="dxa"/>
            <w:hideMark/>
          </w:tcPr>
          <w:p w14:paraId="08B73D92" w14:textId="5FFB8F01" w:rsidR="0064412C" w:rsidRPr="0099225F" w:rsidRDefault="0034479E" w:rsidP="00662616">
            <w:pPr>
              <w:pStyle w:val="Tabletext"/>
              <w:rPr>
                <w:sz w:val="20"/>
              </w:rPr>
            </w:pPr>
            <w:r w:rsidRPr="0099225F">
              <w:rPr>
                <w:sz w:val="20"/>
              </w:rPr>
              <w:t>▲</w:t>
            </w:r>
            <w:r w:rsidRPr="0099225F">
              <w:rPr>
                <w:sz w:val="20"/>
              </w:rPr>
              <w:br/>
              <w:t>Upward</w:t>
            </w:r>
          </w:p>
        </w:tc>
      </w:tr>
      <w:tr w:rsidR="0064412C" w:rsidRPr="0099225F" w14:paraId="2FD449D3" w14:textId="77777777" w:rsidTr="00360C87">
        <w:trPr>
          <w:trHeight w:val="564"/>
        </w:trPr>
        <w:tc>
          <w:tcPr>
            <w:tcW w:w="2127" w:type="dxa"/>
            <w:hideMark/>
          </w:tcPr>
          <w:p w14:paraId="3E1425A8" w14:textId="3470DE07" w:rsidR="0064412C" w:rsidRPr="0099225F" w:rsidRDefault="00000000" w:rsidP="00662616">
            <w:pPr>
              <w:pStyle w:val="Tabletext"/>
              <w:rPr>
                <w:sz w:val="20"/>
              </w:rPr>
            </w:pPr>
            <w:hyperlink w:anchor="_Appendix_1:_Measures" w:history="1">
              <w:r w:rsidR="0064412C" w:rsidRPr="0099225F">
                <w:rPr>
                  <w:rStyle w:val="Hyperlink"/>
                  <w:sz w:val="20"/>
                </w:rPr>
                <w:t>17.4</w:t>
              </w:r>
            </w:hyperlink>
          </w:p>
        </w:tc>
        <w:tc>
          <w:tcPr>
            <w:tcW w:w="3402" w:type="dxa"/>
          </w:tcPr>
          <w:p w14:paraId="25F5752D" w14:textId="6B310794" w:rsidR="0064412C" w:rsidRPr="0099225F" w:rsidRDefault="0064412C" w:rsidP="00662616">
            <w:pPr>
              <w:pStyle w:val="Tabletext"/>
              <w:rPr>
                <w:sz w:val="20"/>
              </w:rPr>
            </w:pPr>
            <w:r w:rsidRPr="0099225F">
              <w:rPr>
                <w:sz w:val="20"/>
              </w:rPr>
              <w:t>Ratio of eligible patients who receive new SACT medications within 12 months of listing on the PBS to cancer incidence</w:t>
            </w:r>
          </w:p>
        </w:tc>
        <w:tc>
          <w:tcPr>
            <w:tcW w:w="2126" w:type="dxa"/>
          </w:tcPr>
          <w:p w14:paraId="6F3B0959" w14:textId="0D95D8C5" w:rsidR="0064412C" w:rsidRPr="008A23B2" w:rsidRDefault="00DB618C" w:rsidP="00662616">
            <w:pPr>
              <w:pStyle w:val="Tabletext"/>
              <w:rPr>
                <w:sz w:val="20"/>
              </w:rPr>
            </w:pPr>
            <w:r w:rsidRPr="008A23B2">
              <w:rPr>
                <w:color w:val="13666B"/>
                <w:sz w:val="20"/>
              </w:rPr>
              <w:t>Status to be determined</w:t>
            </w:r>
          </w:p>
        </w:tc>
        <w:tc>
          <w:tcPr>
            <w:tcW w:w="2268" w:type="dxa"/>
          </w:tcPr>
          <w:p w14:paraId="285C08C8" w14:textId="49F9CD22" w:rsidR="0064412C" w:rsidRPr="008A23B2" w:rsidRDefault="00DB618C" w:rsidP="00662616">
            <w:pPr>
              <w:pStyle w:val="Tabletext"/>
              <w:rPr>
                <w:color w:val="13666B"/>
                <w:sz w:val="20"/>
              </w:rPr>
            </w:pPr>
            <w:r w:rsidRPr="008A23B2">
              <w:rPr>
                <w:color w:val="13666B"/>
                <w:sz w:val="20"/>
              </w:rPr>
              <w:t>Status to be determined</w:t>
            </w:r>
          </w:p>
        </w:tc>
        <w:tc>
          <w:tcPr>
            <w:tcW w:w="1559" w:type="dxa"/>
          </w:tcPr>
          <w:p w14:paraId="258969E7" w14:textId="33FC2202" w:rsidR="0064412C" w:rsidRPr="008A23B2" w:rsidRDefault="00DB618C" w:rsidP="00662616">
            <w:pPr>
              <w:pStyle w:val="Tabletext"/>
              <w:rPr>
                <w:color w:val="13666B"/>
                <w:sz w:val="20"/>
              </w:rPr>
            </w:pPr>
            <w:r w:rsidRPr="008A23B2">
              <w:rPr>
                <w:color w:val="13666B"/>
                <w:sz w:val="20"/>
              </w:rPr>
              <w:t>Status to be determined</w:t>
            </w:r>
          </w:p>
        </w:tc>
        <w:tc>
          <w:tcPr>
            <w:tcW w:w="1843" w:type="dxa"/>
            <w:noWrap/>
            <w:hideMark/>
          </w:tcPr>
          <w:p w14:paraId="23B083A8" w14:textId="77777777" w:rsidR="0064412C" w:rsidRPr="0099225F" w:rsidRDefault="0064412C" w:rsidP="00662616">
            <w:pPr>
              <w:pStyle w:val="Tabletext"/>
              <w:rPr>
                <w:sz w:val="20"/>
              </w:rPr>
            </w:pPr>
            <w:r w:rsidRPr="0099225F">
              <w:rPr>
                <w:sz w:val="20"/>
              </w:rPr>
              <w:t>N/S</w:t>
            </w:r>
          </w:p>
        </w:tc>
        <w:tc>
          <w:tcPr>
            <w:tcW w:w="1134" w:type="dxa"/>
            <w:hideMark/>
          </w:tcPr>
          <w:p w14:paraId="45B79B79" w14:textId="77777777" w:rsidR="0064412C" w:rsidRPr="0099225F" w:rsidRDefault="0064412C" w:rsidP="00662616">
            <w:pPr>
              <w:pStyle w:val="Tabletext"/>
              <w:rPr>
                <w:sz w:val="20"/>
              </w:rPr>
            </w:pPr>
            <w:r w:rsidRPr="0099225F">
              <w:rPr>
                <w:sz w:val="20"/>
              </w:rPr>
              <w:t>N/A</w:t>
            </w:r>
          </w:p>
        </w:tc>
      </w:tr>
      <w:tr w:rsidR="0064412C" w:rsidRPr="0099225F" w14:paraId="596EC85E" w14:textId="77777777" w:rsidTr="00360C87">
        <w:trPr>
          <w:trHeight w:val="564"/>
        </w:trPr>
        <w:tc>
          <w:tcPr>
            <w:tcW w:w="2127" w:type="dxa"/>
            <w:hideMark/>
          </w:tcPr>
          <w:p w14:paraId="7E20E775" w14:textId="538274BD" w:rsidR="0064412C" w:rsidRPr="0099225F" w:rsidRDefault="00000000" w:rsidP="00662616">
            <w:pPr>
              <w:pStyle w:val="Tabletext"/>
              <w:rPr>
                <w:sz w:val="20"/>
              </w:rPr>
            </w:pPr>
            <w:hyperlink w:anchor="_Measure_17.5_–" w:history="1">
              <w:r w:rsidR="0064412C" w:rsidRPr="0099225F">
                <w:rPr>
                  <w:rStyle w:val="Hyperlink"/>
                  <w:sz w:val="20"/>
                </w:rPr>
                <w:t>17.5</w:t>
              </w:r>
            </w:hyperlink>
          </w:p>
        </w:tc>
        <w:tc>
          <w:tcPr>
            <w:tcW w:w="3402" w:type="dxa"/>
          </w:tcPr>
          <w:p w14:paraId="4F5C8277" w14:textId="26FCE89B" w:rsidR="0064412C" w:rsidRPr="0099225F" w:rsidRDefault="0064412C" w:rsidP="00662616">
            <w:pPr>
              <w:pStyle w:val="Tabletext"/>
              <w:rPr>
                <w:sz w:val="20"/>
              </w:rPr>
            </w:pPr>
            <w:r w:rsidRPr="0099225F">
              <w:rPr>
                <w:sz w:val="20"/>
              </w:rPr>
              <w:t xml:space="preserve">Quit ratio of rate of sustained </w:t>
            </w:r>
            <w:r w:rsidR="00C37131" w:rsidRPr="0099225F">
              <w:rPr>
                <w:sz w:val="20"/>
              </w:rPr>
              <w:t>quitting</w:t>
            </w:r>
            <w:r w:rsidRPr="0099225F">
              <w:rPr>
                <w:sz w:val="20"/>
              </w:rPr>
              <w:t xml:space="preserve"> to rate of </w:t>
            </w:r>
            <w:r w:rsidR="00C37131" w:rsidRPr="0099225F">
              <w:rPr>
                <w:sz w:val="20"/>
              </w:rPr>
              <w:t>people who had ever smoked</w:t>
            </w:r>
          </w:p>
        </w:tc>
        <w:tc>
          <w:tcPr>
            <w:tcW w:w="2126" w:type="dxa"/>
          </w:tcPr>
          <w:p w14:paraId="2B05FEF3" w14:textId="77777777" w:rsidR="0064412C" w:rsidRPr="0099225F" w:rsidRDefault="0064412C" w:rsidP="00662616">
            <w:pPr>
              <w:pStyle w:val="Tabletext"/>
              <w:rPr>
                <w:sz w:val="20"/>
              </w:rPr>
            </w:pPr>
            <w:r w:rsidRPr="0099225F">
              <w:rPr>
                <w:sz w:val="20"/>
              </w:rPr>
              <w:t>Ratio</w:t>
            </w:r>
          </w:p>
        </w:tc>
        <w:tc>
          <w:tcPr>
            <w:tcW w:w="2268" w:type="dxa"/>
            <w:noWrap/>
          </w:tcPr>
          <w:p w14:paraId="20128373" w14:textId="77777777" w:rsidR="0064412C" w:rsidRPr="0099225F" w:rsidRDefault="0064412C" w:rsidP="00662616">
            <w:pPr>
              <w:pStyle w:val="Tabletext"/>
              <w:rPr>
                <w:sz w:val="20"/>
              </w:rPr>
            </w:pPr>
            <w:r w:rsidRPr="0099225F">
              <w:rPr>
                <w:sz w:val="20"/>
              </w:rPr>
              <w:t>55.4</w:t>
            </w:r>
          </w:p>
          <w:p w14:paraId="01499E16" w14:textId="77777777" w:rsidR="0064412C" w:rsidRPr="0099225F" w:rsidRDefault="0064412C" w:rsidP="00662616">
            <w:pPr>
              <w:pStyle w:val="Tabletext"/>
              <w:rPr>
                <w:sz w:val="20"/>
              </w:rPr>
            </w:pPr>
            <w:r w:rsidRPr="0099225F">
              <w:rPr>
                <w:sz w:val="20"/>
              </w:rPr>
              <w:t>(2015)</w:t>
            </w:r>
          </w:p>
        </w:tc>
        <w:tc>
          <w:tcPr>
            <w:tcW w:w="1559" w:type="dxa"/>
            <w:noWrap/>
          </w:tcPr>
          <w:p w14:paraId="0042542A" w14:textId="079A1738" w:rsidR="0064412C" w:rsidRPr="0099225F" w:rsidRDefault="005A7CBF" w:rsidP="00662616">
            <w:pPr>
              <w:pStyle w:val="Tabletext"/>
              <w:rPr>
                <w:sz w:val="20"/>
              </w:rPr>
            </w:pPr>
            <w:r w:rsidRPr="0099225F">
              <w:rPr>
                <w:sz w:val="20"/>
              </w:rPr>
              <w:t>61</w:t>
            </w:r>
            <w:r w:rsidR="0064412C" w:rsidRPr="0099225F">
              <w:rPr>
                <w:sz w:val="20"/>
              </w:rPr>
              <w:t>.</w:t>
            </w:r>
            <w:r w:rsidRPr="0099225F">
              <w:rPr>
                <w:sz w:val="20"/>
              </w:rPr>
              <w:t>6</w:t>
            </w:r>
          </w:p>
          <w:p w14:paraId="0BA37C25" w14:textId="2B6DE54C" w:rsidR="0064412C" w:rsidRPr="0099225F" w:rsidRDefault="0064412C" w:rsidP="00662616">
            <w:pPr>
              <w:pStyle w:val="Tabletext"/>
              <w:rPr>
                <w:sz w:val="20"/>
              </w:rPr>
            </w:pPr>
            <w:r w:rsidRPr="0099225F">
              <w:rPr>
                <w:sz w:val="20"/>
              </w:rPr>
              <w:t>(20</w:t>
            </w:r>
            <w:r w:rsidR="005A7CBF" w:rsidRPr="0099225F">
              <w:rPr>
                <w:sz w:val="20"/>
              </w:rPr>
              <w:t>22</w:t>
            </w:r>
            <w:r w:rsidRPr="0099225F">
              <w:rPr>
                <w:sz w:val="20"/>
              </w:rPr>
              <w:t>)</w:t>
            </w:r>
          </w:p>
        </w:tc>
        <w:tc>
          <w:tcPr>
            <w:tcW w:w="1843" w:type="dxa"/>
            <w:noWrap/>
          </w:tcPr>
          <w:p w14:paraId="19DE4EDA" w14:textId="77777777" w:rsidR="0064412C" w:rsidRPr="0099225F" w:rsidRDefault="0064412C" w:rsidP="00662616">
            <w:pPr>
              <w:pStyle w:val="Tabletext"/>
              <w:rPr>
                <w:sz w:val="20"/>
              </w:rPr>
            </w:pPr>
            <w:r w:rsidRPr="0099225F">
              <w:rPr>
                <w:sz w:val="20"/>
              </w:rPr>
              <w:t>N/S</w:t>
            </w:r>
          </w:p>
        </w:tc>
        <w:tc>
          <w:tcPr>
            <w:tcW w:w="1134" w:type="dxa"/>
            <w:hideMark/>
          </w:tcPr>
          <w:p w14:paraId="0083C024" w14:textId="61A282AE" w:rsidR="0064412C" w:rsidRPr="0099225F" w:rsidRDefault="0034479E" w:rsidP="00662616">
            <w:pPr>
              <w:pStyle w:val="Tabletext"/>
              <w:rPr>
                <w:sz w:val="20"/>
              </w:rPr>
            </w:pPr>
            <w:r w:rsidRPr="0099225F">
              <w:rPr>
                <w:sz w:val="20"/>
              </w:rPr>
              <w:t>▲</w:t>
            </w:r>
            <w:r w:rsidRPr="0099225F">
              <w:rPr>
                <w:sz w:val="20"/>
              </w:rPr>
              <w:br/>
              <w:t>Upward</w:t>
            </w:r>
          </w:p>
        </w:tc>
      </w:tr>
    </w:tbl>
    <w:p w14:paraId="0A09AD32" w14:textId="77777777" w:rsidR="00390CE7" w:rsidRDefault="00390CE7" w:rsidP="00E87AAA">
      <w:pPr>
        <w:pStyle w:val="Body"/>
        <w:sectPr w:rsidR="00390CE7" w:rsidSect="009302EB">
          <w:pgSz w:w="16838" w:h="11906" w:orient="landscape"/>
          <w:pgMar w:top="1411" w:right="1310" w:bottom="1138" w:left="1310" w:header="454" w:footer="510" w:gutter="0"/>
          <w:cols w:space="720"/>
          <w:docGrid w:linePitch="360"/>
        </w:sectPr>
      </w:pPr>
    </w:p>
    <w:p w14:paraId="30461D73" w14:textId="55FB7964" w:rsidR="00390CE7" w:rsidRDefault="00390CE7" w:rsidP="00847D0B">
      <w:pPr>
        <w:pStyle w:val="Heading1"/>
      </w:pPr>
      <w:bookmarkStart w:id="47" w:name="_Toc19007979"/>
      <w:bookmarkStart w:id="48" w:name="_Toc140843412"/>
      <w:r w:rsidRPr="005F0940">
        <w:lastRenderedPageBreak/>
        <w:t xml:space="preserve">More about the </w:t>
      </w:r>
      <w:r w:rsidR="00175D1C" w:rsidRPr="005F0940">
        <w:t xml:space="preserve">results of </w:t>
      </w:r>
      <w:r w:rsidR="00E6176A" w:rsidRPr="005F0940">
        <w:t xml:space="preserve">the </w:t>
      </w:r>
      <w:r w:rsidRPr="005F0940">
        <w:t>measures</w:t>
      </w:r>
      <w:bookmarkEnd w:id="47"/>
      <w:bookmarkEnd w:id="48"/>
    </w:p>
    <w:p w14:paraId="3285C41D" w14:textId="25727E2C" w:rsidR="00BD19A0" w:rsidRPr="00E81955" w:rsidRDefault="00BD19A0" w:rsidP="006053E7">
      <w:pPr>
        <w:pStyle w:val="Heading2"/>
        <w:rPr>
          <w:color w:val="AF272F"/>
        </w:rPr>
      </w:pPr>
      <w:bookmarkStart w:id="49" w:name="_Toc19007980"/>
      <w:bookmarkStart w:id="50" w:name="_Toc140843413"/>
      <w:r w:rsidRPr="00E81955">
        <w:rPr>
          <w:color w:val="AF272F"/>
        </w:rPr>
        <w:t>Understanding the data</w:t>
      </w:r>
      <w:bookmarkEnd w:id="49"/>
      <w:bookmarkEnd w:id="50"/>
    </w:p>
    <w:p w14:paraId="50C14C4C" w14:textId="77777777" w:rsidR="00BD19A0" w:rsidRPr="00BD19A0" w:rsidRDefault="00BD19A0" w:rsidP="00A451D4">
      <w:pPr>
        <w:pStyle w:val="Heading3"/>
      </w:pPr>
      <w:bookmarkStart w:id="51" w:name="_Toc19007981"/>
      <w:r w:rsidRPr="00BD19A0">
        <w:t>Interpreting survey data</w:t>
      </w:r>
      <w:bookmarkEnd w:id="51"/>
    </w:p>
    <w:p w14:paraId="2135F48F" w14:textId="7D24C929" w:rsidR="00BD19A0" w:rsidRPr="0099225F" w:rsidRDefault="00BD19A0" w:rsidP="00E87AAA">
      <w:pPr>
        <w:pStyle w:val="Body"/>
        <w:rPr>
          <w:sz w:val="20"/>
        </w:rPr>
      </w:pPr>
      <w:r w:rsidRPr="0099225F">
        <w:rPr>
          <w:rFonts w:cs="Arial"/>
          <w:color w:val="000000"/>
          <w:sz w:val="20"/>
        </w:rPr>
        <w:t>Surveys generally involve systematic</w:t>
      </w:r>
      <w:r w:rsidR="00972814" w:rsidRPr="0099225F">
        <w:rPr>
          <w:rFonts w:cs="Arial"/>
          <w:color w:val="000000"/>
          <w:sz w:val="20"/>
        </w:rPr>
        <w:t>ally</w:t>
      </w:r>
      <w:r w:rsidRPr="0099225F">
        <w:rPr>
          <w:rFonts w:cs="Arial"/>
          <w:color w:val="000000"/>
          <w:sz w:val="20"/>
        </w:rPr>
        <w:t xml:space="preserve"> gathering information from a representative sample of the</w:t>
      </w:r>
      <w:r w:rsidR="00A14570" w:rsidRPr="0099225F">
        <w:rPr>
          <w:rFonts w:cs="Arial"/>
          <w:color w:val="000000"/>
          <w:sz w:val="20"/>
        </w:rPr>
        <w:t xml:space="preserve"> </w:t>
      </w:r>
      <w:r w:rsidRPr="0099225F">
        <w:rPr>
          <w:sz w:val="20"/>
        </w:rPr>
        <w:t>population. If the sample selected is a random one, the findings of the survey are generalisable to the</w:t>
      </w:r>
      <w:r w:rsidR="00A14570" w:rsidRPr="0099225F">
        <w:rPr>
          <w:sz w:val="20"/>
        </w:rPr>
        <w:t xml:space="preserve"> </w:t>
      </w:r>
      <w:r w:rsidRPr="0099225F">
        <w:rPr>
          <w:sz w:val="20"/>
        </w:rPr>
        <w:t>population. Confidence intervals are used to reflect the precision of the population estimates.</w:t>
      </w:r>
      <w:r w:rsidR="00A14570" w:rsidRPr="0099225F">
        <w:rPr>
          <w:sz w:val="20"/>
        </w:rPr>
        <w:t xml:space="preserve"> </w:t>
      </w:r>
      <w:r w:rsidRPr="0099225F">
        <w:rPr>
          <w:sz w:val="20"/>
        </w:rPr>
        <w:t>A confidence interval is a range of values within which the ‘true’ score (had every member of the</w:t>
      </w:r>
      <w:r w:rsidR="00A14570" w:rsidRPr="0099225F">
        <w:rPr>
          <w:sz w:val="20"/>
        </w:rPr>
        <w:t xml:space="preserve"> </w:t>
      </w:r>
      <w:r w:rsidRPr="0099225F">
        <w:rPr>
          <w:sz w:val="20"/>
        </w:rPr>
        <w:t>population been surveyed) is expected to lie. By convention, confidence intervals are reported at the 95</w:t>
      </w:r>
      <w:r w:rsidR="0054537F">
        <w:rPr>
          <w:sz w:val="20"/>
        </w:rPr>
        <w:t>%</w:t>
      </w:r>
      <w:r w:rsidRPr="0099225F">
        <w:rPr>
          <w:sz w:val="20"/>
        </w:rPr>
        <w:t xml:space="preserve"> confidence level. A narrow confidence interval indicates that the estimate is more precise. A</w:t>
      </w:r>
      <w:r w:rsidR="00A14570" w:rsidRPr="0099225F">
        <w:rPr>
          <w:sz w:val="20"/>
        </w:rPr>
        <w:t xml:space="preserve"> </w:t>
      </w:r>
      <w:r w:rsidRPr="0099225F">
        <w:rPr>
          <w:sz w:val="20"/>
        </w:rPr>
        <w:t>wide confidence interval indicates that the estimate is less precise.</w:t>
      </w:r>
      <w:r w:rsidR="00A14570" w:rsidRPr="0099225F">
        <w:rPr>
          <w:sz w:val="20"/>
        </w:rPr>
        <w:t xml:space="preserve"> </w:t>
      </w:r>
      <w:r w:rsidRPr="0099225F">
        <w:rPr>
          <w:sz w:val="20"/>
        </w:rPr>
        <w:t>In this report, confidence intervals are represented on bar or line graphs as black lines.</w:t>
      </w:r>
    </w:p>
    <w:p w14:paraId="2DF3E259" w14:textId="77777777" w:rsidR="00BD19A0" w:rsidRPr="00BD19A0" w:rsidRDefault="00BD19A0" w:rsidP="00A451D4">
      <w:pPr>
        <w:pStyle w:val="Heading3"/>
      </w:pPr>
      <w:bookmarkStart w:id="52" w:name="_Toc19007982"/>
      <w:r w:rsidRPr="00BD19A0">
        <w:t>Interpreting rates</w:t>
      </w:r>
      <w:bookmarkEnd w:id="52"/>
    </w:p>
    <w:p w14:paraId="167AB241" w14:textId="6C72637C" w:rsidR="00BD19A0" w:rsidRPr="0099225F" w:rsidRDefault="00BD19A0" w:rsidP="00E87AAA">
      <w:pPr>
        <w:pStyle w:val="Body"/>
        <w:rPr>
          <w:sz w:val="20"/>
        </w:rPr>
      </w:pPr>
      <w:r w:rsidRPr="0099225F">
        <w:rPr>
          <w:sz w:val="20"/>
        </w:rPr>
        <w:t>A rate is a count of the number of events that occur in a defined population at risk of experiencing the event in a given period. For example, the number of deaths due to cancer that occur among Victorian residents in a given year is known as the death rate and is expressed in units of deaths per 100,000 population per year.</w:t>
      </w:r>
      <w:r w:rsidR="00952FC7" w:rsidRPr="0099225F">
        <w:rPr>
          <w:sz w:val="20"/>
        </w:rPr>
        <w:t xml:space="preserve"> </w:t>
      </w:r>
      <w:r w:rsidRPr="0099225F">
        <w:rPr>
          <w:sz w:val="20"/>
        </w:rPr>
        <w:t xml:space="preserve">For the purpose </w:t>
      </w:r>
      <w:r w:rsidR="00972814" w:rsidRPr="0099225F">
        <w:rPr>
          <w:sz w:val="20"/>
        </w:rPr>
        <w:t xml:space="preserve">of </w:t>
      </w:r>
      <w:r w:rsidRPr="0099225F">
        <w:rPr>
          <w:sz w:val="20"/>
        </w:rPr>
        <w:t>this report an ‘incidence rate’ is the number of new cancers diagnosed in a specified population during a year, usually expressed as the number of new cancers per 100,000 population at risk.</w:t>
      </w:r>
      <w:r w:rsidR="00952FC7" w:rsidRPr="0099225F">
        <w:rPr>
          <w:sz w:val="20"/>
        </w:rPr>
        <w:t xml:space="preserve"> </w:t>
      </w:r>
      <w:r w:rsidRPr="0099225F">
        <w:rPr>
          <w:sz w:val="20"/>
        </w:rPr>
        <w:t>All incidence rates are age</w:t>
      </w:r>
      <w:r w:rsidR="00972814" w:rsidRPr="0099225F">
        <w:rPr>
          <w:sz w:val="20"/>
        </w:rPr>
        <w:t>-</w:t>
      </w:r>
      <w:r w:rsidRPr="0099225F">
        <w:rPr>
          <w:sz w:val="20"/>
        </w:rPr>
        <w:t>standardised.</w:t>
      </w:r>
    </w:p>
    <w:p w14:paraId="536C227C" w14:textId="4C91758B" w:rsidR="00BD19A0" w:rsidRPr="0099225F" w:rsidRDefault="00BD19A0" w:rsidP="00E87AAA">
      <w:pPr>
        <w:pStyle w:val="Body"/>
        <w:rPr>
          <w:sz w:val="20"/>
        </w:rPr>
      </w:pPr>
      <w:r w:rsidRPr="0099225F">
        <w:rPr>
          <w:sz w:val="20"/>
        </w:rPr>
        <w:t>An age</w:t>
      </w:r>
      <w:r w:rsidR="00972814" w:rsidRPr="0099225F">
        <w:rPr>
          <w:sz w:val="20"/>
        </w:rPr>
        <w:t>-</w:t>
      </w:r>
      <w:r w:rsidRPr="0099225F">
        <w:rPr>
          <w:sz w:val="20"/>
        </w:rPr>
        <w:t>standardised rate refers to an average of age-specific rate that has been weighted using a standardised population distribution.</w:t>
      </w:r>
      <w:r w:rsidR="00952FC7" w:rsidRPr="0099225F">
        <w:rPr>
          <w:sz w:val="20"/>
        </w:rPr>
        <w:t xml:space="preserve"> </w:t>
      </w:r>
      <w:r w:rsidRPr="0099225F">
        <w:rPr>
          <w:sz w:val="20"/>
        </w:rPr>
        <w:t>These rates are used to reflect the overall numbers that would be expected if a population of interest had an age structure identical to the standard population in Australia.</w:t>
      </w:r>
      <w:r w:rsidR="00952FC7" w:rsidRPr="0099225F">
        <w:rPr>
          <w:sz w:val="20"/>
        </w:rPr>
        <w:t xml:space="preserve"> </w:t>
      </w:r>
      <w:r w:rsidRPr="0099225F">
        <w:rPr>
          <w:sz w:val="20"/>
        </w:rPr>
        <w:t>They are used to compare cancer rates and trends over time among populations. In this report, the 2001 Australian population is used as a reference to make comparisons over time possible</w:t>
      </w:r>
      <w:r w:rsidR="00972814" w:rsidRPr="0099225F">
        <w:rPr>
          <w:sz w:val="20"/>
        </w:rPr>
        <w:t>,</w:t>
      </w:r>
      <w:r w:rsidRPr="0099225F">
        <w:rPr>
          <w:sz w:val="20"/>
        </w:rPr>
        <w:t xml:space="preserve"> even though the population might change.</w:t>
      </w:r>
    </w:p>
    <w:p w14:paraId="55332403" w14:textId="3D78563F" w:rsidR="00BD19A0" w:rsidRPr="0099225F" w:rsidRDefault="00BD19A0" w:rsidP="00E87AAA">
      <w:pPr>
        <w:pStyle w:val="Body"/>
        <w:rPr>
          <w:sz w:val="20"/>
        </w:rPr>
      </w:pPr>
      <w:r w:rsidRPr="0099225F">
        <w:rPr>
          <w:sz w:val="20"/>
        </w:rPr>
        <w:t>The term ‘prevalence’ is used to describe the number of people</w:t>
      </w:r>
      <w:r w:rsidR="00972814" w:rsidRPr="0099225F">
        <w:rPr>
          <w:sz w:val="20"/>
        </w:rPr>
        <w:t xml:space="preserve"> </w:t>
      </w:r>
      <w:r w:rsidRPr="0099225F">
        <w:rPr>
          <w:sz w:val="20"/>
        </w:rPr>
        <w:t>alive after a diagnosis of cancer. It is related to incidence and survival: if incidence and survival are both high, prevalence will be high, whereas if incidence and survival are both low, prevalence will be low.</w:t>
      </w:r>
    </w:p>
    <w:p w14:paraId="6CB1C8FD" w14:textId="74906615" w:rsidR="00BD19A0" w:rsidRPr="0099225F" w:rsidRDefault="00BD19A0" w:rsidP="00E87AAA">
      <w:pPr>
        <w:pStyle w:val="Body"/>
        <w:rPr>
          <w:sz w:val="20"/>
        </w:rPr>
      </w:pPr>
      <w:r w:rsidRPr="0099225F">
        <w:rPr>
          <w:sz w:val="20"/>
        </w:rPr>
        <w:t xml:space="preserve">A ratio is used to compare two rates (the </w:t>
      </w:r>
      <w:r w:rsidR="00972814" w:rsidRPr="0099225F">
        <w:rPr>
          <w:sz w:val="20"/>
        </w:rPr>
        <w:t>‘</w:t>
      </w:r>
      <w:r w:rsidRPr="0099225F">
        <w:rPr>
          <w:sz w:val="20"/>
        </w:rPr>
        <w:t>rate ratio</w:t>
      </w:r>
      <w:r w:rsidR="00972814" w:rsidRPr="0099225F">
        <w:rPr>
          <w:sz w:val="20"/>
        </w:rPr>
        <w:t>’</w:t>
      </w:r>
      <w:r w:rsidRPr="0099225F">
        <w:rPr>
          <w:sz w:val="20"/>
        </w:rPr>
        <w:t>)</w:t>
      </w:r>
      <w:r w:rsidR="00972814" w:rsidRPr="0099225F">
        <w:rPr>
          <w:sz w:val="20"/>
        </w:rPr>
        <w:t xml:space="preserve"> –</w:t>
      </w:r>
      <w:r w:rsidRPr="0099225F">
        <w:rPr>
          <w:sz w:val="20"/>
        </w:rPr>
        <w:t xml:space="preserve"> for example</w:t>
      </w:r>
      <w:r w:rsidR="00972814" w:rsidRPr="0099225F">
        <w:rPr>
          <w:sz w:val="20"/>
        </w:rPr>
        <w:t>,</w:t>
      </w:r>
      <w:r w:rsidRPr="0099225F">
        <w:rPr>
          <w:sz w:val="20"/>
        </w:rPr>
        <w:t xml:space="preserve"> comparing death rates for women and men at a given age.</w:t>
      </w:r>
    </w:p>
    <w:p w14:paraId="23237E76" w14:textId="097E0B3C" w:rsidR="00BD19A0" w:rsidRPr="00801B6B" w:rsidRDefault="00BD19A0" w:rsidP="00A451D4">
      <w:pPr>
        <w:pStyle w:val="Heading3"/>
      </w:pPr>
      <w:bookmarkStart w:id="53" w:name="_Toc19007983"/>
      <w:r w:rsidRPr="00BD19A0">
        <w:t>Interpreting relative survival rates</w:t>
      </w:r>
      <w:bookmarkEnd w:id="53"/>
    </w:p>
    <w:p w14:paraId="4C5EBD74" w14:textId="6105523F" w:rsidR="00BD19A0" w:rsidRPr="0099225F" w:rsidRDefault="00BD19A0" w:rsidP="00E87AAA">
      <w:pPr>
        <w:pStyle w:val="Body"/>
        <w:rPr>
          <w:sz w:val="20"/>
        </w:rPr>
      </w:pPr>
      <w:r w:rsidRPr="0099225F">
        <w:rPr>
          <w:sz w:val="20"/>
        </w:rPr>
        <w:t>Relative survival is a standard approach used by cancer registries to measure survival of people with cancer compared with that of the general population. It is calculated by dividing observed survival by expected survival, where the numerator and denominator have been matched for age, sex and calendar year. A simplified example of how relative survival is interpreted is shown in Figure 2.</w:t>
      </w:r>
      <w:r w:rsidRPr="0099225F">
        <w:rPr>
          <w:b/>
          <w:sz w:val="20"/>
        </w:rPr>
        <w:br w:type="page"/>
      </w:r>
    </w:p>
    <w:p w14:paraId="7630FE97" w14:textId="6C104572" w:rsidR="00BD19A0" w:rsidRDefault="007340C0" w:rsidP="00DB1EBB">
      <w:pPr>
        <w:pStyle w:val="Figurecaption"/>
      </w:pPr>
      <w:bookmarkStart w:id="54" w:name="_Toc19007984"/>
      <w:bookmarkStart w:id="55" w:name="_Toc19008249"/>
      <w:bookmarkStart w:id="56" w:name="_Toc19008396"/>
      <w:bookmarkStart w:id="57" w:name="_Toc19008543"/>
      <w:bookmarkStart w:id="58" w:name="_Toc132552982"/>
      <w:bookmarkStart w:id="59" w:name="_Toc140827588"/>
      <w:r>
        <w:rPr>
          <w:noProof/>
          <w:lang w:val="en-NZ"/>
        </w:rPr>
        <w:lastRenderedPageBreak/>
        <w:drawing>
          <wp:anchor distT="0" distB="0" distL="114300" distR="114300" simplePos="0" relativeHeight="252320768" behindDoc="0" locked="0" layoutInCell="1" allowOverlap="1" wp14:anchorId="61B2F148" wp14:editId="4D411162">
            <wp:simplePos x="0" y="0"/>
            <wp:positionH relativeFrom="column">
              <wp:posOffset>-3175</wp:posOffset>
            </wp:positionH>
            <wp:positionV relativeFrom="paragraph">
              <wp:posOffset>243840</wp:posOffset>
            </wp:positionV>
            <wp:extent cx="5991225" cy="2952750"/>
            <wp:effectExtent l="0" t="0" r="9525" b="0"/>
            <wp:wrapNone/>
            <wp:docPr id="261" name="Picture 6" descr="This figure shows a simplified example of how relative survival is calculated as described in 'Interpreting relative survival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91225" cy="2952750"/>
                    </a:xfrm>
                    <a:prstGeom prst="rect">
                      <a:avLst/>
                    </a:prstGeom>
                    <a:noFill/>
                    <a:ln>
                      <a:noFill/>
                    </a:ln>
                  </pic:spPr>
                </pic:pic>
              </a:graphicData>
            </a:graphic>
          </wp:anchor>
        </w:drawing>
      </w:r>
      <w:r w:rsidR="00BD19A0" w:rsidRPr="76BE792E">
        <w:rPr>
          <w:sz w:val="20"/>
        </w:rPr>
        <w:t>Figure 2</w:t>
      </w:r>
      <w:r w:rsidR="00A14570" w:rsidRPr="76BE792E">
        <w:rPr>
          <w:sz w:val="20"/>
        </w:rPr>
        <w:t>:</w:t>
      </w:r>
      <w:r w:rsidR="00BD19A0" w:rsidRPr="76BE792E">
        <w:rPr>
          <w:sz w:val="20"/>
        </w:rPr>
        <w:t xml:space="preserve"> Simplified example of how relative survival is calculated</w:t>
      </w:r>
      <w:r w:rsidR="00BD19A0">
        <w:rPr>
          <w:rStyle w:val="FootnoteReference"/>
          <w:rFonts w:cs="Arial"/>
          <w:b w:val="0"/>
          <w:color w:val="000000"/>
        </w:rPr>
        <w:footnoteReference w:id="9"/>
      </w:r>
      <w:bookmarkEnd w:id="54"/>
      <w:bookmarkEnd w:id="55"/>
      <w:bookmarkEnd w:id="56"/>
      <w:bookmarkEnd w:id="57"/>
      <w:bookmarkEnd w:id="58"/>
      <w:bookmarkEnd w:id="59"/>
    </w:p>
    <w:p w14:paraId="004CCAB2" w14:textId="77777777" w:rsidR="00C66FA7" w:rsidRDefault="00C66FA7" w:rsidP="00606436">
      <w:pPr>
        <w:pStyle w:val="Body"/>
        <w:rPr>
          <w:rFonts w:cs="Arial"/>
          <w:color w:val="000000"/>
        </w:rPr>
        <w:sectPr w:rsidR="00C66FA7" w:rsidSect="00C66FA7">
          <w:type w:val="continuous"/>
          <w:pgSz w:w="11906" w:h="16838"/>
          <w:pgMar w:top="1411" w:right="1310" w:bottom="1138" w:left="1310" w:header="454" w:footer="510" w:gutter="0"/>
          <w:cols w:space="853"/>
          <w:docGrid w:linePitch="360"/>
        </w:sectPr>
      </w:pPr>
    </w:p>
    <w:p w14:paraId="40F8FC53" w14:textId="6204C541" w:rsidR="00BD19A0" w:rsidRPr="0007539F" w:rsidRDefault="00BD19A0" w:rsidP="00606436">
      <w:pPr>
        <w:pStyle w:val="Body"/>
        <w:rPr>
          <w:rFonts w:cs="Arial"/>
          <w:color w:val="000000"/>
        </w:rPr>
      </w:pPr>
    </w:p>
    <w:p w14:paraId="56892A48" w14:textId="77777777" w:rsidR="00A12248" w:rsidRDefault="00390CE7" w:rsidP="007D6BCA">
      <w:pPr>
        <w:pStyle w:val="Heading1"/>
        <w:sectPr w:rsidR="00A12248" w:rsidSect="009302EB">
          <w:type w:val="continuous"/>
          <w:pgSz w:w="11906" w:h="16838"/>
          <w:pgMar w:top="1411" w:right="1310" w:bottom="1138" w:left="1310" w:header="454" w:footer="510" w:gutter="0"/>
          <w:cols w:num="2" w:space="853"/>
          <w:docGrid w:linePitch="360"/>
        </w:sectPr>
      </w:pPr>
      <w:r>
        <w:br w:type="page"/>
      </w:r>
      <w:bookmarkStart w:id="60" w:name="_Toc19007985"/>
    </w:p>
    <w:p w14:paraId="74059D46" w14:textId="79ACDA2D" w:rsidR="00390CE7" w:rsidRPr="005F0940" w:rsidRDefault="00390CE7" w:rsidP="007D6BCA">
      <w:pPr>
        <w:pStyle w:val="Heading1"/>
      </w:pPr>
      <w:bookmarkStart w:id="61" w:name="_Toc140843414"/>
      <w:r w:rsidRPr="005F0940">
        <w:lastRenderedPageBreak/>
        <w:t>Outcome: Improve cancer outcomes</w:t>
      </w:r>
      <w:bookmarkEnd w:id="60"/>
      <w:bookmarkEnd w:id="61"/>
    </w:p>
    <w:p w14:paraId="166F788C" w14:textId="70E7E5B1" w:rsidR="00E8458B" w:rsidRPr="00E81955" w:rsidRDefault="00E8458B" w:rsidP="006053E7">
      <w:pPr>
        <w:pStyle w:val="Heading2"/>
        <w:rPr>
          <w:b w:val="0"/>
          <w:color w:val="AF272F"/>
        </w:rPr>
      </w:pPr>
      <w:bookmarkStart w:id="62" w:name="_Toc19007986"/>
      <w:bookmarkStart w:id="63" w:name="_Toc140843415"/>
      <w:r w:rsidRPr="00E81955">
        <w:rPr>
          <w:color w:val="AF272F"/>
        </w:rPr>
        <w:t xml:space="preserve">Key result: </w:t>
      </w:r>
      <w:r w:rsidR="001936B4" w:rsidRPr="00E81955">
        <w:rPr>
          <w:color w:val="AF272F"/>
        </w:rPr>
        <w:t xml:space="preserve">Decrease </w:t>
      </w:r>
      <w:r w:rsidRPr="00E81955">
        <w:rPr>
          <w:color w:val="AF272F"/>
        </w:rPr>
        <w:t>incidence of preventable cancers</w:t>
      </w:r>
      <w:bookmarkEnd w:id="62"/>
      <w:bookmarkEnd w:id="63"/>
    </w:p>
    <w:p w14:paraId="4D705EE9" w14:textId="4288A6CB" w:rsidR="00E8458B" w:rsidRPr="00E81955" w:rsidRDefault="00E8458B" w:rsidP="00A451D4">
      <w:pPr>
        <w:pStyle w:val="Heading3"/>
        <w:rPr>
          <w:b/>
          <w:bCs w:val="0"/>
          <w:sz w:val="28"/>
          <w:szCs w:val="28"/>
        </w:rPr>
      </w:pPr>
      <w:bookmarkStart w:id="64" w:name="_Measure_1.1_–"/>
      <w:bookmarkStart w:id="65" w:name="_Toc19007987"/>
      <w:bookmarkEnd w:id="64"/>
      <w:r w:rsidRPr="00E81955">
        <w:rPr>
          <w:b/>
          <w:bCs w:val="0"/>
          <w:sz w:val="28"/>
          <w:szCs w:val="28"/>
        </w:rPr>
        <w:t xml:space="preserve">Measure 1.1 – </w:t>
      </w:r>
      <w:r w:rsidR="006624DA" w:rsidRPr="00E81955">
        <w:rPr>
          <w:b/>
          <w:bCs w:val="0"/>
          <w:sz w:val="28"/>
          <w:szCs w:val="28"/>
        </w:rPr>
        <w:t>Incidence of preventable cancers</w:t>
      </w:r>
      <w:bookmarkEnd w:id="65"/>
    </w:p>
    <w:p w14:paraId="0F73879A" w14:textId="23AF73ED" w:rsidR="00A41E84" w:rsidRPr="0099225F" w:rsidRDefault="00A41E84" w:rsidP="00E87AAA">
      <w:pPr>
        <w:pStyle w:val="Body"/>
        <w:rPr>
          <w:sz w:val="20"/>
        </w:rPr>
      </w:pPr>
      <w:r w:rsidRPr="76BE792E">
        <w:rPr>
          <w:sz w:val="20"/>
        </w:rPr>
        <w:t>In Australia, at least one-third or approximately 37,000 of all cancers are preventable each year if the population avoided exposure to 13 common risk factors know</w:t>
      </w:r>
      <w:r w:rsidR="006D058B" w:rsidRPr="76BE792E">
        <w:rPr>
          <w:sz w:val="20"/>
        </w:rPr>
        <w:t>n</w:t>
      </w:r>
      <w:r w:rsidRPr="76BE792E">
        <w:rPr>
          <w:sz w:val="20"/>
        </w:rPr>
        <w:t xml:space="preserve"> or strongly suspected to cause cancer.</w:t>
      </w:r>
      <w:r w:rsidRPr="76BE792E">
        <w:rPr>
          <w:rStyle w:val="FootnoteReference"/>
          <w:rFonts w:cs="Arial"/>
          <w:color w:val="000000" w:themeColor="text1"/>
          <w:sz w:val="20"/>
          <w:lang w:val="en-US" w:eastAsia="en-AU"/>
        </w:rPr>
        <w:footnoteReference w:id="10"/>
      </w:r>
      <w:r w:rsidRPr="76BE792E">
        <w:rPr>
          <w:sz w:val="20"/>
        </w:rPr>
        <w:t xml:space="preserve"> </w:t>
      </w:r>
      <w:r w:rsidRPr="76BE792E">
        <w:rPr>
          <w:sz w:val="20"/>
          <w:lang w:val="en"/>
        </w:rPr>
        <w:t xml:space="preserve">Key preventable causal risk factors </w:t>
      </w:r>
      <w:r w:rsidRPr="76BE792E">
        <w:rPr>
          <w:sz w:val="20"/>
        </w:rPr>
        <w:t>include tobacco smoking, excessive exposure to UV radiation, poor diet, being overweight, low levels of physical activity, excessive alcohol use and exposure to infections such as human papillomavirus (HPV).</w:t>
      </w:r>
      <w:r w:rsidRPr="76BE792E">
        <w:rPr>
          <w:rStyle w:val="FootnoteReference"/>
          <w:rFonts w:cs="Arial"/>
          <w:color w:val="000000" w:themeColor="text1"/>
          <w:sz w:val="20"/>
          <w:lang w:eastAsia="en-AU"/>
        </w:rPr>
        <w:footnoteReference w:id="11"/>
      </w:r>
      <w:r w:rsidRPr="76BE792E">
        <w:rPr>
          <w:sz w:val="20"/>
        </w:rPr>
        <w:t xml:space="preserve"> It is therefore important to quantify the proportion of Victorian cancer incidence that might be prevented if exposure to those risk factors occurred at levels that minimise cancer risk. For the purpose of this measure, incidence reflects the number of primary tumours rather than the number of people with cancer.</w:t>
      </w:r>
    </w:p>
    <w:p w14:paraId="278E1B7D" w14:textId="21EE26B3" w:rsidR="00A8622F" w:rsidRPr="007C0E4A" w:rsidRDefault="00A8622F" w:rsidP="00F00560">
      <w:pPr>
        <w:pStyle w:val="Figurecaption"/>
        <w:rPr>
          <w:sz w:val="20"/>
        </w:rPr>
      </w:pPr>
      <w:bookmarkStart w:id="66" w:name="_Toc19007988"/>
      <w:bookmarkStart w:id="67" w:name="_Toc19008250"/>
      <w:bookmarkStart w:id="68" w:name="_Toc19008397"/>
      <w:bookmarkStart w:id="69" w:name="_Toc19008544"/>
      <w:bookmarkStart w:id="70" w:name="_Toc132552983"/>
      <w:bookmarkStart w:id="71" w:name="_Toc140827589"/>
      <w:r w:rsidRPr="007C0E4A">
        <w:rPr>
          <w:sz w:val="20"/>
        </w:rPr>
        <w:t>Figure 1.1</w:t>
      </w:r>
      <w:r w:rsidR="002963FB" w:rsidRPr="007C0E4A">
        <w:rPr>
          <w:sz w:val="20"/>
        </w:rPr>
        <w:t>:</w:t>
      </w:r>
      <w:r w:rsidRPr="007C0E4A">
        <w:rPr>
          <w:sz w:val="20"/>
        </w:rPr>
        <w:t xml:space="preserve"> </w:t>
      </w:r>
      <w:r w:rsidR="00AB6486" w:rsidRPr="007C0E4A">
        <w:rPr>
          <w:sz w:val="20"/>
        </w:rPr>
        <w:t>I</w:t>
      </w:r>
      <w:r w:rsidRPr="007C0E4A">
        <w:rPr>
          <w:sz w:val="20"/>
        </w:rPr>
        <w:t xml:space="preserve">ncidence </w:t>
      </w:r>
      <w:r w:rsidR="008D4EED" w:rsidRPr="007C0E4A">
        <w:rPr>
          <w:sz w:val="20"/>
        </w:rPr>
        <w:t xml:space="preserve">of </w:t>
      </w:r>
      <w:r w:rsidRPr="007C0E4A">
        <w:rPr>
          <w:sz w:val="20"/>
        </w:rPr>
        <w:t xml:space="preserve">preventable cancers </w:t>
      </w:r>
      <w:r w:rsidR="008D4EED" w:rsidRPr="007C0E4A">
        <w:rPr>
          <w:sz w:val="20"/>
        </w:rPr>
        <w:t xml:space="preserve">in Victoria </w:t>
      </w:r>
      <w:r w:rsidRPr="007C0E4A">
        <w:rPr>
          <w:sz w:val="20"/>
        </w:rPr>
        <w:t xml:space="preserve">per 100,000 standardised to the </w:t>
      </w:r>
      <w:r w:rsidR="000F6400" w:rsidRPr="007C0E4A">
        <w:rPr>
          <w:sz w:val="20"/>
        </w:rPr>
        <w:t xml:space="preserve">2001 </w:t>
      </w:r>
      <w:r w:rsidRPr="007C0E4A">
        <w:rPr>
          <w:sz w:val="20"/>
        </w:rPr>
        <w:t>Australian population, by year of diagnosis, 201</w:t>
      </w:r>
      <w:r w:rsidR="004F723D" w:rsidRPr="007C0E4A">
        <w:rPr>
          <w:sz w:val="20"/>
        </w:rPr>
        <w:t>4</w:t>
      </w:r>
      <w:r w:rsidR="00482495" w:rsidRPr="007C0E4A">
        <w:rPr>
          <w:sz w:val="20"/>
        </w:rPr>
        <w:t>, 2017</w:t>
      </w:r>
      <w:r w:rsidRPr="007C0E4A">
        <w:rPr>
          <w:sz w:val="20"/>
        </w:rPr>
        <w:t xml:space="preserve"> and 20</w:t>
      </w:r>
      <w:bookmarkEnd w:id="66"/>
      <w:bookmarkEnd w:id="67"/>
      <w:bookmarkEnd w:id="68"/>
      <w:bookmarkEnd w:id="69"/>
      <w:r w:rsidR="00482495" w:rsidRPr="007C0E4A">
        <w:rPr>
          <w:sz w:val="20"/>
        </w:rPr>
        <w:t>2</w:t>
      </w:r>
      <w:r w:rsidR="000B5515" w:rsidRPr="007C0E4A">
        <w:rPr>
          <w:sz w:val="20"/>
        </w:rPr>
        <w:t>1</w:t>
      </w:r>
      <w:bookmarkEnd w:id="70"/>
      <w:bookmarkEnd w:id="71"/>
    </w:p>
    <w:p w14:paraId="3910F714" w14:textId="650C6021" w:rsidR="003E7C3B" w:rsidRPr="003E7C3B" w:rsidRDefault="003E7C3B" w:rsidP="00485030">
      <w:pPr>
        <w:pStyle w:val="Body"/>
        <w:jc w:val="center"/>
      </w:pPr>
      <w:r>
        <w:rPr>
          <w:noProof/>
        </w:rPr>
        <w:drawing>
          <wp:inline distT="0" distB="0" distL="0" distR="0" wp14:anchorId="26D0BCFD" wp14:editId="6DADF0DA">
            <wp:extent cx="4303058" cy="4247937"/>
            <wp:effectExtent l="0" t="0" r="2540" b="635"/>
            <wp:docPr id="39" name="Picture 39" descr="This figure shows a data summary of 'Measure 1.1 – Incidence of preventable cancers'. The data set is available under 'Measure 1.1 – Incidence of preventable cancers'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his figure shows a data summary of 'Measure 1.1 – Incidence of preventable cancers'. The data set is available under 'Measure 1.1 – Incidence of preventable cancers' in a separate volume, the Victorian cancer plan monitoring and evaluation framework: baseline report: Appendix 2: Datasets available on Cancer care &lt;https://www.health.vic.gov.au/health-strategies/cancer-care&gt;"/>
                    <pic:cNvPicPr/>
                  </pic:nvPicPr>
                  <pic:blipFill>
                    <a:blip r:embed="rId33"/>
                    <a:stretch>
                      <a:fillRect/>
                    </a:stretch>
                  </pic:blipFill>
                  <pic:spPr>
                    <a:xfrm>
                      <a:off x="0" y="0"/>
                      <a:ext cx="4403270" cy="4346865"/>
                    </a:xfrm>
                    <a:prstGeom prst="rect">
                      <a:avLst/>
                    </a:prstGeom>
                  </pic:spPr>
                </pic:pic>
              </a:graphicData>
            </a:graphic>
          </wp:inline>
        </w:drawing>
      </w:r>
    </w:p>
    <w:p w14:paraId="73BFE0C1" w14:textId="77777777" w:rsidR="00CD3D0F" w:rsidRDefault="009A2DF4" w:rsidP="00CD30BA">
      <w:pPr>
        <w:pStyle w:val="Tablefigurenote"/>
        <w:rPr>
          <w:i/>
          <w:iCs/>
          <w:sz w:val="18"/>
          <w:szCs w:val="18"/>
        </w:rPr>
      </w:pPr>
      <w:r w:rsidRPr="0057553C">
        <w:rPr>
          <w:i/>
          <w:iCs/>
          <w:sz w:val="18"/>
          <w:szCs w:val="18"/>
        </w:rPr>
        <w:t>Note:</w:t>
      </w:r>
      <w:r w:rsidR="00250B73" w:rsidRPr="0057553C">
        <w:rPr>
          <w:i/>
          <w:iCs/>
          <w:sz w:val="18"/>
          <w:szCs w:val="18"/>
        </w:rPr>
        <w:t xml:space="preserve"> </w:t>
      </w:r>
      <w:r w:rsidRPr="0057553C">
        <w:rPr>
          <w:i/>
          <w:iCs/>
          <w:sz w:val="18"/>
          <w:szCs w:val="18"/>
        </w:rPr>
        <w:t>Results by</w:t>
      </w:r>
      <w:r w:rsidR="0011089F" w:rsidRPr="0057553C">
        <w:rPr>
          <w:i/>
          <w:iCs/>
          <w:sz w:val="18"/>
          <w:szCs w:val="18"/>
        </w:rPr>
        <w:t xml:space="preserve"> cultural diversity</w:t>
      </w:r>
      <w:r w:rsidRPr="0057553C">
        <w:rPr>
          <w:i/>
          <w:iCs/>
          <w:sz w:val="18"/>
          <w:szCs w:val="18"/>
        </w:rPr>
        <w:t xml:space="preserve"> are not presented </w:t>
      </w:r>
      <w:r w:rsidR="00BB58BE" w:rsidRPr="0057553C">
        <w:rPr>
          <w:i/>
          <w:iCs/>
          <w:sz w:val="18"/>
          <w:szCs w:val="18"/>
        </w:rPr>
        <w:t xml:space="preserve">because </w:t>
      </w:r>
      <w:r w:rsidRPr="0057553C">
        <w:rPr>
          <w:i/>
          <w:iCs/>
          <w:sz w:val="18"/>
          <w:szCs w:val="18"/>
        </w:rPr>
        <w:t>the</w:t>
      </w:r>
      <w:r w:rsidR="00BB58BE" w:rsidRPr="0057553C">
        <w:rPr>
          <w:i/>
          <w:iCs/>
          <w:sz w:val="18"/>
          <w:szCs w:val="18"/>
        </w:rPr>
        <w:t xml:space="preserve"> estimated resident</w:t>
      </w:r>
      <w:r w:rsidR="00BB58BE" w:rsidRPr="0057553C">
        <w:rPr>
          <w:rFonts w:hint="eastAsia"/>
          <w:i/>
          <w:iCs/>
          <w:sz w:val="18"/>
          <w:szCs w:val="18"/>
        </w:rPr>
        <w:t> </w:t>
      </w:r>
      <w:r w:rsidR="00BB58BE" w:rsidRPr="0057553C">
        <w:rPr>
          <w:i/>
          <w:iCs/>
          <w:sz w:val="18"/>
          <w:szCs w:val="18"/>
        </w:rPr>
        <w:t>population</w:t>
      </w:r>
      <w:r w:rsidR="00BB58BE" w:rsidRPr="0057553C">
        <w:rPr>
          <w:rFonts w:hint="eastAsia"/>
          <w:i/>
          <w:iCs/>
          <w:sz w:val="18"/>
          <w:szCs w:val="18"/>
        </w:rPr>
        <w:t> </w:t>
      </w:r>
      <w:r w:rsidR="00BB58BE" w:rsidRPr="0057553C">
        <w:rPr>
          <w:i/>
          <w:iCs/>
          <w:sz w:val="18"/>
          <w:szCs w:val="18"/>
        </w:rPr>
        <w:t>(</w:t>
      </w:r>
      <w:r w:rsidRPr="0057553C">
        <w:rPr>
          <w:i/>
          <w:iCs/>
          <w:sz w:val="18"/>
          <w:szCs w:val="18"/>
        </w:rPr>
        <w:t>ERP</w:t>
      </w:r>
      <w:r w:rsidR="00BB58BE" w:rsidRPr="0057553C">
        <w:rPr>
          <w:i/>
          <w:iCs/>
          <w:sz w:val="18"/>
          <w:szCs w:val="18"/>
        </w:rPr>
        <w:t>)</w:t>
      </w:r>
      <w:r w:rsidRPr="0057553C">
        <w:rPr>
          <w:i/>
          <w:iCs/>
          <w:sz w:val="18"/>
          <w:szCs w:val="18"/>
        </w:rPr>
        <w:t xml:space="preserve"> does not estimate the population by </w:t>
      </w:r>
      <w:r w:rsidR="0011089F" w:rsidRPr="0057553C">
        <w:rPr>
          <w:i/>
          <w:iCs/>
          <w:sz w:val="18"/>
          <w:szCs w:val="18"/>
        </w:rPr>
        <w:t>cultural diversity</w:t>
      </w:r>
      <w:r w:rsidRPr="0057553C">
        <w:rPr>
          <w:i/>
          <w:iCs/>
          <w:sz w:val="18"/>
          <w:szCs w:val="18"/>
        </w:rPr>
        <w:t>, hence there is no denominator for this variable.</w:t>
      </w:r>
      <w:r w:rsidR="0020440A" w:rsidRPr="0057553C">
        <w:rPr>
          <w:i/>
          <w:iCs/>
          <w:sz w:val="18"/>
          <w:szCs w:val="18"/>
        </w:rPr>
        <w:t xml:space="preserve"> </w:t>
      </w:r>
    </w:p>
    <w:p w14:paraId="11D05BE7" w14:textId="73C8CE8E" w:rsidR="00CD3D0F" w:rsidRPr="00CD3D0F" w:rsidRDefault="00CD3D0F" w:rsidP="00CD30BA">
      <w:pPr>
        <w:pStyle w:val="Tablefigurenote"/>
        <w:rPr>
          <w:i/>
          <w:iCs/>
          <w:sz w:val="18"/>
          <w:szCs w:val="18"/>
        </w:rPr>
      </w:pPr>
      <w:r w:rsidRPr="00CD3D0F">
        <w:rPr>
          <w:i/>
          <w:iCs/>
          <w:sz w:val="18"/>
          <w:szCs w:val="18"/>
        </w:rPr>
        <w:t xml:space="preserve">The </w:t>
      </w:r>
      <w:r w:rsidRPr="00CD3D0F">
        <w:rPr>
          <w:i/>
          <w:sz w:val="18"/>
          <w:szCs w:val="18"/>
        </w:rPr>
        <w:t>Victorian cancer plan monitoring and evaluation framework: data dictionary</w:t>
      </w:r>
      <w:r>
        <w:rPr>
          <w:i/>
          <w:sz w:val="18"/>
          <w:szCs w:val="18"/>
        </w:rPr>
        <w:t xml:space="preserve"> (2018) lists the specific cancers that have been included in this measure as preventable.</w:t>
      </w:r>
    </w:p>
    <w:p w14:paraId="2326A087" w14:textId="1BE9168A" w:rsidR="00A12248" w:rsidRDefault="0020440A" w:rsidP="00CD30BA">
      <w:pPr>
        <w:pStyle w:val="Tablefigurenote"/>
        <w:rPr>
          <w:i/>
          <w:iCs/>
          <w:color w:val="000000"/>
          <w:sz w:val="18"/>
          <w:szCs w:val="18"/>
        </w:rPr>
        <w:sectPr w:rsidR="00A12248" w:rsidSect="00A12248">
          <w:type w:val="continuous"/>
          <w:pgSz w:w="11906" w:h="16838"/>
          <w:pgMar w:top="1411" w:right="1310" w:bottom="1138" w:left="1310" w:header="454" w:footer="510" w:gutter="0"/>
          <w:cols w:space="853"/>
          <w:docGrid w:linePitch="360"/>
        </w:sectPr>
      </w:pPr>
      <w:r w:rsidRPr="0057553C">
        <w:rPr>
          <w:i/>
          <w:iCs/>
          <w:color w:val="000000"/>
          <w:sz w:val="18"/>
          <w:szCs w:val="18"/>
        </w:rPr>
        <w:t>Appendix 2 provides the dataset</w:t>
      </w:r>
    </w:p>
    <w:p w14:paraId="480594C1" w14:textId="5E3D9148" w:rsidR="007B3E48" w:rsidRDefault="00714F4C" w:rsidP="00120C34">
      <w:pPr>
        <w:pStyle w:val="Figurecaption"/>
        <w:rPr>
          <w:sz w:val="20"/>
        </w:rPr>
      </w:pPr>
      <w:bookmarkStart w:id="72" w:name="_Toc19007989"/>
      <w:bookmarkStart w:id="73" w:name="_Toc19008251"/>
      <w:bookmarkStart w:id="74" w:name="_Toc19008398"/>
      <w:bookmarkStart w:id="75" w:name="_Toc19008545"/>
      <w:bookmarkStart w:id="76" w:name="_Toc132552984"/>
      <w:bookmarkStart w:id="77" w:name="_Toc140827590"/>
      <w:r w:rsidRPr="007C0E4A">
        <w:rPr>
          <w:sz w:val="20"/>
          <w:lang w:eastAsia="en-AU"/>
        </w:rPr>
        <w:lastRenderedPageBreak/>
        <w:t>Figure 1.1.</w:t>
      </w:r>
      <w:r w:rsidR="005C7FDD" w:rsidRPr="007C0E4A">
        <w:rPr>
          <w:sz w:val="20"/>
          <w:lang w:eastAsia="en-AU"/>
        </w:rPr>
        <w:t>1</w:t>
      </w:r>
      <w:r w:rsidR="002963FB" w:rsidRPr="007C0E4A">
        <w:rPr>
          <w:sz w:val="20"/>
          <w:lang w:eastAsia="en-AU"/>
        </w:rPr>
        <w:t>:</w:t>
      </w:r>
      <w:r w:rsidRPr="007C0E4A">
        <w:rPr>
          <w:sz w:val="20"/>
          <w:lang w:eastAsia="en-AU"/>
        </w:rPr>
        <w:t xml:space="preserve"> Incidence of preventable cancers in Victoria per </w:t>
      </w:r>
      <w:r w:rsidRPr="007C0E4A">
        <w:rPr>
          <w:color w:val="000000" w:themeColor="text1"/>
          <w:sz w:val="20"/>
        </w:rPr>
        <w:t xml:space="preserve">100,000 standardised to the 2001 Australian population, by </w:t>
      </w:r>
      <w:r w:rsidR="008439C8" w:rsidRPr="007C0E4A">
        <w:rPr>
          <w:color w:val="000000" w:themeColor="text1"/>
          <w:sz w:val="20"/>
        </w:rPr>
        <w:t>ICS</w:t>
      </w:r>
      <w:r w:rsidRPr="007C0E4A">
        <w:rPr>
          <w:sz w:val="20"/>
        </w:rPr>
        <w:t xml:space="preserve"> </w:t>
      </w:r>
      <w:r w:rsidR="0031077F" w:rsidRPr="007C0E4A">
        <w:rPr>
          <w:sz w:val="20"/>
        </w:rPr>
        <w:t xml:space="preserve">and </w:t>
      </w:r>
      <w:r w:rsidRPr="007C0E4A">
        <w:rPr>
          <w:sz w:val="20"/>
        </w:rPr>
        <w:t>year, 201</w:t>
      </w:r>
      <w:r w:rsidR="004F723D" w:rsidRPr="007C0E4A">
        <w:rPr>
          <w:sz w:val="20"/>
        </w:rPr>
        <w:t>4</w:t>
      </w:r>
      <w:r w:rsidR="00120C34" w:rsidRPr="007C0E4A">
        <w:rPr>
          <w:sz w:val="20"/>
        </w:rPr>
        <w:t xml:space="preserve">, </w:t>
      </w:r>
      <w:r w:rsidRPr="007C0E4A">
        <w:rPr>
          <w:sz w:val="20"/>
        </w:rPr>
        <w:t>2017</w:t>
      </w:r>
      <w:bookmarkEnd w:id="72"/>
      <w:bookmarkEnd w:id="73"/>
      <w:bookmarkEnd w:id="74"/>
      <w:bookmarkEnd w:id="75"/>
      <w:r w:rsidR="00120C34" w:rsidRPr="007C0E4A">
        <w:rPr>
          <w:sz w:val="20"/>
        </w:rPr>
        <w:t xml:space="preserve"> and 202</w:t>
      </w:r>
      <w:r w:rsidR="0094529F" w:rsidRPr="007C0E4A">
        <w:rPr>
          <w:sz w:val="20"/>
        </w:rPr>
        <w:t>1</w:t>
      </w:r>
      <w:bookmarkEnd w:id="76"/>
      <w:bookmarkEnd w:id="77"/>
    </w:p>
    <w:p w14:paraId="1252695C" w14:textId="453A1142" w:rsidR="0094529F" w:rsidRPr="0094529F" w:rsidRDefault="00FB6A70" w:rsidP="00FB6A70">
      <w:pPr>
        <w:pStyle w:val="DHHSbody"/>
      </w:pPr>
      <w:r w:rsidRPr="00FB6A70">
        <w:rPr>
          <w:noProof/>
        </w:rPr>
        <w:drawing>
          <wp:inline distT="0" distB="0" distL="0" distR="0" wp14:anchorId="451C4E8E" wp14:editId="2067B290">
            <wp:extent cx="6048375" cy="3998546"/>
            <wp:effectExtent l="0" t="0" r="0" b="2540"/>
            <wp:docPr id="9" name="Picture 9" descr="This figure (bar graph) presents the incidence of preventable cancers in Victoria by Integrated Cancer Service for 2014, 2017 and 2021.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his figure (bar graph) presents the incidence of preventable cancers in Victoria by Integrated Cancer Service for 2014, 2017 and 2021.  Data labels have been included in the bar graph."/>
                    <pic:cNvPicPr/>
                  </pic:nvPicPr>
                  <pic:blipFill>
                    <a:blip r:embed="rId34"/>
                    <a:stretch>
                      <a:fillRect/>
                    </a:stretch>
                  </pic:blipFill>
                  <pic:spPr>
                    <a:xfrm>
                      <a:off x="0" y="0"/>
                      <a:ext cx="6062091" cy="4007613"/>
                    </a:xfrm>
                    <a:prstGeom prst="rect">
                      <a:avLst/>
                    </a:prstGeom>
                  </pic:spPr>
                </pic:pic>
              </a:graphicData>
            </a:graphic>
          </wp:inline>
        </w:drawing>
      </w:r>
    </w:p>
    <w:p w14:paraId="0120C5E8" w14:textId="4047E97F" w:rsidR="00665D4B" w:rsidRPr="00A25741" w:rsidRDefault="00665D4B" w:rsidP="007C7F00">
      <w:pPr>
        <w:pStyle w:val="Heading4"/>
      </w:pPr>
      <w:r w:rsidRPr="002A2045">
        <w:t>Measure assessment</w:t>
      </w:r>
    </w:p>
    <w:p w14:paraId="794AF088" w14:textId="0B6FBFF6" w:rsidR="00C15AE4" w:rsidRPr="00EA78AF" w:rsidRDefault="00C15AE4" w:rsidP="00606436">
      <w:pPr>
        <w:pStyle w:val="Body"/>
        <w:rPr>
          <w:sz w:val="20"/>
        </w:rPr>
      </w:pPr>
      <w:r w:rsidRPr="00EA78AF">
        <w:rPr>
          <w:sz w:val="20"/>
        </w:rPr>
        <w:t xml:space="preserve">Traffic light rating: </w:t>
      </w:r>
      <w:r w:rsidR="00A35B07" w:rsidRPr="00EA78AF">
        <w:rPr>
          <w:b/>
          <w:color w:val="007B4B"/>
          <w:sz w:val="20"/>
        </w:rPr>
        <w:t>Green</w:t>
      </w:r>
      <w:r w:rsidR="00A35B07" w:rsidRPr="00EA78AF">
        <w:rPr>
          <w:b/>
          <w:sz w:val="20"/>
        </w:rPr>
        <w:t xml:space="preserve"> </w:t>
      </w:r>
      <w:r w:rsidR="00A35B07" w:rsidRPr="00EA78AF">
        <w:rPr>
          <w:sz w:val="20"/>
        </w:rPr>
        <w:t>(satisfactory result)</w:t>
      </w:r>
    </w:p>
    <w:p w14:paraId="092125E3" w14:textId="540BF6E2" w:rsidR="00C15AE4" w:rsidRPr="00EA78AF" w:rsidRDefault="00C15AE4" w:rsidP="00606436">
      <w:pPr>
        <w:pStyle w:val="Body"/>
        <w:rPr>
          <w:sz w:val="20"/>
        </w:rPr>
      </w:pPr>
      <w:r w:rsidRPr="00EA78AF">
        <w:rPr>
          <w:sz w:val="20"/>
        </w:rPr>
        <w:t xml:space="preserve">Overall trend: </w:t>
      </w:r>
      <w:r w:rsidR="00A35B07" w:rsidRPr="00EA78AF">
        <w:rPr>
          <w:sz w:val="20"/>
        </w:rPr>
        <w:t>Moving in the right direction</w:t>
      </w:r>
    </w:p>
    <w:p w14:paraId="7C95CE3A" w14:textId="3C47C54E" w:rsidR="005E2F5C" w:rsidRPr="00EA78AF" w:rsidRDefault="00C15AE4" w:rsidP="00E87AAA">
      <w:pPr>
        <w:pStyle w:val="Body"/>
        <w:rPr>
          <w:color w:val="000000" w:themeColor="text1"/>
          <w:sz w:val="20"/>
          <w:lang w:eastAsia="en-AU"/>
        </w:rPr>
      </w:pPr>
      <w:r w:rsidRPr="76BE792E">
        <w:rPr>
          <w:color w:val="000000" w:themeColor="text1"/>
          <w:sz w:val="20"/>
        </w:rPr>
        <w:t>Commentary:</w:t>
      </w:r>
      <w:r w:rsidRPr="76BE792E">
        <w:rPr>
          <w:color w:val="000000" w:themeColor="text1"/>
          <w:sz w:val="20"/>
          <w:lang w:eastAsia="en-AU"/>
        </w:rPr>
        <w:t xml:space="preserve"> </w:t>
      </w:r>
      <w:r w:rsidR="005E2F5C" w:rsidRPr="76BE792E">
        <w:rPr>
          <w:sz w:val="20"/>
          <w:lang w:val="en"/>
        </w:rPr>
        <w:t>Figure 1.1 shows</w:t>
      </w:r>
      <w:r w:rsidR="006D058B" w:rsidRPr="76BE792E">
        <w:rPr>
          <w:sz w:val="20"/>
          <w:lang w:val="en"/>
        </w:rPr>
        <w:t xml:space="preserve"> that</w:t>
      </w:r>
      <w:r w:rsidR="005E2F5C" w:rsidRPr="76BE792E">
        <w:rPr>
          <w:sz w:val="20"/>
          <w:lang w:val="en"/>
        </w:rPr>
        <w:t xml:space="preserve"> the age-standardised incidence rate </w:t>
      </w:r>
      <w:r w:rsidR="00A84580" w:rsidRPr="76BE792E">
        <w:rPr>
          <w:sz w:val="20"/>
          <w:lang w:val="en"/>
        </w:rPr>
        <w:t xml:space="preserve">overall </w:t>
      </w:r>
      <w:r w:rsidR="005E2F5C" w:rsidRPr="76BE792E">
        <w:rPr>
          <w:sz w:val="20"/>
          <w:lang w:val="en"/>
        </w:rPr>
        <w:t xml:space="preserve">of preventable cancers combined </w:t>
      </w:r>
      <w:r w:rsidR="008866E1" w:rsidRPr="76BE792E">
        <w:rPr>
          <w:sz w:val="20"/>
          <w:lang w:val="en"/>
        </w:rPr>
        <w:t>d</w:t>
      </w:r>
      <w:r w:rsidR="00E15FE6" w:rsidRPr="76BE792E">
        <w:rPr>
          <w:sz w:val="20"/>
          <w:lang w:val="en"/>
        </w:rPr>
        <w:t>ecreased</w:t>
      </w:r>
      <w:r w:rsidR="008866E1" w:rsidRPr="76BE792E">
        <w:rPr>
          <w:sz w:val="20"/>
          <w:lang w:val="en"/>
        </w:rPr>
        <w:t xml:space="preserve"> between 201</w:t>
      </w:r>
      <w:r w:rsidR="00A6119B" w:rsidRPr="76BE792E">
        <w:rPr>
          <w:sz w:val="20"/>
          <w:lang w:val="en"/>
        </w:rPr>
        <w:t>4</w:t>
      </w:r>
      <w:r w:rsidR="008866E1" w:rsidRPr="76BE792E">
        <w:rPr>
          <w:sz w:val="20"/>
          <w:lang w:val="en"/>
        </w:rPr>
        <w:t xml:space="preserve"> (33</w:t>
      </w:r>
      <w:r w:rsidR="00A6119B" w:rsidRPr="76BE792E">
        <w:rPr>
          <w:sz w:val="20"/>
          <w:lang w:val="en"/>
        </w:rPr>
        <w:t>9</w:t>
      </w:r>
      <w:r w:rsidR="005527D9" w:rsidRPr="76BE792E">
        <w:rPr>
          <w:sz w:val="20"/>
          <w:lang w:val="en"/>
        </w:rPr>
        <w:t xml:space="preserve"> per 100,000 population)</w:t>
      </w:r>
      <w:r w:rsidR="008866E1" w:rsidRPr="76BE792E">
        <w:rPr>
          <w:sz w:val="20"/>
          <w:lang w:val="en"/>
        </w:rPr>
        <w:t xml:space="preserve"> and 20</w:t>
      </w:r>
      <w:r w:rsidR="00E15FE6" w:rsidRPr="76BE792E">
        <w:rPr>
          <w:sz w:val="20"/>
          <w:lang w:val="en"/>
        </w:rPr>
        <w:t>2</w:t>
      </w:r>
      <w:r w:rsidR="00A94257" w:rsidRPr="76BE792E">
        <w:rPr>
          <w:sz w:val="20"/>
          <w:lang w:val="en"/>
        </w:rPr>
        <w:t>1</w:t>
      </w:r>
      <w:r w:rsidR="008866E1" w:rsidRPr="76BE792E">
        <w:rPr>
          <w:sz w:val="20"/>
          <w:lang w:val="en"/>
        </w:rPr>
        <w:t xml:space="preserve"> (3</w:t>
      </w:r>
      <w:r w:rsidR="00A94257" w:rsidRPr="76BE792E">
        <w:rPr>
          <w:sz w:val="20"/>
          <w:lang w:val="en"/>
        </w:rPr>
        <w:t>21</w:t>
      </w:r>
      <w:r w:rsidR="005527D9" w:rsidRPr="76BE792E">
        <w:rPr>
          <w:sz w:val="20"/>
          <w:lang w:val="en"/>
        </w:rPr>
        <w:t xml:space="preserve"> per 100,000 population)</w:t>
      </w:r>
      <w:r w:rsidR="00292FFE" w:rsidRPr="76BE792E">
        <w:rPr>
          <w:sz w:val="20"/>
          <w:lang w:val="en"/>
        </w:rPr>
        <w:t>.</w:t>
      </w:r>
      <w:r w:rsidR="00952FC7" w:rsidRPr="76BE792E">
        <w:rPr>
          <w:sz w:val="20"/>
          <w:lang w:val="en"/>
        </w:rPr>
        <w:t xml:space="preserve"> </w:t>
      </w:r>
      <w:r w:rsidR="00292FFE" w:rsidRPr="76BE792E">
        <w:rPr>
          <w:sz w:val="20"/>
          <w:lang w:val="en"/>
        </w:rPr>
        <w:t xml:space="preserve">The </w:t>
      </w:r>
      <w:r w:rsidR="004F50A1" w:rsidRPr="76BE792E">
        <w:rPr>
          <w:sz w:val="20"/>
          <w:lang w:val="en"/>
        </w:rPr>
        <w:t>incidence rate for males was 32</w:t>
      </w:r>
      <w:r w:rsidR="00E15FE6" w:rsidRPr="76BE792E">
        <w:rPr>
          <w:sz w:val="20"/>
          <w:lang w:val="en"/>
        </w:rPr>
        <w:t>1</w:t>
      </w:r>
      <w:r w:rsidR="00292FFE" w:rsidRPr="76BE792E">
        <w:rPr>
          <w:sz w:val="20"/>
          <w:lang w:val="en"/>
        </w:rPr>
        <w:t xml:space="preserve"> new cases in per 100,000 males i</w:t>
      </w:r>
      <w:r w:rsidR="004F50A1" w:rsidRPr="76BE792E">
        <w:rPr>
          <w:sz w:val="20"/>
          <w:lang w:val="en"/>
        </w:rPr>
        <w:t>n 201</w:t>
      </w:r>
      <w:r w:rsidR="000A3F6A" w:rsidRPr="76BE792E">
        <w:rPr>
          <w:sz w:val="20"/>
          <w:lang w:val="en"/>
        </w:rPr>
        <w:t>4</w:t>
      </w:r>
      <w:r w:rsidR="004F50A1" w:rsidRPr="76BE792E">
        <w:rPr>
          <w:sz w:val="20"/>
          <w:lang w:val="en"/>
        </w:rPr>
        <w:t xml:space="preserve"> decreasing to </w:t>
      </w:r>
      <w:r w:rsidR="00E15FE6" w:rsidRPr="76BE792E">
        <w:rPr>
          <w:sz w:val="20"/>
          <w:lang w:val="en"/>
        </w:rPr>
        <w:t>29</w:t>
      </w:r>
      <w:r w:rsidR="002A2045" w:rsidRPr="76BE792E">
        <w:rPr>
          <w:sz w:val="20"/>
          <w:lang w:val="en"/>
        </w:rPr>
        <w:t>6</w:t>
      </w:r>
      <w:r w:rsidR="00292FFE" w:rsidRPr="76BE792E">
        <w:rPr>
          <w:sz w:val="20"/>
          <w:lang w:val="en"/>
        </w:rPr>
        <w:t xml:space="preserve"> per 100,000 males in 20</w:t>
      </w:r>
      <w:r w:rsidR="00E15FE6" w:rsidRPr="76BE792E">
        <w:rPr>
          <w:sz w:val="20"/>
          <w:lang w:val="en"/>
        </w:rPr>
        <w:t>2</w:t>
      </w:r>
      <w:r w:rsidR="002A2045" w:rsidRPr="76BE792E">
        <w:rPr>
          <w:sz w:val="20"/>
          <w:lang w:val="en"/>
        </w:rPr>
        <w:t>1</w:t>
      </w:r>
      <w:r w:rsidR="009007A4" w:rsidRPr="76BE792E">
        <w:rPr>
          <w:sz w:val="20"/>
          <w:lang w:val="en"/>
        </w:rPr>
        <w:t>.</w:t>
      </w:r>
      <w:r w:rsidR="00952FC7" w:rsidRPr="76BE792E">
        <w:rPr>
          <w:sz w:val="20"/>
          <w:lang w:val="en"/>
        </w:rPr>
        <w:t xml:space="preserve"> </w:t>
      </w:r>
      <w:r w:rsidR="004F50A1" w:rsidRPr="76BE792E">
        <w:rPr>
          <w:sz w:val="20"/>
          <w:lang w:val="en"/>
        </w:rPr>
        <w:t>However, t</w:t>
      </w:r>
      <w:r w:rsidR="009007A4" w:rsidRPr="76BE792E">
        <w:rPr>
          <w:sz w:val="20"/>
          <w:lang w:val="en"/>
        </w:rPr>
        <w:t xml:space="preserve">he incidence rate for females </w:t>
      </w:r>
      <w:r w:rsidR="00E15FE6" w:rsidRPr="76BE792E">
        <w:rPr>
          <w:sz w:val="20"/>
          <w:lang w:val="en"/>
        </w:rPr>
        <w:t xml:space="preserve">overall </w:t>
      </w:r>
      <w:r w:rsidR="009007A4" w:rsidRPr="76BE792E">
        <w:rPr>
          <w:sz w:val="20"/>
          <w:lang w:val="en"/>
        </w:rPr>
        <w:t>for the same per</w:t>
      </w:r>
      <w:r w:rsidR="004F50A1" w:rsidRPr="76BE792E">
        <w:rPr>
          <w:sz w:val="20"/>
          <w:lang w:val="en"/>
        </w:rPr>
        <w:t xml:space="preserve">iod was noticeably higher </w:t>
      </w:r>
      <w:r w:rsidR="00E15FE6" w:rsidRPr="76BE792E">
        <w:rPr>
          <w:sz w:val="20"/>
          <w:lang w:val="en"/>
        </w:rPr>
        <w:t>than males despite the decrease from</w:t>
      </w:r>
      <w:r w:rsidR="004F50A1" w:rsidRPr="76BE792E">
        <w:rPr>
          <w:sz w:val="20"/>
          <w:lang w:val="en"/>
        </w:rPr>
        <w:t xml:space="preserve"> 3</w:t>
      </w:r>
      <w:r w:rsidR="000A3F6A" w:rsidRPr="76BE792E">
        <w:rPr>
          <w:sz w:val="20"/>
          <w:lang w:val="en"/>
        </w:rPr>
        <w:t>6</w:t>
      </w:r>
      <w:r w:rsidR="002A2045" w:rsidRPr="76BE792E">
        <w:rPr>
          <w:sz w:val="20"/>
          <w:lang w:val="en"/>
        </w:rPr>
        <w:t>1</w:t>
      </w:r>
      <w:r w:rsidR="000A3F6A" w:rsidRPr="76BE792E">
        <w:rPr>
          <w:sz w:val="20"/>
          <w:lang w:val="en"/>
        </w:rPr>
        <w:t xml:space="preserve"> </w:t>
      </w:r>
      <w:r w:rsidR="009007A4" w:rsidRPr="76BE792E">
        <w:rPr>
          <w:sz w:val="20"/>
          <w:lang w:val="en"/>
        </w:rPr>
        <w:t>new c</w:t>
      </w:r>
      <w:r w:rsidR="004F50A1" w:rsidRPr="76BE792E">
        <w:rPr>
          <w:sz w:val="20"/>
          <w:lang w:val="en"/>
        </w:rPr>
        <w:t>ases per 100,000 females in</w:t>
      </w:r>
      <w:r w:rsidR="00E15FE6" w:rsidRPr="76BE792E">
        <w:rPr>
          <w:sz w:val="20"/>
          <w:lang w:val="en"/>
        </w:rPr>
        <w:t xml:space="preserve"> </w:t>
      </w:r>
      <w:r w:rsidR="004F50A1" w:rsidRPr="76BE792E">
        <w:rPr>
          <w:sz w:val="20"/>
          <w:lang w:val="en"/>
        </w:rPr>
        <w:t>201</w:t>
      </w:r>
      <w:r w:rsidR="000A3F6A" w:rsidRPr="76BE792E">
        <w:rPr>
          <w:sz w:val="20"/>
          <w:lang w:val="en"/>
        </w:rPr>
        <w:t>4</w:t>
      </w:r>
      <w:r w:rsidR="004F50A1" w:rsidRPr="76BE792E">
        <w:rPr>
          <w:sz w:val="20"/>
          <w:lang w:val="en"/>
        </w:rPr>
        <w:t xml:space="preserve"> </w:t>
      </w:r>
      <w:r w:rsidR="00E15FE6" w:rsidRPr="76BE792E">
        <w:rPr>
          <w:sz w:val="20"/>
          <w:lang w:val="en"/>
        </w:rPr>
        <w:t>to</w:t>
      </w:r>
      <w:r w:rsidR="000A3F6A" w:rsidRPr="76BE792E">
        <w:rPr>
          <w:sz w:val="20"/>
          <w:lang w:val="en"/>
        </w:rPr>
        <w:t xml:space="preserve"> </w:t>
      </w:r>
      <w:r w:rsidR="00E15FE6" w:rsidRPr="76BE792E">
        <w:rPr>
          <w:sz w:val="20"/>
          <w:lang w:val="en"/>
        </w:rPr>
        <w:t>3</w:t>
      </w:r>
      <w:r w:rsidR="002A2045" w:rsidRPr="76BE792E">
        <w:rPr>
          <w:sz w:val="20"/>
          <w:lang w:val="en"/>
        </w:rPr>
        <w:t>47</w:t>
      </w:r>
      <w:r w:rsidR="00E15FE6" w:rsidRPr="76BE792E">
        <w:rPr>
          <w:sz w:val="20"/>
          <w:lang w:val="en"/>
        </w:rPr>
        <w:t xml:space="preserve"> per 100,000 in </w:t>
      </w:r>
      <w:r w:rsidR="004F50A1" w:rsidRPr="76BE792E">
        <w:rPr>
          <w:sz w:val="20"/>
          <w:lang w:val="en"/>
        </w:rPr>
        <w:t>20</w:t>
      </w:r>
      <w:r w:rsidR="00E15FE6" w:rsidRPr="76BE792E">
        <w:rPr>
          <w:sz w:val="20"/>
          <w:lang w:val="en"/>
        </w:rPr>
        <w:t>2</w:t>
      </w:r>
      <w:r w:rsidR="002A2045" w:rsidRPr="76BE792E">
        <w:rPr>
          <w:sz w:val="20"/>
          <w:lang w:val="en"/>
        </w:rPr>
        <w:t>1</w:t>
      </w:r>
      <w:r w:rsidR="009007A4" w:rsidRPr="76BE792E">
        <w:rPr>
          <w:sz w:val="20"/>
          <w:lang w:val="en"/>
        </w:rPr>
        <w:t>.</w:t>
      </w:r>
      <w:r w:rsidR="000E465C" w:rsidRPr="76BE792E">
        <w:rPr>
          <w:sz w:val="20"/>
          <w:lang w:val="en"/>
        </w:rPr>
        <w:t xml:space="preserve"> This disparity between the sexes may have been the result of population-based screening </w:t>
      </w:r>
      <w:r w:rsidR="00CD6341" w:rsidRPr="76BE792E">
        <w:rPr>
          <w:sz w:val="20"/>
          <w:lang w:val="en"/>
        </w:rPr>
        <w:t>(</w:t>
      </w:r>
      <w:r w:rsidR="008869C1" w:rsidRPr="76BE792E">
        <w:rPr>
          <w:sz w:val="20"/>
          <w:lang w:val="en"/>
        </w:rPr>
        <w:t>for example,</w:t>
      </w:r>
      <w:r w:rsidR="00CD6341" w:rsidRPr="76BE792E">
        <w:rPr>
          <w:sz w:val="20"/>
          <w:lang w:val="en"/>
        </w:rPr>
        <w:t xml:space="preserve"> </w:t>
      </w:r>
      <w:r w:rsidR="00FB25D8" w:rsidRPr="76BE792E">
        <w:rPr>
          <w:sz w:val="20"/>
          <w:lang w:val="en"/>
        </w:rPr>
        <w:t xml:space="preserve">the </w:t>
      </w:r>
      <w:r w:rsidR="00CD6341" w:rsidRPr="76BE792E">
        <w:rPr>
          <w:sz w:val="20"/>
          <w:lang w:val="en"/>
        </w:rPr>
        <w:t>BreastScreen Australia</w:t>
      </w:r>
      <w:r w:rsidR="00FB25D8" w:rsidRPr="76BE792E">
        <w:rPr>
          <w:sz w:val="20"/>
          <w:lang w:val="en"/>
        </w:rPr>
        <w:t xml:space="preserve"> Program</w:t>
      </w:r>
      <w:r w:rsidR="00E15FE6" w:rsidRPr="76BE792E">
        <w:rPr>
          <w:sz w:val="20"/>
          <w:lang w:val="en"/>
        </w:rPr>
        <w:t xml:space="preserve"> and cervical screening</w:t>
      </w:r>
      <w:r w:rsidR="00DE6F67" w:rsidRPr="76BE792E">
        <w:rPr>
          <w:sz w:val="20"/>
          <w:lang w:val="en"/>
        </w:rPr>
        <w:t>)</w:t>
      </w:r>
      <w:r w:rsidR="00CD6341" w:rsidRPr="76BE792E">
        <w:rPr>
          <w:sz w:val="20"/>
          <w:lang w:val="en"/>
        </w:rPr>
        <w:t xml:space="preserve"> </w:t>
      </w:r>
      <w:r w:rsidR="000E465C" w:rsidRPr="76BE792E">
        <w:rPr>
          <w:sz w:val="20"/>
          <w:lang w:val="en"/>
        </w:rPr>
        <w:t xml:space="preserve">and improvements in technologies and techniques used to identify and diagnose </w:t>
      </w:r>
      <w:r w:rsidR="00286191" w:rsidRPr="76BE792E">
        <w:rPr>
          <w:sz w:val="20"/>
          <w:lang w:val="en"/>
        </w:rPr>
        <w:t>cancers</w:t>
      </w:r>
      <w:r w:rsidR="00E15FE6" w:rsidRPr="76BE792E">
        <w:rPr>
          <w:sz w:val="20"/>
          <w:lang w:val="en"/>
        </w:rPr>
        <w:t xml:space="preserve"> that are specific to females</w:t>
      </w:r>
      <w:r w:rsidR="00170304" w:rsidRPr="76BE792E">
        <w:rPr>
          <w:sz w:val="20"/>
          <w:lang w:val="en"/>
        </w:rPr>
        <w:t>.</w:t>
      </w:r>
      <w:r w:rsidR="00F87036" w:rsidRPr="76BE792E">
        <w:rPr>
          <w:rStyle w:val="FootnoteReference"/>
          <w:rFonts w:cs="Arial"/>
          <w:sz w:val="20"/>
          <w:lang w:val="en"/>
        </w:rPr>
        <w:footnoteReference w:id="12"/>
      </w:r>
    </w:p>
    <w:p w14:paraId="58126826" w14:textId="4DA63268" w:rsidR="00A12248" w:rsidRDefault="00170304" w:rsidP="00A12248">
      <w:pPr>
        <w:pStyle w:val="Body"/>
        <w:rPr>
          <w:sz w:val="20"/>
        </w:rPr>
        <w:sectPr w:rsidR="00A12248" w:rsidSect="00A12248">
          <w:type w:val="continuous"/>
          <w:pgSz w:w="11906" w:h="16838"/>
          <w:pgMar w:top="1411" w:right="1310" w:bottom="1138" w:left="1310" w:header="454" w:footer="510" w:gutter="0"/>
          <w:cols w:space="853"/>
          <w:docGrid w:linePitch="360"/>
        </w:sectPr>
      </w:pPr>
      <w:r w:rsidRPr="00EA78AF">
        <w:rPr>
          <w:sz w:val="20"/>
          <w:lang w:val="en"/>
        </w:rPr>
        <w:t xml:space="preserve">Trend data for </w:t>
      </w:r>
      <w:r w:rsidR="00DE7FFE" w:rsidRPr="00EA78AF">
        <w:rPr>
          <w:sz w:val="20"/>
          <w:lang w:val="en"/>
        </w:rPr>
        <w:t>SES</w:t>
      </w:r>
      <w:r w:rsidR="009B67A1" w:rsidRPr="00EA78AF">
        <w:rPr>
          <w:sz w:val="20"/>
          <w:lang w:val="en"/>
        </w:rPr>
        <w:t xml:space="preserve"> </w:t>
      </w:r>
      <w:r w:rsidR="00045CED" w:rsidRPr="00EA78AF">
        <w:rPr>
          <w:sz w:val="20"/>
          <w:lang w:val="en"/>
        </w:rPr>
        <w:t xml:space="preserve">shows </w:t>
      </w:r>
      <w:r w:rsidR="004F50A1" w:rsidRPr="00EA78AF">
        <w:rPr>
          <w:sz w:val="20"/>
          <w:lang w:val="en"/>
        </w:rPr>
        <w:t>that between 201</w:t>
      </w:r>
      <w:r w:rsidR="000A3F6A" w:rsidRPr="00EA78AF">
        <w:rPr>
          <w:sz w:val="20"/>
          <w:lang w:val="en"/>
        </w:rPr>
        <w:t>4</w:t>
      </w:r>
      <w:r w:rsidR="004F50A1" w:rsidRPr="00EA78AF">
        <w:rPr>
          <w:sz w:val="20"/>
          <w:lang w:val="en"/>
        </w:rPr>
        <w:t xml:space="preserve"> and 20</w:t>
      </w:r>
      <w:r w:rsidR="00C62886" w:rsidRPr="00EA78AF">
        <w:rPr>
          <w:sz w:val="20"/>
          <w:lang w:val="en"/>
        </w:rPr>
        <w:t>2</w:t>
      </w:r>
      <w:r w:rsidR="006A265C" w:rsidRPr="00EA78AF">
        <w:rPr>
          <w:sz w:val="20"/>
          <w:lang w:val="en"/>
        </w:rPr>
        <w:t>1</w:t>
      </w:r>
      <w:r w:rsidR="009B67A1" w:rsidRPr="00EA78AF">
        <w:rPr>
          <w:sz w:val="20"/>
          <w:lang w:val="en"/>
        </w:rPr>
        <w:t xml:space="preserve"> the age</w:t>
      </w:r>
      <w:r w:rsidR="00607AAA" w:rsidRPr="00EA78AF">
        <w:rPr>
          <w:sz w:val="20"/>
          <w:lang w:val="en"/>
        </w:rPr>
        <w:t>-</w:t>
      </w:r>
      <w:r w:rsidR="009B67A1" w:rsidRPr="00EA78AF">
        <w:rPr>
          <w:sz w:val="20"/>
          <w:lang w:val="en"/>
        </w:rPr>
        <w:t xml:space="preserve">standardised incidence rate for </w:t>
      </w:r>
      <w:r w:rsidR="00045CED" w:rsidRPr="00EA78AF">
        <w:rPr>
          <w:sz w:val="20"/>
          <w:lang w:val="en"/>
        </w:rPr>
        <w:t>preventable cancers combined was highest for those living in</w:t>
      </w:r>
      <w:r w:rsidR="00F34179" w:rsidRPr="00EA78AF">
        <w:rPr>
          <w:sz w:val="20"/>
          <w:lang w:val="en"/>
        </w:rPr>
        <w:t xml:space="preserve"> more socioeconomically disadvantaged areas</w:t>
      </w:r>
      <w:r w:rsidR="00045CED" w:rsidRPr="00EA78AF">
        <w:rPr>
          <w:sz w:val="20"/>
          <w:lang w:val="en"/>
        </w:rPr>
        <w:t xml:space="preserve"> </w:t>
      </w:r>
      <w:r w:rsidR="004F50A1" w:rsidRPr="00EA78AF">
        <w:rPr>
          <w:sz w:val="20"/>
          <w:lang w:val="en"/>
        </w:rPr>
        <w:t xml:space="preserve">(SES 1 and 2) compared </w:t>
      </w:r>
      <w:r w:rsidR="001B50BF" w:rsidRPr="00EA78AF">
        <w:rPr>
          <w:sz w:val="20"/>
          <w:lang w:val="en"/>
        </w:rPr>
        <w:t xml:space="preserve">with </w:t>
      </w:r>
      <w:r w:rsidR="00045CED" w:rsidRPr="00EA78AF">
        <w:rPr>
          <w:sz w:val="20"/>
          <w:lang w:val="en"/>
        </w:rPr>
        <w:t xml:space="preserve">those living in the two highest socioeconomic </w:t>
      </w:r>
      <w:r w:rsidR="00F34179" w:rsidRPr="00EA78AF">
        <w:rPr>
          <w:sz w:val="20"/>
          <w:lang w:val="en"/>
        </w:rPr>
        <w:t>area</w:t>
      </w:r>
      <w:r w:rsidR="00045CED" w:rsidRPr="00EA78AF">
        <w:rPr>
          <w:sz w:val="20"/>
          <w:lang w:val="en"/>
        </w:rPr>
        <w:t>s (Figure 1.1).</w:t>
      </w:r>
      <w:r w:rsidR="00875CCD" w:rsidRPr="00EA78AF">
        <w:rPr>
          <w:sz w:val="20"/>
          <w:lang w:val="en"/>
        </w:rPr>
        <w:t xml:space="preserve"> Observed differences</w:t>
      </w:r>
      <w:r w:rsidR="004F50A1" w:rsidRPr="00EA78AF">
        <w:rPr>
          <w:sz w:val="20"/>
          <w:lang w:val="en"/>
        </w:rPr>
        <w:t xml:space="preserve"> between 201</w:t>
      </w:r>
      <w:r w:rsidR="000A3F6A" w:rsidRPr="00EA78AF">
        <w:rPr>
          <w:sz w:val="20"/>
          <w:lang w:val="en"/>
        </w:rPr>
        <w:t>4</w:t>
      </w:r>
      <w:r w:rsidR="004F50A1" w:rsidRPr="00EA78AF">
        <w:rPr>
          <w:sz w:val="20"/>
          <w:lang w:val="en"/>
        </w:rPr>
        <w:t xml:space="preserve"> and 20</w:t>
      </w:r>
      <w:r w:rsidR="00C62886" w:rsidRPr="00EA78AF">
        <w:rPr>
          <w:sz w:val="20"/>
          <w:lang w:val="en"/>
        </w:rPr>
        <w:t>2</w:t>
      </w:r>
      <w:r w:rsidR="006A265C" w:rsidRPr="00EA78AF">
        <w:rPr>
          <w:sz w:val="20"/>
          <w:lang w:val="en"/>
        </w:rPr>
        <w:t>1</w:t>
      </w:r>
      <w:r w:rsidR="00875CCD" w:rsidRPr="00EA78AF">
        <w:rPr>
          <w:sz w:val="20"/>
          <w:lang w:val="en"/>
        </w:rPr>
        <w:t xml:space="preserve"> by remoteness </w:t>
      </w:r>
      <w:r w:rsidR="0001046D" w:rsidRPr="00EA78AF">
        <w:rPr>
          <w:sz w:val="20"/>
          <w:lang w:val="en"/>
        </w:rPr>
        <w:t xml:space="preserve">area </w:t>
      </w:r>
      <w:r w:rsidR="00875CCD" w:rsidRPr="00EA78AF">
        <w:rPr>
          <w:sz w:val="20"/>
          <w:lang w:val="en"/>
        </w:rPr>
        <w:t xml:space="preserve">show that people living </w:t>
      </w:r>
      <w:r w:rsidR="005F747A" w:rsidRPr="00EA78AF">
        <w:rPr>
          <w:sz w:val="20"/>
          <w:lang w:val="en"/>
        </w:rPr>
        <w:t xml:space="preserve">in </w:t>
      </w:r>
      <w:r w:rsidR="00875CCD" w:rsidRPr="00EA78AF">
        <w:rPr>
          <w:sz w:val="20"/>
          <w:lang w:val="en"/>
        </w:rPr>
        <w:t xml:space="preserve">regional (inner and outer) and remote areas </w:t>
      </w:r>
      <w:r w:rsidR="0001046D" w:rsidRPr="00EA78AF">
        <w:rPr>
          <w:sz w:val="20"/>
          <w:lang w:val="en"/>
        </w:rPr>
        <w:t>have</w:t>
      </w:r>
      <w:r w:rsidR="008F0CA4" w:rsidRPr="00EA78AF">
        <w:rPr>
          <w:sz w:val="20"/>
          <w:lang w:val="en"/>
        </w:rPr>
        <w:t xml:space="preserve"> higher incidence rates compared </w:t>
      </w:r>
      <w:r w:rsidR="001B50BF" w:rsidRPr="00EA78AF">
        <w:rPr>
          <w:sz w:val="20"/>
          <w:lang w:val="en"/>
        </w:rPr>
        <w:t>with</w:t>
      </w:r>
      <w:r w:rsidR="008F0CA4" w:rsidRPr="00EA78AF">
        <w:rPr>
          <w:sz w:val="20"/>
          <w:lang w:val="en"/>
        </w:rPr>
        <w:t xml:space="preserve"> Victorians living in major cities (Figure 1.1</w:t>
      </w:r>
      <w:r w:rsidR="00C62886" w:rsidRPr="00EA78AF">
        <w:rPr>
          <w:sz w:val="20"/>
          <w:lang w:val="en"/>
        </w:rPr>
        <w:t>)</w:t>
      </w:r>
      <w:bookmarkStart w:id="78" w:name="_Toc19007990"/>
      <w:bookmarkStart w:id="79" w:name="_Toc19008252"/>
      <w:bookmarkStart w:id="80" w:name="_Toc19008399"/>
      <w:bookmarkStart w:id="81" w:name="_Toc19008546"/>
      <w:bookmarkStart w:id="82" w:name="_Toc132552985"/>
      <w:r w:rsidR="00A12248" w:rsidRPr="0099225F">
        <w:rPr>
          <w:sz w:val="20"/>
        </w:rPr>
        <w:t xml:space="preserve"> </w:t>
      </w:r>
      <w:r w:rsidR="0041111C" w:rsidRPr="0099225F">
        <w:rPr>
          <w:sz w:val="20"/>
        </w:rPr>
        <w:t>Figure 1.1.2</w:t>
      </w:r>
      <w:r w:rsidR="002963FB" w:rsidRPr="0099225F">
        <w:rPr>
          <w:sz w:val="20"/>
        </w:rPr>
        <w:t>:</w:t>
      </w:r>
      <w:r w:rsidR="0041111C" w:rsidRPr="0099225F">
        <w:rPr>
          <w:sz w:val="20"/>
        </w:rPr>
        <w:t xml:space="preserve"> Incidence of preventable cancers in Victoria per 100,000 standardised to the 2001 Australian population, by LGA, 201</w:t>
      </w:r>
      <w:bookmarkEnd w:id="78"/>
      <w:bookmarkEnd w:id="79"/>
      <w:bookmarkEnd w:id="80"/>
      <w:bookmarkEnd w:id="81"/>
      <w:r w:rsidR="0041111C" w:rsidRPr="0099225F">
        <w:rPr>
          <w:sz w:val="20"/>
        </w:rPr>
        <w:t>4, 2017 and 202</w:t>
      </w:r>
      <w:r w:rsidR="008829DF" w:rsidRPr="0099225F">
        <w:rPr>
          <w:sz w:val="20"/>
        </w:rPr>
        <w:t>1</w:t>
      </w:r>
      <w:bookmarkEnd w:id="82"/>
      <w:r w:rsidR="0007076D">
        <w:rPr>
          <w:sz w:val="20"/>
        </w:rPr>
        <w:t>.</w:t>
      </w:r>
    </w:p>
    <w:p w14:paraId="05E91F9C" w14:textId="3CD66497" w:rsidR="0007076D" w:rsidRDefault="0007076D" w:rsidP="0007076D">
      <w:pPr>
        <w:pStyle w:val="Figurecaption"/>
        <w:rPr>
          <w:sz w:val="20"/>
        </w:rPr>
      </w:pPr>
      <w:bookmarkStart w:id="83" w:name="_Toc140827591"/>
      <w:r w:rsidRPr="00FB6A70">
        <w:rPr>
          <w:noProof/>
          <w:sz w:val="20"/>
          <w:lang w:val="en"/>
        </w:rPr>
        <w:lastRenderedPageBreak/>
        <w:drawing>
          <wp:anchor distT="0" distB="0" distL="114300" distR="114300" simplePos="0" relativeHeight="252339200" behindDoc="0" locked="0" layoutInCell="1" allowOverlap="1" wp14:anchorId="61A46071" wp14:editId="3223B1D6">
            <wp:simplePos x="0" y="0"/>
            <wp:positionH relativeFrom="margin">
              <wp:posOffset>-123825</wp:posOffset>
            </wp:positionH>
            <wp:positionV relativeFrom="paragraph">
              <wp:posOffset>812165</wp:posOffset>
            </wp:positionV>
            <wp:extent cx="3188335" cy="4933950"/>
            <wp:effectExtent l="0" t="0" r="0" b="0"/>
            <wp:wrapThrough wrapText="bothSides">
              <wp:wrapPolygon edited="0">
                <wp:start x="0" y="0"/>
                <wp:lineTo x="0" y="21517"/>
                <wp:lineTo x="21424" y="21517"/>
                <wp:lineTo x="21424" y="0"/>
                <wp:lineTo x="0" y="0"/>
              </wp:wrapPolygon>
            </wp:wrapThrough>
            <wp:docPr id="33" name="Picture 33" descr="This figure shows maps of Victoria showing the highest and lowest reported rates of preventable cancers in 2014, 2017 and 2021. The data set is available under 'Measure 1.1 – Incidence of preventable cancers'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his figure shows maps of Victoria showing the highest and lowest reported rates of preventable cancers in 2014, 2017 and 2021. The data set is available under 'Measure 1.1 – Incidence of preventable cancers' in a separate volume, the Victorian cancer plan monitoring and evaluation framework: baseline report: Appendix 2: Datasets available on Cancer care &lt;https://www.health.vic.gov.au/health-strategies/cancer-care&gt;."/>
                    <pic:cNvPicPr/>
                  </pic:nvPicPr>
                  <pic:blipFill>
                    <a:blip r:embed="rId35"/>
                    <a:stretch>
                      <a:fillRect/>
                    </a:stretch>
                  </pic:blipFill>
                  <pic:spPr>
                    <a:xfrm>
                      <a:off x="0" y="0"/>
                      <a:ext cx="3188335" cy="4933950"/>
                    </a:xfrm>
                    <a:prstGeom prst="rect">
                      <a:avLst/>
                    </a:prstGeom>
                  </pic:spPr>
                </pic:pic>
              </a:graphicData>
            </a:graphic>
            <wp14:sizeRelH relativeFrom="margin">
              <wp14:pctWidth>0</wp14:pctWidth>
            </wp14:sizeRelH>
            <wp14:sizeRelV relativeFrom="margin">
              <wp14:pctHeight>0</wp14:pctHeight>
            </wp14:sizeRelV>
          </wp:anchor>
        </w:drawing>
      </w:r>
      <w:r w:rsidRPr="0099225F">
        <w:rPr>
          <w:sz w:val="20"/>
        </w:rPr>
        <w:t>Figure 1.</w:t>
      </w:r>
      <w:r>
        <w:rPr>
          <w:sz w:val="20"/>
        </w:rPr>
        <w:t>1</w:t>
      </w:r>
      <w:r w:rsidRPr="0099225F">
        <w:rPr>
          <w:sz w:val="20"/>
        </w:rPr>
        <w:t xml:space="preserve">.2: Incidence of </w:t>
      </w:r>
      <w:r>
        <w:rPr>
          <w:sz w:val="20"/>
        </w:rPr>
        <w:t>preventable</w:t>
      </w:r>
      <w:r w:rsidRPr="0099225F">
        <w:rPr>
          <w:sz w:val="20"/>
        </w:rPr>
        <w:t xml:space="preserve"> cancer</w:t>
      </w:r>
      <w:r>
        <w:rPr>
          <w:sz w:val="20"/>
        </w:rPr>
        <w:t>s</w:t>
      </w:r>
      <w:r w:rsidRPr="0099225F">
        <w:rPr>
          <w:sz w:val="20"/>
        </w:rPr>
        <w:t xml:space="preserve"> in Victoria per 100,000 standardised to the 2001 Australian population, by Victorian LGA, 2014, 2017 and 2021</w:t>
      </w:r>
      <w:bookmarkEnd w:id="83"/>
    </w:p>
    <w:p w14:paraId="07DDC050" w14:textId="77777777" w:rsidR="00351F18" w:rsidRPr="00351F18" w:rsidRDefault="00351F18" w:rsidP="00351F18">
      <w:pPr>
        <w:pStyle w:val="DHHSbody"/>
      </w:pPr>
    </w:p>
    <w:p w14:paraId="1B40C5C8" w14:textId="3D41F419" w:rsidR="003E23C0" w:rsidRPr="00EA78AF" w:rsidRDefault="00D31025" w:rsidP="00E87AAA">
      <w:pPr>
        <w:pStyle w:val="Body"/>
        <w:rPr>
          <w:sz w:val="20"/>
          <w:lang w:val="en"/>
        </w:rPr>
      </w:pPr>
      <w:r w:rsidRPr="00EA78AF">
        <w:rPr>
          <w:sz w:val="20"/>
          <w:lang w:val="en"/>
        </w:rPr>
        <w:t>Due to the small number of incident canc</w:t>
      </w:r>
      <w:r w:rsidR="004F50A1" w:rsidRPr="00EA78AF">
        <w:rPr>
          <w:sz w:val="20"/>
          <w:lang w:val="en"/>
        </w:rPr>
        <w:t>er cases reported in Victoria between</w:t>
      </w:r>
      <w:r w:rsidRPr="00EA78AF">
        <w:rPr>
          <w:sz w:val="20"/>
          <w:lang w:val="en"/>
        </w:rPr>
        <w:t xml:space="preserve"> </w:t>
      </w:r>
      <w:r w:rsidR="004F50A1" w:rsidRPr="00EA78AF">
        <w:rPr>
          <w:sz w:val="20"/>
          <w:lang w:val="en"/>
        </w:rPr>
        <w:t>201</w:t>
      </w:r>
      <w:r w:rsidR="000A3F6A" w:rsidRPr="00EA78AF">
        <w:rPr>
          <w:sz w:val="20"/>
          <w:lang w:val="en"/>
        </w:rPr>
        <w:t>4</w:t>
      </w:r>
      <w:r w:rsidR="004F50A1" w:rsidRPr="00EA78AF">
        <w:rPr>
          <w:sz w:val="20"/>
          <w:lang w:val="en"/>
        </w:rPr>
        <w:t xml:space="preserve"> and 20</w:t>
      </w:r>
      <w:r w:rsidR="00C62886" w:rsidRPr="00EA78AF">
        <w:rPr>
          <w:sz w:val="20"/>
          <w:lang w:val="en"/>
        </w:rPr>
        <w:t>2</w:t>
      </w:r>
      <w:r w:rsidR="006A265C" w:rsidRPr="00EA78AF">
        <w:rPr>
          <w:sz w:val="20"/>
          <w:lang w:val="en"/>
        </w:rPr>
        <w:t>1</w:t>
      </w:r>
      <w:r w:rsidRPr="00EA78AF">
        <w:rPr>
          <w:sz w:val="20"/>
          <w:lang w:val="en"/>
        </w:rPr>
        <w:t xml:space="preserve">, results of analysis by Aboriginal </w:t>
      </w:r>
      <w:r w:rsidR="00BF714A" w:rsidRPr="00EA78AF">
        <w:rPr>
          <w:sz w:val="20"/>
          <w:lang w:val="en"/>
        </w:rPr>
        <w:t>Victorian</w:t>
      </w:r>
      <w:r w:rsidR="006D57B0" w:rsidRPr="00EA78AF">
        <w:rPr>
          <w:sz w:val="20"/>
          <w:lang w:val="en"/>
        </w:rPr>
        <w:t xml:space="preserve"> </w:t>
      </w:r>
      <w:r w:rsidRPr="00EA78AF">
        <w:rPr>
          <w:sz w:val="20"/>
          <w:lang w:val="en"/>
        </w:rPr>
        <w:t>status should be interpreted with caution.</w:t>
      </w:r>
      <w:r w:rsidR="00952FC7" w:rsidRPr="00EA78AF">
        <w:rPr>
          <w:sz w:val="20"/>
          <w:lang w:val="en"/>
        </w:rPr>
        <w:t xml:space="preserve"> </w:t>
      </w:r>
      <w:r w:rsidR="00497AF5" w:rsidRPr="00EA78AF">
        <w:rPr>
          <w:sz w:val="20"/>
          <w:lang w:val="en"/>
        </w:rPr>
        <w:t>Nevertheless, t</w:t>
      </w:r>
      <w:r w:rsidR="006D57B0" w:rsidRPr="00EA78AF">
        <w:rPr>
          <w:sz w:val="20"/>
          <w:lang w:val="en"/>
        </w:rPr>
        <w:t>he higher</w:t>
      </w:r>
      <w:r w:rsidR="00BF714A" w:rsidRPr="00EA78AF">
        <w:rPr>
          <w:sz w:val="20"/>
          <w:lang w:val="en"/>
        </w:rPr>
        <w:t xml:space="preserve"> Aboriginal Victorian</w:t>
      </w:r>
      <w:r w:rsidR="006D57B0" w:rsidRPr="00EA78AF">
        <w:rPr>
          <w:sz w:val="20"/>
          <w:lang w:val="en"/>
        </w:rPr>
        <w:t xml:space="preserve"> incidence rate</w:t>
      </w:r>
      <w:r w:rsidR="0001046D" w:rsidRPr="00EA78AF">
        <w:rPr>
          <w:sz w:val="20"/>
          <w:lang w:val="en"/>
        </w:rPr>
        <w:t>,</w:t>
      </w:r>
      <w:r w:rsidR="006D57B0" w:rsidRPr="00EA78AF">
        <w:rPr>
          <w:sz w:val="20"/>
          <w:lang w:val="en"/>
        </w:rPr>
        <w:t xml:space="preserve"> </w:t>
      </w:r>
      <w:r w:rsidR="00414FA1" w:rsidRPr="00EA78AF">
        <w:rPr>
          <w:sz w:val="20"/>
          <w:lang w:val="en"/>
        </w:rPr>
        <w:t xml:space="preserve">which </w:t>
      </w:r>
      <w:r w:rsidR="006A265C" w:rsidRPr="00EA78AF">
        <w:rPr>
          <w:sz w:val="20"/>
          <w:lang w:val="en"/>
        </w:rPr>
        <w:t>despite decreasing</w:t>
      </w:r>
      <w:r w:rsidR="00414FA1" w:rsidRPr="00EA78AF">
        <w:rPr>
          <w:sz w:val="20"/>
          <w:lang w:val="en"/>
        </w:rPr>
        <w:t xml:space="preserve"> from </w:t>
      </w:r>
      <w:r w:rsidR="00C62886" w:rsidRPr="00EA78AF">
        <w:rPr>
          <w:sz w:val="20"/>
          <w:lang w:val="en"/>
        </w:rPr>
        <w:t>4</w:t>
      </w:r>
      <w:r w:rsidR="006A265C" w:rsidRPr="00EA78AF">
        <w:rPr>
          <w:sz w:val="20"/>
          <w:lang w:val="en"/>
        </w:rPr>
        <w:t>16</w:t>
      </w:r>
      <w:r w:rsidR="00414FA1" w:rsidRPr="00EA78AF">
        <w:rPr>
          <w:sz w:val="20"/>
          <w:lang w:val="en"/>
        </w:rPr>
        <w:t xml:space="preserve"> per 100,000 population in 201</w:t>
      </w:r>
      <w:r w:rsidR="000A3F6A" w:rsidRPr="00EA78AF">
        <w:rPr>
          <w:sz w:val="20"/>
          <w:lang w:val="en"/>
        </w:rPr>
        <w:t>4</w:t>
      </w:r>
      <w:r w:rsidR="00414FA1" w:rsidRPr="00EA78AF">
        <w:rPr>
          <w:sz w:val="20"/>
          <w:lang w:val="en"/>
        </w:rPr>
        <w:t xml:space="preserve"> to </w:t>
      </w:r>
      <w:r w:rsidR="006A265C" w:rsidRPr="00EA78AF">
        <w:rPr>
          <w:sz w:val="20"/>
          <w:lang w:val="en"/>
        </w:rPr>
        <w:t>375</w:t>
      </w:r>
      <w:r w:rsidR="00414FA1" w:rsidRPr="00EA78AF">
        <w:rPr>
          <w:sz w:val="20"/>
          <w:lang w:val="en"/>
        </w:rPr>
        <w:t xml:space="preserve"> per 100,000 population in 20</w:t>
      </w:r>
      <w:r w:rsidR="00C62886" w:rsidRPr="00EA78AF">
        <w:rPr>
          <w:sz w:val="20"/>
          <w:lang w:val="en"/>
        </w:rPr>
        <w:t>2</w:t>
      </w:r>
      <w:r w:rsidR="006A265C" w:rsidRPr="00EA78AF">
        <w:rPr>
          <w:sz w:val="20"/>
          <w:lang w:val="en"/>
        </w:rPr>
        <w:t>1</w:t>
      </w:r>
      <w:r w:rsidR="0001046D" w:rsidRPr="00EA78AF">
        <w:rPr>
          <w:sz w:val="20"/>
          <w:lang w:val="en"/>
        </w:rPr>
        <w:t>,</w:t>
      </w:r>
      <w:r w:rsidR="00414FA1" w:rsidRPr="00EA78AF">
        <w:rPr>
          <w:sz w:val="20"/>
          <w:lang w:val="en"/>
        </w:rPr>
        <w:t xml:space="preserve"> </w:t>
      </w:r>
      <w:r w:rsidR="006D57B0" w:rsidRPr="00EA78AF">
        <w:rPr>
          <w:sz w:val="20"/>
          <w:lang w:val="en"/>
        </w:rPr>
        <w:t xml:space="preserve">may be related to </w:t>
      </w:r>
      <w:r w:rsidR="009A2A5E" w:rsidRPr="00EA78AF">
        <w:rPr>
          <w:sz w:val="20"/>
          <w:lang w:val="en"/>
        </w:rPr>
        <w:t xml:space="preserve">the </w:t>
      </w:r>
      <w:r w:rsidR="006D57B0" w:rsidRPr="00EA78AF">
        <w:rPr>
          <w:sz w:val="20"/>
          <w:lang w:val="en"/>
        </w:rPr>
        <w:t xml:space="preserve">high prevalence of preventable causal risk factors such as smoking, alcohol consumption and </w:t>
      </w:r>
      <w:r w:rsidR="001B50BF" w:rsidRPr="00EA78AF">
        <w:rPr>
          <w:sz w:val="20"/>
          <w:lang w:val="en"/>
        </w:rPr>
        <w:t>h</w:t>
      </w:r>
      <w:r w:rsidR="006D57B0" w:rsidRPr="00EA78AF">
        <w:rPr>
          <w:sz w:val="20"/>
          <w:lang w:val="en"/>
        </w:rPr>
        <w:t xml:space="preserve">epatitis B infection, along with lower </w:t>
      </w:r>
      <w:r w:rsidR="006D57B0" w:rsidRPr="00EA78AF">
        <w:rPr>
          <w:sz w:val="20"/>
          <w:lang w:val="en"/>
        </w:rPr>
        <w:t xml:space="preserve">participation in cancer screening </w:t>
      </w:r>
      <w:r w:rsidR="00607AAA" w:rsidRPr="00EA78AF">
        <w:rPr>
          <w:sz w:val="20"/>
          <w:lang w:val="en"/>
        </w:rPr>
        <w:t xml:space="preserve">among </w:t>
      </w:r>
      <w:r w:rsidR="00414FA1" w:rsidRPr="00EA78AF">
        <w:rPr>
          <w:sz w:val="20"/>
          <w:lang w:val="en"/>
        </w:rPr>
        <w:t>Aboriginal</w:t>
      </w:r>
      <w:r w:rsidR="006D57B0" w:rsidRPr="00EA78AF">
        <w:rPr>
          <w:sz w:val="20"/>
          <w:lang w:val="en"/>
        </w:rPr>
        <w:t xml:space="preserve"> Victorians.</w:t>
      </w:r>
    </w:p>
    <w:p w14:paraId="05958DF8" w14:textId="3FD9A001" w:rsidR="005C7FDD" w:rsidRPr="00EA78AF" w:rsidRDefault="005C7FDD" w:rsidP="00E87AAA">
      <w:pPr>
        <w:pStyle w:val="Body"/>
        <w:rPr>
          <w:sz w:val="20"/>
        </w:rPr>
      </w:pPr>
      <w:r w:rsidRPr="00EA78AF">
        <w:rPr>
          <w:sz w:val="20"/>
        </w:rPr>
        <w:t>Figure 1.1.1 shows that</w:t>
      </w:r>
      <w:r w:rsidR="009A2A5E" w:rsidRPr="00EA78AF">
        <w:rPr>
          <w:sz w:val="20"/>
        </w:rPr>
        <w:t>,</w:t>
      </w:r>
      <w:r w:rsidRPr="00EA78AF">
        <w:rPr>
          <w:sz w:val="20"/>
        </w:rPr>
        <w:t xml:space="preserve"> </w:t>
      </w:r>
      <w:r w:rsidR="002231F6" w:rsidRPr="00EA78AF">
        <w:rPr>
          <w:sz w:val="20"/>
        </w:rPr>
        <w:t>overall</w:t>
      </w:r>
      <w:r w:rsidR="009A2A5E" w:rsidRPr="00EA78AF">
        <w:rPr>
          <w:sz w:val="20"/>
        </w:rPr>
        <w:t>,</w:t>
      </w:r>
      <w:r w:rsidR="002231F6" w:rsidRPr="00EA78AF">
        <w:rPr>
          <w:sz w:val="20"/>
        </w:rPr>
        <w:t xml:space="preserve"> </w:t>
      </w:r>
      <w:r w:rsidRPr="00EA78AF">
        <w:rPr>
          <w:sz w:val="20"/>
        </w:rPr>
        <w:t xml:space="preserve">metropolitan ICS had lower rates compared </w:t>
      </w:r>
      <w:r w:rsidR="001B50BF" w:rsidRPr="00EA78AF">
        <w:rPr>
          <w:sz w:val="20"/>
        </w:rPr>
        <w:t xml:space="preserve">with </w:t>
      </w:r>
      <w:r w:rsidRPr="00EA78AF">
        <w:rPr>
          <w:sz w:val="20"/>
        </w:rPr>
        <w:t>the regional/rural ICSs</w:t>
      </w:r>
      <w:r w:rsidR="00607AAA" w:rsidRPr="00EA78AF">
        <w:rPr>
          <w:sz w:val="20"/>
        </w:rPr>
        <w:t>,</w:t>
      </w:r>
      <w:r w:rsidRPr="00EA78AF">
        <w:rPr>
          <w:sz w:val="20"/>
        </w:rPr>
        <w:t xml:space="preserve"> which reported an increase in incidence rates over the analysis period, suggesting that the burden of preventable cancers was inequitably distributed across Victoria. </w:t>
      </w:r>
    </w:p>
    <w:p w14:paraId="16740E16" w14:textId="2CB4FEEC" w:rsidR="00FD5129" w:rsidRPr="00EA78AF" w:rsidRDefault="00701337" w:rsidP="00E87AAA">
      <w:pPr>
        <w:pStyle w:val="Body"/>
        <w:rPr>
          <w:sz w:val="20"/>
          <w:highlight w:val="yellow"/>
        </w:rPr>
      </w:pPr>
      <w:r w:rsidRPr="00EA78AF">
        <w:rPr>
          <w:sz w:val="20"/>
        </w:rPr>
        <w:t>Figure 1.1.</w:t>
      </w:r>
      <w:r w:rsidR="005C7FDD" w:rsidRPr="00EA78AF">
        <w:rPr>
          <w:sz w:val="20"/>
        </w:rPr>
        <w:t>2</w:t>
      </w:r>
      <w:r w:rsidRPr="00EA78AF">
        <w:rPr>
          <w:sz w:val="20"/>
        </w:rPr>
        <w:t xml:space="preserve"> visualise</w:t>
      </w:r>
      <w:r w:rsidR="00407EF9" w:rsidRPr="00EA78AF">
        <w:rPr>
          <w:sz w:val="20"/>
        </w:rPr>
        <w:t>s</w:t>
      </w:r>
      <w:r w:rsidRPr="00EA78AF">
        <w:rPr>
          <w:sz w:val="20"/>
        </w:rPr>
        <w:t xml:space="preserve"> the geospatial distribution of the incidence </w:t>
      </w:r>
      <w:r w:rsidR="00D61C17" w:rsidRPr="00EA78AF">
        <w:rPr>
          <w:sz w:val="20"/>
        </w:rPr>
        <w:t xml:space="preserve">rate </w:t>
      </w:r>
      <w:r w:rsidRPr="00EA78AF">
        <w:rPr>
          <w:sz w:val="20"/>
        </w:rPr>
        <w:t xml:space="preserve">of preventable cancers by </w:t>
      </w:r>
      <w:r w:rsidR="005D072A" w:rsidRPr="00EA78AF">
        <w:rPr>
          <w:sz w:val="20"/>
        </w:rPr>
        <w:t>LGA</w:t>
      </w:r>
      <w:r w:rsidRPr="00EA78AF">
        <w:rPr>
          <w:sz w:val="20"/>
        </w:rPr>
        <w:t xml:space="preserve"> and show</w:t>
      </w:r>
      <w:r w:rsidR="00407EF9" w:rsidRPr="00EA78AF">
        <w:rPr>
          <w:sz w:val="20"/>
        </w:rPr>
        <w:t>s</w:t>
      </w:r>
      <w:r w:rsidRPr="00EA78AF">
        <w:rPr>
          <w:sz w:val="20"/>
        </w:rPr>
        <w:t xml:space="preserve"> variations in ra</w:t>
      </w:r>
      <w:r w:rsidR="0001046D" w:rsidRPr="00EA78AF">
        <w:rPr>
          <w:sz w:val="20"/>
        </w:rPr>
        <w:t xml:space="preserve">tes </w:t>
      </w:r>
      <w:r w:rsidR="001F03E2" w:rsidRPr="00EA78AF">
        <w:rPr>
          <w:sz w:val="20"/>
        </w:rPr>
        <w:t>across</w:t>
      </w:r>
      <w:r w:rsidR="0001046D" w:rsidRPr="00EA78AF">
        <w:rPr>
          <w:sz w:val="20"/>
        </w:rPr>
        <w:t xml:space="preserve"> Victoria between 201</w:t>
      </w:r>
      <w:r w:rsidR="000A3F6A" w:rsidRPr="00EA78AF">
        <w:rPr>
          <w:sz w:val="20"/>
        </w:rPr>
        <w:t>4</w:t>
      </w:r>
      <w:r w:rsidR="0001046D" w:rsidRPr="00EA78AF">
        <w:rPr>
          <w:sz w:val="20"/>
        </w:rPr>
        <w:t xml:space="preserve"> and 20</w:t>
      </w:r>
      <w:r w:rsidR="00407EF9" w:rsidRPr="00EA78AF">
        <w:rPr>
          <w:sz w:val="20"/>
        </w:rPr>
        <w:t>2</w:t>
      </w:r>
      <w:r w:rsidR="006A265C" w:rsidRPr="00EA78AF">
        <w:rPr>
          <w:sz w:val="20"/>
        </w:rPr>
        <w:t>1</w:t>
      </w:r>
      <w:r w:rsidR="009A2A5E" w:rsidRPr="00EA78AF">
        <w:rPr>
          <w:sz w:val="20"/>
        </w:rPr>
        <w:t>,</w:t>
      </w:r>
      <w:r w:rsidR="009748EC" w:rsidRPr="00EA78AF">
        <w:rPr>
          <w:sz w:val="20"/>
        </w:rPr>
        <w:t xml:space="preserve"> with </w:t>
      </w:r>
      <w:r w:rsidR="009A2A5E" w:rsidRPr="00EA78AF">
        <w:rPr>
          <w:sz w:val="20"/>
        </w:rPr>
        <w:t xml:space="preserve">the </w:t>
      </w:r>
      <w:r w:rsidR="009748EC" w:rsidRPr="00EA78AF">
        <w:rPr>
          <w:sz w:val="20"/>
        </w:rPr>
        <w:t>highest rates outside of greater Melbourne</w:t>
      </w:r>
      <w:r w:rsidRPr="00EA78AF">
        <w:rPr>
          <w:sz w:val="20"/>
        </w:rPr>
        <w:t>.</w:t>
      </w:r>
      <w:r w:rsidR="00165DC1" w:rsidRPr="00EA78AF">
        <w:rPr>
          <w:sz w:val="20"/>
        </w:rPr>
        <w:t xml:space="preserve"> </w:t>
      </w:r>
      <w:r w:rsidR="00A379CF" w:rsidRPr="00EA78AF">
        <w:rPr>
          <w:sz w:val="20"/>
        </w:rPr>
        <w:t>In total 59.5</w:t>
      </w:r>
      <w:r w:rsidR="0054537F">
        <w:rPr>
          <w:sz w:val="20"/>
        </w:rPr>
        <w:t>%</w:t>
      </w:r>
      <w:r w:rsidR="00796477" w:rsidRPr="00EA78AF">
        <w:rPr>
          <w:sz w:val="20"/>
        </w:rPr>
        <w:t xml:space="preserve"> of the 79 Victorian LGAs </w:t>
      </w:r>
      <w:r w:rsidR="00165DC1" w:rsidRPr="00EA78AF">
        <w:rPr>
          <w:sz w:val="20"/>
        </w:rPr>
        <w:t xml:space="preserve">had higher rates </w:t>
      </w:r>
      <w:r w:rsidR="00D61C17" w:rsidRPr="00EA78AF">
        <w:rPr>
          <w:sz w:val="20"/>
        </w:rPr>
        <w:t>of</w:t>
      </w:r>
      <w:r w:rsidR="00165DC1" w:rsidRPr="00EA78AF">
        <w:rPr>
          <w:sz w:val="20"/>
        </w:rPr>
        <w:t xml:space="preserve"> preventable cancers than the o</w:t>
      </w:r>
      <w:r w:rsidR="0001046D" w:rsidRPr="00EA78AF">
        <w:rPr>
          <w:sz w:val="20"/>
        </w:rPr>
        <w:t xml:space="preserve">verall rate </w:t>
      </w:r>
      <w:r w:rsidR="00796477" w:rsidRPr="00EA78AF">
        <w:rPr>
          <w:sz w:val="20"/>
        </w:rPr>
        <w:t>(3</w:t>
      </w:r>
      <w:r w:rsidR="002231F6" w:rsidRPr="00EA78AF">
        <w:rPr>
          <w:sz w:val="20"/>
        </w:rPr>
        <w:t>39</w:t>
      </w:r>
      <w:r w:rsidR="00796477" w:rsidRPr="00EA78AF">
        <w:rPr>
          <w:sz w:val="20"/>
        </w:rPr>
        <w:t xml:space="preserve"> per 100,000 population) </w:t>
      </w:r>
      <w:r w:rsidR="0001046D" w:rsidRPr="00EA78AF">
        <w:rPr>
          <w:sz w:val="20"/>
        </w:rPr>
        <w:t>for Victoria in 201</w:t>
      </w:r>
      <w:r w:rsidR="00616AF1" w:rsidRPr="00EA78AF">
        <w:rPr>
          <w:sz w:val="20"/>
        </w:rPr>
        <w:t>4</w:t>
      </w:r>
      <w:r w:rsidR="009748EC" w:rsidRPr="00EA78AF">
        <w:rPr>
          <w:sz w:val="20"/>
        </w:rPr>
        <w:t xml:space="preserve"> (Table 1.1b, Appendix 2)</w:t>
      </w:r>
      <w:r w:rsidR="00796477" w:rsidRPr="00EA78AF">
        <w:rPr>
          <w:sz w:val="20"/>
        </w:rPr>
        <w:t>.</w:t>
      </w:r>
      <w:r w:rsidR="0001046D" w:rsidRPr="00EA78AF">
        <w:rPr>
          <w:sz w:val="20"/>
        </w:rPr>
        <w:t xml:space="preserve"> </w:t>
      </w:r>
      <w:r w:rsidR="00A379CF" w:rsidRPr="00EA78AF">
        <w:rPr>
          <w:sz w:val="20"/>
        </w:rPr>
        <w:t>Gannawarra Shire</w:t>
      </w:r>
      <w:r w:rsidR="00616AF1" w:rsidRPr="00EA78AF">
        <w:rPr>
          <w:sz w:val="20"/>
        </w:rPr>
        <w:t xml:space="preserve"> </w:t>
      </w:r>
      <w:r w:rsidR="00796477" w:rsidRPr="00EA78AF">
        <w:rPr>
          <w:sz w:val="20"/>
        </w:rPr>
        <w:t>LGA reported the highest incidence rate (4</w:t>
      </w:r>
      <w:r w:rsidR="00A379CF" w:rsidRPr="00EA78AF">
        <w:rPr>
          <w:sz w:val="20"/>
        </w:rPr>
        <w:t>79</w:t>
      </w:r>
      <w:r w:rsidR="00796477" w:rsidRPr="00EA78AF">
        <w:rPr>
          <w:sz w:val="20"/>
        </w:rPr>
        <w:t xml:space="preserve"> per 100,000 population) </w:t>
      </w:r>
      <w:r w:rsidR="005D44E9" w:rsidRPr="00EA78AF">
        <w:rPr>
          <w:sz w:val="20"/>
        </w:rPr>
        <w:t>and</w:t>
      </w:r>
      <w:r w:rsidR="00A379CF" w:rsidRPr="00EA78AF">
        <w:rPr>
          <w:sz w:val="20"/>
        </w:rPr>
        <w:t xml:space="preserve"> Queenscliffe Borough</w:t>
      </w:r>
      <w:r w:rsidR="00796477" w:rsidRPr="00EA78AF">
        <w:rPr>
          <w:sz w:val="20"/>
        </w:rPr>
        <w:t xml:space="preserve"> </w:t>
      </w:r>
      <w:r w:rsidR="003A7879" w:rsidRPr="00EA78AF">
        <w:rPr>
          <w:sz w:val="20"/>
        </w:rPr>
        <w:t>LGA the lowest incidence rate (2</w:t>
      </w:r>
      <w:r w:rsidR="00A379CF" w:rsidRPr="00EA78AF">
        <w:rPr>
          <w:sz w:val="20"/>
        </w:rPr>
        <w:t>00</w:t>
      </w:r>
      <w:r w:rsidR="003A7879" w:rsidRPr="00EA78AF">
        <w:rPr>
          <w:sz w:val="20"/>
        </w:rPr>
        <w:t xml:space="preserve"> per 100,000 population) in 201</w:t>
      </w:r>
      <w:r w:rsidR="00616AF1" w:rsidRPr="00EA78AF">
        <w:rPr>
          <w:sz w:val="20"/>
        </w:rPr>
        <w:t>4</w:t>
      </w:r>
      <w:r w:rsidR="005D44E9" w:rsidRPr="00EA78AF">
        <w:rPr>
          <w:sz w:val="20"/>
        </w:rPr>
        <w:t xml:space="preserve"> (</w:t>
      </w:r>
      <w:r w:rsidR="00A379CF" w:rsidRPr="00EA78AF">
        <w:rPr>
          <w:sz w:val="20"/>
        </w:rPr>
        <w:t>Table 1.1b, Appendix 2</w:t>
      </w:r>
      <w:r w:rsidR="005D44E9" w:rsidRPr="00EA78AF">
        <w:rPr>
          <w:sz w:val="20"/>
        </w:rPr>
        <w:t>)</w:t>
      </w:r>
      <w:r w:rsidR="003A7879" w:rsidRPr="00EA78AF">
        <w:rPr>
          <w:sz w:val="20"/>
        </w:rPr>
        <w:t>.</w:t>
      </w:r>
      <w:r w:rsidR="00952FC7" w:rsidRPr="00EA78AF">
        <w:rPr>
          <w:sz w:val="20"/>
        </w:rPr>
        <w:t xml:space="preserve"> </w:t>
      </w:r>
      <w:r w:rsidR="00BC56E0" w:rsidRPr="00EA78AF">
        <w:rPr>
          <w:sz w:val="20"/>
        </w:rPr>
        <w:t xml:space="preserve">By comparison, </w:t>
      </w:r>
      <w:r w:rsidR="004323CD" w:rsidRPr="00EA78AF">
        <w:rPr>
          <w:sz w:val="20"/>
        </w:rPr>
        <w:t>6</w:t>
      </w:r>
      <w:r w:rsidR="00D86BC0" w:rsidRPr="00EA78AF">
        <w:rPr>
          <w:sz w:val="20"/>
        </w:rPr>
        <w:t>9.6</w:t>
      </w:r>
      <w:r w:rsidR="0054537F">
        <w:rPr>
          <w:sz w:val="20"/>
        </w:rPr>
        <w:t>%</w:t>
      </w:r>
      <w:r w:rsidR="00BC56E0" w:rsidRPr="00EA78AF">
        <w:rPr>
          <w:sz w:val="20"/>
        </w:rPr>
        <w:t xml:space="preserve"> of the 79 LGAs had high</w:t>
      </w:r>
      <w:r w:rsidR="00B55FF0" w:rsidRPr="00EA78AF">
        <w:rPr>
          <w:sz w:val="20"/>
        </w:rPr>
        <w:t>er</w:t>
      </w:r>
      <w:r w:rsidR="00BC56E0" w:rsidRPr="00EA78AF">
        <w:rPr>
          <w:sz w:val="20"/>
        </w:rPr>
        <w:t xml:space="preserve"> incidence rates </w:t>
      </w:r>
      <w:r w:rsidR="00D61C17" w:rsidRPr="00EA78AF">
        <w:rPr>
          <w:sz w:val="20"/>
        </w:rPr>
        <w:t>of</w:t>
      </w:r>
      <w:r w:rsidR="00BC56E0" w:rsidRPr="00EA78AF">
        <w:rPr>
          <w:sz w:val="20"/>
        </w:rPr>
        <w:t xml:space="preserve"> preventable cancers than the overall rate (3</w:t>
      </w:r>
      <w:r w:rsidR="00D86BC0" w:rsidRPr="00EA78AF">
        <w:rPr>
          <w:sz w:val="20"/>
        </w:rPr>
        <w:t>21</w:t>
      </w:r>
      <w:r w:rsidR="00BC56E0" w:rsidRPr="00EA78AF">
        <w:rPr>
          <w:sz w:val="20"/>
        </w:rPr>
        <w:t xml:space="preserve"> per 100,000 population) for Victoria in 20</w:t>
      </w:r>
      <w:r w:rsidR="00A35B07" w:rsidRPr="00EA78AF">
        <w:rPr>
          <w:sz w:val="20"/>
        </w:rPr>
        <w:t>2</w:t>
      </w:r>
      <w:r w:rsidR="00D86BC0" w:rsidRPr="00EA78AF">
        <w:rPr>
          <w:sz w:val="20"/>
        </w:rPr>
        <w:t>1</w:t>
      </w:r>
      <w:r w:rsidR="00BC56E0" w:rsidRPr="00EA78AF">
        <w:rPr>
          <w:sz w:val="20"/>
        </w:rPr>
        <w:t>.</w:t>
      </w:r>
      <w:r w:rsidR="004323CD" w:rsidRPr="00EA78AF">
        <w:rPr>
          <w:sz w:val="20"/>
        </w:rPr>
        <w:t xml:space="preserve"> </w:t>
      </w:r>
      <w:r w:rsidR="00C37410" w:rsidRPr="00EA78AF">
        <w:rPr>
          <w:sz w:val="20"/>
        </w:rPr>
        <w:t>Benalla</w:t>
      </w:r>
      <w:r w:rsidR="004323CD" w:rsidRPr="00EA78AF">
        <w:rPr>
          <w:sz w:val="20"/>
        </w:rPr>
        <w:t xml:space="preserve"> </w:t>
      </w:r>
      <w:r w:rsidR="00C37410" w:rsidRPr="00EA78AF">
        <w:rPr>
          <w:sz w:val="20"/>
        </w:rPr>
        <w:t xml:space="preserve">Rural City </w:t>
      </w:r>
      <w:r w:rsidR="005D44E9" w:rsidRPr="00EA78AF">
        <w:rPr>
          <w:sz w:val="20"/>
        </w:rPr>
        <w:t>LGA reported the highest incidence rate (</w:t>
      </w:r>
      <w:r w:rsidR="00C37410" w:rsidRPr="00EA78AF">
        <w:rPr>
          <w:sz w:val="20"/>
        </w:rPr>
        <w:t>465</w:t>
      </w:r>
      <w:r w:rsidR="005D44E9" w:rsidRPr="00EA78AF">
        <w:rPr>
          <w:sz w:val="20"/>
        </w:rPr>
        <w:t xml:space="preserve"> per 100,000 population) and th</w:t>
      </w:r>
      <w:r w:rsidR="004323CD" w:rsidRPr="00EA78AF">
        <w:rPr>
          <w:sz w:val="20"/>
        </w:rPr>
        <w:t xml:space="preserve">e </w:t>
      </w:r>
      <w:r w:rsidR="00D86BC0" w:rsidRPr="00EA78AF">
        <w:rPr>
          <w:sz w:val="20"/>
        </w:rPr>
        <w:t>Lodd</w:t>
      </w:r>
      <w:r w:rsidR="00B75C78">
        <w:rPr>
          <w:sz w:val="20"/>
        </w:rPr>
        <w:t>o</w:t>
      </w:r>
      <w:r w:rsidR="00D86BC0" w:rsidRPr="00EA78AF">
        <w:rPr>
          <w:sz w:val="20"/>
        </w:rPr>
        <w:t>n</w:t>
      </w:r>
      <w:r w:rsidR="005D44E9" w:rsidRPr="00EA78AF">
        <w:rPr>
          <w:sz w:val="20"/>
        </w:rPr>
        <w:t xml:space="preserve"> Shire</w:t>
      </w:r>
      <w:r w:rsidR="000835E0" w:rsidRPr="00EA78AF">
        <w:rPr>
          <w:sz w:val="20"/>
        </w:rPr>
        <w:t xml:space="preserve"> </w:t>
      </w:r>
      <w:r w:rsidR="005D44E9" w:rsidRPr="00EA78AF">
        <w:rPr>
          <w:sz w:val="20"/>
        </w:rPr>
        <w:t>LGA the lowest (2</w:t>
      </w:r>
      <w:r w:rsidR="004323CD" w:rsidRPr="00EA78AF">
        <w:rPr>
          <w:sz w:val="20"/>
        </w:rPr>
        <w:t>4</w:t>
      </w:r>
      <w:r w:rsidR="00C37410" w:rsidRPr="00EA78AF">
        <w:rPr>
          <w:sz w:val="20"/>
        </w:rPr>
        <w:t>9</w:t>
      </w:r>
      <w:r w:rsidR="005D44E9" w:rsidRPr="00EA78AF">
        <w:rPr>
          <w:sz w:val="20"/>
        </w:rPr>
        <w:t xml:space="preserve"> per 100,000 population in 20</w:t>
      </w:r>
      <w:r w:rsidR="004323CD" w:rsidRPr="00EA78AF">
        <w:rPr>
          <w:sz w:val="20"/>
        </w:rPr>
        <w:t>2</w:t>
      </w:r>
      <w:r w:rsidR="00D86BC0" w:rsidRPr="00EA78AF">
        <w:rPr>
          <w:sz w:val="20"/>
        </w:rPr>
        <w:t>1</w:t>
      </w:r>
      <w:r w:rsidR="005D44E9" w:rsidRPr="00EA78AF">
        <w:rPr>
          <w:sz w:val="20"/>
        </w:rPr>
        <w:t xml:space="preserve"> (</w:t>
      </w:r>
      <w:r w:rsidR="004323CD" w:rsidRPr="00EA78AF">
        <w:rPr>
          <w:sz w:val="20"/>
        </w:rPr>
        <w:t>Table 1.1d, Appendix 2</w:t>
      </w:r>
      <w:r w:rsidR="005D44E9" w:rsidRPr="00EA78AF">
        <w:rPr>
          <w:sz w:val="20"/>
        </w:rPr>
        <w:t>)</w:t>
      </w:r>
      <w:r w:rsidR="00AB4A70" w:rsidRPr="00EA78AF">
        <w:rPr>
          <w:sz w:val="20"/>
        </w:rPr>
        <w:t>.</w:t>
      </w:r>
      <w:r w:rsidR="00952FC7" w:rsidRPr="00EA78AF">
        <w:rPr>
          <w:sz w:val="20"/>
        </w:rPr>
        <w:t xml:space="preserve"> </w:t>
      </w:r>
      <w:r w:rsidR="00AB4A70" w:rsidRPr="00EA78AF">
        <w:rPr>
          <w:sz w:val="20"/>
        </w:rPr>
        <w:t>Overall, m</w:t>
      </w:r>
      <w:r w:rsidR="00CD7585" w:rsidRPr="00EA78AF">
        <w:rPr>
          <w:sz w:val="20"/>
        </w:rPr>
        <w:t xml:space="preserve">ost of the </w:t>
      </w:r>
      <w:r w:rsidR="00AB4A70" w:rsidRPr="00EA78AF">
        <w:rPr>
          <w:sz w:val="20"/>
        </w:rPr>
        <w:t xml:space="preserve">79 LGAs </w:t>
      </w:r>
      <w:r w:rsidR="00CD7585" w:rsidRPr="00EA78AF">
        <w:rPr>
          <w:sz w:val="20"/>
        </w:rPr>
        <w:t xml:space="preserve">reported slight </w:t>
      </w:r>
      <w:r w:rsidR="00224B68" w:rsidRPr="00EA78AF">
        <w:rPr>
          <w:sz w:val="20"/>
        </w:rPr>
        <w:t>fluctuations</w:t>
      </w:r>
      <w:r w:rsidR="00CD7585" w:rsidRPr="00EA78AF">
        <w:rPr>
          <w:sz w:val="20"/>
        </w:rPr>
        <w:t xml:space="preserve"> in</w:t>
      </w:r>
      <w:r w:rsidR="0001046D" w:rsidRPr="00EA78AF">
        <w:rPr>
          <w:sz w:val="20"/>
        </w:rPr>
        <w:t xml:space="preserve"> the incidence rate between 201</w:t>
      </w:r>
      <w:r w:rsidR="00616AF1" w:rsidRPr="00EA78AF">
        <w:rPr>
          <w:sz w:val="20"/>
        </w:rPr>
        <w:t>4</w:t>
      </w:r>
      <w:r w:rsidR="0001046D" w:rsidRPr="00EA78AF">
        <w:rPr>
          <w:sz w:val="20"/>
        </w:rPr>
        <w:t xml:space="preserve"> and 20</w:t>
      </w:r>
      <w:r w:rsidR="000252CC" w:rsidRPr="00EA78AF">
        <w:rPr>
          <w:sz w:val="20"/>
        </w:rPr>
        <w:t>2</w:t>
      </w:r>
      <w:r w:rsidR="00D86BC0" w:rsidRPr="00EA78AF">
        <w:rPr>
          <w:sz w:val="20"/>
        </w:rPr>
        <w:t>1</w:t>
      </w:r>
      <w:r w:rsidR="00A0405C" w:rsidRPr="00EA78AF">
        <w:rPr>
          <w:sz w:val="20"/>
        </w:rPr>
        <w:t>,</w:t>
      </w:r>
      <w:r w:rsidR="00CD7585" w:rsidRPr="00EA78AF">
        <w:rPr>
          <w:sz w:val="20"/>
        </w:rPr>
        <w:t xml:space="preserve"> but the most significant was the </w:t>
      </w:r>
      <w:r w:rsidR="00224B68" w:rsidRPr="00EA78AF">
        <w:rPr>
          <w:sz w:val="20"/>
        </w:rPr>
        <w:t>Alpine Shire</w:t>
      </w:r>
      <w:r w:rsidR="000835E0" w:rsidRPr="00EA78AF">
        <w:rPr>
          <w:sz w:val="20"/>
        </w:rPr>
        <w:t xml:space="preserve"> </w:t>
      </w:r>
      <w:r w:rsidR="00472E70" w:rsidRPr="00EA78AF">
        <w:rPr>
          <w:sz w:val="20"/>
        </w:rPr>
        <w:t>(rural LGA)</w:t>
      </w:r>
      <w:r w:rsidR="00607AAA" w:rsidRPr="00EA78AF">
        <w:rPr>
          <w:sz w:val="20"/>
        </w:rPr>
        <w:t>,</w:t>
      </w:r>
      <w:r w:rsidR="00472E70" w:rsidRPr="00EA78AF">
        <w:rPr>
          <w:sz w:val="20"/>
        </w:rPr>
        <w:t xml:space="preserve"> </w:t>
      </w:r>
      <w:r w:rsidR="00224B68" w:rsidRPr="00EA78AF">
        <w:rPr>
          <w:sz w:val="20"/>
        </w:rPr>
        <w:t>which reported a dramatic decrease from 3</w:t>
      </w:r>
      <w:r w:rsidR="00A35B07" w:rsidRPr="00EA78AF">
        <w:rPr>
          <w:sz w:val="20"/>
        </w:rPr>
        <w:t>6</w:t>
      </w:r>
      <w:r w:rsidR="00DC24D0" w:rsidRPr="00EA78AF">
        <w:rPr>
          <w:sz w:val="20"/>
        </w:rPr>
        <w:t>9</w:t>
      </w:r>
      <w:r w:rsidR="00224B68" w:rsidRPr="00EA78AF">
        <w:rPr>
          <w:sz w:val="20"/>
        </w:rPr>
        <w:t xml:space="preserve"> per 100,000 population in 201</w:t>
      </w:r>
      <w:r w:rsidR="00616AF1" w:rsidRPr="00EA78AF">
        <w:rPr>
          <w:sz w:val="20"/>
        </w:rPr>
        <w:t>4</w:t>
      </w:r>
      <w:r w:rsidR="00224B68" w:rsidRPr="00EA78AF">
        <w:rPr>
          <w:sz w:val="20"/>
        </w:rPr>
        <w:t xml:space="preserve"> to </w:t>
      </w:r>
      <w:r w:rsidR="00DC24D0" w:rsidRPr="00EA78AF">
        <w:rPr>
          <w:sz w:val="20"/>
        </w:rPr>
        <w:t>294</w:t>
      </w:r>
      <w:r w:rsidR="00224B68" w:rsidRPr="00EA78AF">
        <w:rPr>
          <w:sz w:val="20"/>
        </w:rPr>
        <w:t xml:space="preserve"> per 100,000 population in 20</w:t>
      </w:r>
      <w:r w:rsidR="00A35B07" w:rsidRPr="00EA78AF">
        <w:rPr>
          <w:sz w:val="20"/>
        </w:rPr>
        <w:t>2</w:t>
      </w:r>
      <w:r w:rsidR="00DC24D0" w:rsidRPr="00EA78AF">
        <w:rPr>
          <w:sz w:val="20"/>
        </w:rPr>
        <w:t>1</w:t>
      </w:r>
      <w:r w:rsidR="000863AD" w:rsidRPr="00EA78AF">
        <w:rPr>
          <w:sz w:val="20"/>
        </w:rPr>
        <w:t xml:space="preserve"> (Table 1.1d, Appendix 2)</w:t>
      </w:r>
      <w:r w:rsidR="00224B68" w:rsidRPr="00EA78AF">
        <w:rPr>
          <w:sz w:val="20"/>
        </w:rPr>
        <w:t>.</w:t>
      </w:r>
    </w:p>
    <w:p w14:paraId="511507FD" w14:textId="5353FAA9" w:rsidR="00A12248" w:rsidRDefault="00383E76" w:rsidP="00E87AAA">
      <w:pPr>
        <w:pStyle w:val="Body"/>
        <w:rPr>
          <w:rStyle w:val="DHHSbodyChar"/>
          <w:sz w:val="20"/>
        </w:rPr>
        <w:sectPr w:rsidR="00A12248" w:rsidSect="00A12248">
          <w:type w:val="continuous"/>
          <w:pgSz w:w="11906" w:h="16838"/>
          <w:pgMar w:top="1411" w:right="1310" w:bottom="1138" w:left="1310" w:header="454" w:footer="510" w:gutter="0"/>
          <w:cols w:num="2" w:space="853"/>
          <w:docGrid w:linePitch="360"/>
        </w:sectPr>
      </w:pPr>
      <w:r w:rsidRPr="00EA78AF">
        <w:rPr>
          <w:rStyle w:val="DHHSbodyChar"/>
          <w:sz w:val="20"/>
        </w:rPr>
        <w:t>The target</w:t>
      </w:r>
      <w:r w:rsidR="00076615" w:rsidRPr="00EA78AF">
        <w:rPr>
          <w:rStyle w:val="DHHSbodyChar"/>
          <w:sz w:val="20"/>
        </w:rPr>
        <w:t xml:space="preserve"> set</w:t>
      </w:r>
      <w:r w:rsidRPr="00EA78AF">
        <w:rPr>
          <w:rStyle w:val="DHHSbodyChar"/>
          <w:sz w:val="20"/>
        </w:rPr>
        <w:t xml:space="preserve"> for this measure is </w:t>
      </w:r>
      <w:r w:rsidR="003E23C0" w:rsidRPr="00EA78AF">
        <w:rPr>
          <w:rStyle w:val="DHHSbodyChar"/>
          <w:sz w:val="20"/>
        </w:rPr>
        <w:t xml:space="preserve">that the proportion of Victorians diagnosed with preventable cancers is halved by 2040 from the </w:t>
      </w:r>
      <w:r w:rsidR="001150F9" w:rsidRPr="00EA78AF">
        <w:rPr>
          <w:rStyle w:val="DHHSbodyChar"/>
          <w:sz w:val="20"/>
        </w:rPr>
        <w:t>baseline</w:t>
      </w:r>
      <w:r w:rsidR="00AA2D1E" w:rsidRPr="00EA78AF">
        <w:rPr>
          <w:rStyle w:val="DHHSbodyChar"/>
          <w:sz w:val="20"/>
        </w:rPr>
        <w:t>.</w:t>
      </w:r>
      <w:r w:rsidR="00952FC7" w:rsidRPr="00EA78AF">
        <w:rPr>
          <w:rStyle w:val="DHHSbodyChar"/>
          <w:sz w:val="20"/>
        </w:rPr>
        <w:t xml:space="preserve"> </w:t>
      </w:r>
      <w:r w:rsidR="00AA2D1E" w:rsidRPr="00EA78AF">
        <w:rPr>
          <w:rStyle w:val="DHHSbodyChar"/>
          <w:sz w:val="20"/>
        </w:rPr>
        <w:t>Currently Victoria</w:t>
      </w:r>
      <w:r w:rsidR="001150F9" w:rsidRPr="00EA78AF">
        <w:rPr>
          <w:rStyle w:val="DHHSbodyChar"/>
          <w:sz w:val="20"/>
        </w:rPr>
        <w:t xml:space="preserve"> </w:t>
      </w:r>
      <w:r w:rsidR="00C47450" w:rsidRPr="00EA78AF">
        <w:rPr>
          <w:rStyle w:val="DHHSbodyChar"/>
          <w:sz w:val="20"/>
        </w:rPr>
        <w:t>appears to be</w:t>
      </w:r>
      <w:r w:rsidR="00404C9F" w:rsidRPr="00EA78AF">
        <w:rPr>
          <w:rStyle w:val="DHHSbodyChar"/>
          <w:sz w:val="20"/>
        </w:rPr>
        <w:t xml:space="preserve"> on track</w:t>
      </w:r>
      <w:r w:rsidR="0053048C" w:rsidRPr="00EA78AF">
        <w:rPr>
          <w:rStyle w:val="DHHSbodyChar"/>
          <w:sz w:val="20"/>
        </w:rPr>
        <w:t xml:space="preserve"> to meet this target</w:t>
      </w:r>
      <w:r w:rsidR="00A0405C" w:rsidRPr="00EA78AF">
        <w:rPr>
          <w:rStyle w:val="DHHSbodyChar"/>
          <w:sz w:val="20"/>
        </w:rPr>
        <w:t>;</w:t>
      </w:r>
      <w:r w:rsidR="00C47450" w:rsidRPr="00EA78AF">
        <w:rPr>
          <w:rStyle w:val="DHHSbodyChar"/>
          <w:sz w:val="20"/>
        </w:rPr>
        <w:t xml:space="preserve"> however</w:t>
      </w:r>
      <w:r w:rsidR="00A0405C" w:rsidRPr="00EA78AF">
        <w:rPr>
          <w:rStyle w:val="DHHSbodyChar"/>
          <w:sz w:val="20"/>
        </w:rPr>
        <w:t>,</w:t>
      </w:r>
      <w:r w:rsidR="00C47450" w:rsidRPr="00EA78AF">
        <w:rPr>
          <w:rStyle w:val="DHHSbodyChar"/>
          <w:sz w:val="20"/>
        </w:rPr>
        <w:t xml:space="preserve"> </w:t>
      </w:r>
      <w:r w:rsidR="00861D3E" w:rsidRPr="00EA78AF">
        <w:rPr>
          <w:rStyle w:val="DHHSbodyChar"/>
          <w:sz w:val="20"/>
        </w:rPr>
        <w:t xml:space="preserve">further illuminations of risk factors would </w:t>
      </w:r>
      <w:r w:rsidR="00A06758" w:rsidRPr="00EA78AF">
        <w:rPr>
          <w:rStyle w:val="DHHSbodyChar"/>
          <w:sz w:val="20"/>
        </w:rPr>
        <w:t xml:space="preserve">also </w:t>
      </w:r>
      <w:r w:rsidR="00A0405C" w:rsidRPr="00EA78AF">
        <w:rPr>
          <w:rStyle w:val="DHHSbodyChar"/>
          <w:sz w:val="20"/>
        </w:rPr>
        <w:t>help</w:t>
      </w:r>
      <w:r w:rsidR="00A0405C">
        <w:rPr>
          <w:rStyle w:val="DHHSbodyChar"/>
        </w:rPr>
        <w:t xml:space="preserve"> </w:t>
      </w:r>
      <w:r w:rsidR="00861D3E" w:rsidRPr="00EA78AF">
        <w:rPr>
          <w:rStyle w:val="DHHSbodyChar"/>
          <w:sz w:val="20"/>
        </w:rPr>
        <w:t>identify various opportunities for prevention</w:t>
      </w:r>
      <w:r w:rsidR="00F45792">
        <w:rPr>
          <w:rStyle w:val="DHHSbodyChar"/>
          <w:sz w:val="20"/>
        </w:rPr>
        <w:t>.</w:t>
      </w:r>
    </w:p>
    <w:p w14:paraId="6338B38E" w14:textId="04789680" w:rsidR="00A12248" w:rsidRDefault="00861D3E" w:rsidP="00A12248">
      <w:pPr>
        <w:pStyle w:val="Body"/>
        <w:rPr>
          <w:b/>
          <w:bCs/>
          <w:sz w:val="28"/>
          <w:szCs w:val="28"/>
        </w:rPr>
        <w:sectPr w:rsidR="00A12248" w:rsidSect="009302EB">
          <w:type w:val="continuous"/>
          <w:pgSz w:w="11906" w:h="16838"/>
          <w:pgMar w:top="1411" w:right="1310" w:bottom="1138" w:left="1310" w:header="454" w:footer="510" w:gutter="0"/>
          <w:cols w:space="720"/>
          <w:docGrid w:linePitch="360"/>
        </w:sectPr>
      </w:pPr>
      <w:r w:rsidRPr="00EA78AF">
        <w:rPr>
          <w:rStyle w:val="DHHSbodyChar"/>
          <w:sz w:val="20"/>
        </w:rPr>
        <w:t>.</w:t>
      </w:r>
      <w:bookmarkStart w:id="84" w:name="_Measure_1.2_–"/>
      <w:bookmarkStart w:id="85" w:name="_Toc19007992"/>
      <w:bookmarkEnd w:id="84"/>
      <w:r w:rsidR="00A12248">
        <w:rPr>
          <w:b/>
          <w:bCs/>
          <w:sz w:val="28"/>
          <w:szCs w:val="28"/>
        </w:rPr>
        <w:t xml:space="preserve"> </w:t>
      </w:r>
    </w:p>
    <w:p w14:paraId="34965FDD" w14:textId="4487761F" w:rsidR="00E10792" w:rsidRPr="00E81955" w:rsidRDefault="00E8458B" w:rsidP="00A451D4">
      <w:pPr>
        <w:pStyle w:val="Heading3"/>
        <w:rPr>
          <w:b/>
          <w:bCs w:val="0"/>
          <w:sz w:val="28"/>
          <w:szCs w:val="28"/>
        </w:rPr>
      </w:pPr>
      <w:r w:rsidRPr="00E81955">
        <w:rPr>
          <w:b/>
          <w:bCs w:val="0"/>
          <w:sz w:val="28"/>
          <w:szCs w:val="28"/>
        </w:rPr>
        <w:lastRenderedPageBreak/>
        <w:t xml:space="preserve">Measure 1.2 – </w:t>
      </w:r>
      <w:r w:rsidR="006624DA" w:rsidRPr="00E81955">
        <w:rPr>
          <w:b/>
          <w:bCs w:val="0"/>
          <w:sz w:val="28"/>
          <w:szCs w:val="28"/>
        </w:rPr>
        <w:t xml:space="preserve">Lifetime risk of cancer before the age of </w:t>
      </w:r>
      <w:r w:rsidR="00D01BB7" w:rsidRPr="00E81955">
        <w:rPr>
          <w:b/>
          <w:bCs w:val="0"/>
          <w:sz w:val="28"/>
          <w:szCs w:val="28"/>
        </w:rPr>
        <w:t>8</w:t>
      </w:r>
      <w:r w:rsidR="006624DA" w:rsidRPr="00E81955">
        <w:rPr>
          <w:b/>
          <w:bCs w:val="0"/>
          <w:sz w:val="28"/>
          <w:szCs w:val="28"/>
        </w:rPr>
        <w:t>5 years</w:t>
      </w:r>
      <w:bookmarkEnd w:id="85"/>
    </w:p>
    <w:p w14:paraId="3BC3C1A1" w14:textId="093249D8" w:rsidR="009A2DF4" w:rsidRPr="0099225F" w:rsidRDefault="00C708FF" w:rsidP="00FA314C">
      <w:pPr>
        <w:pStyle w:val="Figurecaption"/>
        <w:rPr>
          <w:sz w:val="20"/>
        </w:rPr>
      </w:pPr>
      <w:bookmarkStart w:id="86" w:name="_Toc19007993"/>
      <w:bookmarkStart w:id="87" w:name="_Toc19008254"/>
      <w:bookmarkStart w:id="88" w:name="_Toc19008401"/>
      <w:bookmarkStart w:id="89" w:name="_Toc19008548"/>
      <w:bookmarkStart w:id="90" w:name="_Toc132552986"/>
      <w:bookmarkStart w:id="91" w:name="_Toc140827592"/>
      <w:r w:rsidRPr="0099225F">
        <w:rPr>
          <w:sz w:val="20"/>
        </w:rPr>
        <w:t>Figure 1.2</w:t>
      </w:r>
      <w:r w:rsidR="002963FB" w:rsidRPr="0099225F">
        <w:rPr>
          <w:sz w:val="20"/>
        </w:rPr>
        <w:t>:</w:t>
      </w:r>
      <w:r w:rsidR="00825D76" w:rsidRPr="0099225F">
        <w:rPr>
          <w:sz w:val="20"/>
        </w:rPr>
        <w:t xml:space="preserve"> Lifetime risk of cancer before the age of </w:t>
      </w:r>
      <w:r w:rsidR="00D01BB7" w:rsidRPr="0099225F">
        <w:rPr>
          <w:sz w:val="20"/>
        </w:rPr>
        <w:t>85</w:t>
      </w:r>
      <w:r w:rsidR="00825D76" w:rsidRPr="0099225F">
        <w:rPr>
          <w:sz w:val="20"/>
        </w:rPr>
        <w:t xml:space="preserve"> years by year, 201</w:t>
      </w:r>
      <w:r w:rsidR="00A61D0A" w:rsidRPr="0099225F">
        <w:rPr>
          <w:sz w:val="20"/>
        </w:rPr>
        <w:t>4</w:t>
      </w:r>
      <w:r w:rsidR="00482495" w:rsidRPr="0099225F">
        <w:rPr>
          <w:sz w:val="20"/>
        </w:rPr>
        <w:t>, 2017</w:t>
      </w:r>
      <w:r w:rsidR="00825D76" w:rsidRPr="0099225F">
        <w:rPr>
          <w:sz w:val="20"/>
        </w:rPr>
        <w:t xml:space="preserve"> and 20</w:t>
      </w:r>
      <w:bookmarkEnd w:id="86"/>
      <w:bookmarkEnd w:id="87"/>
      <w:bookmarkEnd w:id="88"/>
      <w:bookmarkEnd w:id="89"/>
      <w:r w:rsidR="00482495" w:rsidRPr="0099225F">
        <w:rPr>
          <w:sz w:val="20"/>
        </w:rPr>
        <w:t>2</w:t>
      </w:r>
      <w:r w:rsidR="00A94257" w:rsidRPr="0099225F">
        <w:rPr>
          <w:sz w:val="20"/>
        </w:rPr>
        <w:t>1</w:t>
      </w:r>
      <w:bookmarkEnd w:id="90"/>
      <w:bookmarkEnd w:id="91"/>
    </w:p>
    <w:p w14:paraId="4162C424" w14:textId="245866A1" w:rsidR="009D53AD" w:rsidRPr="009D53AD" w:rsidRDefault="009D53AD" w:rsidP="00E87AAA">
      <w:pPr>
        <w:pStyle w:val="Body"/>
      </w:pPr>
      <w:r>
        <w:rPr>
          <w:noProof/>
        </w:rPr>
        <w:drawing>
          <wp:inline distT="0" distB="0" distL="0" distR="0" wp14:anchorId="6E65FBE3" wp14:editId="5A71AC9C">
            <wp:extent cx="6086352" cy="5993295"/>
            <wp:effectExtent l="0" t="0" r="0" b="7620"/>
            <wp:docPr id="46" name="Picture 46" descr="This figure (presented as a forest plot) shows a data summary of 'Measure 1.2 – Lifetime risk of cancer before the age of 85 years'. The data is broken down by the following category: All Victorians, Aboriginal Victorians, sex, socioeconomic status and remoteness.  The data set is available under 'Measure 1.2 – Lifetime risk of cancer before the age of 85 years'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his figure (presented as a forest plot) shows a data summary of 'Measure 1.2 – Lifetime risk of cancer before the age of 85 years'. The data is broken down by the following category: All Victorians, Aboriginal Victorians, sex, socioeconomic status and remoteness.  The data set is available under 'Measure 1.2 – Lifetime risk of cancer before the age of 85 years' in a separate volume, the Victorian cancer plan monitoring and evaluation framework: baseline report: Appendix 2: Datasets available on Cancer care &lt;https://www.health.vic.gov.au/health-strategies/cancer-care&gt;."/>
                    <pic:cNvPicPr/>
                  </pic:nvPicPr>
                  <pic:blipFill>
                    <a:blip r:embed="rId36"/>
                    <a:stretch>
                      <a:fillRect/>
                    </a:stretch>
                  </pic:blipFill>
                  <pic:spPr>
                    <a:xfrm>
                      <a:off x="0" y="0"/>
                      <a:ext cx="6114982" cy="6021488"/>
                    </a:xfrm>
                    <a:prstGeom prst="rect">
                      <a:avLst/>
                    </a:prstGeom>
                  </pic:spPr>
                </pic:pic>
              </a:graphicData>
            </a:graphic>
          </wp:inline>
        </w:drawing>
      </w:r>
    </w:p>
    <w:p w14:paraId="4809E5AE" w14:textId="4EBD6C08" w:rsidR="00B11993" w:rsidRPr="0057553C" w:rsidRDefault="009A2DF4" w:rsidP="00FA1AAC">
      <w:pPr>
        <w:pStyle w:val="Tablefigurenote"/>
        <w:rPr>
          <w:i/>
          <w:iCs/>
          <w:sz w:val="18"/>
          <w:szCs w:val="18"/>
        </w:rPr>
      </w:pPr>
      <w:r w:rsidRPr="0057553C">
        <w:rPr>
          <w:i/>
          <w:iCs/>
          <w:sz w:val="18"/>
          <w:szCs w:val="18"/>
        </w:rPr>
        <w:t>Note:</w:t>
      </w:r>
      <w:r w:rsidR="00250B73" w:rsidRPr="0057553C">
        <w:rPr>
          <w:i/>
          <w:iCs/>
          <w:sz w:val="18"/>
          <w:szCs w:val="18"/>
        </w:rPr>
        <w:t xml:space="preserve"> </w:t>
      </w:r>
      <w:r w:rsidRPr="0057553C">
        <w:rPr>
          <w:i/>
          <w:iCs/>
          <w:sz w:val="18"/>
          <w:szCs w:val="18"/>
        </w:rPr>
        <w:t xml:space="preserve">Results by </w:t>
      </w:r>
      <w:r w:rsidR="0011089F" w:rsidRPr="0057553C">
        <w:rPr>
          <w:i/>
          <w:iCs/>
          <w:sz w:val="18"/>
          <w:szCs w:val="18"/>
        </w:rPr>
        <w:t xml:space="preserve">cultural diversity </w:t>
      </w:r>
      <w:r w:rsidRPr="0057553C">
        <w:rPr>
          <w:i/>
          <w:iCs/>
          <w:sz w:val="18"/>
          <w:szCs w:val="18"/>
        </w:rPr>
        <w:t xml:space="preserve">are not presented </w:t>
      </w:r>
      <w:r w:rsidR="00607AAA" w:rsidRPr="0057553C">
        <w:rPr>
          <w:i/>
          <w:iCs/>
          <w:sz w:val="18"/>
          <w:szCs w:val="18"/>
        </w:rPr>
        <w:t xml:space="preserve">because </w:t>
      </w:r>
      <w:r w:rsidRPr="0057553C">
        <w:rPr>
          <w:i/>
          <w:iCs/>
          <w:sz w:val="18"/>
          <w:szCs w:val="18"/>
        </w:rPr>
        <w:t>the ERP does not estimate the population by</w:t>
      </w:r>
      <w:r w:rsidR="0011089F" w:rsidRPr="0057553C">
        <w:rPr>
          <w:i/>
          <w:iCs/>
          <w:sz w:val="18"/>
          <w:szCs w:val="18"/>
        </w:rPr>
        <w:t xml:space="preserve"> cultural diversity</w:t>
      </w:r>
      <w:r w:rsidRPr="0057553C">
        <w:rPr>
          <w:i/>
          <w:iCs/>
          <w:sz w:val="18"/>
          <w:szCs w:val="18"/>
        </w:rPr>
        <w:t>, hence there is no denominator for this variable.</w:t>
      </w:r>
      <w:r w:rsidR="00B11993" w:rsidRPr="0057553C">
        <w:rPr>
          <w:b/>
          <w:i/>
          <w:iCs/>
          <w:sz w:val="18"/>
          <w:szCs w:val="18"/>
        </w:rPr>
        <w:br w:type="page"/>
      </w:r>
    </w:p>
    <w:p w14:paraId="6D5B35B9" w14:textId="7FE68126" w:rsidR="007844E4" w:rsidRDefault="006552B8" w:rsidP="0055336E">
      <w:pPr>
        <w:pStyle w:val="Figurecaption"/>
        <w:ind w:right="992"/>
        <w:rPr>
          <w:sz w:val="20"/>
        </w:rPr>
      </w:pPr>
      <w:bookmarkStart w:id="92" w:name="_Toc19007994"/>
      <w:bookmarkStart w:id="93" w:name="_Toc19008255"/>
      <w:bookmarkStart w:id="94" w:name="_Toc19008402"/>
      <w:bookmarkStart w:id="95" w:name="_Toc19008549"/>
      <w:bookmarkStart w:id="96" w:name="_Toc132552987"/>
      <w:bookmarkStart w:id="97" w:name="_Toc140827593"/>
      <w:r w:rsidRPr="0099225F">
        <w:rPr>
          <w:sz w:val="20"/>
        </w:rPr>
        <w:lastRenderedPageBreak/>
        <w:t>Figure 1.2.1</w:t>
      </w:r>
      <w:r w:rsidR="002963FB" w:rsidRPr="0099225F">
        <w:rPr>
          <w:sz w:val="20"/>
        </w:rPr>
        <w:t>:</w:t>
      </w:r>
      <w:r w:rsidRPr="0099225F">
        <w:rPr>
          <w:sz w:val="20"/>
        </w:rPr>
        <w:t xml:space="preserve"> Lifetime risk of developing cancer before the age of 85 years</w:t>
      </w:r>
      <w:r w:rsidR="00607AAA" w:rsidRPr="0099225F">
        <w:rPr>
          <w:sz w:val="20"/>
        </w:rPr>
        <w:t>,</w:t>
      </w:r>
      <w:r w:rsidRPr="0099225F">
        <w:rPr>
          <w:sz w:val="20"/>
        </w:rPr>
        <w:t xml:space="preserve"> by </w:t>
      </w:r>
      <w:r w:rsidR="008439C8" w:rsidRPr="0099225F">
        <w:rPr>
          <w:sz w:val="20"/>
        </w:rPr>
        <w:t>ICS</w:t>
      </w:r>
      <w:r w:rsidRPr="0099225F">
        <w:rPr>
          <w:sz w:val="20"/>
        </w:rPr>
        <w:t xml:space="preserve"> and year, 201</w:t>
      </w:r>
      <w:r w:rsidR="00DA0180" w:rsidRPr="0099225F">
        <w:rPr>
          <w:sz w:val="20"/>
        </w:rPr>
        <w:t>0</w:t>
      </w:r>
      <w:r w:rsidR="00A14570" w:rsidRPr="0099225F">
        <w:rPr>
          <w:sz w:val="20"/>
        </w:rPr>
        <w:t>–</w:t>
      </w:r>
      <w:r w:rsidRPr="0099225F">
        <w:rPr>
          <w:sz w:val="20"/>
        </w:rPr>
        <w:t>20</w:t>
      </w:r>
      <w:bookmarkEnd w:id="92"/>
      <w:bookmarkEnd w:id="93"/>
      <w:bookmarkEnd w:id="94"/>
      <w:bookmarkEnd w:id="95"/>
      <w:r w:rsidR="00E16DEB" w:rsidRPr="0099225F">
        <w:rPr>
          <w:sz w:val="20"/>
        </w:rPr>
        <w:t>2</w:t>
      </w:r>
      <w:r w:rsidR="00D15DDE" w:rsidRPr="0099225F">
        <w:rPr>
          <w:sz w:val="20"/>
        </w:rPr>
        <w:t>1</w:t>
      </w:r>
      <w:bookmarkEnd w:id="96"/>
      <w:bookmarkEnd w:id="97"/>
    </w:p>
    <w:p w14:paraId="058AF783" w14:textId="6CA07BA5" w:rsidR="00D15DDE" w:rsidRPr="00D15DDE" w:rsidRDefault="00FB6A70" w:rsidP="00FB6A70">
      <w:pPr>
        <w:pStyle w:val="DHHSbody"/>
      </w:pPr>
      <w:r w:rsidRPr="00FB6A70">
        <w:rPr>
          <w:noProof/>
        </w:rPr>
        <w:drawing>
          <wp:inline distT="0" distB="0" distL="0" distR="0" wp14:anchorId="64B15B6A" wp14:editId="7266CBAC">
            <wp:extent cx="5915025" cy="3219450"/>
            <wp:effectExtent l="0" t="0" r="9525" b="0"/>
            <wp:docPr id="16" name="Picture 16" descr="This figure (bar graph) presents the lifetime risk of developing cancer before the age of 85 years  in Victoria by Integrated Cancer Service for the period 2010 to 2021. The data set is available under 'Measure 1.2 – Lifetime risk of cancer before the age of 85 years'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his figure (bar graph) presents the lifetime risk of developing cancer before the age of 85 years  in Victoria by Integrated Cancer Service for the period 2010 to 2021. The data set is available under 'Measure 1.2 – Lifetime risk of cancer before the age of 85 years' in a separate volume, the Victorian cancer plan monitoring and evaluation framework: baseline report: Appendix 2: Datasets available on Cancer care &lt;https://www.health.vic.gov.au/health-strategies/cancer-care&gt;."/>
                    <pic:cNvPicPr/>
                  </pic:nvPicPr>
                  <pic:blipFill>
                    <a:blip r:embed="rId37"/>
                    <a:stretch>
                      <a:fillRect/>
                    </a:stretch>
                  </pic:blipFill>
                  <pic:spPr>
                    <a:xfrm>
                      <a:off x="0" y="0"/>
                      <a:ext cx="5925363" cy="3225077"/>
                    </a:xfrm>
                    <a:prstGeom prst="rect">
                      <a:avLst/>
                    </a:prstGeom>
                  </pic:spPr>
                </pic:pic>
              </a:graphicData>
            </a:graphic>
          </wp:inline>
        </w:drawing>
      </w:r>
    </w:p>
    <w:p w14:paraId="68137134" w14:textId="4FA76535" w:rsidR="009A2DF4" w:rsidRPr="00E16B9A" w:rsidRDefault="00665D4B" w:rsidP="007C7F00">
      <w:pPr>
        <w:pStyle w:val="Heading4"/>
        <w:rPr>
          <w:rFonts w:cs="Arial"/>
        </w:rPr>
      </w:pPr>
      <w:r w:rsidRPr="007C7F00">
        <w:t>Measure assessment</w:t>
      </w:r>
    </w:p>
    <w:p w14:paraId="07C03B56" w14:textId="27B486CB" w:rsidR="00E10792" w:rsidRPr="00EA78AF" w:rsidRDefault="00E10792" w:rsidP="00606436">
      <w:pPr>
        <w:pStyle w:val="Body"/>
        <w:rPr>
          <w:sz w:val="20"/>
        </w:rPr>
      </w:pPr>
      <w:r w:rsidRPr="00EA78AF">
        <w:rPr>
          <w:sz w:val="20"/>
        </w:rPr>
        <w:t>Traffic light rating:</w:t>
      </w:r>
      <w:r w:rsidRPr="00EA78AF">
        <w:rPr>
          <w:color w:val="AF272F"/>
          <w:sz w:val="20"/>
        </w:rPr>
        <w:t xml:space="preserve"> </w:t>
      </w:r>
      <w:r w:rsidR="00D01BB7" w:rsidRPr="00EA78AF">
        <w:rPr>
          <w:b/>
          <w:color w:val="C5511A"/>
          <w:sz w:val="20"/>
        </w:rPr>
        <w:t>Amber</w:t>
      </w:r>
      <w:r w:rsidR="00EA3932" w:rsidRPr="00EA78AF">
        <w:rPr>
          <w:b/>
          <w:sz w:val="20"/>
        </w:rPr>
        <w:t xml:space="preserve"> </w:t>
      </w:r>
      <w:r w:rsidR="00EA3932" w:rsidRPr="00EA78AF">
        <w:rPr>
          <w:sz w:val="20"/>
        </w:rPr>
        <w:t>(desired result not yet evident)</w:t>
      </w:r>
    </w:p>
    <w:p w14:paraId="74B11526" w14:textId="50D934CA" w:rsidR="00E10792" w:rsidRPr="00EA78AF" w:rsidRDefault="00E10792" w:rsidP="00606436">
      <w:pPr>
        <w:pStyle w:val="Body"/>
        <w:rPr>
          <w:sz w:val="20"/>
        </w:rPr>
      </w:pPr>
      <w:r w:rsidRPr="00EA78AF">
        <w:rPr>
          <w:sz w:val="20"/>
        </w:rPr>
        <w:t xml:space="preserve">Overall trend: </w:t>
      </w:r>
      <w:r w:rsidR="00D01BB7" w:rsidRPr="00EA78AF">
        <w:rPr>
          <w:sz w:val="20"/>
        </w:rPr>
        <w:t>Static or unchanging</w:t>
      </w:r>
    </w:p>
    <w:p w14:paraId="2083E07A" w14:textId="13E54172" w:rsidR="00296313" w:rsidRPr="00EA78AF" w:rsidRDefault="00590F71" w:rsidP="00E87AAA">
      <w:pPr>
        <w:pStyle w:val="Body"/>
        <w:rPr>
          <w:sz w:val="20"/>
        </w:rPr>
      </w:pPr>
      <w:r w:rsidRPr="00EA78AF">
        <w:rPr>
          <w:sz w:val="20"/>
        </w:rPr>
        <w:t xml:space="preserve">Commentary: </w:t>
      </w:r>
      <w:r w:rsidR="006B6233" w:rsidRPr="00EA78AF">
        <w:rPr>
          <w:color w:val="2E2E2E"/>
          <w:sz w:val="20"/>
          <w:shd w:val="clear" w:color="auto" w:fill="FFFFFB"/>
        </w:rPr>
        <w:t>Advancing age is the most important risk factor for cancer overall</w:t>
      </w:r>
      <w:r w:rsidR="000252CC" w:rsidRPr="00EA78AF">
        <w:rPr>
          <w:color w:val="2E2E2E"/>
          <w:sz w:val="20"/>
          <w:shd w:val="clear" w:color="auto" w:fill="FFFFFB"/>
        </w:rPr>
        <w:t xml:space="preserve"> </w:t>
      </w:r>
      <w:r w:rsidR="006B6233" w:rsidRPr="00EA78AF">
        <w:rPr>
          <w:color w:val="2E2E2E"/>
          <w:sz w:val="20"/>
          <w:shd w:val="clear" w:color="auto" w:fill="FFFFFB"/>
        </w:rPr>
        <w:t>and for many individual cancer types.</w:t>
      </w:r>
      <w:r w:rsidR="0052143B" w:rsidRPr="00EA78AF">
        <w:rPr>
          <w:color w:val="2E2E2E"/>
          <w:sz w:val="20"/>
          <w:shd w:val="clear" w:color="auto" w:fill="FFFFFB"/>
        </w:rPr>
        <w:t xml:space="preserve"> </w:t>
      </w:r>
      <w:r w:rsidR="00DE3E1F" w:rsidRPr="00EA78AF">
        <w:rPr>
          <w:sz w:val="20"/>
        </w:rPr>
        <w:t>Globally the lifetime risk of developing cancer has been estimated and is publicly available in several countries</w:t>
      </w:r>
      <w:r w:rsidR="00B40166" w:rsidRPr="00EA78AF">
        <w:rPr>
          <w:sz w:val="20"/>
        </w:rPr>
        <w:t>;</w:t>
      </w:r>
      <w:r w:rsidR="00DE3E1F" w:rsidRPr="00EA78AF">
        <w:rPr>
          <w:sz w:val="20"/>
        </w:rPr>
        <w:t xml:space="preserve"> however</w:t>
      </w:r>
      <w:r w:rsidR="00B40166" w:rsidRPr="00EA78AF">
        <w:rPr>
          <w:sz w:val="20"/>
        </w:rPr>
        <w:t>,</w:t>
      </w:r>
      <w:r w:rsidR="007D1D00" w:rsidRPr="00EA78AF">
        <w:rPr>
          <w:sz w:val="20"/>
        </w:rPr>
        <w:t xml:space="preserve"> there is variation between the cut-off age group. </w:t>
      </w:r>
      <w:r w:rsidR="004A6547" w:rsidRPr="00EA78AF">
        <w:rPr>
          <w:sz w:val="20"/>
        </w:rPr>
        <w:t>The purpose of this measure is to estimate</w:t>
      </w:r>
      <w:r w:rsidR="00E36100" w:rsidRPr="00EA78AF">
        <w:rPr>
          <w:sz w:val="20"/>
        </w:rPr>
        <w:t xml:space="preserve"> the probability </w:t>
      </w:r>
      <w:r w:rsidR="006C3C7B" w:rsidRPr="00EA78AF">
        <w:rPr>
          <w:sz w:val="20"/>
        </w:rPr>
        <w:t xml:space="preserve">(risk) </w:t>
      </w:r>
      <w:r w:rsidR="00E36100" w:rsidRPr="00EA78AF">
        <w:rPr>
          <w:sz w:val="20"/>
        </w:rPr>
        <w:t xml:space="preserve">of developing </w:t>
      </w:r>
      <w:r w:rsidR="004A6547" w:rsidRPr="00EA78AF">
        <w:rPr>
          <w:sz w:val="20"/>
        </w:rPr>
        <w:t>cancer before the age of 85.</w:t>
      </w:r>
    </w:p>
    <w:p w14:paraId="48F11EDB" w14:textId="2FCF35A2" w:rsidR="00A03EA1" w:rsidRPr="00EA78AF" w:rsidRDefault="00E306C3" w:rsidP="00E87AAA">
      <w:pPr>
        <w:pStyle w:val="Body"/>
        <w:rPr>
          <w:rStyle w:val="normaltextrun"/>
          <w:sz w:val="20"/>
          <w:lang w:eastAsia="en-AU"/>
        </w:rPr>
      </w:pPr>
      <w:r w:rsidRPr="76BE792E">
        <w:rPr>
          <w:rStyle w:val="normaltextrun"/>
          <w:rFonts w:cs="Arial"/>
          <w:sz w:val="20"/>
          <w:lang w:val="en"/>
        </w:rPr>
        <w:t>In 201</w:t>
      </w:r>
      <w:r w:rsidR="00BF34BB" w:rsidRPr="76BE792E">
        <w:rPr>
          <w:rStyle w:val="normaltextrun"/>
          <w:rFonts w:cs="Arial"/>
          <w:sz w:val="20"/>
          <w:lang w:val="en"/>
        </w:rPr>
        <w:t>7</w:t>
      </w:r>
      <w:r w:rsidRPr="76BE792E">
        <w:rPr>
          <w:rStyle w:val="normaltextrun"/>
          <w:rFonts w:cs="Arial"/>
          <w:sz w:val="20"/>
          <w:lang w:val="en"/>
        </w:rPr>
        <w:t xml:space="preserve"> it </w:t>
      </w:r>
      <w:r w:rsidR="0052143B" w:rsidRPr="76BE792E">
        <w:rPr>
          <w:rStyle w:val="normaltextrun"/>
          <w:rFonts w:cs="Arial"/>
          <w:sz w:val="20"/>
          <w:lang w:val="en"/>
        </w:rPr>
        <w:t>was</w:t>
      </w:r>
      <w:r w:rsidRPr="76BE792E">
        <w:rPr>
          <w:rStyle w:val="normaltextrun"/>
          <w:rFonts w:cs="Arial"/>
          <w:sz w:val="20"/>
          <w:lang w:val="en"/>
        </w:rPr>
        <w:t xml:space="preserve"> estimated that the risk of an Australian</w:t>
      </w:r>
      <w:r w:rsidR="00E36100" w:rsidRPr="76BE792E">
        <w:rPr>
          <w:rStyle w:val="normaltextrun"/>
          <w:rFonts w:cs="Arial"/>
          <w:sz w:val="20"/>
          <w:lang w:val="en"/>
        </w:rPr>
        <w:t xml:space="preserve"> developing</w:t>
      </w:r>
      <w:r w:rsidR="006C3C7B" w:rsidRPr="76BE792E">
        <w:rPr>
          <w:rStyle w:val="normaltextrun"/>
          <w:rFonts w:cs="Arial"/>
          <w:sz w:val="20"/>
          <w:lang w:val="en"/>
        </w:rPr>
        <w:t xml:space="preserve"> </w:t>
      </w:r>
      <w:r w:rsidRPr="76BE792E">
        <w:rPr>
          <w:rStyle w:val="normaltextrun"/>
          <w:rFonts w:cs="Arial"/>
          <w:sz w:val="20"/>
          <w:lang w:val="en"/>
        </w:rPr>
        <w:t>cancer by their 85th birthday w</w:t>
      </w:r>
      <w:r w:rsidR="0052143B" w:rsidRPr="76BE792E">
        <w:rPr>
          <w:rStyle w:val="normaltextrun"/>
          <w:rFonts w:cs="Arial"/>
          <w:sz w:val="20"/>
          <w:lang w:val="en"/>
        </w:rPr>
        <w:t>ould</w:t>
      </w:r>
      <w:r w:rsidRPr="76BE792E">
        <w:rPr>
          <w:rStyle w:val="normaltextrun"/>
          <w:rFonts w:cs="Arial"/>
          <w:sz w:val="20"/>
          <w:lang w:val="en"/>
        </w:rPr>
        <w:t xml:space="preserve"> be </w:t>
      </w:r>
      <w:r w:rsidR="00B30945" w:rsidRPr="76BE792E">
        <w:rPr>
          <w:rStyle w:val="normaltextrun"/>
          <w:rFonts w:cs="Arial"/>
          <w:sz w:val="20"/>
          <w:lang w:val="en"/>
        </w:rPr>
        <w:t>one</w:t>
      </w:r>
      <w:r w:rsidRPr="76BE792E">
        <w:rPr>
          <w:rStyle w:val="normaltextrun"/>
          <w:rFonts w:cs="Arial"/>
          <w:sz w:val="20"/>
          <w:lang w:val="en"/>
        </w:rPr>
        <w:t xml:space="preserve"> in</w:t>
      </w:r>
      <w:r w:rsidR="0052143B" w:rsidRPr="76BE792E">
        <w:rPr>
          <w:rStyle w:val="normaltextrun"/>
          <w:rFonts w:cs="Arial"/>
          <w:sz w:val="20"/>
          <w:lang w:val="en"/>
        </w:rPr>
        <w:t xml:space="preserve"> </w:t>
      </w:r>
      <w:r w:rsidR="00B30945" w:rsidRPr="76BE792E">
        <w:rPr>
          <w:rStyle w:val="normaltextrun"/>
          <w:rFonts w:cs="Arial"/>
          <w:sz w:val="20"/>
          <w:lang w:val="en"/>
        </w:rPr>
        <w:t>two</w:t>
      </w:r>
      <w:r w:rsidR="0052143B" w:rsidRPr="76BE792E">
        <w:rPr>
          <w:rStyle w:val="normaltextrun"/>
          <w:rFonts w:cs="Arial"/>
          <w:sz w:val="20"/>
          <w:lang w:val="en"/>
        </w:rPr>
        <w:t xml:space="preserve"> </w:t>
      </w:r>
      <w:r w:rsidRPr="76BE792E">
        <w:rPr>
          <w:rStyle w:val="normaltextrun"/>
          <w:rFonts w:cs="Arial"/>
          <w:sz w:val="20"/>
          <w:lang w:val="en"/>
        </w:rPr>
        <w:t>for both males and females.</w:t>
      </w:r>
      <w:r w:rsidRPr="76BE792E">
        <w:rPr>
          <w:rStyle w:val="FootnoteReference"/>
          <w:rFonts w:cs="Arial"/>
          <w:sz w:val="20"/>
          <w:lang w:val="en"/>
        </w:rPr>
        <w:footnoteReference w:id="13"/>
      </w:r>
      <w:r w:rsidR="00590F71" w:rsidRPr="76BE792E">
        <w:rPr>
          <w:rStyle w:val="normaltextrun"/>
          <w:rFonts w:cs="Arial"/>
          <w:sz w:val="20"/>
          <w:lang w:val="en"/>
        </w:rPr>
        <w:t xml:space="preserve"> </w:t>
      </w:r>
      <w:r w:rsidR="004650FA" w:rsidRPr="76BE792E">
        <w:rPr>
          <w:rStyle w:val="normaltextrun"/>
          <w:rFonts w:cs="Arial"/>
          <w:sz w:val="20"/>
          <w:lang w:val="en"/>
        </w:rPr>
        <w:t xml:space="preserve">While no target has been set for this measure, </w:t>
      </w:r>
      <w:r w:rsidR="00590F71" w:rsidRPr="76BE792E">
        <w:rPr>
          <w:rStyle w:val="normaltextrun"/>
          <w:rFonts w:cs="Arial"/>
          <w:sz w:val="20"/>
          <w:lang w:val="en"/>
        </w:rPr>
        <w:t>Figure 1.2 shows that</w:t>
      </w:r>
      <w:r w:rsidR="00A0405C" w:rsidRPr="76BE792E">
        <w:rPr>
          <w:rStyle w:val="normaltextrun"/>
          <w:rFonts w:cs="Arial"/>
          <w:sz w:val="20"/>
          <w:lang w:val="en"/>
        </w:rPr>
        <w:t>,</w:t>
      </w:r>
      <w:r w:rsidR="00590F71" w:rsidRPr="76BE792E">
        <w:rPr>
          <w:rStyle w:val="normaltextrun"/>
          <w:rFonts w:cs="Arial"/>
          <w:sz w:val="20"/>
          <w:lang w:val="en"/>
        </w:rPr>
        <w:t xml:space="preserve"> </w:t>
      </w:r>
      <w:r w:rsidR="002231F6" w:rsidRPr="76BE792E">
        <w:rPr>
          <w:rStyle w:val="normaltextrun"/>
          <w:rFonts w:cs="Arial"/>
          <w:sz w:val="20"/>
          <w:lang w:val="en"/>
        </w:rPr>
        <w:t>overall,</w:t>
      </w:r>
      <w:r w:rsidR="0052143B" w:rsidRPr="76BE792E">
        <w:rPr>
          <w:rStyle w:val="normaltextrun"/>
          <w:rFonts w:cs="Arial"/>
          <w:sz w:val="20"/>
          <w:lang w:val="en"/>
        </w:rPr>
        <w:t xml:space="preserve"> </w:t>
      </w:r>
      <w:r w:rsidR="00590F71" w:rsidRPr="76BE792E">
        <w:rPr>
          <w:rStyle w:val="normaltextrun"/>
          <w:rFonts w:cs="Arial"/>
          <w:sz w:val="20"/>
          <w:lang w:val="en"/>
        </w:rPr>
        <w:t>between 201</w:t>
      </w:r>
      <w:r w:rsidR="008C67B5" w:rsidRPr="76BE792E">
        <w:rPr>
          <w:rStyle w:val="normaltextrun"/>
          <w:rFonts w:cs="Arial"/>
          <w:sz w:val="20"/>
          <w:lang w:val="en"/>
        </w:rPr>
        <w:t>4</w:t>
      </w:r>
      <w:r w:rsidR="00590F71" w:rsidRPr="76BE792E">
        <w:rPr>
          <w:rStyle w:val="normaltextrun"/>
          <w:rFonts w:cs="Arial"/>
          <w:sz w:val="20"/>
          <w:lang w:val="en"/>
        </w:rPr>
        <w:t xml:space="preserve"> and 20</w:t>
      </w:r>
      <w:r w:rsidR="0052143B" w:rsidRPr="76BE792E">
        <w:rPr>
          <w:rStyle w:val="normaltextrun"/>
          <w:rFonts w:cs="Arial"/>
          <w:sz w:val="20"/>
          <w:lang w:val="en"/>
        </w:rPr>
        <w:t>2</w:t>
      </w:r>
      <w:r w:rsidR="00406621" w:rsidRPr="76BE792E">
        <w:rPr>
          <w:rStyle w:val="normaltextrun"/>
          <w:rFonts w:cs="Arial"/>
          <w:sz w:val="20"/>
          <w:lang w:val="en"/>
        </w:rPr>
        <w:t>1</w:t>
      </w:r>
      <w:r w:rsidR="00590F71" w:rsidRPr="76BE792E">
        <w:rPr>
          <w:rStyle w:val="normaltextrun"/>
          <w:rFonts w:cs="Arial"/>
          <w:sz w:val="20"/>
          <w:lang w:val="en"/>
        </w:rPr>
        <w:t xml:space="preserve"> the lifetime risk of a Victorian </w:t>
      </w:r>
      <w:r w:rsidR="00E36100" w:rsidRPr="76BE792E">
        <w:rPr>
          <w:rStyle w:val="normaltextrun"/>
          <w:rFonts w:cs="Arial"/>
          <w:sz w:val="20"/>
          <w:lang w:val="en"/>
        </w:rPr>
        <w:t xml:space="preserve">developing </w:t>
      </w:r>
      <w:r w:rsidR="00590F71" w:rsidRPr="76BE792E">
        <w:rPr>
          <w:rStyle w:val="normaltextrun"/>
          <w:rFonts w:cs="Arial"/>
          <w:sz w:val="20"/>
          <w:lang w:val="en"/>
        </w:rPr>
        <w:t xml:space="preserve">cancer before the age of 85 years was also </w:t>
      </w:r>
      <w:r w:rsidR="006526D9" w:rsidRPr="76BE792E">
        <w:rPr>
          <w:rStyle w:val="normaltextrun"/>
          <w:rFonts w:cs="Arial"/>
          <w:sz w:val="20"/>
          <w:lang w:val="en"/>
        </w:rPr>
        <w:t>one</w:t>
      </w:r>
      <w:r w:rsidR="00590F71" w:rsidRPr="76BE792E">
        <w:rPr>
          <w:rStyle w:val="normaltextrun"/>
          <w:rFonts w:cs="Arial"/>
          <w:sz w:val="20"/>
          <w:lang w:val="en"/>
        </w:rPr>
        <w:t xml:space="preserve"> in </w:t>
      </w:r>
      <w:r w:rsidR="006526D9" w:rsidRPr="76BE792E">
        <w:rPr>
          <w:rStyle w:val="normaltextrun"/>
          <w:rFonts w:cs="Arial"/>
          <w:sz w:val="20"/>
          <w:lang w:val="en"/>
        </w:rPr>
        <w:t>two</w:t>
      </w:r>
      <w:r w:rsidR="00590F71" w:rsidRPr="76BE792E">
        <w:rPr>
          <w:rStyle w:val="normaltextrun"/>
          <w:rFonts w:cs="Arial"/>
          <w:sz w:val="20"/>
          <w:lang w:val="en"/>
        </w:rPr>
        <w:t>.</w:t>
      </w:r>
      <w:r w:rsidR="00326D25" w:rsidRPr="76BE792E">
        <w:rPr>
          <w:rStyle w:val="normaltextrun"/>
          <w:rFonts w:cs="Arial"/>
          <w:sz w:val="20"/>
          <w:lang w:val="en"/>
        </w:rPr>
        <w:t xml:space="preserve"> </w:t>
      </w:r>
      <w:r w:rsidR="003C7A7D" w:rsidRPr="76BE792E">
        <w:rPr>
          <w:rStyle w:val="normaltextrun"/>
          <w:rFonts w:cs="Arial"/>
          <w:sz w:val="20"/>
          <w:lang w:val="en"/>
        </w:rPr>
        <w:t xml:space="preserve">Despite the findings showing a decrease in risk between gender, </w:t>
      </w:r>
      <w:r w:rsidR="00DA2E7D" w:rsidRPr="76BE792E">
        <w:rPr>
          <w:rStyle w:val="normaltextrun"/>
          <w:rFonts w:cs="Arial"/>
          <w:sz w:val="20"/>
          <w:lang w:val="en"/>
        </w:rPr>
        <w:t xml:space="preserve">the risk </w:t>
      </w:r>
      <w:r w:rsidR="00590F71" w:rsidRPr="76BE792E">
        <w:rPr>
          <w:rStyle w:val="normaltextrun"/>
          <w:rFonts w:cs="Arial"/>
          <w:sz w:val="20"/>
          <w:lang w:val="en"/>
        </w:rPr>
        <w:t xml:space="preserve">was </w:t>
      </w:r>
      <w:r w:rsidR="00B91EA8" w:rsidRPr="76BE792E">
        <w:rPr>
          <w:rStyle w:val="normaltextrun"/>
          <w:rFonts w:cs="Arial"/>
          <w:sz w:val="20"/>
          <w:lang w:val="en"/>
        </w:rPr>
        <w:t>lower for females</w:t>
      </w:r>
      <w:r w:rsidR="00A0405C" w:rsidRPr="76BE792E">
        <w:rPr>
          <w:rStyle w:val="normaltextrun"/>
          <w:rFonts w:cs="Arial"/>
          <w:sz w:val="20"/>
          <w:lang w:val="en"/>
        </w:rPr>
        <w:t xml:space="preserve"> overall</w:t>
      </w:r>
      <w:r w:rsidR="006526D9" w:rsidRPr="76BE792E">
        <w:rPr>
          <w:rStyle w:val="normaltextrun"/>
          <w:rFonts w:cs="Arial"/>
          <w:sz w:val="20"/>
          <w:lang w:val="en"/>
        </w:rPr>
        <w:t>,</w:t>
      </w:r>
      <w:r w:rsidR="00B91EA8" w:rsidRPr="76BE792E">
        <w:rPr>
          <w:rStyle w:val="normaltextrun"/>
          <w:rFonts w:cs="Arial"/>
          <w:sz w:val="20"/>
          <w:lang w:val="en"/>
        </w:rPr>
        <w:t xml:space="preserve"> </w:t>
      </w:r>
      <w:r w:rsidR="00A03EA1" w:rsidRPr="76BE792E">
        <w:rPr>
          <w:rStyle w:val="normaltextrun"/>
          <w:rFonts w:cs="Arial"/>
          <w:sz w:val="20"/>
          <w:lang w:val="en"/>
        </w:rPr>
        <w:t>amounting to 40</w:t>
      </w:r>
      <w:r w:rsidR="0054537F">
        <w:rPr>
          <w:rStyle w:val="normaltextrun"/>
          <w:rFonts w:cs="Arial"/>
          <w:sz w:val="20"/>
          <w:lang w:val="en"/>
        </w:rPr>
        <w:t>%</w:t>
      </w:r>
      <w:r w:rsidR="00A03EA1" w:rsidRPr="76BE792E">
        <w:rPr>
          <w:rStyle w:val="normaltextrun"/>
          <w:rFonts w:cs="Arial"/>
          <w:sz w:val="20"/>
          <w:lang w:val="en"/>
        </w:rPr>
        <w:t xml:space="preserve"> (201</w:t>
      </w:r>
      <w:r w:rsidR="003C7A7D" w:rsidRPr="76BE792E">
        <w:rPr>
          <w:rStyle w:val="normaltextrun"/>
          <w:rFonts w:cs="Arial"/>
          <w:sz w:val="20"/>
          <w:lang w:val="en"/>
        </w:rPr>
        <w:t>4</w:t>
      </w:r>
      <w:r w:rsidR="00A03EA1" w:rsidRPr="76BE792E">
        <w:rPr>
          <w:rStyle w:val="normaltextrun"/>
          <w:rFonts w:cs="Arial"/>
          <w:sz w:val="20"/>
          <w:lang w:val="en"/>
        </w:rPr>
        <w:t>)</w:t>
      </w:r>
      <w:r w:rsidR="003C7A7D" w:rsidRPr="76BE792E">
        <w:rPr>
          <w:rStyle w:val="normaltextrun"/>
          <w:rFonts w:cs="Arial"/>
          <w:sz w:val="20"/>
          <w:lang w:val="en"/>
        </w:rPr>
        <w:t xml:space="preserve"> </w:t>
      </w:r>
      <w:r w:rsidR="00406621" w:rsidRPr="76BE792E">
        <w:rPr>
          <w:rStyle w:val="normaltextrun"/>
          <w:rFonts w:cs="Arial"/>
          <w:sz w:val="20"/>
          <w:lang w:val="en"/>
        </w:rPr>
        <w:t xml:space="preserve">and remaining the same for </w:t>
      </w:r>
      <w:r w:rsidR="003C7A7D" w:rsidRPr="76BE792E">
        <w:rPr>
          <w:rStyle w:val="normaltextrun"/>
          <w:rFonts w:cs="Arial"/>
          <w:sz w:val="20"/>
          <w:lang w:val="en"/>
        </w:rPr>
        <w:t>202</w:t>
      </w:r>
      <w:r w:rsidR="00406621" w:rsidRPr="76BE792E">
        <w:rPr>
          <w:rStyle w:val="normaltextrun"/>
          <w:rFonts w:cs="Arial"/>
          <w:sz w:val="20"/>
          <w:lang w:val="en"/>
        </w:rPr>
        <w:t>1</w:t>
      </w:r>
      <w:r w:rsidR="00A03EA1" w:rsidRPr="76BE792E">
        <w:rPr>
          <w:rStyle w:val="normaltextrun"/>
          <w:rFonts w:cs="Arial"/>
          <w:sz w:val="20"/>
          <w:lang w:val="en"/>
        </w:rPr>
        <w:t xml:space="preserve"> </w:t>
      </w:r>
      <w:r w:rsidR="00B91EA8" w:rsidRPr="76BE792E">
        <w:rPr>
          <w:rStyle w:val="normaltextrun"/>
          <w:rFonts w:cs="Arial"/>
          <w:sz w:val="20"/>
          <w:lang w:val="en"/>
        </w:rPr>
        <w:t xml:space="preserve">compared </w:t>
      </w:r>
      <w:r w:rsidR="001B50BF" w:rsidRPr="76BE792E">
        <w:rPr>
          <w:rStyle w:val="normaltextrun"/>
          <w:rFonts w:cs="Arial"/>
          <w:sz w:val="20"/>
          <w:lang w:val="en"/>
        </w:rPr>
        <w:t xml:space="preserve">with </w:t>
      </w:r>
      <w:r w:rsidR="00A03EA1" w:rsidRPr="76BE792E">
        <w:rPr>
          <w:rStyle w:val="normaltextrun"/>
          <w:rFonts w:cs="Arial"/>
          <w:sz w:val="20"/>
          <w:lang w:val="en"/>
        </w:rPr>
        <w:t>5</w:t>
      </w:r>
      <w:r w:rsidR="003C7A7D" w:rsidRPr="76BE792E">
        <w:rPr>
          <w:rStyle w:val="normaltextrun"/>
          <w:rFonts w:cs="Arial"/>
          <w:sz w:val="20"/>
          <w:lang w:val="en"/>
        </w:rPr>
        <w:t>1</w:t>
      </w:r>
      <w:r w:rsidR="0054537F">
        <w:rPr>
          <w:rStyle w:val="normaltextrun"/>
          <w:rFonts w:cs="Arial"/>
          <w:sz w:val="20"/>
          <w:lang w:val="en"/>
        </w:rPr>
        <w:t>%</w:t>
      </w:r>
      <w:r w:rsidR="00A03EA1" w:rsidRPr="76BE792E">
        <w:rPr>
          <w:rStyle w:val="normaltextrun"/>
          <w:rFonts w:cs="Arial"/>
          <w:sz w:val="20"/>
          <w:lang w:val="en"/>
        </w:rPr>
        <w:t xml:space="preserve"> for </w:t>
      </w:r>
      <w:r w:rsidR="00B91EA8" w:rsidRPr="76BE792E">
        <w:rPr>
          <w:rStyle w:val="normaltextrun"/>
          <w:rFonts w:cs="Arial"/>
          <w:sz w:val="20"/>
          <w:lang w:val="en"/>
        </w:rPr>
        <w:t>males</w:t>
      </w:r>
      <w:r w:rsidR="00A03EA1" w:rsidRPr="76BE792E">
        <w:rPr>
          <w:rStyle w:val="normaltextrun"/>
          <w:rFonts w:cs="Arial"/>
          <w:sz w:val="20"/>
          <w:lang w:val="en"/>
        </w:rPr>
        <w:t xml:space="preserve"> (201</w:t>
      </w:r>
      <w:r w:rsidR="003C7A7D" w:rsidRPr="76BE792E">
        <w:rPr>
          <w:rStyle w:val="normaltextrun"/>
          <w:rFonts w:cs="Arial"/>
          <w:sz w:val="20"/>
          <w:lang w:val="en"/>
        </w:rPr>
        <w:t>4</w:t>
      </w:r>
      <w:r w:rsidR="00A03EA1" w:rsidRPr="76BE792E">
        <w:rPr>
          <w:rStyle w:val="normaltextrun"/>
          <w:rFonts w:cs="Arial"/>
          <w:sz w:val="20"/>
          <w:lang w:val="en"/>
        </w:rPr>
        <w:t>)</w:t>
      </w:r>
      <w:r w:rsidR="003C7A7D" w:rsidRPr="76BE792E">
        <w:rPr>
          <w:rStyle w:val="normaltextrun"/>
          <w:rFonts w:cs="Arial"/>
          <w:sz w:val="20"/>
          <w:lang w:val="en"/>
        </w:rPr>
        <w:t xml:space="preserve"> </w:t>
      </w:r>
      <w:r w:rsidR="00406621" w:rsidRPr="76BE792E">
        <w:rPr>
          <w:rStyle w:val="normaltextrun"/>
          <w:rFonts w:cs="Arial"/>
          <w:sz w:val="20"/>
          <w:lang w:val="en"/>
        </w:rPr>
        <w:t>increasing</w:t>
      </w:r>
      <w:r w:rsidR="003C7A7D" w:rsidRPr="76BE792E">
        <w:rPr>
          <w:rStyle w:val="normaltextrun"/>
          <w:rFonts w:cs="Arial"/>
          <w:sz w:val="20"/>
          <w:lang w:val="en"/>
        </w:rPr>
        <w:t xml:space="preserve"> to 5</w:t>
      </w:r>
      <w:r w:rsidR="00406621" w:rsidRPr="76BE792E">
        <w:rPr>
          <w:rStyle w:val="normaltextrun"/>
          <w:rFonts w:cs="Arial"/>
          <w:sz w:val="20"/>
          <w:lang w:val="en"/>
        </w:rPr>
        <w:t>2</w:t>
      </w:r>
      <w:r w:rsidR="0054537F">
        <w:rPr>
          <w:rStyle w:val="normaltextrun"/>
          <w:rFonts w:cs="Arial"/>
          <w:sz w:val="20"/>
          <w:lang w:val="en"/>
        </w:rPr>
        <w:t>%</w:t>
      </w:r>
      <w:r w:rsidR="003C7A7D" w:rsidRPr="76BE792E">
        <w:rPr>
          <w:rStyle w:val="normaltextrun"/>
          <w:rFonts w:cs="Arial"/>
          <w:sz w:val="20"/>
          <w:lang w:val="en"/>
        </w:rPr>
        <w:t xml:space="preserve"> (202</w:t>
      </w:r>
      <w:r w:rsidR="00406621" w:rsidRPr="76BE792E">
        <w:rPr>
          <w:rStyle w:val="normaltextrun"/>
          <w:rFonts w:cs="Arial"/>
          <w:sz w:val="20"/>
          <w:lang w:val="en"/>
        </w:rPr>
        <w:t>1</w:t>
      </w:r>
      <w:r w:rsidR="003C7A7D" w:rsidRPr="76BE792E">
        <w:rPr>
          <w:rStyle w:val="normaltextrun"/>
          <w:rFonts w:cs="Arial"/>
          <w:sz w:val="20"/>
          <w:lang w:val="en"/>
        </w:rPr>
        <w:t>)</w:t>
      </w:r>
      <w:r w:rsidR="00A03EA1" w:rsidRPr="76BE792E">
        <w:rPr>
          <w:rStyle w:val="normaltextrun"/>
          <w:rFonts w:cs="Arial"/>
          <w:sz w:val="20"/>
          <w:lang w:val="en"/>
        </w:rPr>
        <w:t>. T</w:t>
      </w:r>
      <w:r w:rsidR="00B91EA8" w:rsidRPr="76BE792E">
        <w:rPr>
          <w:rStyle w:val="normaltextrun"/>
          <w:rFonts w:cs="Arial"/>
          <w:sz w:val="20"/>
          <w:lang w:val="en"/>
        </w:rPr>
        <w:t xml:space="preserve">he latter </w:t>
      </w:r>
      <w:r w:rsidR="006526D9" w:rsidRPr="76BE792E">
        <w:rPr>
          <w:rStyle w:val="normaltextrun"/>
          <w:rFonts w:cs="Arial"/>
          <w:sz w:val="20"/>
          <w:lang w:val="en"/>
        </w:rPr>
        <w:t xml:space="preserve">is </w:t>
      </w:r>
      <w:r w:rsidR="00B91EA8" w:rsidRPr="76BE792E">
        <w:rPr>
          <w:rStyle w:val="normaltextrun"/>
          <w:rFonts w:cs="Arial"/>
          <w:sz w:val="20"/>
          <w:lang w:val="en"/>
        </w:rPr>
        <w:t>possibly due to increasing age-</w:t>
      </w:r>
      <w:r w:rsidR="00D25BE8" w:rsidRPr="76BE792E">
        <w:rPr>
          <w:rStyle w:val="normaltextrun"/>
          <w:rFonts w:cs="Arial"/>
          <w:sz w:val="20"/>
          <w:lang w:val="en"/>
        </w:rPr>
        <w:t>specific</w:t>
      </w:r>
      <w:r w:rsidR="00B91EA8" w:rsidRPr="76BE792E">
        <w:rPr>
          <w:rStyle w:val="normaltextrun"/>
          <w:rFonts w:cs="Arial"/>
          <w:sz w:val="20"/>
          <w:lang w:val="en"/>
        </w:rPr>
        <w:t xml:space="preserve"> rates of cancer</w:t>
      </w:r>
      <w:r w:rsidR="00E36100" w:rsidRPr="76BE792E">
        <w:rPr>
          <w:rStyle w:val="normaltextrun"/>
          <w:rFonts w:cs="Arial"/>
          <w:sz w:val="20"/>
          <w:lang w:val="en"/>
        </w:rPr>
        <w:t xml:space="preserve">s </w:t>
      </w:r>
      <w:r w:rsidR="00B91EA8" w:rsidRPr="76BE792E">
        <w:rPr>
          <w:rStyle w:val="normaltextrun"/>
          <w:rFonts w:cs="Arial"/>
          <w:sz w:val="20"/>
          <w:lang w:val="en"/>
        </w:rPr>
        <w:t xml:space="preserve">such as </w:t>
      </w:r>
      <w:r w:rsidR="00D25BE8" w:rsidRPr="76BE792E">
        <w:rPr>
          <w:rStyle w:val="normaltextrun"/>
          <w:rFonts w:cs="Arial"/>
          <w:sz w:val="20"/>
          <w:lang w:val="en"/>
        </w:rPr>
        <w:t>prostate</w:t>
      </w:r>
      <w:r w:rsidR="00A03EA1" w:rsidRPr="76BE792E">
        <w:rPr>
          <w:rStyle w:val="normaltextrun"/>
          <w:rFonts w:cs="Arial"/>
          <w:sz w:val="20"/>
          <w:lang w:val="en"/>
        </w:rPr>
        <w:t xml:space="preserve"> and lung</w:t>
      </w:r>
      <w:r w:rsidR="00B91EA8" w:rsidRPr="76BE792E">
        <w:rPr>
          <w:rStyle w:val="normaltextrun"/>
          <w:rFonts w:cs="Arial"/>
          <w:sz w:val="20"/>
          <w:lang w:val="en"/>
        </w:rPr>
        <w:t xml:space="preserve"> cancer </w:t>
      </w:r>
      <w:r w:rsidR="008C67B5" w:rsidRPr="76BE792E">
        <w:rPr>
          <w:rStyle w:val="normaltextrun"/>
          <w:rFonts w:cs="Arial"/>
          <w:sz w:val="20"/>
          <w:lang w:val="en"/>
        </w:rPr>
        <w:t xml:space="preserve">in males </w:t>
      </w:r>
      <w:r w:rsidR="00B91EA8" w:rsidRPr="76BE792E">
        <w:rPr>
          <w:rStyle w:val="normaltextrun"/>
          <w:rFonts w:cs="Arial"/>
          <w:sz w:val="20"/>
          <w:lang w:val="en"/>
        </w:rPr>
        <w:t>having an impact on the increasing life</w:t>
      </w:r>
      <w:r w:rsidR="00D25BE8" w:rsidRPr="76BE792E">
        <w:rPr>
          <w:rStyle w:val="normaltextrun"/>
          <w:rFonts w:cs="Arial"/>
          <w:sz w:val="20"/>
          <w:lang w:val="en"/>
        </w:rPr>
        <w:t xml:space="preserve">time risk of </w:t>
      </w:r>
      <w:r w:rsidR="00E36100" w:rsidRPr="76BE792E">
        <w:rPr>
          <w:rStyle w:val="normaltextrun"/>
          <w:rFonts w:cs="Arial"/>
          <w:sz w:val="20"/>
          <w:lang w:val="en"/>
        </w:rPr>
        <w:t>deve</w:t>
      </w:r>
      <w:r w:rsidR="00326D25" w:rsidRPr="76BE792E">
        <w:rPr>
          <w:rStyle w:val="normaltextrun"/>
          <w:rFonts w:cs="Arial"/>
          <w:sz w:val="20"/>
          <w:lang w:val="en"/>
        </w:rPr>
        <w:t xml:space="preserve">loping </w:t>
      </w:r>
      <w:r w:rsidR="00D25BE8" w:rsidRPr="76BE792E">
        <w:rPr>
          <w:rStyle w:val="normaltextrun"/>
          <w:rFonts w:cs="Arial"/>
          <w:sz w:val="20"/>
          <w:lang w:val="en"/>
        </w:rPr>
        <w:t>cancer before the age of 85 years</w:t>
      </w:r>
      <w:r w:rsidR="004650FA" w:rsidRPr="76BE792E">
        <w:rPr>
          <w:rStyle w:val="normaltextrun"/>
          <w:rFonts w:cs="Arial"/>
          <w:sz w:val="20"/>
          <w:lang w:val="en"/>
        </w:rPr>
        <w:t>.</w:t>
      </w:r>
    </w:p>
    <w:p w14:paraId="45D06DDC" w14:textId="616628C1" w:rsidR="009A2DF4" w:rsidRPr="005B72BC" w:rsidRDefault="00A03EA1" w:rsidP="00E87AAA">
      <w:pPr>
        <w:pStyle w:val="Body"/>
        <w:rPr>
          <w:lang w:val="en"/>
        </w:rPr>
      </w:pPr>
      <w:r w:rsidRPr="00EA78AF">
        <w:rPr>
          <w:rStyle w:val="normaltextrun"/>
          <w:rFonts w:cs="Arial"/>
          <w:sz w:val="20"/>
          <w:lang w:val="en"/>
        </w:rPr>
        <w:t xml:space="preserve">Figure 1.2 shows that the lifetime risk of developing cancer </w:t>
      </w:r>
      <w:r w:rsidR="004650FA" w:rsidRPr="00EA78AF">
        <w:rPr>
          <w:rStyle w:val="normaltextrun"/>
          <w:rFonts w:cs="Arial"/>
          <w:sz w:val="20"/>
          <w:lang w:val="en"/>
        </w:rPr>
        <w:t xml:space="preserve">for </w:t>
      </w:r>
      <w:r w:rsidR="00A0405C" w:rsidRPr="00EA78AF">
        <w:rPr>
          <w:rStyle w:val="normaltextrun"/>
          <w:rFonts w:cs="Arial"/>
          <w:sz w:val="20"/>
          <w:lang w:val="en"/>
        </w:rPr>
        <w:t xml:space="preserve">Aboriginal </w:t>
      </w:r>
      <w:r w:rsidR="004650FA" w:rsidRPr="00EA78AF">
        <w:rPr>
          <w:rStyle w:val="normaltextrun"/>
          <w:rFonts w:cs="Arial"/>
          <w:sz w:val="20"/>
          <w:lang w:val="en"/>
        </w:rPr>
        <w:t>Victorian</w:t>
      </w:r>
      <w:r w:rsidR="00A0405C" w:rsidRPr="00EA78AF">
        <w:rPr>
          <w:rStyle w:val="normaltextrun"/>
          <w:rFonts w:cs="Arial"/>
          <w:sz w:val="20"/>
          <w:lang w:val="en"/>
        </w:rPr>
        <w:t>s</w:t>
      </w:r>
      <w:r w:rsidR="004650FA" w:rsidRPr="00EA78AF">
        <w:rPr>
          <w:rStyle w:val="normaltextrun"/>
          <w:rFonts w:cs="Arial"/>
          <w:sz w:val="20"/>
          <w:lang w:val="en"/>
        </w:rPr>
        <w:t xml:space="preserve"> </w:t>
      </w:r>
      <w:r w:rsidR="006A31E3" w:rsidRPr="00EA78AF">
        <w:rPr>
          <w:rStyle w:val="normaltextrun"/>
          <w:rFonts w:cs="Arial"/>
          <w:sz w:val="20"/>
          <w:lang w:val="en"/>
        </w:rPr>
        <w:t>de</w:t>
      </w:r>
      <w:r w:rsidRPr="00EA78AF">
        <w:rPr>
          <w:rStyle w:val="normaltextrun"/>
          <w:rFonts w:cs="Arial"/>
          <w:sz w:val="20"/>
          <w:lang w:val="en"/>
        </w:rPr>
        <w:t xml:space="preserve">creased </w:t>
      </w:r>
      <w:r w:rsidR="00DE3E1F" w:rsidRPr="00EA78AF">
        <w:rPr>
          <w:rStyle w:val="normaltextrun"/>
          <w:rFonts w:cs="Arial"/>
          <w:sz w:val="20"/>
          <w:lang w:val="en"/>
        </w:rPr>
        <w:t>from 5</w:t>
      </w:r>
      <w:r w:rsidR="00406621" w:rsidRPr="00EA78AF">
        <w:rPr>
          <w:rStyle w:val="normaltextrun"/>
          <w:rFonts w:cs="Arial"/>
          <w:sz w:val="20"/>
          <w:lang w:val="en"/>
        </w:rPr>
        <w:t>2</w:t>
      </w:r>
      <w:r w:rsidR="0054537F">
        <w:rPr>
          <w:rStyle w:val="normaltextrun"/>
          <w:rFonts w:cs="Arial"/>
          <w:sz w:val="20"/>
          <w:lang w:val="en"/>
        </w:rPr>
        <w:t>%</w:t>
      </w:r>
      <w:r w:rsidR="00DE3E1F" w:rsidRPr="00EA78AF">
        <w:rPr>
          <w:rStyle w:val="normaltextrun"/>
          <w:rFonts w:cs="Arial"/>
          <w:sz w:val="20"/>
          <w:lang w:val="en"/>
        </w:rPr>
        <w:t xml:space="preserve"> in 201</w:t>
      </w:r>
      <w:r w:rsidR="008C67B5" w:rsidRPr="00EA78AF">
        <w:rPr>
          <w:rStyle w:val="normaltextrun"/>
          <w:rFonts w:cs="Arial"/>
          <w:sz w:val="20"/>
          <w:lang w:val="en"/>
        </w:rPr>
        <w:t>4</w:t>
      </w:r>
      <w:r w:rsidR="00DE3E1F" w:rsidRPr="00EA78AF">
        <w:rPr>
          <w:rStyle w:val="normaltextrun"/>
          <w:rFonts w:cs="Arial"/>
          <w:sz w:val="20"/>
          <w:lang w:val="en"/>
        </w:rPr>
        <w:t xml:space="preserve"> to </w:t>
      </w:r>
      <w:r w:rsidR="006A31E3" w:rsidRPr="00EA78AF">
        <w:rPr>
          <w:rStyle w:val="normaltextrun"/>
          <w:rFonts w:cs="Arial"/>
          <w:sz w:val="20"/>
          <w:lang w:val="en"/>
        </w:rPr>
        <w:t>48</w:t>
      </w:r>
      <w:r w:rsidR="0054537F">
        <w:rPr>
          <w:rStyle w:val="normaltextrun"/>
          <w:rFonts w:cs="Arial"/>
          <w:sz w:val="20"/>
          <w:lang w:val="en"/>
        </w:rPr>
        <w:t>%</w:t>
      </w:r>
      <w:r w:rsidR="00DE3E1F" w:rsidRPr="00EA78AF">
        <w:rPr>
          <w:rStyle w:val="normaltextrun"/>
          <w:rFonts w:cs="Arial"/>
          <w:sz w:val="20"/>
          <w:lang w:val="en"/>
        </w:rPr>
        <w:t xml:space="preserve"> in </w:t>
      </w:r>
      <w:r w:rsidR="00B91EA8" w:rsidRPr="00EA78AF">
        <w:rPr>
          <w:rStyle w:val="normaltextrun"/>
          <w:rFonts w:cs="Arial"/>
          <w:sz w:val="20"/>
          <w:lang w:val="en"/>
        </w:rPr>
        <w:t>20</w:t>
      </w:r>
      <w:r w:rsidR="0052143B" w:rsidRPr="00EA78AF">
        <w:rPr>
          <w:rStyle w:val="normaltextrun"/>
          <w:rFonts w:cs="Arial"/>
          <w:sz w:val="20"/>
          <w:lang w:val="en"/>
        </w:rPr>
        <w:t>2</w:t>
      </w:r>
      <w:r w:rsidR="006A31E3" w:rsidRPr="00EA78AF">
        <w:rPr>
          <w:rStyle w:val="normaltextrun"/>
          <w:rFonts w:cs="Arial"/>
          <w:sz w:val="20"/>
          <w:lang w:val="en"/>
        </w:rPr>
        <w:t>1</w:t>
      </w:r>
      <w:r w:rsidR="00B91EA8" w:rsidRPr="00EA78AF">
        <w:rPr>
          <w:rStyle w:val="normaltextrun"/>
          <w:rFonts w:cs="Arial"/>
          <w:sz w:val="20"/>
          <w:lang w:val="en"/>
        </w:rPr>
        <w:t>.</w:t>
      </w:r>
      <w:r w:rsidR="00952FC7" w:rsidRPr="00EA78AF">
        <w:rPr>
          <w:rStyle w:val="normaltextrun"/>
          <w:rFonts w:cs="Arial"/>
          <w:sz w:val="20"/>
          <w:lang w:val="en"/>
        </w:rPr>
        <w:t xml:space="preserve"> </w:t>
      </w:r>
      <w:r w:rsidR="00DE3E1F" w:rsidRPr="00EA78AF">
        <w:rPr>
          <w:rStyle w:val="normaltextrun"/>
          <w:rFonts w:cs="Arial"/>
          <w:sz w:val="20"/>
          <w:lang w:val="en"/>
        </w:rPr>
        <w:t xml:space="preserve">The lifetime risk of developing cancer before the age of 85 years did not vary significantly between </w:t>
      </w:r>
      <w:r w:rsidR="00DE7FFE" w:rsidRPr="00EA78AF">
        <w:rPr>
          <w:rStyle w:val="normaltextrun"/>
          <w:rFonts w:cs="Arial"/>
          <w:sz w:val="20"/>
          <w:lang w:val="en"/>
        </w:rPr>
        <w:t>SES</w:t>
      </w:r>
      <w:r w:rsidR="00A34B54" w:rsidRPr="00EA78AF">
        <w:rPr>
          <w:rStyle w:val="normaltextrun"/>
          <w:rFonts w:cs="Arial"/>
          <w:sz w:val="20"/>
          <w:lang w:val="en"/>
        </w:rPr>
        <w:t xml:space="preserve"> and remoteness (Figure 1.2). Figure</w:t>
      </w:r>
      <w:r w:rsidR="004C0D1F" w:rsidRPr="00EA78AF">
        <w:rPr>
          <w:rStyle w:val="normaltextrun"/>
          <w:rFonts w:cs="Arial"/>
          <w:sz w:val="20"/>
          <w:lang w:val="en"/>
        </w:rPr>
        <w:t xml:space="preserve"> 1.2.1 also shows </w:t>
      </w:r>
      <w:r w:rsidR="00356801" w:rsidRPr="00EA78AF">
        <w:rPr>
          <w:rStyle w:val="normaltextrun"/>
          <w:rFonts w:cs="Arial"/>
          <w:sz w:val="20"/>
          <w:lang w:val="en"/>
        </w:rPr>
        <w:t xml:space="preserve">very little variation </w:t>
      </w:r>
      <w:r w:rsidR="005B62C9" w:rsidRPr="00EA78AF">
        <w:rPr>
          <w:rStyle w:val="normaltextrun"/>
          <w:rFonts w:cs="Arial"/>
          <w:sz w:val="20"/>
          <w:lang w:val="en"/>
        </w:rPr>
        <w:t xml:space="preserve">in </w:t>
      </w:r>
      <w:r w:rsidR="004C0D1F" w:rsidRPr="00EA78AF">
        <w:rPr>
          <w:rStyle w:val="normaltextrun"/>
          <w:rFonts w:cs="Arial"/>
          <w:sz w:val="20"/>
          <w:lang w:val="en"/>
        </w:rPr>
        <w:t>the lifetime risk of developing cancer before the age of 85 years between</w:t>
      </w:r>
      <w:r w:rsidR="00A34B54" w:rsidRPr="00EA78AF">
        <w:rPr>
          <w:rStyle w:val="normaltextrun"/>
          <w:rFonts w:cs="Arial"/>
          <w:sz w:val="20"/>
          <w:lang w:val="en"/>
        </w:rPr>
        <w:t xml:space="preserve"> </w:t>
      </w:r>
      <w:r w:rsidR="004C0D1F" w:rsidRPr="00EA78AF">
        <w:rPr>
          <w:rStyle w:val="normaltextrun"/>
          <w:rFonts w:cs="Arial"/>
          <w:sz w:val="20"/>
          <w:lang w:val="en"/>
        </w:rPr>
        <w:t>I</w:t>
      </w:r>
      <w:r w:rsidR="00A34B54" w:rsidRPr="00EA78AF">
        <w:rPr>
          <w:rStyle w:val="normaltextrun"/>
          <w:rFonts w:cs="Arial"/>
          <w:sz w:val="20"/>
          <w:lang w:val="en"/>
        </w:rPr>
        <w:t>CS</w:t>
      </w:r>
      <w:r w:rsidR="005B62C9" w:rsidRPr="00EA78AF">
        <w:rPr>
          <w:rStyle w:val="normaltextrun"/>
          <w:rFonts w:cs="Arial"/>
          <w:sz w:val="20"/>
          <w:lang w:val="en"/>
        </w:rPr>
        <w:t>s</w:t>
      </w:r>
      <w:r w:rsidR="00A34B54" w:rsidRPr="00EA78AF">
        <w:rPr>
          <w:rStyle w:val="normaltextrun"/>
          <w:rFonts w:cs="Arial"/>
          <w:sz w:val="20"/>
          <w:lang w:val="en"/>
        </w:rPr>
        <w:t xml:space="preserve"> </w:t>
      </w:r>
      <w:r w:rsidR="00610294" w:rsidRPr="00EA78AF">
        <w:rPr>
          <w:rStyle w:val="normaltextrun"/>
          <w:rFonts w:cs="Arial"/>
          <w:sz w:val="20"/>
          <w:lang w:val="en"/>
        </w:rPr>
        <w:t>during</w:t>
      </w:r>
      <w:r w:rsidR="00DF6DCB" w:rsidRPr="00EA78AF">
        <w:rPr>
          <w:rStyle w:val="normaltextrun"/>
          <w:rFonts w:cs="Arial"/>
          <w:sz w:val="20"/>
          <w:lang w:val="en"/>
        </w:rPr>
        <w:t xml:space="preserve"> the analysis period</w:t>
      </w:r>
      <w:r w:rsidR="00675D23" w:rsidRPr="00EA78AF">
        <w:rPr>
          <w:rStyle w:val="normaltextrun"/>
          <w:rFonts w:cs="Arial"/>
          <w:sz w:val="20"/>
          <w:lang w:val="en"/>
        </w:rPr>
        <w:t>.</w:t>
      </w:r>
      <w:r w:rsidR="009A2DF4">
        <w:br w:type="page"/>
      </w:r>
    </w:p>
    <w:p w14:paraId="00DD32D0" w14:textId="457E7D1D" w:rsidR="00E8458B" w:rsidRPr="0099225F" w:rsidRDefault="00E8458B" w:rsidP="00A451D4">
      <w:pPr>
        <w:pStyle w:val="Heading3"/>
        <w:rPr>
          <w:b/>
          <w:bCs w:val="0"/>
          <w:sz w:val="28"/>
          <w:szCs w:val="28"/>
        </w:rPr>
      </w:pPr>
      <w:bookmarkStart w:id="98" w:name="_Measure_1.3_–"/>
      <w:bookmarkStart w:id="99" w:name="_Toc19007995"/>
      <w:bookmarkEnd w:id="98"/>
      <w:r w:rsidRPr="0099225F">
        <w:rPr>
          <w:b/>
          <w:bCs w:val="0"/>
          <w:sz w:val="28"/>
          <w:szCs w:val="28"/>
        </w:rPr>
        <w:lastRenderedPageBreak/>
        <w:t xml:space="preserve">Measure 1.3 – </w:t>
      </w:r>
      <w:r w:rsidR="006624DA" w:rsidRPr="0099225F">
        <w:rPr>
          <w:b/>
          <w:bCs w:val="0"/>
          <w:sz w:val="28"/>
          <w:szCs w:val="28"/>
        </w:rPr>
        <w:t>Incidence of lung cancer</w:t>
      </w:r>
      <w:bookmarkEnd w:id="99"/>
    </w:p>
    <w:p w14:paraId="32B30B4F" w14:textId="76FAADC6" w:rsidR="008D4EED" w:rsidRPr="0099225F" w:rsidRDefault="008D4EED" w:rsidP="00FA314C">
      <w:pPr>
        <w:pStyle w:val="Figurecaption"/>
        <w:rPr>
          <w:sz w:val="20"/>
        </w:rPr>
      </w:pPr>
      <w:bookmarkStart w:id="100" w:name="_Toc19007996"/>
      <w:bookmarkStart w:id="101" w:name="_Toc19008256"/>
      <w:bookmarkStart w:id="102" w:name="_Toc19008403"/>
      <w:bookmarkStart w:id="103" w:name="_Toc19008550"/>
      <w:bookmarkStart w:id="104" w:name="_Toc132552988"/>
      <w:bookmarkStart w:id="105" w:name="_Toc140827594"/>
      <w:r w:rsidRPr="0099225F">
        <w:rPr>
          <w:sz w:val="20"/>
        </w:rPr>
        <w:t>Figure 1.3</w:t>
      </w:r>
      <w:r w:rsidR="002963FB" w:rsidRPr="0099225F">
        <w:rPr>
          <w:sz w:val="20"/>
        </w:rPr>
        <w:t>:</w:t>
      </w:r>
      <w:r w:rsidRPr="0099225F">
        <w:rPr>
          <w:sz w:val="20"/>
        </w:rPr>
        <w:t xml:space="preserve"> Incidence of lung cancer in Victoria per 100,000 standardised to the 2001 Australian population, by year of diagnosis, 201</w:t>
      </w:r>
      <w:r w:rsidR="004D3231" w:rsidRPr="0099225F">
        <w:rPr>
          <w:sz w:val="20"/>
        </w:rPr>
        <w:t>4</w:t>
      </w:r>
      <w:r w:rsidR="00126D03" w:rsidRPr="0099225F">
        <w:rPr>
          <w:sz w:val="20"/>
        </w:rPr>
        <w:t>, 2017</w:t>
      </w:r>
      <w:r w:rsidRPr="0099225F">
        <w:rPr>
          <w:sz w:val="20"/>
        </w:rPr>
        <w:t xml:space="preserve"> and 20</w:t>
      </w:r>
      <w:bookmarkEnd w:id="100"/>
      <w:bookmarkEnd w:id="101"/>
      <w:bookmarkEnd w:id="102"/>
      <w:bookmarkEnd w:id="103"/>
      <w:r w:rsidR="00126D03" w:rsidRPr="0099225F">
        <w:rPr>
          <w:sz w:val="20"/>
        </w:rPr>
        <w:t>2</w:t>
      </w:r>
      <w:r w:rsidR="00F01995" w:rsidRPr="0099225F">
        <w:rPr>
          <w:sz w:val="20"/>
        </w:rPr>
        <w:t>1</w:t>
      </w:r>
      <w:bookmarkEnd w:id="104"/>
      <w:bookmarkEnd w:id="105"/>
    </w:p>
    <w:p w14:paraId="2C438077" w14:textId="17D72C6C" w:rsidR="00FE65D5" w:rsidRPr="00FE65D5" w:rsidRDefault="00FE65D5" w:rsidP="00E87AAA">
      <w:pPr>
        <w:pStyle w:val="Body"/>
      </w:pPr>
      <w:r>
        <w:rPr>
          <w:noProof/>
        </w:rPr>
        <w:drawing>
          <wp:inline distT="0" distB="0" distL="0" distR="0" wp14:anchorId="34CFF5F0" wp14:editId="40C39539">
            <wp:extent cx="5944870" cy="6701246"/>
            <wp:effectExtent l="0" t="0" r="0" b="4445"/>
            <wp:docPr id="289" name="Picture 289" descr="This figure shows a data summary of 'Measure 1.3 – Incidence of lung cancer'. The data set is available under 'Measure 1.3 – Incidence of lung cancer'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This figure shows a data summary of 'Measure 1.3 – Incidence of lung cancer'. The data set is available under 'Measure 1.3 – Incidence of lung cancer' in a separate volume, the Victorian cancer plan monitoring and evaluation framework: baseline report: Appendix 2: Datasets available on Cancer care &lt;https://www.health.vic.gov.au/health-strategies/cancer-care&gt;."/>
                    <pic:cNvPicPr/>
                  </pic:nvPicPr>
                  <pic:blipFill>
                    <a:blip r:embed="rId38"/>
                    <a:stretch>
                      <a:fillRect/>
                    </a:stretch>
                  </pic:blipFill>
                  <pic:spPr>
                    <a:xfrm>
                      <a:off x="0" y="0"/>
                      <a:ext cx="5977068" cy="6737540"/>
                    </a:xfrm>
                    <a:prstGeom prst="rect">
                      <a:avLst/>
                    </a:prstGeom>
                  </pic:spPr>
                </pic:pic>
              </a:graphicData>
            </a:graphic>
          </wp:inline>
        </w:drawing>
      </w:r>
    </w:p>
    <w:p w14:paraId="4FB8135C" w14:textId="77777777" w:rsidR="0020440A" w:rsidRPr="0057553C" w:rsidRDefault="009A2DF4" w:rsidP="00FA1AAC">
      <w:pPr>
        <w:pStyle w:val="Tablefigurenote"/>
        <w:rPr>
          <w:i/>
          <w:iCs/>
          <w:sz w:val="18"/>
          <w:szCs w:val="18"/>
        </w:rPr>
      </w:pPr>
      <w:r w:rsidRPr="0057553C">
        <w:rPr>
          <w:i/>
          <w:iCs/>
          <w:sz w:val="18"/>
          <w:szCs w:val="18"/>
        </w:rPr>
        <w:t>Note:</w:t>
      </w:r>
      <w:r w:rsidR="00250B73" w:rsidRPr="0057553C">
        <w:rPr>
          <w:i/>
          <w:iCs/>
          <w:sz w:val="18"/>
          <w:szCs w:val="18"/>
        </w:rPr>
        <w:t xml:space="preserve"> </w:t>
      </w:r>
      <w:r w:rsidRPr="0057553C">
        <w:rPr>
          <w:i/>
          <w:iCs/>
          <w:sz w:val="18"/>
          <w:szCs w:val="18"/>
        </w:rPr>
        <w:t xml:space="preserve">Results by </w:t>
      </w:r>
      <w:r w:rsidR="0011089F" w:rsidRPr="0057553C">
        <w:rPr>
          <w:i/>
          <w:iCs/>
          <w:sz w:val="18"/>
          <w:szCs w:val="18"/>
        </w:rPr>
        <w:t>cultural diversity</w:t>
      </w:r>
      <w:r w:rsidRPr="0057553C">
        <w:rPr>
          <w:i/>
          <w:iCs/>
          <w:sz w:val="18"/>
          <w:szCs w:val="18"/>
        </w:rPr>
        <w:t xml:space="preserve"> are not presented as the ERP does not estimate the population by </w:t>
      </w:r>
      <w:r w:rsidR="0011089F" w:rsidRPr="0057553C">
        <w:rPr>
          <w:i/>
          <w:iCs/>
          <w:sz w:val="18"/>
          <w:szCs w:val="18"/>
        </w:rPr>
        <w:t>cultural diversity</w:t>
      </w:r>
      <w:r w:rsidRPr="0057553C">
        <w:rPr>
          <w:i/>
          <w:iCs/>
          <w:sz w:val="18"/>
          <w:szCs w:val="18"/>
        </w:rPr>
        <w:t>, hence there is no denominator for this variable.</w:t>
      </w:r>
    </w:p>
    <w:p w14:paraId="1C2066FE" w14:textId="63CB8D1B" w:rsidR="000D5A35" w:rsidRPr="0011089F" w:rsidRDefault="0020440A" w:rsidP="00FA1AAC">
      <w:pPr>
        <w:pStyle w:val="Tablefigurenote"/>
      </w:pPr>
      <w:r w:rsidRPr="0057553C">
        <w:rPr>
          <w:i/>
          <w:iCs/>
          <w:color w:val="000000"/>
          <w:sz w:val="18"/>
          <w:szCs w:val="18"/>
        </w:rPr>
        <w:t>Appendix 2 provides the dataset.</w:t>
      </w:r>
      <w:r w:rsidR="000D5A35" w:rsidRPr="0011089F">
        <w:rPr>
          <w:b/>
        </w:rPr>
        <w:br w:type="page"/>
      </w:r>
    </w:p>
    <w:p w14:paraId="7B7CD6E8" w14:textId="5D782C63" w:rsidR="00917E02" w:rsidRDefault="00A76E50" w:rsidP="00917E02">
      <w:pPr>
        <w:pStyle w:val="Figurecaption"/>
        <w:rPr>
          <w:sz w:val="20"/>
        </w:rPr>
      </w:pPr>
      <w:bookmarkStart w:id="106" w:name="_Toc19007997"/>
      <w:bookmarkStart w:id="107" w:name="_Toc19008257"/>
      <w:bookmarkStart w:id="108" w:name="_Toc19008404"/>
      <w:bookmarkStart w:id="109" w:name="_Toc19008551"/>
      <w:bookmarkStart w:id="110" w:name="_Toc132552989"/>
      <w:bookmarkStart w:id="111" w:name="_Toc140827595"/>
      <w:r w:rsidRPr="0099225F">
        <w:rPr>
          <w:sz w:val="20"/>
          <w:lang w:eastAsia="en-AU"/>
        </w:rPr>
        <w:lastRenderedPageBreak/>
        <w:t>Figure 1.3.1</w:t>
      </w:r>
      <w:r w:rsidR="002963FB" w:rsidRPr="0099225F">
        <w:rPr>
          <w:sz w:val="20"/>
          <w:lang w:eastAsia="en-AU"/>
        </w:rPr>
        <w:t>:</w:t>
      </w:r>
      <w:r w:rsidRPr="0099225F">
        <w:rPr>
          <w:sz w:val="20"/>
          <w:lang w:eastAsia="en-AU"/>
        </w:rPr>
        <w:t xml:space="preserve"> Incidence of lung cancer in Victoria per </w:t>
      </w:r>
      <w:r w:rsidRPr="0099225F">
        <w:rPr>
          <w:color w:val="000000" w:themeColor="text1"/>
          <w:sz w:val="20"/>
        </w:rPr>
        <w:t xml:space="preserve">100,000 standardised to the 2001 Australian population, by </w:t>
      </w:r>
      <w:r w:rsidR="008439C8" w:rsidRPr="0099225F">
        <w:rPr>
          <w:color w:val="000000" w:themeColor="text1"/>
          <w:sz w:val="20"/>
        </w:rPr>
        <w:t>ICS</w:t>
      </w:r>
      <w:r w:rsidRPr="0099225F">
        <w:rPr>
          <w:sz w:val="20"/>
        </w:rPr>
        <w:t xml:space="preserve"> </w:t>
      </w:r>
      <w:r w:rsidR="0031077F" w:rsidRPr="0099225F">
        <w:rPr>
          <w:sz w:val="20"/>
        </w:rPr>
        <w:t xml:space="preserve">and </w:t>
      </w:r>
      <w:r w:rsidRPr="0099225F">
        <w:rPr>
          <w:sz w:val="20"/>
        </w:rPr>
        <w:t>year, 201</w:t>
      </w:r>
      <w:r w:rsidR="00B73C3A" w:rsidRPr="0099225F">
        <w:rPr>
          <w:sz w:val="20"/>
        </w:rPr>
        <w:t>4</w:t>
      </w:r>
      <w:r w:rsidR="003C472C" w:rsidRPr="0099225F">
        <w:rPr>
          <w:sz w:val="20"/>
        </w:rPr>
        <w:t>,</w:t>
      </w:r>
      <w:r w:rsidRPr="0099225F">
        <w:rPr>
          <w:sz w:val="20"/>
        </w:rPr>
        <w:t xml:space="preserve"> 2017</w:t>
      </w:r>
      <w:bookmarkEnd w:id="106"/>
      <w:bookmarkEnd w:id="107"/>
      <w:bookmarkEnd w:id="108"/>
      <w:bookmarkEnd w:id="109"/>
      <w:r w:rsidR="003C472C" w:rsidRPr="0099225F">
        <w:rPr>
          <w:sz w:val="20"/>
        </w:rPr>
        <w:t xml:space="preserve"> and 202</w:t>
      </w:r>
      <w:r w:rsidR="00F01995" w:rsidRPr="0099225F">
        <w:rPr>
          <w:sz w:val="20"/>
        </w:rPr>
        <w:t>1</w:t>
      </w:r>
      <w:bookmarkEnd w:id="110"/>
      <w:bookmarkEnd w:id="111"/>
    </w:p>
    <w:p w14:paraId="5D4E0D32" w14:textId="702E5A89" w:rsidR="001B1C08" w:rsidRPr="007C7F00" w:rsidRDefault="0007076D" w:rsidP="0007076D">
      <w:pPr>
        <w:pStyle w:val="DHHSbody"/>
      </w:pPr>
      <w:r w:rsidRPr="0007076D">
        <w:rPr>
          <w:noProof/>
        </w:rPr>
        <w:drawing>
          <wp:inline distT="0" distB="0" distL="0" distR="0" wp14:anchorId="21063542" wp14:editId="176205B3">
            <wp:extent cx="6074294" cy="2932387"/>
            <wp:effectExtent l="0" t="0" r="3175" b="1905"/>
            <wp:docPr id="51" name="Picture 51" descr="This figure (bar graph) presents the incidence of lung cancer in Victoria by Integrated Cancer Service for 2014, 2017 and 2021.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his figure (bar graph) presents the incidence of lung cancer in Victoria by Integrated Cancer Service for 2014, 2017 and 2021. Data labels have been included in the bar graph."/>
                    <pic:cNvPicPr/>
                  </pic:nvPicPr>
                  <pic:blipFill>
                    <a:blip r:embed="rId39"/>
                    <a:stretch>
                      <a:fillRect/>
                    </a:stretch>
                  </pic:blipFill>
                  <pic:spPr>
                    <a:xfrm>
                      <a:off x="0" y="0"/>
                      <a:ext cx="6092719" cy="2941282"/>
                    </a:xfrm>
                    <a:prstGeom prst="rect">
                      <a:avLst/>
                    </a:prstGeom>
                  </pic:spPr>
                </pic:pic>
              </a:graphicData>
            </a:graphic>
          </wp:inline>
        </w:drawing>
      </w:r>
    </w:p>
    <w:p w14:paraId="5800372C" w14:textId="1A3AD019" w:rsidR="00665D4B" w:rsidRPr="001C4A8A" w:rsidRDefault="00665D4B" w:rsidP="007C7F00">
      <w:pPr>
        <w:pStyle w:val="Heading4"/>
      </w:pPr>
      <w:r w:rsidRPr="007C7F00">
        <w:t>Measure assessment</w:t>
      </w:r>
    </w:p>
    <w:p w14:paraId="34DA9E85" w14:textId="4D022121" w:rsidR="003E5FD3" w:rsidRPr="00EA78AF" w:rsidRDefault="003E5FD3" w:rsidP="00606436">
      <w:pPr>
        <w:pStyle w:val="Body"/>
        <w:rPr>
          <w:sz w:val="20"/>
        </w:rPr>
      </w:pPr>
      <w:r w:rsidRPr="00EA78AF">
        <w:rPr>
          <w:sz w:val="20"/>
        </w:rPr>
        <w:t>Traffic light rating:</w:t>
      </w:r>
      <w:r w:rsidRPr="00EA78AF">
        <w:rPr>
          <w:color w:val="AF272F"/>
          <w:sz w:val="20"/>
        </w:rPr>
        <w:t xml:space="preserve"> </w:t>
      </w:r>
      <w:r w:rsidR="00957B57" w:rsidRPr="00EA78AF">
        <w:rPr>
          <w:b/>
          <w:color w:val="C5511A"/>
          <w:sz w:val="20"/>
        </w:rPr>
        <w:t>Amber</w:t>
      </w:r>
      <w:r w:rsidR="00EA3932" w:rsidRPr="00EA78AF">
        <w:rPr>
          <w:b/>
          <w:sz w:val="20"/>
        </w:rPr>
        <w:t xml:space="preserve"> </w:t>
      </w:r>
      <w:r w:rsidR="00EA3932" w:rsidRPr="00EA78AF">
        <w:rPr>
          <w:sz w:val="20"/>
        </w:rPr>
        <w:t>(desired result not yet evident</w:t>
      </w:r>
      <w:r w:rsidR="00D533B2" w:rsidRPr="00EA78AF">
        <w:rPr>
          <w:sz w:val="20"/>
        </w:rPr>
        <w:t>)</w:t>
      </w:r>
    </w:p>
    <w:p w14:paraId="46EBCBB5" w14:textId="2DE118E9" w:rsidR="003E5FD3" w:rsidRPr="00EA78AF" w:rsidRDefault="003E5FD3" w:rsidP="00606436">
      <w:pPr>
        <w:pStyle w:val="Body"/>
        <w:rPr>
          <w:sz w:val="20"/>
        </w:rPr>
      </w:pPr>
      <w:r w:rsidRPr="00EA78AF">
        <w:rPr>
          <w:sz w:val="20"/>
        </w:rPr>
        <w:t xml:space="preserve">Overall trend: </w:t>
      </w:r>
      <w:r w:rsidR="00957B57" w:rsidRPr="00EA78AF">
        <w:rPr>
          <w:sz w:val="20"/>
        </w:rPr>
        <w:t>Static or unchanging</w:t>
      </w:r>
    </w:p>
    <w:p w14:paraId="2A662ECC" w14:textId="370D9690" w:rsidR="00DB44F7" w:rsidRPr="00EA78AF" w:rsidRDefault="00F77624" w:rsidP="00E87AAA">
      <w:pPr>
        <w:pStyle w:val="Body"/>
        <w:rPr>
          <w:rFonts w:cs="Arial"/>
          <w:sz w:val="20"/>
          <w:lang w:eastAsia="en-AU"/>
        </w:rPr>
      </w:pPr>
      <w:r w:rsidRPr="76BE792E">
        <w:rPr>
          <w:rFonts w:cs="Arial"/>
          <w:sz w:val="20"/>
          <w:lang w:eastAsia="en-AU"/>
        </w:rPr>
        <w:t xml:space="preserve">Commentary: </w:t>
      </w:r>
      <w:r w:rsidR="00DE638F" w:rsidRPr="76BE792E">
        <w:rPr>
          <w:sz w:val="20"/>
        </w:rPr>
        <w:t>There are two main types of lung cancer</w:t>
      </w:r>
      <w:r w:rsidR="00A0405C" w:rsidRPr="76BE792E">
        <w:rPr>
          <w:sz w:val="20"/>
        </w:rPr>
        <w:t xml:space="preserve"> –</w:t>
      </w:r>
      <w:r w:rsidR="00DE638F" w:rsidRPr="76BE792E">
        <w:rPr>
          <w:sz w:val="20"/>
        </w:rPr>
        <w:t xml:space="preserve"> non-small cell lung cancer and small cell lung cancer.</w:t>
      </w:r>
      <w:r w:rsidR="00DE638F" w:rsidRPr="76BE792E">
        <w:rPr>
          <w:rFonts w:cs="Arial"/>
          <w:sz w:val="20"/>
          <w:lang w:eastAsia="en-AU"/>
        </w:rPr>
        <w:t xml:space="preserve"> </w:t>
      </w:r>
      <w:r w:rsidR="007B3148" w:rsidRPr="76BE792E">
        <w:rPr>
          <w:rFonts w:cs="Arial"/>
          <w:sz w:val="20"/>
          <w:lang w:eastAsia="en-AU"/>
        </w:rPr>
        <w:t>It is well docum</w:t>
      </w:r>
      <w:r w:rsidR="00DE638F" w:rsidRPr="76BE792E">
        <w:rPr>
          <w:rFonts w:cs="Arial"/>
          <w:sz w:val="20"/>
          <w:lang w:eastAsia="en-AU"/>
        </w:rPr>
        <w:t>e</w:t>
      </w:r>
      <w:r w:rsidR="007B3148" w:rsidRPr="76BE792E">
        <w:rPr>
          <w:rFonts w:cs="Arial"/>
          <w:sz w:val="20"/>
          <w:lang w:eastAsia="en-AU"/>
        </w:rPr>
        <w:t xml:space="preserve">nted that there are </w:t>
      </w:r>
      <w:r w:rsidR="00EB15F1" w:rsidRPr="76BE792E">
        <w:rPr>
          <w:rFonts w:cs="Arial"/>
          <w:sz w:val="20"/>
          <w:lang w:eastAsia="en-AU"/>
        </w:rPr>
        <w:t>several</w:t>
      </w:r>
      <w:r w:rsidR="007B3148" w:rsidRPr="76BE792E">
        <w:rPr>
          <w:sz w:val="20"/>
        </w:rPr>
        <w:t xml:space="preserve"> risk factors relating to develop</w:t>
      </w:r>
      <w:r w:rsidR="006526D9" w:rsidRPr="76BE792E">
        <w:rPr>
          <w:sz w:val="20"/>
        </w:rPr>
        <w:t>ing</w:t>
      </w:r>
      <w:r w:rsidR="007B3148" w:rsidRPr="76BE792E">
        <w:rPr>
          <w:sz w:val="20"/>
        </w:rPr>
        <w:t xml:space="preserve"> lung cancer. Of these, tobacco smoking </w:t>
      </w:r>
      <w:r w:rsidR="00DC62ED" w:rsidRPr="76BE792E">
        <w:rPr>
          <w:sz w:val="20"/>
        </w:rPr>
        <w:t>is</w:t>
      </w:r>
      <w:r w:rsidR="007B3148" w:rsidRPr="76BE792E">
        <w:rPr>
          <w:sz w:val="20"/>
        </w:rPr>
        <w:t xml:space="preserve"> the greatest risk factor</w:t>
      </w:r>
      <w:r w:rsidR="00DE638F" w:rsidRPr="76BE792E">
        <w:rPr>
          <w:sz w:val="20"/>
        </w:rPr>
        <w:t xml:space="preserve"> for </w:t>
      </w:r>
      <w:r w:rsidR="001E0F10" w:rsidRPr="76BE792E">
        <w:rPr>
          <w:sz w:val="20"/>
        </w:rPr>
        <w:t>non-small cell lung cancer</w:t>
      </w:r>
      <w:r w:rsidR="007B3148" w:rsidRPr="76BE792E">
        <w:rPr>
          <w:sz w:val="20"/>
        </w:rPr>
        <w:t xml:space="preserve">. </w:t>
      </w:r>
      <w:r w:rsidR="00D011F8" w:rsidRPr="76BE792E">
        <w:rPr>
          <w:sz w:val="20"/>
        </w:rPr>
        <w:t xml:space="preserve">More recently </w:t>
      </w:r>
      <w:r w:rsidR="000B08F0" w:rsidRPr="76BE792E">
        <w:rPr>
          <w:sz w:val="20"/>
        </w:rPr>
        <w:t xml:space="preserve">exposure to dust </w:t>
      </w:r>
      <w:r w:rsidR="0035684F" w:rsidRPr="76BE792E">
        <w:rPr>
          <w:sz w:val="20"/>
        </w:rPr>
        <w:t>is</w:t>
      </w:r>
      <w:r w:rsidR="000B08F0" w:rsidRPr="76BE792E">
        <w:rPr>
          <w:sz w:val="20"/>
        </w:rPr>
        <w:t xml:space="preserve"> a risk factor for lung cancer</w:t>
      </w:r>
      <w:r w:rsidR="00DE638F" w:rsidRPr="76BE792E">
        <w:rPr>
          <w:sz w:val="20"/>
        </w:rPr>
        <w:t xml:space="preserve"> (</w:t>
      </w:r>
      <w:r w:rsidR="001E0F10" w:rsidRPr="76BE792E">
        <w:rPr>
          <w:sz w:val="20"/>
        </w:rPr>
        <w:t>small cell lung cancer</w:t>
      </w:r>
      <w:r w:rsidR="00DE638F" w:rsidRPr="76BE792E">
        <w:rPr>
          <w:sz w:val="20"/>
        </w:rPr>
        <w:t>)</w:t>
      </w:r>
      <w:r w:rsidR="00620864" w:rsidRPr="76BE792E">
        <w:rPr>
          <w:sz w:val="20"/>
        </w:rPr>
        <w:t xml:space="preserve">. Workers exposed to </w:t>
      </w:r>
      <w:r w:rsidR="007435EE" w:rsidRPr="76BE792E">
        <w:rPr>
          <w:sz w:val="20"/>
        </w:rPr>
        <w:t>long</w:t>
      </w:r>
      <w:r w:rsidR="00DC62ED" w:rsidRPr="76BE792E">
        <w:rPr>
          <w:sz w:val="20"/>
        </w:rPr>
        <w:t>-</w:t>
      </w:r>
      <w:r w:rsidR="007435EE" w:rsidRPr="76BE792E">
        <w:rPr>
          <w:sz w:val="20"/>
        </w:rPr>
        <w:t xml:space="preserve">term or </w:t>
      </w:r>
      <w:r w:rsidR="00DC62ED" w:rsidRPr="76BE792E">
        <w:rPr>
          <w:sz w:val="20"/>
        </w:rPr>
        <w:t xml:space="preserve">a </w:t>
      </w:r>
      <w:r w:rsidR="007435EE" w:rsidRPr="76BE792E">
        <w:rPr>
          <w:sz w:val="20"/>
        </w:rPr>
        <w:t xml:space="preserve">repeated high level </w:t>
      </w:r>
      <w:r w:rsidR="00620864" w:rsidRPr="76BE792E">
        <w:rPr>
          <w:sz w:val="20"/>
        </w:rPr>
        <w:t xml:space="preserve">of exposure to </w:t>
      </w:r>
      <w:r w:rsidR="005405C4" w:rsidRPr="76BE792E">
        <w:rPr>
          <w:sz w:val="20"/>
        </w:rPr>
        <w:t xml:space="preserve">inorganic </w:t>
      </w:r>
      <w:r w:rsidR="007435EE" w:rsidRPr="76BE792E">
        <w:rPr>
          <w:sz w:val="20"/>
        </w:rPr>
        <w:t xml:space="preserve">dust from </w:t>
      </w:r>
      <w:r w:rsidR="00620864" w:rsidRPr="76BE792E">
        <w:rPr>
          <w:sz w:val="20"/>
        </w:rPr>
        <w:t xml:space="preserve">products containing asbestos or silica </w:t>
      </w:r>
      <w:r w:rsidR="005405C4" w:rsidRPr="76BE792E">
        <w:rPr>
          <w:sz w:val="20"/>
        </w:rPr>
        <w:t>due to</w:t>
      </w:r>
      <w:r w:rsidR="00FB412E" w:rsidRPr="76BE792E">
        <w:rPr>
          <w:sz w:val="20"/>
        </w:rPr>
        <w:t xml:space="preserve"> poor control measures </w:t>
      </w:r>
      <w:r w:rsidR="00620864" w:rsidRPr="76BE792E">
        <w:rPr>
          <w:sz w:val="20"/>
        </w:rPr>
        <w:t xml:space="preserve">have a higher likelihood of developing lung </w:t>
      </w:r>
      <w:r w:rsidR="00FB412E" w:rsidRPr="76BE792E">
        <w:rPr>
          <w:sz w:val="20"/>
        </w:rPr>
        <w:t xml:space="preserve">cancer </w:t>
      </w:r>
      <w:r w:rsidR="00620864" w:rsidRPr="76BE792E">
        <w:rPr>
          <w:sz w:val="20"/>
        </w:rPr>
        <w:t xml:space="preserve">compared </w:t>
      </w:r>
      <w:r w:rsidR="002769E7" w:rsidRPr="76BE792E">
        <w:rPr>
          <w:sz w:val="20"/>
        </w:rPr>
        <w:t xml:space="preserve">with </w:t>
      </w:r>
      <w:r w:rsidR="00620864" w:rsidRPr="76BE792E">
        <w:rPr>
          <w:sz w:val="20"/>
        </w:rPr>
        <w:t>the general population</w:t>
      </w:r>
      <w:r w:rsidR="00DC62ED" w:rsidRPr="76BE792E">
        <w:rPr>
          <w:sz w:val="20"/>
        </w:rPr>
        <w:t>,</w:t>
      </w:r>
      <w:r w:rsidR="00620864" w:rsidRPr="76BE792E">
        <w:rPr>
          <w:sz w:val="20"/>
        </w:rPr>
        <w:t xml:space="preserve"> particularly if they are a smoker</w:t>
      </w:r>
      <w:r w:rsidR="00FB412E" w:rsidRPr="76BE792E">
        <w:rPr>
          <w:sz w:val="20"/>
        </w:rPr>
        <w:t>.</w:t>
      </w:r>
      <w:r w:rsidR="00FB412E" w:rsidRPr="76BE792E">
        <w:rPr>
          <w:rStyle w:val="FootnoteReference"/>
          <w:sz w:val="20"/>
        </w:rPr>
        <w:footnoteReference w:id="14"/>
      </w:r>
    </w:p>
    <w:p w14:paraId="40A4C239" w14:textId="6E4A2268" w:rsidR="00BF71C5" w:rsidRPr="00EA78AF" w:rsidRDefault="00BE6A23" w:rsidP="00E87AAA">
      <w:pPr>
        <w:pStyle w:val="Body"/>
        <w:rPr>
          <w:rStyle w:val="A5"/>
          <w:rFonts w:cs="Arial"/>
          <w:color w:val="auto"/>
        </w:rPr>
      </w:pPr>
      <w:r w:rsidRPr="76BE792E">
        <w:rPr>
          <w:sz w:val="20"/>
          <w:lang w:val="en-GB"/>
        </w:rPr>
        <w:t xml:space="preserve">Lung cancer </w:t>
      </w:r>
      <w:r w:rsidR="00DC62ED" w:rsidRPr="76BE792E">
        <w:rPr>
          <w:sz w:val="20"/>
          <w:lang w:val="en-GB"/>
        </w:rPr>
        <w:t>is</w:t>
      </w:r>
      <w:r w:rsidRPr="76BE792E">
        <w:rPr>
          <w:sz w:val="20"/>
          <w:lang w:val="en-GB"/>
        </w:rPr>
        <w:t xml:space="preserve"> the leading cause of cancer death and the fifth most common cancer diagnosed in Australia.</w:t>
      </w:r>
      <w:r w:rsidRPr="76BE792E">
        <w:rPr>
          <w:rStyle w:val="FootnoteReference"/>
          <w:sz w:val="20"/>
          <w:lang w:val="en-GB"/>
        </w:rPr>
        <w:footnoteReference w:id="15"/>
      </w:r>
      <w:r w:rsidR="00F247BE" w:rsidRPr="76BE792E">
        <w:rPr>
          <w:sz w:val="20"/>
        </w:rPr>
        <w:t xml:space="preserve"> </w:t>
      </w:r>
      <w:r w:rsidR="007B3148" w:rsidRPr="76BE792E">
        <w:rPr>
          <w:sz w:val="20"/>
        </w:rPr>
        <w:t>In</w:t>
      </w:r>
      <w:r w:rsidR="007B3148" w:rsidRPr="76BE792E">
        <w:rPr>
          <w:rFonts w:cs="Arial"/>
          <w:sz w:val="20"/>
          <w:lang w:eastAsia="en-AU"/>
        </w:rPr>
        <w:t xml:space="preserve"> </w:t>
      </w:r>
      <w:r w:rsidR="00BF71C5" w:rsidRPr="76BE792E">
        <w:rPr>
          <w:rFonts w:cs="Arial"/>
          <w:sz w:val="20"/>
          <w:lang w:eastAsia="en-AU"/>
        </w:rPr>
        <w:t>Victoria</w:t>
      </w:r>
      <w:r w:rsidR="00DC62ED" w:rsidRPr="76BE792E">
        <w:rPr>
          <w:rFonts w:cs="Arial"/>
          <w:sz w:val="20"/>
          <w:lang w:eastAsia="en-AU"/>
        </w:rPr>
        <w:t xml:space="preserve"> the</w:t>
      </w:r>
      <w:r w:rsidR="00BF71C5" w:rsidRPr="76BE792E">
        <w:rPr>
          <w:rFonts w:cs="Arial"/>
          <w:sz w:val="20"/>
          <w:lang w:eastAsia="en-AU"/>
        </w:rPr>
        <w:t xml:space="preserve"> latest statistics show that </w:t>
      </w:r>
      <w:r w:rsidR="00F77624" w:rsidRPr="76BE792E">
        <w:rPr>
          <w:rFonts w:cs="Arial"/>
          <w:sz w:val="20"/>
          <w:lang w:eastAsia="en-AU"/>
        </w:rPr>
        <w:t>l</w:t>
      </w:r>
      <w:r w:rsidR="00F77624" w:rsidRPr="00EA78AF">
        <w:rPr>
          <w:rStyle w:val="A5"/>
          <w:rFonts w:cs="Arial"/>
          <w:color w:val="auto"/>
        </w:rPr>
        <w:t>ung cancer was the f</w:t>
      </w:r>
      <w:r w:rsidR="00DE638F" w:rsidRPr="00EA78AF">
        <w:rPr>
          <w:rStyle w:val="A5"/>
          <w:rFonts w:cs="Arial"/>
          <w:color w:val="auto"/>
        </w:rPr>
        <w:t>ourth</w:t>
      </w:r>
      <w:r w:rsidR="00F77624" w:rsidRPr="00EA78AF">
        <w:rPr>
          <w:rStyle w:val="A5"/>
          <w:rFonts w:cs="Arial"/>
          <w:color w:val="auto"/>
        </w:rPr>
        <w:t xml:space="preserve"> most common new cancer (</w:t>
      </w:r>
      <w:r w:rsidR="00DE638F" w:rsidRPr="00EA78AF">
        <w:rPr>
          <w:rStyle w:val="A5"/>
          <w:rFonts w:cs="Arial"/>
          <w:color w:val="auto"/>
        </w:rPr>
        <w:t>3</w:t>
      </w:r>
      <w:r w:rsidR="00F77624" w:rsidRPr="00EA78AF">
        <w:rPr>
          <w:rStyle w:val="A5"/>
          <w:rFonts w:cs="Arial"/>
          <w:color w:val="auto"/>
        </w:rPr>
        <w:t>,</w:t>
      </w:r>
      <w:r w:rsidR="00DE638F" w:rsidRPr="00EA78AF">
        <w:rPr>
          <w:rStyle w:val="A5"/>
          <w:rFonts w:cs="Arial"/>
          <w:color w:val="auto"/>
        </w:rPr>
        <w:t>2</w:t>
      </w:r>
      <w:r w:rsidR="00604FED" w:rsidRPr="00EA78AF">
        <w:rPr>
          <w:rStyle w:val="A5"/>
          <w:rFonts w:cs="Arial"/>
          <w:color w:val="auto"/>
        </w:rPr>
        <w:t>5</w:t>
      </w:r>
      <w:r w:rsidR="00DE638F" w:rsidRPr="00EA78AF">
        <w:rPr>
          <w:rStyle w:val="A5"/>
          <w:rFonts w:cs="Arial"/>
          <w:color w:val="auto"/>
        </w:rPr>
        <w:t>3</w:t>
      </w:r>
      <w:r w:rsidR="00F77624" w:rsidRPr="00EA78AF">
        <w:rPr>
          <w:rStyle w:val="A5"/>
          <w:rFonts w:cs="Arial"/>
          <w:color w:val="auto"/>
        </w:rPr>
        <w:t xml:space="preserve"> new cases) in 20</w:t>
      </w:r>
      <w:r w:rsidR="00DE638F" w:rsidRPr="00EA78AF">
        <w:rPr>
          <w:rStyle w:val="A5"/>
          <w:rFonts w:cs="Arial"/>
          <w:color w:val="auto"/>
        </w:rPr>
        <w:t>2</w:t>
      </w:r>
      <w:r w:rsidR="00604FED" w:rsidRPr="00EA78AF">
        <w:rPr>
          <w:rStyle w:val="A5"/>
          <w:rFonts w:cs="Arial"/>
          <w:color w:val="auto"/>
        </w:rPr>
        <w:t>1</w:t>
      </w:r>
      <w:r w:rsidR="00DC62ED" w:rsidRPr="00EA78AF">
        <w:rPr>
          <w:rStyle w:val="A5"/>
          <w:rFonts w:cs="Arial"/>
          <w:color w:val="auto"/>
        </w:rPr>
        <w:t>,</w:t>
      </w:r>
      <w:r w:rsidR="009A0E77" w:rsidRPr="00EA78AF">
        <w:rPr>
          <w:rStyle w:val="A5"/>
          <w:rFonts w:cs="Arial"/>
          <w:color w:val="auto"/>
        </w:rPr>
        <w:t xml:space="preserve"> </w:t>
      </w:r>
      <w:r w:rsidR="00A33882" w:rsidRPr="00EA78AF">
        <w:rPr>
          <w:rStyle w:val="A5"/>
          <w:rFonts w:cs="Arial"/>
          <w:color w:val="auto"/>
        </w:rPr>
        <w:t>making up 9</w:t>
      </w:r>
      <w:r w:rsidR="0054537F">
        <w:rPr>
          <w:rStyle w:val="A5"/>
          <w:rFonts w:cs="Arial"/>
          <w:color w:val="auto"/>
        </w:rPr>
        <w:t>%</w:t>
      </w:r>
      <w:r w:rsidR="00A33882" w:rsidRPr="00EA78AF">
        <w:rPr>
          <w:rStyle w:val="A5"/>
          <w:rFonts w:cs="Arial"/>
          <w:color w:val="auto"/>
        </w:rPr>
        <w:t xml:space="preserve"> of all new cancer diagnoses </w:t>
      </w:r>
      <w:r w:rsidR="00F77624" w:rsidRPr="00EA78AF">
        <w:rPr>
          <w:rStyle w:val="A5"/>
          <w:rFonts w:cs="Arial"/>
          <w:color w:val="auto"/>
        </w:rPr>
        <w:t xml:space="preserve">and </w:t>
      </w:r>
      <w:r w:rsidR="00DE638F" w:rsidRPr="00EA78AF">
        <w:rPr>
          <w:rStyle w:val="A5"/>
          <w:rFonts w:cs="Arial"/>
          <w:color w:val="auto"/>
        </w:rPr>
        <w:t>that 8</w:t>
      </w:r>
      <w:r w:rsidR="00604FED" w:rsidRPr="00EA78AF">
        <w:rPr>
          <w:rStyle w:val="A5"/>
          <w:rFonts w:cs="Arial"/>
          <w:color w:val="auto"/>
        </w:rPr>
        <w:t>9</w:t>
      </w:r>
      <w:r w:rsidR="0054537F">
        <w:rPr>
          <w:rStyle w:val="A5"/>
          <w:rFonts w:cs="Arial"/>
          <w:color w:val="auto"/>
        </w:rPr>
        <w:t>%</w:t>
      </w:r>
      <w:r w:rsidR="00DE638F" w:rsidRPr="00EA78AF">
        <w:rPr>
          <w:rStyle w:val="A5"/>
          <w:rFonts w:cs="Arial"/>
          <w:color w:val="auto"/>
        </w:rPr>
        <w:t xml:space="preserve"> of lung cancers </w:t>
      </w:r>
      <w:r w:rsidR="00A33882" w:rsidRPr="00EA78AF">
        <w:rPr>
          <w:rStyle w:val="A5"/>
          <w:rFonts w:cs="Arial"/>
          <w:color w:val="auto"/>
        </w:rPr>
        <w:t>identified were</w:t>
      </w:r>
      <w:r w:rsidR="00DE638F" w:rsidRPr="00EA78AF">
        <w:rPr>
          <w:rStyle w:val="A5"/>
          <w:rFonts w:cs="Arial"/>
          <w:color w:val="auto"/>
        </w:rPr>
        <w:t xml:space="preserve"> </w:t>
      </w:r>
      <w:r w:rsidR="001E0F10" w:rsidRPr="76BE792E">
        <w:rPr>
          <w:sz w:val="20"/>
        </w:rPr>
        <w:t>non-small cell lung cancer</w:t>
      </w:r>
      <w:r w:rsidR="00DE638F" w:rsidRPr="00EA78AF">
        <w:rPr>
          <w:rStyle w:val="A5"/>
          <w:rFonts w:cs="Arial"/>
          <w:color w:val="auto"/>
        </w:rPr>
        <w:t>.</w:t>
      </w:r>
      <w:r w:rsidR="00DE638F" w:rsidRPr="76BE792E">
        <w:rPr>
          <w:rStyle w:val="FootnoteReference"/>
          <w:rFonts w:cs="Arial"/>
          <w:sz w:val="20"/>
        </w:rPr>
        <w:footnoteReference w:id="16"/>
      </w:r>
      <w:r w:rsidR="00E524C6" w:rsidRPr="00EA78AF">
        <w:rPr>
          <w:rStyle w:val="A5"/>
          <w:rFonts w:cs="Arial"/>
          <w:color w:val="auto"/>
        </w:rPr>
        <w:t xml:space="preserve"> Furthermore, lung cancer </w:t>
      </w:r>
      <w:r w:rsidR="00F77624" w:rsidRPr="00EA78AF">
        <w:rPr>
          <w:rStyle w:val="A5"/>
          <w:rFonts w:cs="Arial"/>
          <w:color w:val="auto"/>
        </w:rPr>
        <w:t xml:space="preserve">remains </w:t>
      </w:r>
      <w:r w:rsidR="00AC3003" w:rsidRPr="00EA78AF">
        <w:rPr>
          <w:rStyle w:val="A5"/>
          <w:rFonts w:cs="Arial"/>
          <w:color w:val="auto"/>
        </w:rPr>
        <w:t>a</w:t>
      </w:r>
      <w:r w:rsidR="00F77624" w:rsidRPr="00EA78AF">
        <w:rPr>
          <w:rStyle w:val="A5"/>
          <w:rFonts w:cs="Arial"/>
          <w:color w:val="auto"/>
        </w:rPr>
        <w:t xml:space="preserve"> leading cause of</w:t>
      </w:r>
      <w:r w:rsidR="007421F7" w:rsidRPr="00EA78AF">
        <w:rPr>
          <w:rStyle w:val="A5"/>
          <w:rFonts w:cs="Arial"/>
          <w:color w:val="auto"/>
        </w:rPr>
        <w:t xml:space="preserve"> cancer death </w:t>
      </w:r>
      <w:r w:rsidR="00E524C6" w:rsidRPr="00EA78AF">
        <w:rPr>
          <w:rStyle w:val="A5"/>
          <w:rFonts w:cs="Arial"/>
          <w:color w:val="auto"/>
        </w:rPr>
        <w:t>in 202</w:t>
      </w:r>
      <w:r w:rsidR="00AC3003" w:rsidRPr="00EA78AF">
        <w:rPr>
          <w:rStyle w:val="A5"/>
          <w:rFonts w:cs="Arial"/>
          <w:color w:val="auto"/>
        </w:rPr>
        <w:t>1</w:t>
      </w:r>
      <w:r w:rsidR="00F77624" w:rsidRPr="00EA78AF">
        <w:rPr>
          <w:rStyle w:val="A5"/>
          <w:rFonts w:cs="Arial"/>
          <w:color w:val="auto"/>
        </w:rPr>
        <w:t>.</w:t>
      </w:r>
      <w:r w:rsidR="00F77624" w:rsidRPr="76BE792E">
        <w:rPr>
          <w:rStyle w:val="FootnoteReference"/>
          <w:rFonts w:cs="Arial"/>
          <w:sz w:val="20"/>
        </w:rPr>
        <w:footnoteReference w:id="17"/>
      </w:r>
      <w:r w:rsidR="00207E24" w:rsidRPr="00EA78AF">
        <w:rPr>
          <w:rStyle w:val="A5"/>
          <w:rFonts w:cs="Arial"/>
          <w:color w:val="auto"/>
        </w:rPr>
        <w:t xml:space="preserve"> </w:t>
      </w:r>
      <w:r w:rsidR="00BF71C5" w:rsidRPr="00EA78AF">
        <w:rPr>
          <w:rStyle w:val="A5"/>
          <w:rFonts w:cs="Arial"/>
          <w:color w:val="auto"/>
        </w:rPr>
        <w:t>The number of</w:t>
      </w:r>
      <w:r w:rsidR="00952FC7" w:rsidRPr="00EA78AF">
        <w:rPr>
          <w:rStyle w:val="A5"/>
          <w:rFonts w:cs="Arial"/>
          <w:color w:val="auto"/>
        </w:rPr>
        <w:t xml:space="preserve"> </w:t>
      </w:r>
      <w:r w:rsidR="00BF71C5" w:rsidRPr="00EA78AF">
        <w:rPr>
          <w:rStyle w:val="A5"/>
          <w:rFonts w:cs="Arial"/>
          <w:color w:val="auto"/>
        </w:rPr>
        <w:t>lung cancer diagnoses increased from 2,43</w:t>
      </w:r>
      <w:r w:rsidR="00604FED" w:rsidRPr="00EA78AF">
        <w:rPr>
          <w:rStyle w:val="A5"/>
          <w:rFonts w:cs="Arial"/>
          <w:color w:val="auto"/>
        </w:rPr>
        <w:t>7</w:t>
      </w:r>
      <w:r w:rsidR="00BF71C5" w:rsidRPr="00EA78AF">
        <w:rPr>
          <w:rStyle w:val="A5"/>
          <w:rFonts w:cs="Arial"/>
          <w:color w:val="auto"/>
        </w:rPr>
        <w:t xml:space="preserve"> in 2010 to </w:t>
      </w:r>
      <w:r w:rsidR="00E524C6" w:rsidRPr="00EA78AF">
        <w:rPr>
          <w:rStyle w:val="A5"/>
          <w:rFonts w:cs="Arial"/>
          <w:color w:val="auto"/>
        </w:rPr>
        <w:t>3</w:t>
      </w:r>
      <w:r w:rsidR="00BF71C5" w:rsidRPr="00EA78AF">
        <w:rPr>
          <w:rStyle w:val="A5"/>
          <w:rFonts w:cs="Arial"/>
          <w:color w:val="auto"/>
        </w:rPr>
        <w:t>,</w:t>
      </w:r>
      <w:r w:rsidR="00E524C6" w:rsidRPr="00EA78AF">
        <w:rPr>
          <w:rStyle w:val="A5"/>
          <w:rFonts w:cs="Arial"/>
          <w:color w:val="auto"/>
        </w:rPr>
        <w:t>2</w:t>
      </w:r>
      <w:r w:rsidR="00604FED" w:rsidRPr="00EA78AF">
        <w:rPr>
          <w:rStyle w:val="A5"/>
          <w:rFonts w:cs="Arial"/>
          <w:color w:val="auto"/>
        </w:rPr>
        <w:t>53</w:t>
      </w:r>
      <w:r w:rsidR="00BF71C5" w:rsidRPr="00EA78AF">
        <w:rPr>
          <w:rStyle w:val="A5"/>
          <w:rFonts w:cs="Arial"/>
          <w:color w:val="auto"/>
        </w:rPr>
        <w:t xml:space="preserve"> in 20</w:t>
      </w:r>
      <w:r w:rsidR="00E524C6" w:rsidRPr="00EA78AF">
        <w:rPr>
          <w:rStyle w:val="A5"/>
          <w:rFonts w:cs="Arial"/>
          <w:color w:val="auto"/>
        </w:rPr>
        <w:t>2</w:t>
      </w:r>
      <w:r w:rsidR="00604FED" w:rsidRPr="00EA78AF">
        <w:rPr>
          <w:rStyle w:val="A5"/>
          <w:rFonts w:cs="Arial"/>
          <w:color w:val="auto"/>
        </w:rPr>
        <w:t>1</w:t>
      </w:r>
      <w:r w:rsidR="00BF71C5" w:rsidRPr="00EA78AF">
        <w:rPr>
          <w:rStyle w:val="A5"/>
          <w:rFonts w:cs="Arial"/>
          <w:color w:val="auto"/>
        </w:rPr>
        <w:t xml:space="preserve"> (from 1,44</w:t>
      </w:r>
      <w:r w:rsidR="00604FED" w:rsidRPr="00EA78AF">
        <w:rPr>
          <w:rStyle w:val="A5"/>
          <w:rFonts w:cs="Arial"/>
          <w:color w:val="auto"/>
        </w:rPr>
        <w:t>8</w:t>
      </w:r>
      <w:r w:rsidR="00BF71C5" w:rsidRPr="00EA78AF">
        <w:rPr>
          <w:rStyle w:val="A5"/>
          <w:rFonts w:cs="Arial"/>
          <w:color w:val="auto"/>
        </w:rPr>
        <w:t xml:space="preserve"> to 1,</w:t>
      </w:r>
      <w:r w:rsidR="00AC3003" w:rsidRPr="00EA78AF">
        <w:rPr>
          <w:rStyle w:val="A5"/>
          <w:rFonts w:cs="Arial"/>
          <w:color w:val="auto"/>
        </w:rPr>
        <w:t>746</w:t>
      </w:r>
      <w:r w:rsidR="00BF71C5" w:rsidRPr="00EA78AF">
        <w:rPr>
          <w:rStyle w:val="A5"/>
          <w:rFonts w:cs="Arial"/>
          <w:color w:val="auto"/>
        </w:rPr>
        <w:t xml:space="preserve"> in males and from 9</w:t>
      </w:r>
      <w:r w:rsidR="00604FED" w:rsidRPr="00EA78AF">
        <w:rPr>
          <w:rStyle w:val="A5"/>
          <w:rFonts w:cs="Arial"/>
          <w:color w:val="auto"/>
        </w:rPr>
        <w:t>89</w:t>
      </w:r>
      <w:r w:rsidR="007421F7" w:rsidRPr="00EA78AF">
        <w:rPr>
          <w:rStyle w:val="A5"/>
          <w:rFonts w:cs="Arial"/>
          <w:color w:val="auto"/>
        </w:rPr>
        <w:t xml:space="preserve"> to 1,</w:t>
      </w:r>
      <w:r w:rsidR="003F7474" w:rsidRPr="00EA78AF">
        <w:rPr>
          <w:rStyle w:val="A5"/>
          <w:rFonts w:cs="Arial"/>
          <w:color w:val="auto"/>
        </w:rPr>
        <w:t>5</w:t>
      </w:r>
      <w:r w:rsidR="00AC3003" w:rsidRPr="00EA78AF">
        <w:rPr>
          <w:rStyle w:val="A5"/>
          <w:rFonts w:cs="Arial"/>
          <w:color w:val="auto"/>
        </w:rPr>
        <w:t>07</w:t>
      </w:r>
      <w:r w:rsidR="00BF71C5" w:rsidRPr="00EA78AF">
        <w:rPr>
          <w:rStyle w:val="A5"/>
          <w:rFonts w:cs="Arial"/>
          <w:color w:val="auto"/>
        </w:rPr>
        <w:t xml:space="preserve"> among females)</w:t>
      </w:r>
      <w:r w:rsidR="007421F7" w:rsidRPr="00EA78AF">
        <w:rPr>
          <w:rStyle w:val="A5"/>
          <w:rFonts w:cs="Arial"/>
          <w:color w:val="auto"/>
        </w:rPr>
        <w:t>.</w:t>
      </w:r>
    </w:p>
    <w:p w14:paraId="36BA6416" w14:textId="3B607D1C" w:rsidR="00C46B30" w:rsidRDefault="00BF71C5" w:rsidP="00583FCC">
      <w:pPr>
        <w:pStyle w:val="Body"/>
        <w:sectPr w:rsidR="00C46B30" w:rsidSect="009302EB">
          <w:type w:val="continuous"/>
          <w:pgSz w:w="11906" w:h="16838"/>
          <w:pgMar w:top="1411" w:right="1310" w:bottom="1138" w:left="1310" w:header="454" w:footer="510" w:gutter="0"/>
          <w:cols w:space="720"/>
          <w:docGrid w:linePitch="360"/>
        </w:sectPr>
      </w:pPr>
      <w:r w:rsidRPr="76BE792E">
        <w:rPr>
          <w:sz w:val="20"/>
          <w:lang w:val="en"/>
        </w:rPr>
        <w:t>The age-standardised in</w:t>
      </w:r>
      <w:r w:rsidR="00BC03CE" w:rsidRPr="76BE792E">
        <w:rPr>
          <w:sz w:val="20"/>
          <w:lang w:val="en"/>
        </w:rPr>
        <w:t xml:space="preserve">cidence rate per 100,000 </w:t>
      </w:r>
      <w:r w:rsidR="00192D11" w:rsidRPr="76BE792E">
        <w:rPr>
          <w:sz w:val="20"/>
          <w:lang w:val="en"/>
        </w:rPr>
        <w:t xml:space="preserve">population </w:t>
      </w:r>
      <w:r w:rsidR="00BC03CE" w:rsidRPr="76BE792E">
        <w:rPr>
          <w:sz w:val="20"/>
          <w:lang w:val="en"/>
        </w:rPr>
        <w:t xml:space="preserve">overall </w:t>
      </w:r>
      <w:r w:rsidR="008145E0" w:rsidRPr="76BE792E">
        <w:rPr>
          <w:sz w:val="20"/>
          <w:lang w:val="en"/>
        </w:rPr>
        <w:t>de</w:t>
      </w:r>
      <w:r w:rsidR="00BC03CE" w:rsidRPr="76BE792E">
        <w:rPr>
          <w:sz w:val="20"/>
          <w:lang w:val="en"/>
        </w:rPr>
        <w:t>creased slightly from 4</w:t>
      </w:r>
      <w:r w:rsidR="00DE638F" w:rsidRPr="76BE792E">
        <w:rPr>
          <w:sz w:val="20"/>
          <w:lang w:val="en"/>
        </w:rPr>
        <w:t>3</w:t>
      </w:r>
      <w:r w:rsidRPr="76BE792E">
        <w:rPr>
          <w:sz w:val="20"/>
          <w:lang w:val="en"/>
        </w:rPr>
        <w:t xml:space="preserve"> in</w:t>
      </w:r>
      <w:r w:rsidR="00BC03CE" w:rsidRPr="76BE792E">
        <w:rPr>
          <w:sz w:val="20"/>
          <w:lang w:val="en"/>
        </w:rPr>
        <w:t xml:space="preserve"> 201</w:t>
      </w:r>
      <w:r w:rsidR="008145E0" w:rsidRPr="76BE792E">
        <w:rPr>
          <w:sz w:val="20"/>
          <w:lang w:val="en"/>
        </w:rPr>
        <w:t>4</w:t>
      </w:r>
      <w:r w:rsidR="00BC03CE" w:rsidRPr="76BE792E">
        <w:rPr>
          <w:sz w:val="20"/>
          <w:lang w:val="en"/>
        </w:rPr>
        <w:t xml:space="preserve"> to 4</w:t>
      </w:r>
      <w:r w:rsidR="003F7474" w:rsidRPr="76BE792E">
        <w:rPr>
          <w:sz w:val="20"/>
          <w:lang w:val="en"/>
        </w:rPr>
        <w:t>0</w:t>
      </w:r>
      <w:r w:rsidR="00BC03CE" w:rsidRPr="76BE792E">
        <w:rPr>
          <w:sz w:val="20"/>
          <w:lang w:val="en"/>
        </w:rPr>
        <w:t xml:space="preserve"> in 20</w:t>
      </w:r>
      <w:r w:rsidR="003F7474" w:rsidRPr="76BE792E">
        <w:rPr>
          <w:sz w:val="20"/>
          <w:lang w:val="en"/>
        </w:rPr>
        <w:t>2</w:t>
      </w:r>
      <w:r w:rsidR="00AC3003" w:rsidRPr="76BE792E">
        <w:rPr>
          <w:sz w:val="20"/>
          <w:lang w:val="en"/>
        </w:rPr>
        <w:t>1</w:t>
      </w:r>
      <w:r w:rsidRPr="76BE792E">
        <w:rPr>
          <w:sz w:val="20"/>
          <w:lang w:val="en"/>
        </w:rPr>
        <w:t xml:space="preserve">. Among males the age-standardised </w:t>
      </w:r>
      <w:r w:rsidR="00BC03CE" w:rsidRPr="76BE792E">
        <w:rPr>
          <w:sz w:val="20"/>
          <w:lang w:val="en"/>
        </w:rPr>
        <w:t>incidence rate decreased from 5</w:t>
      </w:r>
      <w:r w:rsidR="003F7474" w:rsidRPr="76BE792E">
        <w:rPr>
          <w:sz w:val="20"/>
          <w:lang w:val="en"/>
        </w:rPr>
        <w:t>3</w:t>
      </w:r>
      <w:r w:rsidR="00BC03CE" w:rsidRPr="76BE792E">
        <w:rPr>
          <w:sz w:val="20"/>
          <w:lang w:val="en"/>
        </w:rPr>
        <w:t xml:space="preserve"> in 20</w:t>
      </w:r>
      <w:r w:rsidR="008145E0" w:rsidRPr="76BE792E">
        <w:rPr>
          <w:sz w:val="20"/>
          <w:lang w:val="en"/>
        </w:rPr>
        <w:t>14</w:t>
      </w:r>
      <w:r w:rsidR="00BC03CE" w:rsidRPr="76BE792E">
        <w:rPr>
          <w:sz w:val="20"/>
          <w:lang w:val="en"/>
        </w:rPr>
        <w:t xml:space="preserve"> to 4</w:t>
      </w:r>
      <w:r w:rsidR="00AC3003" w:rsidRPr="76BE792E">
        <w:rPr>
          <w:sz w:val="20"/>
          <w:lang w:val="en"/>
        </w:rPr>
        <w:t>6</w:t>
      </w:r>
      <w:r w:rsidR="00BC03CE" w:rsidRPr="76BE792E">
        <w:rPr>
          <w:sz w:val="20"/>
          <w:lang w:val="en"/>
        </w:rPr>
        <w:t xml:space="preserve"> in 20</w:t>
      </w:r>
      <w:r w:rsidR="003F7474" w:rsidRPr="76BE792E">
        <w:rPr>
          <w:sz w:val="20"/>
          <w:lang w:val="en"/>
        </w:rPr>
        <w:t>2</w:t>
      </w:r>
      <w:r w:rsidR="00AC3003" w:rsidRPr="76BE792E">
        <w:rPr>
          <w:sz w:val="20"/>
          <w:lang w:val="en"/>
        </w:rPr>
        <w:t>1</w:t>
      </w:r>
      <w:r w:rsidRPr="76BE792E">
        <w:rPr>
          <w:sz w:val="20"/>
          <w:lang w:val="en"/>
        </w:rPr>
        <w:t>, but among females</w:t>
      </w:r>
      <w:r w:rsidR="00DC62ED" w:rsidRPr="76BE792E">
        <w:rPr>
          <w:sz w:val="20"/>
          <w:lang w:val="en"/>
        </w:rPr>
        <w:t>,</w:t>
      </w:r>
      <w:r w:rsidR="00000AFE" w:rsidRPr="76BE792E">
        <w:rPr>
          <w:sz w:val="20"/>
          <w:lang w:val="en"/>
        </w:rPr>
        <w:t xml:space="preserve"> </w:t>
      </w:r>
      <w:r w:rsidR="003F7474" w:rsidRPr="76BE792E">
        <w:rPr>
          <w:sz w:val="20"/>
          <w:lang w:val="en"/>
        </w:rPr>
        <w:t xml:space="preserve">despite </w:t>
      </w:r>
      <w:r w:rsidR="00DC62ED" w:rsidRPr="76BE792E">
        <w:rPr>
          <w:sz w:val="20"/>
          <w:lang w:val="en"/>
        </w:rPr>
        <w:t xml:space="preserve">the </w:t>
      </w:r>
      <w:r w:rsidR="00000AFE" w:rsidRPr="76BE792E">
        <w:rPr>
          <w:sz w:val="20"/>
          <w:lang w:val="en"/>
        </w:rPr>
        <w:t>overall</w:t>
      </w:r>
      <w:r w:rsidRPr="76BE792E">
        <w:rPr>
          <w:sz w:val="20"/>
          <w:lang w:val="en"/>
        </w:rPr>
        <w:t xml:space="preserve"> age-standardised in</w:t>
      </w:r>
      <w:r w:rsidR="00BC03CE" w:rsidRPr="76BE792E">
        <w:rPr>
          <w:sz w:val="20"/>
          <w:lang w:val="en"/>
        </w:rPr>
        <w:t xml:space="preserve">cidence rate </w:t>
      </w:r>
      <w:r w:rsidR="003F7474" w:rsidRPr="76BE792E">
        <w:rPr>
          <w:sz w:val="20"/>
          <w:lang w:val="en"/>
        </w:rPr>
        <w:t>being</w:t>
      </w:r>
      <w:r w:rsidR="008145E0" w:rsidRPr="76BE792E">
        <w:rPr>
          <w:sz w:val="20"/>
          <w:lang w:val="en"/>
        </w:rPr>
        <w:t xml:space="preserve"> less than males</w:t>
      </w:r>
      <w:r w:rsidR="003F7474" w:rsidRPr="76BE792E">
        <w:rPr>
          <w:sz w:val="20"/>
          <w:lang w:val="en"/>
        </w:rPr>
        <w:t xml:space="preserve">, </w:t>
      </w:r>
      <w:r w:rsidR="008145E0" w:rsidRPr="76BE792E">
        <w:rPr>
          <w:sz w:val="20"/>
          <w:lang w:val="en"/>
        </w:rPr>
        <w:t xml:space="preserve">it </w:t>
      </w:r>
      <w:r w:rsidR="003F7474" w:rsidRPr="76BE792E">
        <w:rPr>
          <w:sz w:val="20"/>
          <w:lang w:val="en"/>
        </w:rPr>
        <w:t>in</w:t>
      </w:r>
      <w:r w:rsidR="00BC03CE" w:rsidRPr="76BE792E">
        <w:rPr>
          <w:sz w:val="20"/>
          <w:lang w:val="en"/>
        </w:rPr>
        <w:t>creased from 3</w:t>
      </w:r>
      <w:r w:rsidR="008145E0" w:rsidRPr="76BE792E">
        <w:rPr>
          <w:sz w:val="20"/>
          <w:lang w:val="en"/>
        </w:rPr>
        <w:t>4</w:t>
      </w:r>
      <w:r w:rsidR="00BC03CE" w:rsidRPr="76BE792E">
        <w:rPr>
          <w:sz w:val="20"/>
          <w:lang w:val="en"/>
        </w:rPr>
        <w:t xml:space="preserve"> in 201</w:t>
      </w:r>
      <w:r w:rsidR="008145E0" w:rsidRPr="76BE792E">
        <w:rPr>
          <w:sz w:val="20"/>
          <w:lang w:val="en"/>
        </w:rPr>
        <w:t>4</w:t>
      </w:r>
      <w:r w:rsidR="00BC03CE" w:rsidRPr="76BE792E">
        <w:rPr>
          <w:sz w:val="20"/>
          <w:lang w:val="en"/>
        </w:rPr>
        <w:t xml:space="preserve"> to 3</w:t>
      </w:r>
      <w:r w:rsidR="00AC3003" w:rsidRPr="76BE792E">
        <w:rPr>
          <w:sz w:val="20"/>
          <w:lang w:val="en"/>
        </w:rPr>
        <w:t>5</w:t>
      </w:r>
      <w:r w:rsidR="00BC03CE" w:rsidRPr="76BE792E">
        <w:rPr>
          <w:sz w:val="20"/>
          <w:lang w:val="en"/>
        </w:rPr>
        <w:t xml:space="preserve"> in 20</w:t>
      </w:r>
      <w:r w:rsidR="003F7474" w:rsidRPr="76BE792E">
        <w:rPr>
          <w:sz w:val="20"/>
          <w:lang w:val="en"/>
        </w:rPr>
        <w:t>2</w:t>
      </w:r>
      <w:r w:rsidR="00AC3003" w:rsidRPr="76BE792E">
        <w:rPr>
          <w:sz w:val="20"/>
          <w:lang w:val="en"/>
        </w:rPr>
        <w:t>1</w:t>
      </w:r>
      <w:r w:rsidR="00BC03CE" w:rsidRPr="76BE792E">
        <w:rPr>
          <w:sz w:val="20"/>
          <w:lang w:val="en"/>
        </w:rPr>
        <w:t xml:space="preserve"> (Figure 1.3)</w:t>
      </w:r>
      <w:r w:rsidRPr="76BE792E">
        <w:rPr>
          <w:sz w:val="20"/>
          <w:lang w:val="en"/>
        </w:rPr>
        <w:t>.</w:t>
      </w:r>
      <w:r w:rsidR="00952FC7" w:rsidRPr="76BE792E">
        <w:rPr>
          <w:sz w:val="20"/>
          <w:vertAlign w:val="superscript"/>
          <w:lang w:val="en"/>
        </w:rPr>
        <w:t xml:space="preserve"> </w:t>
      </w:r>
      <w:r w:rsidR="0093394C" w:rsidRPr="76BE792E">
        <w:rPr>
          <w:sz w:val="20"/>
          <w:lang w:val="en"/>
        </w:rPr>
        <w:t>The different pattern of incidence rates</w:t>
      </w:r>
      <w:r w:rsidR="00E77901" w:rsidRPr="76BE792E">
        <w:rPr>
          <w:sz w:val="20"/>
          <w:lang w:val="en"/>
        </w:rPr>
        <w:t xml:space="preserve"> </w:t>
      </w:r>
      <w:r w:rsidR="008E2F56" w:rsidRPr="76BE792E">
        <w:rPr>
          <w:sz w:val="20"/>
          <w:lang w:val="en"/>
        </w:rPr>
        <w:t xml:space="preserve">observed </w:t>
      </w:r>
      <w:r w:rsidR="00000AFE" w:rsidRPr="76BE792E">
        <w:rPr>
          <w:sz w:val="20"/>
          <w:lang w:val="en"/>
        </w:rPr>
        <w:t>between</w:t>
      </w:r>
      <w:r w:rsidR="00E77901" w:rsidRPr="76BE792E">
        <w:rPr>
          <w:sz w:val="20"/>
          <w:lang w:val="en"/>
        </w:rPr>
        <w:t xml:space="preserve"> males and females is likely </w:t>
      </w:r>
      <w:r w:rsidR="00DC62ED" w:rsidRPr="76BE792E">
        <w:rPr>
          <w:sz w:val="20"/>
          <w:lang w:val="en"/>
        </w:rPr>
        <w:t>due</w:t>
      </w:r>
      <w:r w:rsidRPr="76BE792E">
        <w:rPr>
          <w:sz w:val="20"/>
          <w:lang w:val="en"/>
        </w:rPr>
        <w:t xml:space="preserve"> to different trends in cigarette smoking. Smoking uptake increased in the early part of the 20th century and declined in the latter half o</w:t>
      </w:r>
      <w:r w:rsidR="0093394C" w:rsidRPr="76BE792E">
        <w:rPr>
          <w:sz w:val="20"/>
          <w:lang w:val="en"/>
        </w:rPr>
        <w:t>f that</w:t>
      </w:r>
      <w:r w:rsidR="00BC03CE" w:rsidRPr="76BE792E">
        <w:rPr>
          <w:sz w:val="20"/>
          <w:lang w:val="en"/>
        </w:rPr>
        <w:t xml:space="preserve"> century.</w:t>
      </w:r>
      <w:r w:rsidR="0093394C">
        <w:rPr>
          <w:rStyle w:val="FootnoteReference"/>
          <w:rFonts w:cs="Arial"/>
          <w:lang w:val="en" w:eastAsia="en-NZ"/>
        </w:rPr>
        <w:footnoteReference w:id="18"/>
      </w:r>
      <w:r w:rsidR="00BF5973">
        <w:rPr>
          <w:lang w:val="en"/>
        </w:rPr>
        <w:t xml:space="preserve"> </w:t>
      </w:r>
      <w:bookmarkStart w:id="112" w:name="_Toc19007998"/>
      <w:bookmarkStart w:id="113" w:name="_Toc19008258"/>
      <w:bookmarkStart w:id="114" w:name="_Toc19008405"/>
      <w:bookmarkStart w:id="115" w:name="_Toc19008552"/>
    </w:p>
    <w:p w14:paraId="06DDD050" w14:textId="0DE2E542" w:rsidR="001C4A8A" w:rsidRDefault="001C4A8A" w:rsidP="001C4A8A">
      <w:pPr>
        <w:pStyle w:val="Figurecaption"/>
        <w:rPr>
          <w:sz w:val="20"/>
        </w:rPr>
      </w:pPr>
      <w:bookmarkStart w:id="116" w:name="_Toc132552990"/>
      <w:bookmarkStart w:id="117" w:name="_Toc140827596"/>
      <w:r w:rsidRPr="0099225F">
        <w:rPr>
          <w:sz w:val="20"/>
        </w:rPr>
        <w:lastRenderedPageBreak/>
        <w:t>Figure 1.3.2</w:t>
      </w:r>
      <w:r w:rsidR="002963FB" w:rsidRPr="0099225F">
        <w:rPr>
          <w:sz w:val="20"/>
        </w:rPr>
        <w:t>:</w:t>
      </w:r>
      <w:r w:rsidRPr="0099225F">
        <w:rPr>
          <w:sz w:val="20"/>
        </w:rPr>
        <w:t xml:space="preserve"> Incidence of lung cancer in Victoria per 100,000 standardised to the 2001 Australian population, by Victorian LGA, 201</w:t>
      </w:r>
      <w:bookmarkEnd w:id="112"/>
      <w:bookmarkEnd w:id="113"/>
      <w:bookmarkEnd w:id="114"/>
      <w:bookmarkEnd w:id="115"/>
      <w:r w:rsidRPr="0099225F">
        <w:rPr>
          <w:sz w:val="20"/>
        </w:rPr>
        <w:t>4, 2017 and 202</w:t>
      </w:r>
      <w:r w:rsidR="00E9224C" w:rsidRPr="0099225F">
        <w:rPr>
          <w:sz w:val="20"/>
        </w:rPr>
        <w:t>1</w:t>
      </w:r>
      <w:bookmarkEnd w:id="116"/>
      <w:bookmarkEnd w:id="117"/>
    </w:p>
    <w:p w14:paraId="2874ABA0" w14:textId="6815BA31" w:rsidR="00C46B30" w:rsidRPr="007768E3" w:rsidRDefault="007768E3" w:rsidP="007768E3">
      <w:pPr>
        <w:pStyle w:val="DHHSbody"/>
      </w:pPr>
      <w:r w:rsidRPr="007768E3">
        <w:rPr>
          <w:noProof/>
        </w:rPr>
        <w:drawing>
          <wp:inline distT="0" distB="0" distL="0" distR="0" wp14:anchorId="2DAC5287" wp14:editId="7F9D3565">
            <wp:extent cx="3005960" cy="5465380"/>
            <wp:effectExtent l="0" t="0" r="4445" b="2540"/>
            <wp:docPr id="312" name="Picture 312" descr="This figure shows a map of Victoria showing the highest and lowest reported rates of lung cancer in 2014, 2017 and 2021. The data set is available under 'Measure 1.3 – Incidence of lung cancer'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This figure shows a map of Victoria showing the highest and lowest reported rates of lung cancer in 2014, 2017 and 2021. The data set is available under 'Measure 1.3 – Incidence of lung cancer' in a separate volume, the Victorian cancer plan monitoring and evaluation framework: baseline report: Appendix 2: Datasets available on Cancer care &lt;https://www.health.vic.gov.au/health-strategies/cancer-care&gt;."/>
                    <pic:cNvPicPr/>
                  </pic:nvPicPr>
                  <pic:blipFill>
                    <a:blip r:embed="rId40"/>
                    <a:stretch>
                      <a:fillRect/>
                    </a:stretch>
                  </pic:blipFill>
                  <pic:spPr>
                    <a:xfrm>
                      <a:off x="0" y="0"/>
                      <a:ext cx="3029313" cy="5507840"/>
                    </a:xfrm>
                    <a:prstGeom prst="rect">
                      <a:avLst/>
                    </a:prstGeom>
                  </pic:spPr>
                </pic:pic>
              </a:graphicData>
            </a:graphic>
          </wp:inline>
        </w:drawing>
      </w:r>
    </w:p>
    <w:p w14:paraId="1A590376" w14:textId="72DFE6D2" w:rsidR="001B1C08" w:rsidRPr="00EA78AF" w:rsidRDefault="00192D11" w:rsidP="00E87AAA">
      <w:pPr>
        <w:pStyle w:val="Body"/>
        <w:rPr>
          <w:rStyle w:val="Heading4Char"/>
          <w:sz w:val="20"/>
        </w:rPr>
      </w:pPr>
      <w:r w:rsidRPr="00EA78AF">
        <w:rPr>
          <w:sz w:val="20"/>
          <w:lang w:val="en"/>
        </w:rPr>
        <w:t>In 201</w:t>
      </w:r>
      <w:r w:rsidR="003641CA" w:rsidRPr="00EA78AF">
        <w:rPr>
          <w:sz w:val="20"/>
          <w:lang w:val="en"/>
        </w:rPr>
        <w:t>4</w:t>
      </w:r>
      <w:r w:rsidRPr="00EA78AF">
        <w:rPr>
          <w:sz w:val="20"/>
          <w:lang w:val="en"/>
        </w:rPr>
        <w:t xml:space="preserve"> the age-standardised lung cancer incidence rate for </w:t>
      </w:r>
      <w:r w:rsidR="00323990" w:rsidRPr="00EA78AF">
        <w:rPr>
          <w:sz w:val="20"/>
          <w:lang w:val="en"/>
        </w:rPr>
        <w:t xml:space="preserve">Aboriginal </w:t>
      </w:r>
      <w:r w:rsidR="00D61C17" w:rsidRPr="00EA78AF">
        <w:rPr>
          <w:sz w:val="20"/>
          <w:lang w:val="en"/>
        </w:rPr>
        <w:t>Victorian</w:t>
      </w:r>
      <w:r w:rsidR="00323990" w:rsidRPr="00EA78AF">
        <w:rPr>
          <w:sz w:val="20"/>
          <w:lang w:val="en"/>
        </w:rPr>
        <w:t>s</w:t>
      </w:r>
      <w:r w:rsidRPr="00EA78AF">
        <w:rPr>
          <w:sz w:val="20"/>
          <w:lang w:val="en"/>
        </w:rPr>
        <w:t xml:space="preserve"> was </w:t>
      </w:r>
      <w:r w:rsidR="007630D7">
        <w:rPr>
          <w:sz w:val="20"/>
          <w:lang w:val="en"/>
        </w:rPr>
        <w:t>75</w:t>
      </w:r>
      <w:r w:rsidRPr="00EA78AF">
        <w:rPr>
          <w:sz w:val="20"/>
          <w:lang w:val="en"/>
        </w:rPr>
        <w:t xml:space="preserve"> new cases per 100,000 population, which </w:t>
      </w:r>
      <w:r w:rsidR="003F7474" w:rsidRPr="00EA78AF">
        <w:rPr>
          <w:sz w:val="20"/>
          <w:lang w:val="en"/>
        </w:rPr>
        <w:t>in</w:t>
      </w:r>
      <w:r w:rsidRPr="00EA78AF">
        <w:rPr>
          <w:sz w:val="20"/>
          <w:lang w:val="en"/>
        </w:rPr>
        <w:t xml:space="preserve">creased to </w:t>
      </w:r>
      <w:r w:rsidR="007630D7">
        <w:rPr>
          <w:sz w:val="20"/>
          <w:lang w:val="en"/>
        </w:rPr>
        <w:t>97</w:t>
      </w:r>
      <w:r w:rsidRPr="00EA78AF">
        <w:rPr>
          <w:sz w:val="20"/>
          <w:lang w:val="en"/>
        </w:rPr>
        <w:t xml:space="preserve"> new cases per 100,000 population in 20</w:t>
      </w:r>
      <w:r w:rsidR="003F7474" w:rsidRPr="00EA78AF">
        <w:rPr>
          <w:sz w:val="20"/>
          <w:lang w:val="en"/>
        </w:rPr>
        <w:t>2</w:t>
      </w:r>
      <w:r w:rsidR="007630D7">
        <w:rPr>
          <w:sz w:val="20"/>
          <w:lang w:val="en"/>
        </w:rPr>
        <w:t>1</w:t>
      </w:r>
      <w:r w:rsidRPr="00EA78AF">
        <w:rPr>
          <w:sz w:val="20"/>
          <w:lang w:val="en"/>
        </w:rPr>
        <w:t xml:space="preserve">. </w:t>
      </w:r>
      <w:r w:rsidRPr="00EA78AF">
        <w:rPr>
          <w:sz w:val="20"/>
        </w:rPr>
        <w:t>Low SES was associated with an increased risk for develop</w:t>
      </w:r>
      <w:r w:rsidR="00C87984" w:rsidRPr="00EA78AF">
        <w:rPr>
          <w:sz w:val="20"/>
        </w:rPr>
        <w:t>ing</w:t>
      </w:r>
      <w:r w:rsidRPr="00EA78AF">
        <w:rPr>
          <w:sz w:val="20"/>
        </w:rPr>
        <w:t xml:space="preserve"> lung cancer between 201</w:t>
      </w:r>
      <w:r w:rsidR="003641CA" w:rsidRPr="00EA78AF">
        <w:rPr>
          <w:sz w:val="20"/>
        </w:rPr>
        <w:t>4</w:t>
      </w:r>
      <w:r w:rsidRPr="00EA78AF">
        <w:rPr>
          <w:sz w:val="20"/>
        </w:rPr>
        <w:t xml:space="preserve"> and 20</w:t>
      </w:r>
      <w:r w:rsidR="003F7474" w:rsidRPr="00EA78AF">
        <w:rPr>
          <w:sz w:val="20"/>
        </w:rPr>
        <w:t>2</w:t>
      </w:r>
      <w:r w:rsidR="0021729B" w:rsidRPr="00EA78AF">
        <w:rPr>
          <w:sz w:val="20"/>
        </w:rPr>
        <w:t>1</w:t>
      </w:r>
      <w:r w:rsidRPr="00EA78AF">
        <w:rPr>
          <w:sz w:val="20"/>
        </w:rPr>
        <w:t xml:space="preserve">. The lung cancer incidence rate between Victorians was highest in the most disadvantaged socioeconomic quintile (SES 1) </w:t>
      </w:r>
      <w:r w:rsidR="00835C5C" w:rsidRPr="00EA78AF">
        <w:rPr>
          <w:sz w:val="20"/>
        </w:rPr>
        <w:t>between</w:t>
      </w:r>
      <w:r w:rsidRPr="00EA78AF">
        <w:rPr>
          <w:sz w:val="20"/>
        </w:rPr>
        <w:t xml:space="preserve"> 201</w:t>
      </w:r>
      <w:r w:rsidR="003641CA" w:rsidRPr="00EA78AF">
        <w:rPr>
          <w:sz w:val="20"/>
        </w:rPr>
        <w:t>4</w:t>
      </w:r>
      <w:r w:rsidRPr="00EA78AF">
        <w:rPr>
          <w:sz w:val="20"/>
        </w:rPr>
        <w:t xml:space="preserve"> and 20</w:t>
      </w:r>
      <w:r w:rsidR="00835C5C" w:rsidRPr="00EA78AF">
        <w:rPr>
          <w:sz w:val="20"/>
        </w:rPr>
        <w:t>2</w:t>
      </w:r>
      <w:r w:rsidR="0021729B" w:rsidRPr="00EA78AF">
        <w:rPr>
          <w:sz w:val="20"/>
        </w:rPr>
        <w:t>1</w:t>
      </w:r>
      <w:r w:rsidR="00552F41" w:rsidRPr="00EA78AF">
        <w:rPr>
          <w:sz w:val="20"/>
        </w:rPr>
        <w:t>,</w:t>
      </w:r>
      <w:r w:rsidR="002B6A3B" w:rsidRPr="00EA78AF">
        <w:rPr>
          <w:sz w:val="20"/>
        </w:rPr>
        <w:t xml:space="preserve"> </w:t>
      </w:r>
      <w:r w:rsidR="003641CA" w:rsidRPr="00EA78AF">
        <w:rPr>
          <w:sz w:val="20"/>
        </w:rPr>
        <w:t>de</w:t>
      </w:r>
      <w:r w:rsidR="002B6A3B" w:rsidRPr="00EA78AF">
        <w:rPr>
          <w:sz w:val="20"/>
        </w:rPr>
        <w:t xml:space="preserve">creasing from </w:t>
      </w:r>
      <w:r w:rsidR="003641CA" w:rsidRPr="00EA78AF">
        <w:rPr>
          <w:sz w:val="20"/>
        </w:rPr>
        <w:t>60</w:t>
      </w:r>
      <w:r w:rsidR="002B6A3B" w:rsidRPr="00EA78AF">
        <w:rPr>
          <w:sz w:val="20"/>
        </w:rPr>
        <w:t xml:space="preserve"> per 100,000 population to 5</w:t>
      </w:r>
      <w:r w:rsidR="0021729B" w:rsidRPr="00EA78AF">
        <w:rPr>
          <w:sz w:val="20"/>
        </w:rPr>
        <w:t>6</w:t>
      </w:r>
      <w:r w:rsidR="002B6A3B" w:rsidRPr="00EA78AF">
        <w:rPr>
          <w:sz w:val="20"/>
        </w:rPr>
        <w:t xml:space="preserve"> per 100,000 </w:t>
      </w:r>
      <w:r w:rsidR="002B6A3B" w:rsidRPr="00EA78AF">
        <w:rPr>
          <w:sz w:val="20"/>
        </w:rPr>
        <w:t>population (Figure 1.3)</w:t>
      </w:r>
      <w:r w:rsidRPr="00EA78AF">
        <w:rPr>
          <w:sz w:val="20"/>
        </w:rPr>
        <w:t xml:space="preserve">. </w:t>
      </w:r>
      <w:r w:rsidR="002B6A3B" w:rsidRPr="00EA78AF">
        <w:rPr>
          <w:sz w:val="20"/>
        </w:rPr>
        <w:t>A similar pattern was observed for remoteness areas</w:t>
      </w:r>
      <w:r w:rsidR="00C87984" w:rsidRPr="00EA78AF">
        <w:rPr>
          <w:sz w:val="20"/>
        </w:rPr>
        <w:t>,</w:t>
      </w:r>
      <w:r w:rsidR="002B6A3B" w:rsidRPr="00EA78AF">
        <w:rPr>
          <w:sz w:val="20"/>
        </w:rPr>
        <w:t xml:space="preserve"> with those </w:t>
      </w:r>
      <w:r w:rsidRPr="00EA78AF">
        <w:rPr>
          <w:sz w:val="20"/>
        </w:rPr>
        <w:t xml:space="preserve">Victorians living in the </w:t>
      </w:r>
      <w:r w:rsidR="00323990" w:rsidRPr="00EA78AF">
        <w:rPr>
          <w:sz w:val="20"/>
        </w:rPr>
        <w:t>o</w:t>
      </w:r>
      <w:r w:rsidRPr="00EA78AF">
        <w:rPr>
          <w:sz w:val="20"/>
        </w:rPr>
        <w:t>uter regional/remote areas</w:t>
      </w:r>
      <w:r w:rsidR="002B6A3B" w:rsidRPr="00EA78AF">
        <w:rPr>
          <w:sz w:val="20"/>
        </w:rPr>
        <w:t xml:space="preserve"> having a higher incidence rate (4</w:t>
      </w:r>
      <w:r w:rsidR="00502225" w:rsidRPr="00EA78AF">
        <w:rPr>
          <w:sz w:val="20"/>
        </w:rPr>
        <w:t>8</w:t>
      </w:r>
      <w:r w:rsidRPr="00EA78AF">
        <w:rPr>
          <w:sz w:val="20"/>
        </w:rPr>
        <w:t xml:space="preserve"> per 10</w:t>
      </w:r>
      <w:r w:rsidR="002B6A3B" w:rsidRPr="00EA78AF">
        <w:rPr>
          <w:sz w:val="20"/>
        </w:rPr>
        <w:t>0,000 population in 201</w:t>
      </w:r>
      <w:r w:rsidR="003641CA" w:rsidRPr="00EA78AF">
        <w:rPr>
          <w:sz w:val="20"/>
        </w:rPr>
        <w:t>4</w:t>
      </w:r>
      <w:r w:rsidR="002B6A3B" w:rsidRPr="00EA78AF">
        <w:rPr>
          <w:sz w:val="20"/>
        </w:rPr>
        <w:t xml:space="preserve"> </w:t>
      </w:r>
      <w:r w:rsidR="003641CA" w:rsidRPr="00EA78AF">
        <w:rPr>
          <w:sz w:val="20"/>
        </w:rPr>
        <w:t>decreasing</w:t>
      </w:r>
      <w:r w:rsidR="00835C5C" w:rsidRPr="00EA78AF">
        <w:rPr>
          <w:sz w:val="20"/>
        </w:rPr>
        <w:t xml:space="preserve"> slightly</w:t>
      </w:r>
      <w:r w:rsidRPr="00EA78AF">
        <w:rPr>
          <w:sz w:val="20"/>
        </w:rPr>
        <w:t xml:space="preserve"> to</w:t>
      </w:r>
      <w:r w:rsidR="002B6A3B" w:rsidRPr="00EA78AF">
        <w:rPr>
          <w:sz w:val="20"/>
        </w:rPr>
        <w:t xml:space="preserve"> 4</w:t>
      </w:r>
      <w:r w:rsidR="00502225" w:rsidRPr="00EA78AF">
        <w:rPr>
          <w:sz w:val="20"/>
        </w:rPr>
        <w:t>4</w:t>
      </w:r>
      <w:r w:rsidRPr="00EA78AF">
        <w:rPr>
          <w:sz w:val="20"/>
        </w:rPr>
        <w:t xml:space="preserve"> per 100,000 population in 20</w:t>
      </w:r>
      <w:r w:rsidR="00835C5C" w:rsidRPr="00EA78AF">
        <w:rPr>
          <w:sz w:val="20"/>
        </w:rPr>
        <w:t>2</w:t>
      </w:r>
      <w:r w:rsidR="00502225" w:rsidRPr="00EA78AF">
        <w:rPr>
          <w:sz w:val="20"/>
        </w:rPr>
        <w:t>1</w:t>
      </w:r>
      <w:r w:rsidRPr="00EA78AF">
        <w:rPr>
          <w:sz w:val="20"/>
        </w:rPr>
        <w:t xml:space="preserve">) compared with </w:t>
      </w:r>
      <w:r w:rsidR="002B6A3B" w:rsidRPr="00EA78AF">
        <w:rPr>
          <w:sz w:val="20"/>
        </w:rPr>
        <w:t xml:space="preserve">those living in </w:t>
      </w:r>
      <w:r w:rsidR="00323990" w:rsidRPr="00EA78AF">
        <w:rPr>
          <w:sz w:val="20"/>
        </w:rPr>
        <w:t>m</w:t>
      </w:r>
      <w:r w:rsidR="002B6A3B" w:rsidRPr="00EA78AF">
        <w:rPr>
          <w:sz w:val="20"/>
        </w:rPr>
        <w:t>ajor cities (</w:t>
      </w:r>
      <w:r w:rsidR="003641CA" w:rsidRPr="00EA78AF">
        <w:rPr>
          <w:sz w:val="20"/>
        </w:rPr>
        <w:t>41</w:t>
      </w:r>
      <w:r w:rsidRPr="00EA78AF">
        <w:rPr>
          <w:sz w:val="20"/>
        </w:rPr>
        <w:t xml:space="preserve"> per 10</w:t>
      </w:r>
      <w:r w:rsidR="002B6A3B" w:rsidRPr="00EA78AF">
        <w:rPr>
          <w:sz w:val="20"/>
        </w:rPr>
        <w:t>0,000 population in 201</w:t>
      </w:r>
      <w:r w:rsidR="003641CA" w:rsidRPr="00EA78AF">
        <w:rPr>
          <w:sz w:val="20"/>
        </w:rPr>
        <w:t>4</w:t>
      </w:r>
      <w:r w:rsidR="002B6A3B" w:rsidRPr="00EA78AF">
        <w:rPr>
          <w:sz w:val="20"/>
        </w:rPr>
        <w:t xml:space="preserve"> </w:t>
      </w:r>
      <w:r w:rsidR="003641CA" w:rsidRPr="00EA78AF">
        <w:rPr>
          <w:sz w:val="20"/>
        </w:rPr>
        <w:t>decreasing</w:t>
      </w:r>
      <w:r w:rsidR="002B6A3B" w:rsidRPr="00EA78AF">
        <w:rPr>
          <w:sz w:val="20"/>
        </w:rPr>
        <w:t xml:space="preserve"> to 3</w:t>
      </w:r>
      <w:r w:rsidR="00502225" w:rsidRPr="00EA78AF">
        <w:rPr>
          <w:sz w:val="20"/>
        </w:rPr>
        <w:t>8</w:t>
      </w:r>
      <w:r w:rsidRPr="00EA78AF">
        <w:rPr>
          <w:sz w:val="20"/>
        </w:rPr>
        <w:t xml:space="preserve"> per 100,000 population in 20</w:t>
      </w:r>
      <w:r w:rsidR="00835C5C" w:rsidRPr="00EA78AF">
        <w:rPr>
          <w:sz w:val="20"/>
        </w:rPr>
        <w:t>2</w:t>
      </w:r>
      <w:r w:rsidR="00502225" w:rsidRPr="00EA78AF">
        <w:rPr>
          <w:sz w:val="20"/>
        </w:rPr>
        <w:t>1</w:t>
      </w:r>
      <w:r w:rsidRPr="00EA78AF">
        <w:rPr>
          <w:sz w:val="20"/>
        </w:rPr>
        <w:t>).</w:t>
      </w:r>
      <w:r w:rsidR="00952FC7" w:rsidRPr="00EA78AF">
        <w:rPr>
          <w:sz w:val="20"/>
        </w:rPr>
        <w:t xml:space="preserve"> </w:t>
      </w:r>
      <w:r w:rsidR="001B1C08" w:rsidRPr="00EA78AF">
        <w:rPr>
          <w:sz w:val="20"/>
        </w:rPr>
        <w:t>Figure 1.3.1 shows that incidence rates were lower for metropolitan ICSs such as NEMICS compared with regional/rural ICSs, although SMICS showed no change between 2014 and 2021. This was contrary to most of the regional/rural ICS, which showed a decreasing gradient in the incidence rate between 2017 and 2021</w:t>
      </w:r>
      <w:r w:rsidR="00583FCC" w:rsidRPr="00EA78AF">
        <w:rPr>
          <w:sz w:val="20"/>
        </w:rPr>
        <w:t>,</w:t>
      </w:r>
      <w:r w:rsidR="001B1C08" w:rsidRPr="00EA78AF">
        <w:rPr>
          <w:sz w:val="20"/>
        </w:rPr>
        <w:t xml:space="preserve"> except for GICS</w:t>
      </w:r>
      <w:r w:rsidR="00583FCC" w:rsidRPr="00EA78AF">
        <w:rPr>
          <w:sz w:val="20"/>
        </w:rPr>
        <w:t>, which</w:t>
      </w:r>
      <w:r w:rsidR="001B1C08" w:rsidRPr="00EA78AF">
        <w:rPr>
          <w:sz w:val="20"/>
        </w:rPr>
        <w:t xml:space="preserve"> showed an increase (Figure 1.3.1).</w:t>
      </w:r>
    </w:p>
    <w:p w14:paraId="42719F0E" w14:textId="62693AA8" w:rsidR="00583FCC" w:rsidRPr="00EA78AF" w:rsidRDefault="00DF53F4" w:rsidP="00583FCC">
      <w:pPr>
        <w:pStyle w:val="Body"/>
        <w:rPr>
          <w:sz w:val="20"/>
        </w:rPr>
      </w:pPr>
      <w:r w:rsidRPr="76BE792E">
        <w:rPr>
          <w:sz w:val="20"/>
        </w:rPr>
        <w:t xml:space="preserve">Figure 1.3.2 </w:t>
      </w:r>
      <w:r w:rsidR="000E4A68" w:rsidRPr="76BE792E">
        <w:rPr>
          <w:sz w:val="20"/>
        </w:rPr>
        <w:t>shows</w:t>
      </w:r>
      <w:r w:rsidRPr="76BE792E">
        <w:rPr>
          <w:sz w:val="20"/>
        </w:rPr>
        <w:t xml:space="preserve"> a geospatial distribution of the incidence of lung cancer by </w:t>
      </w:r>
      <w:r w:rsidR="005D072A" w:rsidRPr="76BE792E">
        <w:rPr>
          <w:sz w:val="20"/>
        </w:rPr>
        <w:t>LGA</w:t>
      </w:r>
      <w:r w:rsidRPr="76BE792E">
        <w:rPr>
          <w:sz w:val="20"/>
        </w:rPr>
        <w:t xml:space="preserve"> and variations in </w:t>
      </w:r>
      <w:r w:rsidR="009E5D1A" w:rsidRPr="76BE792E">
        <w:rPr>
          <w:sz w:val="20"/>
        </w:rPr>
        <w:t xml:space="preserve">the incidence </w:t>
      </w:r>
      <w:r w:rsidRPr="76BE792E">
        <w:rPr>
          <w:sz w:val="20"/>
        </w:rPr>
        <w:t xml:space="preserve">rates </w:t>
      </w:r>
      <w:r w:rsidR="009E5D1A" w:rsidRPr="76BE792E">
        <w:rPr>
          <w:sz w:val="20"/>
        </w:rPr>
        <w:t xml:space="preserve">of lung cancer </w:t>
      </w:r>
      <w:r w:rsidRPr="76BE792E">
        <w:rPr>
          <w:sz w:val="20"/>
        </w:rPr>
        <w:t>across Victoria between 201</w:t>
      </w:r>
      <w:r w:rsidR="003641CA" w:rsidRPr="76BE792E">
        <w:rPr>
          <w:sz w:val="20"/>
        </w:rPr>
        <w:t>4</w:t>
      </w:r>
      <w:r w:rsidRPr="76BE792E">
        <w:rPr>
          <w:sz w:val="20"/>
        </w:rPr>
        <w:t xml:space="preserve"> and 20</w:t>
      </w:r>
      <w:r w:rsidR="009E5D1A" w:rsidRPr="76BE792E">
        <w:rPr>
          <w:sz w:val="20"/>
        </w:rPr>
        <w:t>2</w:t>
      </w:r>
      <w:r w:rsidR="00502225" w:rsidRPr="76BE792E">
        <w:rPr>
          <w:sz w:val="20"/>
        </w:rPr>
        <w:t>1</w:t>
      </w:r>
      <w:r w:rsidRPr="76BE792E">
        <w:rPr>
          <w:sz w:val="20"/>
        </w:rPr>
        <w:t>.</w:t>
      </w:r>
      <w:r w:rsidR="00EC1599" w:rsidRPr="76BE792E">
        <w:rPr>
          <w:sz w:val="20"/>
        </w:rPr>
        <w:t xml:space="preserve"> </w:t>
      </w:r>
      <w:r w:rsidR="00EC03BC" w:rsidRPr="76BE792E">
        <w:rPr>
          <w:sz w:val="20"/>
        </w:rPr>
        <w:t xml:space="preserve">Overall, </w:t>
      </w:r>
      <w:r w:rsidR="000F3AF7" w:rsidRPr="76BE792E">
        <w:rPr>
          <w:sz w:val="20"/>
        </w:rPr>
        <w:t>53</w:t>
      </w:r>
      <w:r w:rsidR="00EC03BC" w:rsidRPr="76BE792E">
        <w:rPr>
          <w:sz w:val="20"/>
        </w:rPr>
        <w:t>.</w:t>
      </w:r>
      <w:r w:rsidR="000F3AF7" w:rsidRPr="76BE792E">
        <w:rPr>
          <w:sz w:val="20"/>
        </w:rPr>
        <w:t>2</w:t>
      </w:r>
      <w:r w:rsidR="0054537F">
        <w:rPr>
          <w:sz w:val="20"/>
        </w:rPr>
        <w:t>%</w:t>
      </w:r>
      <w:r w:rsidRPr="76BE792E">
        <w:rPr>
          <w:sz w:val="20"/>
        </w:rPr>
        <w:t xml:space="preserve"> of the 79 Victorian LGAs had higher inc</w:t>
      </w:r>
      <w:r w:rsidR="00EC1599" w:rsidRPr="76BE792E">
        <w:rPr>
          <w:sz w:val="20"/>
        </w:rPr>
        <w:t>idence rates of lung cancer</w:t>
      </w:r>
      <w:r w:rsidRPr="76BE792E">
        <w:rPr>
          <w:sz w:val="20"/>
        </w:rPr>
        <w:t xml:space="preserve"> than the overall rate </w:t>
      </w:r>
      <w:r w:rsidR="00EC1599" w:rsidRPr="76BE792E">
        <w:rPr>
          <w:sz w:val="20"/>
        </w:rPr>
        <w:t>(4</w:t>
      </w:r>
      <w:r w:rsidR="000B4578" w:rsidRPr="76BE792E">
        <w:rPr>
          <w:sz w:val="20"/>
        </w:rPr>
        <w:t>3</w:t>
      </w:r>
      <w:r w:rsidRPr="76BE792E">
        <w:rPr>
          <w:sz w:val="20"/>
        </w:rPr>
        <w:t xml:space="preserve"> per 100,000 population) for Victoria in 201</w:t>
      </w:r>
      <w:r w:rsidR="003B5256" w:rsidRPr="76BE792E">
        <w:rPr>
          <w:sz w:val="20"/>
        </w:rPr>
        <w:t>4</w:t>
      </w:r>
      <w:r w:rsidRPr="76BE792E">
        <w:rPr>
          <w:sz w:val="20"/>
        </w:rPr>
        <w:t>.</w:t>
      </w:r>
      <w:r w:rsidR="00EC1599" w:rsidRPr="76BE792E">
        <w:rPr>
          <w:sz w:val="20"/>
        </w:rPr>
        <w:t xml:space="preserve"> </w:t>
      </w:r>
      <w:r w:rsidR="003B5256" w:rsidRPr="76BE792E">
        <w:rPr>
          <w:sz w:val="20"/>
        </w:rPr>
        <w:t>Murrindindi</w:t>
      </w:r>
      <w:r w:rsidR="00EC1599" w:rsidRPr="76BE792E">
        <w:rPr>
          <w:sz w:val="20"/>
        </w:rPr>
        <w:t xml:space="preserve"> Shire</w:t>
      </w:r>
      <w:r w:rsidRPr="76BE792E">
        <w:rPr>
          <w:sz w:val="20"/>
        </w:rPr>
        <w:t xml:space="preserve"> LGA reported</w:t>
      </w:r>
      <w:r w:rsidR="00EC1599" w:rsidRPr="76BE792E">
        <w:rPr>
          <w:sz w:val="20"/>
        </w:rPr>
        <w:t xml:space="preserve"> the highest incidence rate (</w:t>
      </w:r>
      <w:r w:rsidR="000836FA" w:rsidRPr="76BE792E">
        <w:rPr>
          <w:sz w:val="20"/>
        </w:rPr>
        <w:t>108</w:t>
      </w:r>
      <w:r w:rsidRPr="76BE792E">
        <w:rPr>
          <w:sz w:val="20"/>
        </w:rPr>
        <w:t xml:space="preserve"> per 100,000 population) and</w:t>
      </w:r>
      <w:r w:rsidR="00EC1599" w:rsidRPr="76BE792E">
        <w:rPr>
          <w:sz w:val="20"/>
        </w:rPr>
        <w:t xml:space="preserve"> </w:t>
      </w:r>
      <w:r w:rsidR="000B4578" w:rsidRPr="76BE792E">
        <w:rPr>
          <w:sz w:val="20"/>
        </w:rPr>
        <w:t>Towong Shire</w:t>
      </w:r>
      <w:r w:rsidRPr="76BE792E">
        <w:rPr>
          <w:sz w:val="20"/>
        </w:rPr>
        <w:t xml:space="preserve"> LG</w:t>
      </w:r>
      <w:r w:rsidR="00EC1599" w:rsidRPr="76BE792E">
        <w:rPr>
          <w:sz w:val="20"/>
        </w:rPr>
        <w:t>A the lowest incidence rate (1</w:t>
      </w:r>
      <w:r w:rsidR="000B4578" w:rsidRPr="76BE792E">
        <w:rPr>
          <w:sz w:val="20"/>
        </w:rPr>
        <w:t>6</w:t>
      </w:r>
      <w:r w:rsidRPr="76BE792E">
        <w:rPr>
          <w:sz w:val="20"/>
        </w:rPr>
        <w:t xml:space="preserve"> per 100,000 population) in 201</w:t>
      </w:r>
      <w:r w:rsidR="000836FA" w:rsidRPr="76BE792E">
        <w:rPr>
          <w:sz w:val="20"/>
        </w:rPr>
        <w:t>4</w:t>
      </w:r>
      <w:r w:rsidR="00EC1599" w:rsidRPr="76BE792E">
        <w:rPr>
          <w:sz w:val="20"/>
        </w:rPr>
        <w:t xml:space="preserve"> (</w:t>
      </w:r>
      <w:r w:rsidR="000B4578" w:rsidRPr="76BE792E">
        <w:rPr>
          <w:sz w:val="20"/>
        </w:rPr>
        <w:t>Table 1.3b, Appendix 2</w:t>
      </w:r>
      <w:r w:rsidRPr="76BE792E">
        <w:rPr>
          <w:sz w:val="20"/>
        </w:rPr>
        <w:t>).</w:t>
      </w:r>
      <w:r w:rsidR="00952FC7" w:rsidRPr="76BE792E">
        <w:rPr>
          <w:sz w:val="20"/>
        </w:rPr>
        <w:t xml:space="preserve"> </w:t>
      </w:r>
      <w:r w:rsidR="00EC1599" w:rsidRPr="76BE792E">
        <w:rPr>
          <w:sz w:val="20"/>
        </w:rPr>
        <w:t>By comparison, 5</w:t>
      </w:r>
      <w:r w:rsidR="003857D2" w:rsidRPr="76BE792E">
        <w:rPr>
          <w:sz w:val="20"/>
        </w:rPr>
        <w:t>1</w:t>
      </w:r>
      <w:r w:rsidR="00EC03BC" w:rsidRPr="76BE792E">
        <w:rPr>
          <w:sz w:val="20"/>
        </w:rPr>
        <w:t>.</w:t>
      </w:r>
      <w:r w:rsidR="003857D2" w:rsidRPr="76BE792E">
        <w:rPr>
          <w:sz w:val="20"/>
        </w:rPr>
        <w:t>9</w:t>
      </w:r>
      <w:r w:rsidR="0054537F">
        <w:rPr>
          <w:sz w:val="20"/>
        </w:rPr>
        <w:t>%</w:t>
      </w:r>
      <w:r w:rsidRPr="76BE792E">
        <w:rPr>
          <w:sz w:val="20"/>
        </w:rPr>
        <w:t xml:space="preserve"> of the 79 LGAs had higher incidenc</w:t>
      </w:r>
      <w:r w:rsidR="00EC1599" w:rsidRPr="76BE792E">
        <w:rPr>
          <w:sz w:val="20"/>
        </w:rPr>
        <w:t>e rates of lung cancer than the overall rate (4</w:t>
      </w:r>
      <w:r w:rsidR="000E4A68" w:rsidRPr="76BE792E">
        <w:rPr>
          <w:sz w:val="20"/>
        </w:rPr>
        <w:t>0</w:t>
      </w:r>
      <w:r w:rsidRPr="76BE792E">
        <w:rPr>
          <w:sz w:val="20"/>
        </w:rPr>
        <w:t xml:space="preserve"> per 100,000 population) for Victoria in 20</w:t>
      </w:r>
      <w:r w:rsidR="000E4A68" w:rsidRPr="76BE792E">
        <w:rPr>
          <w:sz w:val="20"/>
        </w:rPr>
        <w:t>2</w:t>
      </w:r>
      <w:r w:rsidR="00DA351E" w:rsidRPr="76BE792E">
        <w:rPr>
          <w:sz w:val="20"/>
        </w:rPr>
        <w:t>1</w:t>
      </w:r>
      <w:r w:rsidRPr="76BE792E">
        <w:rPr>
          <w:sz w:val="20"/>
        </w:rPr>
        <w:t>.</w:t>
      </w:r>
      <w:r w:rsidR="00EC1599" w:rsidRPr="76BE792E">
        <w:rPr>
          <w:sz w:val="20"/>
        </w:rPr>
        <w:t xml:space="preserve"> </w:t>
      </w:r>
      <w:r w:rsidR="003857D2" w:rsidRPr="76BE792E">
        <w:rPr>
          <w:sz w:val="20"/>
        </w:rPr>
        <w:t>Hindmarsh</w:t>
      </w:r>
      <w:r w:rsidR="00EC03BC" w:rsidRPr="76BE792E">
        <w:rPr>
          <w:sz w:val="20"/>
        </w:rPr>
        <w:t xml:space="preserve"> </w:t>
      </w:r>
      <w:r w:rsidRPr="76BE792E">
        <w:rPr>
          <w:sz w:val="20"/>
        </w:rPr>
        <w:t>Shire</w:t>
      </w:r>
      <w:r w:rsidR="003857D2" w:rsidRPr="76BE792E">
        <w:rPr>
          <w:sz w:val="20"/>
        </w:rPr>
        <w:t xml:space="preserve"> </w:t>
      </w:r>
      <w:r w:rsidRPr="76BE792E">
        <w:rPr>
          <w:sz w:val="20"/>
        </w:rPr>
        <w:t>LGA reporte</w:t>
      </w:r>
      <w:r w:rsidR="00EC1599" w:rsidRPr="76BE792E">
        <w:rPr>
          <w:sz w:val="20"/>
        </w:rPr>
        <w:t>d the highest incidence rate (</w:t>
      </w:r>
      <w:r w:rsidR="003857D2" w:rsidRPr="76BE792E">
        <w:rPr>
          <w:sz w:val="20"/>
        </w:rPr>
        <w:t>79</w:t>
      </w:r>
      <w:r w:rsidRPr="76BE792E">
        <w:rPr>
          <w:sz w:val="20"/>
        </w:rPr>
        <w:t xml:space="preserve"> per 100,</w:t>
      </w:r>
      <w:r w:rsidR="00EC1599" w:rsidRPr="76BE792E">
        <w:rPr>
          <w:sz w:val="20"/>
        </w:rPr>
        <w:t xml:space="preserve">000 population) and the </w:t>
      </w:r>
      <w:r w:rsidR="003857D2" w:rsidRPr="76BE792E">
        <w:rPr>
          <w:sz w:val="20"/>
        </w:rPr>
        <w:t xml:space="preserve">Queenscliffe Borough </w:t>
      </w:r>
      <w:r w:rsidR="00EC1599" w:rsidRPr="76BE792E">
        <w:rPr>
          <w:sz w:val="20"/>
        </w:rPr>
        <w:t>LGA the lowest (1</w:t>
      </w:r>
      <w:r w:rsidR="003857D2" w:rsidRPr="76BE792E">
        <w:rPr>
          <w:sz w:val="20"/>
        </w:rPr>
        <w:t>3</w:t>
      </w:r>
      <w:r w:rsidRPr="76BE792E">
        <w:rPr>
          <w:sz w:val="20"/>
        </w:rPr>
        <w:t xml:space="preserve"> per 100,000 populatio</w:t>
      </w:r>
      <w:r w:rsidR="00EC1599" w:rsidRPr="76BE792E">
        <w:rPr>
          <w:sz w:val="20"/>
        </w:rPr>
        <w:t>n in 20</w:t>
      </w:r>
      <w:r w:rsidR="000E4A68" w:rsidRPr="76BE792E">
        <w:rPr>
          <w:sz w:val="20"/>
        </w:rPr>
        <w:t>2</w:t>
      </w:r>
      <w:r w:rsidR="003857D2" w:rsidRPr="76BE792E">
        <w:rPr>
          <w:sz w:val="20"/>
        </w:rPr>
        <w:t>1</w:t>
      </w:r>
      <w:r w:rsidR="000E4A68" w:rsidRPr="76BE792E">
        <w:rPr>
          <w:sz w:val="20"/>
        </w:rPr>
        <w:t>; Table 1.3d, Appendix 2</w:t>
      </w:r>
      <w:r w:rsidRPr="76BE792E">
        <w:rPr>
          <w:sz w:val="20"/>
        </w:rPr>
        <w:t>).</w:t>
      </w:r>
      <w:r w:rsidR="00952FC7" w:rsidRPr="76BE792E">
        <w:rPr>
          <w:sz w:val="20"/>
        </w:rPr>
        <w:t xml:space="preserve"> </w:t>
      </w:r>
      <w:r w:rsidRPr="76BE792E">
        <w:rPr>
          <w:sz w:val="20"/>
        </w:rPr>
        <w:t xml:space="preserve">Overall, most of the 79 LGAs reported slight fluctuations in the incidence rate </w:t>
      </w:r>
      <w:r w:rsidR="00EC1599" w:rsidRPr="76BE792E">
        <w:rPr>
          <w:sz w:val="20"/>
        </w:rPr>
        <w:t xml:space="preserve">of lung cancer </w:t>
      </w:r>
      <w:r w:rsidRPr="76BE792E">
        <w:rPr>
          <w:sz w:val="20"/>
        </w:rPr>
        <w:t>between 201</w:t>
      </w:r>
      <w:r w:rsidR="000836FA" w:rsidRPr="76BE792E">
        <w:rPr>
          <w:sz w:val="20"/>
        </w:rPr>
        <w:t>4</w:t>
      </w:r>
      <w:r w:rsidRPr="76BE792E">
        <w:rPr>
          <w:sz w:val="20"/>
        </w:rPr>
        <w:t xml:space="preserve"> and 20</w:t>
      </w:r>
      <w:r w:rsidR="00EC03BC" w:rsidRPr="76BE792E">
        <w:rPr>
          <w:sz w:val="20"/>
        </w:rPr>
        <w:t>2</w:t>
      </w:r>
      <w:r w:rsidR="0052510D" w:rsidRPr="76BE792E">
        <w:rPr>
          <w:sz w:val="20"/>
        </w:rPr>
        <w:t>1</w:t>
      </w:r>
      <w:r w:rsidR="00583FCC" w:rsidRPr="76BE792E">
        <w:rPr>
          <w:sz w:val="20"/>
        </w:rPr>
        <w:t>,</w:t>
      </w:r>
      <w:r w:rsidRPr="76BE792E">
        <w:rPr>
          <w:sz w:val="20"/>
        </w:rPr>
        <w:t xml:space="preserve"> but the most significant was the </w:t>
      </w:r>
      <w:r w:rsidR="0052510D" w:rsidRPr="76BE792E">
        <w:rPr>
          <w:sz w:val="20"/>
        </w:rPr>
        <w:t>Yarriambiack</w:t>
      </w:r>
      <w:r w:rsidR="00EC1599" w:rsidRPr="76BE792E">
        <w:rPr>
          <w:sz w:val="20"/>
        </w:rPr>
        <w:t xml:space="preserve"> Shire</w:t>
      </w:r>
      <w:r w:rsidR="00C87984" w:rsidRPr="76BE792E">
        <w:rPr>
          <w:sz w:val="20"/>
        </w:rPr>
        <w:t>,</w:t>
      </w:r>
      <w:r w:rsidRPr="76BE792E">
        <w:rPr>
          <w:sz w:val="20"/>
        </w:rPr>
        <w:t xml:space="preserve"> </w:t>
      </w:r>
      <w:r w:rsidR="00EC1599" w:rsidRPr="76BE792E">
        <w:rPr>
          <w:sz w:val="20"/>
        </w:rPr>
        <w:t xml:space="preserve">which reported a dramatic </w:t>
      </w:r>
      <w:r w:rsidR="00EC03BC" w:rsidRPr="76BE792E">
        <w:rPr>
          <w:sz w:val="20"/>
        </w:rPr>
        <w:t>de</w:t>
      </w:r>
      <w:r w:rsidR="00EC1599" w:rsidRPr="76BE792E">
        <w:rPr>
          <w:sz w:val="20"/>
        </w:rPr>
        <w:t xml:space="preserve">crease from </w:t>
      </w:r>
      <w:r w:rsidR="0052510D" w:rsidRPr="76BE792E">
        <w:rPr>
          <w:sz w:val="20"/>
        </w:rPr>
        <w:t>4</w:t>
      </w:r>
      <w:r w:rsidR="00EC03BC" w:rsidRPr="76BE792E">
        <w:rPr>
          <w:sz w:val="20"/>
        </w:rPr>
        <w:t>1</w:t>
      </w:r>
      <w:r w:rsidRPr="76BE792E">
        <w:rPr>
          <w:sz w:val="20"/>
        </w:rPr>
        <w:t xml:space="preserve"> per 100,000 population in 201</w:t>
      </w:r>
      <w:r w:rsidR="000836FA" w:rsidRPr="76BE792E">
        <w:rPr>
          <w:sz w:val="20"/>
        </w:rPr>
        <w:t>4</w:t>
      </w:r>
      <w:r w:rsidRPr="76BE792E">
        <w:rPr>
          <w:sz w:val="20"/>
        </w:rPr>
        <w:t xml:space="preserve"> to </w:t>
      </w:r>
      <w:r w:rsidR="00EC03BC" w:rsidRPr="76BE792E">
        <w:rPr>
          <w:sz w:val="20"/>
        </w:rPr>
        <w:t>1</w:t>
      </w:r>
      <w:r w:rsidR="0052510D" w:rsidRPr="76BE792E">
        <w:rPr>
          <w:sz w:val="20"/>
        </w:rPr>
        <w:t>4</w:t>
      </w:r>
      <w:r w:rsidRPr="76BE792E">
        <w:rPr>
          <w:sz w:val="20"/>
        </w:rPr>
        <w:t xml:space="preserve"> per 100,000 population in 20</w:t>
      </w:r>
      <w:r w:rsidR="00EC03BC" w:rsidRPr="76BE792E">
        <w:rPr>
          <w:sz w:val="20"/>
        </w:rPr>
        <w:t>2</w:t>
      </w:r>
      <w:r w:rsidR="0052510D" w:rsidRPr="76BE792E">
        <w:rPr>
          <w:sz w:val="20"/>
        </w:rPr>
        <w:t>1</w:t>
      </w:r>
      <w:r w:rsidRPr="76BE792E">
        <w:rPr>
          <w:sz w:val="20"/>
        </w:rPr>
        <w:t>.</w:t>
      </w:r>
      <w:r w:rsidR="00EC1599" w:rsidRPr="76BE792E">
        <w:rPr>
          <w:sz w:val="20"/>
        </w:rPr>
        <w:t xml:space="preserve"> </w:t>
      </w:r>
    </w:p>
    <w:p w14:paraId="5BABF6E3" w14:textId="77777777" w:rsidR="00396223" w:rsidRDefault="00396223">
      <w:pPr>
        <w:rPr>
          <w:rFonts w:ascii="Arial" w:eastAsia="Times" w:hAnsi="Arial"/>
          <w:lang w:eastAsia="en-US"/>
        </w:rPr>
      </w:pPr>
      <w:r>
        <w:br w:type="page"/>
      </w:r>
    </w:p>
    <w:p w14:paraId="5110089C" w14:textId="77777777" w:rsidR="00396223" w:rsidRDefault="00396223" w:rsidP="00583FCC">
      <w:pPr>
        <w:pStyle w:val="Body"/>
        <w:rPr>
          <w:sz w:val="20"/>
        </w:rPr>
        <w:sectPr w:rsidR="00396223" w:rsidSect="009302EB">
          <w:type w:val="continuous"/>
          <w:pgSz w:w="11906" w:h="16838"/>
          <w:pgMar w:top="1411" w:right="1310" w:bottom="1138" w:left="1310" w:header="454" w:footer="510" w:gutter="0"/>
          <w:cols w:num="2" w:space="1135"/>
          <w:docGrid w:linePitch="360"/>
        </w:sectPr>
      </w:pPr>
    </w:p>
    <w:p w14:paraId="341EE3A2" w14:textId="23DFCC43" w:rsidR="00583FCC" w:rsidRPr="00EA78AF" w:rsidRDefault="00583FCC" w:rsidP="00583FCC">
      <w:pPr>
        <w:pStyle w:val="Body"/>
        <w:rPr>
          <w:color w:val="000000" w:themeColor="text1"/>
          <w:sz w:val="20"/>
          <w:lang w:eastAsia="en-AU"/>
        </w:rPr>
      </w:pPr>
      <w:r w:rsidRPr="00EA78AF">
        <w:rPr>
          <w:sz w:val="20"/>
        </w:rPr>
        <w:lastRenderedPageBreak/>
        <w:t>No target has been set for this measure; however, Measure 6.1 ‘</w:t>
      </w:r>
      <w:r w:rsidRPr="00EA78AF">
        <w:rPr>
          <w:iCs/>
          <w:sz w:val="20"/>
        </w:rPr>
        <w:t>Proportion of adults who smoke daily’</w:t>
      </w:r>
      <w:r w:rsidRPr="00EA78AF">
        <w:rPr>
          <w:sz w:val="20"/>
        </w:rPr>
        <w:t xml:space="preserve"> shows that in Victoria a</w:t>
      </w:r>
      <w:r w:rsidRPr="00F53AFE">
        <w:t xml:space="preserve"> </w:t>
      </w:r>
      <w:r w:rsidRPr="00EA78AF">
        <w:rPr>
          <w:sz w:val="20"/>
        </w:rPr>
        <w:t xml:space="preserve">continued comprehensive approach to tobacco control is warranted to reduce rates of smoking-related cancer including lung cancer. This is particularly the case because Figure 1.3 shows that disparities still exist in some groups such as regional Victorians and </w:t>
      </w:r>
      <w:r w:rsidRPr="00EA78AF">
        <w:rPr>
          <w:sz w:val="20"/>
          <w:lang w:val="en"/>
        </w:rPr>
        <w:t>Aboriginal Victorians.</w:t>
      </w:r>
    </w:p>
    <w:p w14:paraId="6F271998" w14:textId="285FAC68" w:rsidR="00396223" w:rsidRDefault="00583FCC" w:rsidP="00583FCC">
      <w:pPr>
        <w:pStyle w:val="Body"/>
        <w:rPr>
          <w:sz w:val="20"/>
          <w:shd w:val="clear" w:color="auto" w:fill="FFFFFF"/>
        </w:rPr>
        <w:sectPr w:rsidR="00396223" w:rsidSect="00396223">
          <w:type w:val="continuous"/>
          <w:pgSz w:w="11906" w:h="16838"/>
          <w:pgMar w:top="1411" w:right="1310" w:bottom="1138" w:left="1310" w:header="454" w:footer="510" w:gutter="0"/>
          <w:cols w:space="1135"/>
          <w:docGrid w:linePitch="360"/>
        </w:sectPr>
      </w:pPr>
      <w:bookmarkStart w:id="118" w:name="_Hlk128664217"/>
      <w:r w:rsidRPr="76BE792E">
        <w:rPr>
          <w:sz w:val="20"/>
          <w:shd w:val="clear" w:color="auto" w:fill="FFFFFF"/>
        </w:rPr>
        <w:t>Finally</w:t>
      </w:r>
      <w:r w:rsidR="00BC3055" w:rsidRPr="76BE792E">
        <w:rPr>
          <w:sz w:val="20"/>
          <w:shd w:val="clear" w:color="auto" w:fill="FFFFFF"/>
        </w:rPr>
        <w:t>,</w:t>
      </w:r>
      <w:r w:rsidRPr="76BE792E">
        <w:rPr>
          <w:sz w:val="20"/>
          <w:shd w:val="clear" w:color="auto" w:fill="FFFFFF"/>
        </w:rPr>
        <w:t xml:space="preserve"> of note is that at the time of writing</w:t>
      </w:r>
      <w:r w:rsidR="00BC3055" w:rsidRPr="76BE792E">
        <w:rPr>
          <w:sz w:val="20"/>
          <w:shd w:val="clear" w:color="auto" w:fill="FFFFFF"/>
        </w:rPr>
        <w:t>,</w:t>
      </w:r>
      <w:r w:rsidRPr="76BE792E">
        <w:rPr>
          <w:sz w:val="20"/>
          <w:shd w:val="clear" w:color="auto" w:fill="FFFFFF"/>
        </w:rPr>
        <w:t xml:space="preserve"> a 2021–22 Federal Budget Measure had tasked the Department of Health and Cancer Australia to work together to establish the feasibility of implementing a national program </w:t>
      </w:r>
      <w:r w:rsidR="00395AA3" w:rsidRPr="76BE792E">
        <w:rPr>
          <w:sz w:val="20"/>
          <w:shd w:val="clear" w:color="auto" w:fill="FFFFFF"/>
        </w:rPr>
        <w:t xml:space="preserve">and </w:t>
      </w:r>
      <w:r w:rsidRPr="76BE792E">
        <w:rPr>
          <w:sz w:val="20"/>
          <w:shd w:val="clear" w:color="auto" w:fill="FFFFFF"/>
        </w:rPr>
        <w:t>to inform a fully costed proposal to government for the detailed design, development and implementation of a National Lung Cancer Screening Program.</w:t>
      </w:r>
      <w:r w:rsidR="00695FFE" w:rsidRPr="76BE792E">
        <w:rPr>
          <w:rStyle w:val="FootnoteReference"/>
          <w:rFonts w:cs="Helvetica"/>
          <w:sz w:val="20"/>
          <w:shd w:val="clear" w:color="auto" w:fill="FFFFFF"/>
        </w:rPr>
        <w:footnoteReference w:id="19"/>
      </w:r>
      <w:r w:rsidRPr="76BE792E">
        <w:rPr>
          <w:sz w:val="20"/>
          <w:shd w:val="clear" w:color="auto" w:fill="FFFFFF"/>
        </w:rPr>
        <w:t xml:space="preserve"> This national program</w:t>
      </w:r>
      <w:r w:rsidR="00AB49EE" w:rsidRPr="76BE792E">
        <w:rPr>
          <w:sz w:val="20"/>
          <w:shd w:val="clear" w:color="auto" w:fill="FFFFFF"/>
        </w:rPr>
        <w:t>,</w:t>
      </w:r>
      <w:r w:rsidRPr="76BE792E">
        <w:rPr>
          <w:sz w:val="20"/>
          <w:shd w:val="clear" w:color="auto" w:fill="FFFFFF"/>
        </w:rPr>
        <w:t xml:space="preserve"> </w:t>
      </w:r>
      <w:r w:rsidR="00695FFE" w:rsidRPr="76BE792E">
        <w:rPr>
          <w:sz w:val="20"/>
          <w:shd w:val="clear" w:color="auto" w:fill="FFFFFF"/>
        </w:rPr>
        <w:t xml:space="preserve">due to start in 2025, </w:t>
      </w:r>
      <w:r w:rsidRPr="76BE792E">
        <w:rPr>
          <w:sz w:val="20"/>
          <w:shd w:val="clear" w:color="auto" w:fill="FFFFFF"/>
        </w:rPr>
        <w:t xml:space="preserve">is </w:t>
      </w:r>
      <w:r w:rsidR="00695FFE" w:rsidRPr="76BE792E">
        <w:rPr>
          <w:sz w:val="20"/>
          <w:shd w:val="clear" w:color="auto" w:fill="FFFFFF"/>
        </w:rPr>
        <w:t xml:space="preserve">likely to lead to an initial increase in lung cancer incidence but with expectations of earlier stage disease and eventual improvements </w:t>
      </w:r>
      <w:r w:rsidR="00AB49EE" w:rsidRPr="76BE792E">
        <w:rPr>
          <w:sz w:val="20"/>
          <w:shd w:val="clear" w:color="auto" w:fill="FFFFFF"/>
        </w:rPr>
        <w:t>in survival. This increase in incidence is likely to occur over the period of implementation of the next Victorian cancer plan</w:t>
      </w:r>
    </w:p>
    <w:p w14:paraId="65AEA242" w14:textId="6C8953DB" w:rsidR="00695FFE" w:rsidRDefault="00AB49EE" w:rsidP="00583FCC">
      <w:pPr>
        <w:pStyle w:val="Body"/>
        <w:rPr>
          <w:sz w:val="20"/>
          <w:shd w:val="clear" w:color="auto" w:fill="FFFFFF"/>
        </w:rPr>
      </w:pPr>
      <w:r>
        <w:rPr>
          <w:sz w:val="20"/>
          <w:shd w:val="clear" w:color="auto" w:fill="FFFFFF"/>
        </w:rPr>
        <w:t>.</w:t>
      </w:r>
    </w:p>
    <w:bookmarkEnd w:id="118"/>
    <w:p w14:paraId="4F873B3E" w14:textId="4991BF2D" w:rsidR="00C46B30" w:rsidRDefault="00C46B30" w:rsidP="00583FCC">
      <w:pPr>
        <w:pStyle w:val="Body"/>
        <w:sectPr w:rsidR="00C46B30" w:rsidSect="009302EB">
          <w:type w:val="continuous"/>
          <w:pgSz w:w="11906" w:h="16838"/>
          <w:pgMar w:top="1411" w:right="1310" w:bottom="1138" w:left="1310" w:header="454" w:footer="510" w:gutter="0"/>
          <w:cols w:num="2" w:space="1135"/>
          <w:docGrid w:linePitch="360"/>
        </w:sectPr>
      </w:pPr>
    </w:p>
    <w:p w14:paraId="2E755B15" w14:textId="09B223A6" w:rsidR="00557456" w:rsidRDefault="00557456" w:rsidP="00606436">
      <w:pPr>
        <w:pStyle w:val="Body"/>
      </w:pPr>
    </w:p>
    <w:p w14:paraId="48FEBBAA" w14:textId="761844B3" w:rsidR="00E8458B" w:rsidRPr="0099225F" w:rsidRDefault="00E8458B" w:rsidP="00A451D4">
      <w:pPr>
        <w:pStyle w:val="Heading3"/>
        <w:rPr>
          <w:b/>
          <w:bCs w:val="0"/>
          <w:sz w:val="28"/>
          <w:szCs w:val="28"/>
        </w:rPr>
      </w:pPr>
      <w:bookmarkStart w:id="119" w:name="_Measure_1.4_–"/>
      <w:bookmarkStart w:id="120" w:name="_Toc19008000"/>
      <w:bookmarkEnd w:id="119"/>
      <w:r w:rsidRPr="0099225F">
        <w:rPr>
          <w:b/>
          <w:bCs w:val="0"/>
          <w:sz w:val="28"/>
          <w:szCs w:val="28"/>
        </w:rPr>
        <w:lastRenderedPageBreak/>
        <w:t xml:space="preserve">Measure 1.4 – </w:t>
      </w:r>
      <w:r w:rsidR="006624DA" w:rsidRPr="0099225F">
        <w:rPr>
          <w:b/>
          <w:bCs w:val="0"/>
          <w:sz w:val="28"/>
          <w:szCs w:val="28"/>
        </w:rPr>
        <w:t>Incidence of colorectal cancer</w:t>
      </w:r>
      <w:bookmarkEnd w:id="120"/>
    </w:p>
    <w:p w14:paraId="10636D0D" w14:textId="7D686778" w:rsidR="008D4EED" w:rsidRPr="0099225F" w:rsidRDefault="008D4EED" w:rsidP="00DB1EBB">
      <w:pPr>
        <w:pStyle w:val="Figurecaption"/>
        <w:rPr>
          <w:sz w:val="20"/>
        </w:rPr>
      </w:pPr>
      <w:bookmarkStart w:id="121" w:name="_Toc19008001"/>
      <w:bookmarkStart w:id="122" w:name="_Toc19008260"/>
      <w:bookmarkStart w:id="123" w:name="_Toc19008407"/>
      <w:bookmarkStart w:id="124" w:name="_Toc19008554"/>
      <w:bookmarkStart w:id="125" w:name="_Toc132552991"/>
      <w:bookmarkStart w:id="126" w:name="_Toc140827597"/>
      <w:r w:rsidRPr="0099225F">
        <w:rPr>
          <w:sz w:val="20"/>
        </w:rPr>
        <w:t>Figure 1.4</w:t>
      </w:r>
      <w:r w:rsidR="002963FB" w:rsidRPr="0099225F">
        <w:rPr>
          <w:sz w:val="20"/>
        </w:rPr>
        <w:t>:</w:t>
      </w:r>
      <w:r w:rsidRPr="0099225F">
        <w:rPr>
          <w:sz w:val="20"/>
        </w:rPr>
        <w:t xml:space="preserve"> Incidence of colorectal cancer in Victoria per 100,000 standardised to the 2001 Australian population, by year of diagnosis, 201</w:t>
      </w:r>
      <w:r w:rsidR="00F17AA6" w:rsidRPr="0099225F">
        <w:rPr>
          <w:sz w:val="20"/>
        </w:rPr>
        <w:t>4</w:t>
      </w:r>
      <w:r w:rsidR="00126D03" w:rsidRPr="0099225F">
        <w:rPr>
          <w:sz w:val="20"/>
        </w:rPr>
        <w:t>, 2017</w:t>
      </w:r>
      <w:r w:rsidRPr="0099225F">
        <w:rPr>
          <w:sz w:val="20"/>
        </w:rPr>
        <w:t xml:space="preserve"> and 20</w:t>
      </w:r>
      <w:bookmarkEnd w:id="121"/>
      <w:bookmarkEnd w:id="122"/>
      <w:bookmarkEnd w:id="123"/>
      <w:bookmarkEnd w:id="124"/>
      <w:r w:rsidR="00126D03" w:rsidRPr="0099225F">
        <w:rPr>
          <w:sz w:val="20"/>
        </w:rPr>
        <w:t>2</w:t>
      </w:r>
      <w:r w:rsidR="0092370B" w:rsidRPr="0099225F">
        <w:rPr>
          <w:sz w:val="20"/>
        </w:rPr>
        <w:t>1</w:t>
      </w:r>
      <w:bookmarkEnd w:id="125"/>
      <w:bookmarkEnd w:id="126"/>
    </w:p>
    <w:p w14:paraId="564E72E3" w14:textId="2C89C1DD" w:rsidR="006146EF" w:rsidRPr="006146EF" w:rsidRDefault="006146EF" w:rsidP="00E87AAA">
      <w:pPr>
        <w:pStyle w:val="Body"/>
      </w:pPr>
      <w:r>
        <w:rPr>
          <w:noProof/>
        </w:rPr>
        <w:drawing>
          <wp:inline distT="0" distB="0" distL="0" distR="0" wp14:anchorId="3BDEF73A" wp14:editId="6226E6C7">
            <wp:extent cx="5860196" cy="5638800"/>
            <wp:effectExtent l="0" t="0" r="7620" b="0"/>
            <wp:docPr id="295" name="Picture 295" descr="This figure shows a data summary of 'Measure 1.4 – Incidence of colorectal cancer'. The data set is available under 'Measure 1.4 – Incidence of colorectal cancer'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This figure shows a data summary of 'Measure 1.4 – Incidence of colorectal cancer'. The data set is available under 'Measure 1.4 – Incidence of colorectal cancer' in a separate volume, the Victorian cancer plan monitoring and evaluation framework: baseline report: Appendix 2: Datasets available on Cancer care &lt;https://www.health.vic.gov.au/health-strategies/cancer-care&gt;."/>
                    <pic:cNvPicPr/>
                  </pic:nvPicPr>
                  <pic:blipFill>
                    <a:blip r:embed="rId41"/>
                    <a:stretch>
                      <a:fillRect/>
                    </a:stretch>
                  </pic:blipFill>
                  <pic:spPr>
                    <a:xfrm>
                      <a:off x="0" y="0"/>
                      <a:ext cx="5876084" cy="5654088"/>
                    </a:xfrm>
                    <a:prstGeom prst="rect">
                      <a:avLst/>
                    </a:prstGeom>
                  </pic:spPr>
                </pic:pic>
              </a:graphicData>
            </a:graphic>
          </wp:inline>
        </w:drawing>
      </w:r>
    </w:p>
    <w:p w14:paraId="4DDA5638" w14:textId="77777777" w:rsidR="0020440A" w:rsidRPr="0057553C" w:rsidRDefault="0016129F" w:rsidP="00FA1AAC">
      <w:pPr>
        <w:pStyle w:val="Tablefigurenote"/>
        <w:rPr>
          <w:i/>
          <w:iCs/>
          <w:sz w:val="18"/>
          <w:szCs w:val="18"/>
        </w:rPr>
      </w:pPr>
      <w:r w:rsidRPr="0057553C">
        <w:rPr>
          <w:i/>
          <w:iCs/>
          <w:sz w:val="18"/>
          <w:szCs w:val="18"/>
        </w:rPr>
        <w:t>Note:</w:t>
      </w:r>
      <w:r w:rsidR="00250B73" w:rsidRPr="0057553C">
        <w:rPr>
          <w:i/>
          <w:iCs/>
          <w:sz w:val="18"/>
          <w:szCs w:val="18"/>
        </w:rPr>
        <w:t xml:space="preserve"> </w:t>
      </w:r>
      <w:r w:rsidR="009A2DF4" w:rsidRPr="0057553C">
        <w:rPr>
          <w:i/>
          <w:iCs/>
          <w:sz w:val="18"/>
          <w:szCs w:val="18"/>
        </w:rPr>
        <w:t xml:space="preserve">Results by </w:t>
      </w:r>
      <w:r w:rsidR="0011089F" w:rsidRPr="0057553C">
        <w:rPr>
          <w:i/>
          <w:iCs/>
          <w:sz w:val="18"/>
          <w:szCs w:val="18"/>
        </w:rPr>
        <w:t>cultural diversity</w:t>
      </w:r>
      <w:r w:rsidR="009A2DF4" w:rsidRPr="0057553C">
        <w:rPr>
          <w:i/>
          <w:iCs/>
          <w:sz w:val="18"/>
          <w:szCs w:val="18"/>
        </w:rPr>
        <w:t xml:space="preserve"> are not presented </w:t>
      </w:r>
      <w:r w:rsidR="005D072A" w:rsidRPr="0057553C">
        <w:rPr>
          <w:i/>
          <w:iCs/>
          <w:sz w:val="18"/>
          <w:szCs w:val="18"/>
        </w:rPr>
        <w:t xml:space="preserve">because </w:t>
      </w:r>
      <w:r w:rsidR="009A2DF4" w:rsidRPr="0057553C">
        <w:rPr>
          <w:i/>
          <w:iCs/>
          <w:sz w:val="18"/>
          <w:szCs w:val="18"/>
        </w:rPr>
        <w:t xml:space="preserve">the ERP does not estimate the population by </w:t>
      </w:r>
      <w:r w:rsidR="0011089F" w:rsidRPr="0057553C">
        <w:rPr>
          <w:i/>
          <w:iCs/>
          <w:sz w:val="18"/>
          <w:szCs w:val="18"/>
        </w:rPr>
        <w:t>cultural diversity</w:t>
      </w:r>
      <w:r w:rsidR="009A2DF4" w:rsidRPr="0057553C">
        <w:rPr>
          <w:i/>
          <w:iCs/>
          <w:sz w:val="18"/>
          <w:szCs w:val="18"/>
        </w:rPr>
        <w:t>, hence there is no denominator for this variable.</w:t>
      </w:r>
    </w:p>
    <w:p w14:paraId="6DEFBEE8" w14:textId="4C2A86BF" w:rsidR="00A76E50" w:rsidRPr="0011089F" w:rsidRDefault="0020440A" w:rsidP="00FA1AAC">
      <w:pPr>
        <w:pStyle w:val="Tablefigurenote"/>
      </w:pPr>
      <w:r w:rsidRPr="0057553C">
        <w:rPr>
          <w:i/>
          <w:iCs/>
          <w:color w:val="000000"/>
          <w:sz w:val="18"/>
          <w:szCs w:val="18"/>
        </w:rPr>
        <w:t>Appendix 2 provides the dataset.</w:t>
      </w:r>
      <w:r w:rsidR="00A76E50">
        <w:br w:type="page"/>
      </w:r>
    </w:p>
    <w:p w14:paraId="21A1506D" w14:textId="704A784E" w:rsidR="00A76E50" w:rsidRDefault="00A76E50" w:rsidP="00DB1EBB">
      <w:pPr>
        <w:pStyle w:val="Figurecaption"/>
        <w:rPr>
          <w:sz w:val="20"/>
        </w:rPr>
      </w:pPr>
      <w:bookmarkStart w:id="127" w:name="_Toc19008002"/>
      <w:bookmarkStart w:id="128" w:name="_Toc19008261"/>
      <w:bookmarkStart w:id="129" w:name="_Toc19008408"/>
      <w:bookmarkStart w:id="130" w:name="_Toc19008555"/>
      <w:bookmarkStart w:id="131" w:name="_Toc132552992"/>
      <w:bookmarkStart w:id="132" w:name="_Toc140827598"/>
      <w:r w:rsidRPr="00EA78AF">
        <w:rPr>
          <w:sz w:val="20"/>
          <w:lang w:eastAsia="en-AU"/>
        </w:rPr>
        <w:lastRenderedPageBreak/>
        <w:t>Figure 1.4.1</w:t>
      </w:r>
      <w:r w:rsidR="002963FB" w:rsidRPr="00EA78AF">
        <w:rPr>
          <w:sz w:val="20"/>
          <w:lang w:eastAsia="en-AU"/>
        </w:rPr>
        <w:t>:</w:t>
      </w:r>
      <w:r w:rsidRPr="00EA78AF">
        <w:rPr>
          <w:sz w:val="20"/>
          <w:lang w:eastAsia="en-AU"/>
        </w:rPr>
        <w:t xml:space="preserve"> Incidence of colorectal cancer in Victoria per </w:t>
      </w:r>
      <w:r w:rsidRPr="00EA78AF">
        <w:rPr>
          <w:color w:val="000000" w:themeColor="text1"/>
          <w:sz w:val="20"/>
        </w:rPr>
        <w:t xml:space="preserve">100,000 standardised to the 2001 Australian population, by </w:t>
      </w:r>
      <w:r w:rsidR="008439C8" w:rsidRPr="00EA78AF">
        <w:rPr>
          <w:color w:val="000000" w:themeColor="text1"/>
          <w:sz w:val="20"/>
        </w:rPr>
        <w:t>ICS</w:t>
      </w:r>
      <w:r w:rsidR="0031077F" w:rsidRPr="00EA78AF">
        <w:rPr>
          <w:sz w:val="20"/>
        </w:rPr>
        <w:t xml:space="preserve"> and</w:t>
      </w:r>
      <w:r w:rsidRPr="00EA78AF">
        <w:rPr>
          <w:sz w:val="20"/>
        </w:rPr>
        <w:t xml:space="preserve"> year, 201</w:t>
      </w:r>
      <w:r w:rsidR="00411474" w:rsidRPr="00EA78AF">
        <w:rPr>
          <w:sz w:val="20"/>
        </w:rPr>
        <w:t>4</w:t>
      </w:r>
      <w:r w:rsidR="002A1B10" w:rsidRPr="00EA78AF">
        <w:rPr>
          <w:sz w:val="20"/>
        </w:rPr>
        <w:t>,</w:t>
      </w:r>
      <w:r w:rsidRPr="00EA78AF">
        <w:rPr>
          <w:sz w:val="20"/>
        </w:rPr>
        <w:t xml:space="preserve"> 2017</w:t>
      </w:r>
      <w:bookmarkEnd w:id="127"/>
      <w:bookmarkEnd w:id="128"/>
      <w:bookmarkEnd w:id="129"/>
      <w:bookmarkEnd w:id="130"/>
      <w:r w:rsidR="002A1B10" w:rsidRPr="00EA78AF">
        <w:rPr>
          <w:sz w:val="20"/>
        </w:rPr>
        <w:t xml:space="preserve"> and 202</w:t>
      </w:r>
      <w:r w:rsidR="0092370B" w:rsidRPr="00EA78AF">
        <w:rPr>
          <w:sz w:val="20"/>
        </w:rPr>
        <w:t>1</w:t>
      </w:r>
      <w:bookmarkEnd w:id="131"/>
      <w:bookmarkEnd w:id="132"/>
    </w:p>
    <w:p w14:paraId="62E0FEF0" w14:textId="45098F89" w:rsidR="00F4524F" w:rsidRPr="00F4524F" w:rsidRDefault="00F4524F" w:rsidP="00F4524F">
      <w:pPr>
        <w:pStyle w:val="DHHSbody"/>
      </w:pPr>
      <w:r w:rsidRPr="00F4524F">
        <w:rPr>
          <w:noProof/>
        </w:rPr>
        <w:drawing>
          <wp:inline distT="0" distB="0" distL="0" distR="0" wp14:anchorId="1AD46758" wp14:editId="5ECB29F5">
            <wp:extent cx="6023152" cy="2911366"/>
            <wp:effectExtent l="0" t="0" r="0" b="3810"/>
            <wp:docPr id="313" name="Picture 313" descr="This figure (bar graph) presents the incidence of colorectal cancer in Victoria by Integrated Cancer Service for 2014, 2017 and 2021.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This figure (bar graph) presents the incidence of colorectal cancer in Victoria by Integrated Cancer Service for 2014, 2017 and 2021.  Data labels have been included in the bar graph."/>
                    <pic:cNvPicPr/>
                  </pic:nvPicPr>
                  <pic:blipFill>
                    <a:blip r:embed="rId42"/>
                    <a:stretch>
                      <a:fillRect/>
                    </a:stretch>
                  </pic:blipFill>
                  <pic:spPr>
                    <a:xfrm>
                      <a:off x="0" y="0"/>
                      <a:ext cx="6036091" cy="2917620"/>
                    </a:xfrm>
                    <a:prstGeom prst="rect">
                      <a:avLst/>
                    </a:prstGeom>
                  </pic:spPr>
                </pic:pic>
              </a:graphicData>
            </a:graphic>
          </wp:inline>
        </w:drawing>
      </w:r>
    </w:p>
    <w:p w14:paraId="10EF7B0C" w14:textId="73F63009" w:rsidR="00665D4B" w:rsidRPr="0009320F" w:rsidRDefault="00665D4B" w:rsidP="00E87AAA">
      <w:pPr>
        <w:pStyle w:val="Body"/>
      </w:pPr>
      <w:r w:rsidRPr="007C7F00">
        <w:rPr>
          <w:rStyle w:val="Heading4Char"/>
        </w:rPr>
        <w:t>Measure assessment</w:t>
      </w:r>
    </w:p>
    <w:p w14:paraId="6D69D537" w14:textId="72490108" w:rsidR="003E5FD3" w:rsidRPr="00135551" w:rsidRDefault="003E5FD3" w:rsidP="00606436">
      <w:pPr>
        <w:pStyle w:val="Body"/>
        <w:rPr>
          <w:sz w:val="20"/>
        </w:rPr>
      </w:pPr>
      <w:r w:rsidRPr="00EA78AF">
        <w:rPr>
          <w:sz w:val="20"/>
        </w:rPr>
        <w:t xml:space="preserve">Traffic light rating: </w:t>
      </w:r>
      <w:r w:rsidR="00135551" w:rsidRPr="00EA78AF">
        <w:rPr>
          <w:b/>
          <w:color w:val="C5511A"/>
          <w:sz w:val="20"/>
        </w:rPr>
        <w:t>Amber</w:t>
      </w:r>
      <w:r w:rsidR="00135551" w:rsidRPr="00EA78AF">
        <w:rPr>
          <w:b/>
          <w:sz w:val="20"/>
        </w:rPr>
        <w:t xml:space="preserve"> </w:t>
      </w:r>
      <w:r w:rsidR="00135551" w:rsidRPr="00EA78AF">
        <w:rPr>
          <w:sz w:val="20"/>
        </w:rPr>
        <w:t>(desired result not yet evident)</w:t>
      </w:r>
    </w:p>
    <w:p w14:paraId="517863A9" w14:textId="6C6DA1C4" w:rsidR="00B768E5" w:rsidRPr="00EA78AF" w:rsidRDefault="003E5FD3" w:rsidP="00606436">
      <w:pPr>
        <w:pStyle w:val="Body"/>
        <w:rPr>
          <w:sz w:val="20"/>
        </w:rPr>
      </w:pPr>
      <w:bookmarkStart w:id="133" w:name="_Hlk136855206"/>
      <w:r w:rsidRPr="00EA78AF">
        <w:rPr>
          <w:sz w:val="20"/>
        </w:rPr>
        <w:t xml:space="preserve">Overall trend: </w:t>
      </w:r>
      <w:r w:rsidR="00B768E5">
        <w:rPr>
          <w:sz w:val="20"/>
        </w:rPr>
        <w:t>Generally m</w:t>
      </w:r>
      <w:r w:rsidR="00DE6DA4" w:rsidRPr="00EA78AF">
        <w:rPr>
          <w:sz w:val="20"/>
        </w:rPr>
        <w:t>oving in the right direction</w:t>
      </w:r>
      <w:r w:rsidR="00135551">
        <w:rPr>
          <w:sz w:val="20"/>
        </w:rPr>
        <w:t xml:space="preserve"> however there is </w:t>
      </w:r>
      <w:r w:rsidR="008D3885">
        <w:rPr>
          <w:sz w:val="20"/>
        </w:rPr>
        <w:t xml:space="preserve">currently </w:t>
      </w:r>
      <w:r w:rsidR="00135551">
        <w:rPr>
          <w:sz w:val="20"/>
        </w:rPr>
        <w:t>uncertainty regarding the impact of the pandemic</w:t>
      </w:r>
      <w:r w:rsidR="00B768E5">
        <w:rPr>
          <w:sz w:val="20"/>
        </w:rPr>
        <w:t xml:space="preserve"> as to the true direction of trend</w:t>
      </w:r>
    </w:p>
    <w:bookmarkEnd w:id="133"/>
    <w:p w14:paraId="5BE80714" w14:textId="59C2B89E" w:rsidR="00DD5846" w:rsidRPr="00EA78AF" w:rsidRDefault="003E5FD3" w:rsidP="00E87AAA">
      <w:pPr>
        <w:pStyle w:val="Body"/>
        <w:rPr>
          <w:sz w:val="20"/>
        </w:rPr>
      </w:pPr>
      <w:r w:rsidRPr="76BE792E">
        <w:rPr>
          <w:sz w:val="20"/>
          <w:lang w:eastAsia="en-AU"/>
        </w:rPr>
        <w:t xml:space="preserve">Commentary: </w:t>
      </w:r>
      <w:r w:rsidR="002A11C4" w:rsidRPr="76BE792E">
        <w:rPr>
          <w:sz w:val="20"/>
        </w:rPr>
        <w:t xml:space="preserve">Colorectal cancer (CRC) (also referred to as bowel cancer) is a common and </w:t>
      </w:r>
      <w:r w:rsidR="00F6173F" w:rsidRPr="76BE792E">
        <w:rPr>
          <w:sz w:val="20"/>
        </w:rPr>
        <w:t>fatal</w:t>
      </w:r>
      <w:r w:rsidR="002A11C4" w:rsidRPr="76BE792E">
        <w:rPr>
          <w:sz w:val="20"/>
        </w:rPr>
        <w:t xml:space="preserve"> disease</w:t>
      </w:r>
      <w:r w:rsidR="00475DD8" w:rsidRPr="76BE792E">
        <w:rPr>
          <w:sz w:val="20"/>
        </w:rPr>
        <w:t>. Globally, CRC incidence shows marked variability and is the third most commonly diagnosed cancer in males and the second in females.</w:t>
      </w:r>
      <w:r w:rsidR="00475DD8" w:rsidRPr="76BE792E">
        <w:rPr>
          <w:rStyle w:val="FootnoteReference"/>
          <w:rFonts w:cs="Arial"/>
          <w:sz w:val="20"/>
        </w:rPr>
        <w:t xml:space="preserve"> </w:t>
      </w:r>
      <w:r w:rsidR="00475DD8" w:rsidRPr="76BE792E">
        <w:rPr>
          <w:rStyle w:val="FootnoteReference"/>
          <w:rFonts w:cs="Arial"/>
          <w:sz w:val="20"/>
        </w:rPr>
        <w:footnoteReference w:id="20"/>
      </w:r>
      <w:r w:rsidR="00475DD8" w:rsidRPr="76BE792E">
        <w:rPr>
          <w:sz w:val="20"/>
        </w:rPr>
        <w:t xml:space="preserve"> </w:t>
      </w:r>
      <w:r w:rsidR="00DD5846" w:rsidRPr="76BE792E">
        <w:rPr>
          <w:color w:val="000000"/>
          <w:sz w:val="20"/>
          <w:shd w:val="clear" w:color="auto" w:fill="FFFFFF"/>
        </w:rPr>
        <w:t xml:space="preserve">In 2020 more than 1.9 million new cases of </w:t>
      </w:r>
      <w:r w:rsidR="00482C41" w:rsidRPr="76BE792E">
        <w:rPr>
          <w:color w:val="000000"/>
          <w:sz w:val="20"/>
          <w:shd w:val="clear" w:color="auto" w:fill="FFFFFF"/>
        </w:rPr>
        <w:t>CRC</w:t>
      </w:r>
      <w:r w:rsidR="00DD5846" w:rsidRPr="76BE792E">
        <w:rPr>
          <w:color w:val="000000"/>
          <w:sz w:val="20"/>
          <w:shd w:val="clear" w:color="auto" w:fill="FFFFFF"/>
        </w:rPr>
        <w:t xml:space="preserve"> and more than 930 000 deaths due to </w:t>
      </w:r>
      <w:r w:rsidR="00482C41" w:rsidRPr="76BE792E">
        <w:rPr>
          <w:color w:val="000000"/>
          <w:sz w:val="20"/>
          <w:shd w:val="clear" w:color="auto" w:fill="FFFFFF"/>
        </w:rPr>
        <w:t>CRC</w:t>
      </w:r>
      <w:r w:rsidR="00DD5846" w:rsidRPr="76BE792E">
        <w:rPr>
          <w:color w:val="000000"/>
          <w:sz w:val="20"/>
          <w:shd w:val="clear" w:color="auto" w:fill="FFFFFF"/>
        </w:rPr>
        <w:t xml:space="preserve"> were estimated to have occurred worldwide. The number of new cases is predicted to increase to 3.2 million by 2040 (an increase of 63</w:t>
      </w:r>
      <w:r w:rsidR="0054537F">
        <w:rPr>
          <w:color w:val="000000" w:themeColor="text1"/>
          <w:sz w:val="20"/>
        </w:rPr>
        <w:t>%</w:t>
      </w:r>
      <w:r w:rsidR="00DD5846" w:rsidRPr="76BE792E">
        <w:rPr>
          <w:color w:val="000000"/>
          <w:sz w:val="20"/>
          <w:shd w:val="clear" w:color="auto" w:fill="FFFFFF"/>
        </w:rPr>
        <w:t>) and 1.6 million deaths per year (an increase of 73</w:t>
      </w:r>
      <w:r w:rsidR="0054537F">
        <w:rPr>
          <w:color w:val="000000" w:themeColor="text1"/>
          <w:sz w:val="20"/>
        </w:rPr>
        <w:t>%</w:t>
      </w:r>
      <w:r w:rsidR="00DD5846" w:rsidRPr="76BE792E">
        <w:rPr>
          <w:color w:val="000000"/>
          <w:sz w:val="20"/>
          <w:shd w:val="clear" w:color="auto" w:fill="FFFFFF"/>
        </w:rPr>
        <w:t>).</w:t>
      </w:r>
      <w:r w:rsidR="00475DD8" w:rsidRPr="76BE792E">
        <w:rPr>
          <w:rStyle w:val="FootnoteReference"/>
          <w:rFonts w:cs="Arial"/>
          <w:color w:val="000000"/>
          <w:sz w:val="20"/>
          <w:shd w:val="clear" w:color="auto" w:fill="FFFFFF"/>
        </w:rPr>
        <w:footnoteReference w:id="21"/>
      </w:r>
    </w:p>
    <w:p w14:paraId="66E99158" w14:textId="6B07CBD3" w:rsidR="00B53697" w:rsidRPr="00EA78AF" w:rsidRDefault="00247BF7" w:rsidP="00E87AAA">
      <w:pPr>
        <w:pStyle w:val="Body"/>
        <w:rPr>
          <w:sz w:val="20"/>
          <w:lang w:eastAsia="en-AU"/>
        </w:rPr>
        <w:sectPr w:rsidR="00B53697" w:rsidRPr="00EA78AF" w:rsidSect="009302EB">
          <w:type w:val="continuous"/>
          <w:pgSz w:w="11906" w:h="16838"/>
          <w:pgMar w:top="1411" w:right="1310" w:bottom="1138" w:left="1310" w:header="454" w:footer="510" w:gutter="0"/>
          <w:cols w:space="1135"/>
          <w:docGrid w:linePitch="360"/>
        </w:sectPr>
      </w:pPr>
      <w:r w:rsidRPr="76BE792E">
        <w:rPr>
          <w:sz w:val="20"/>
        </w:rPr>
        <w:t>In Australia</w:t>
      </w:r>
      <w:r w:rsidR="006E2C2B" w:rsidRPr="76BE792E">
        <w:rPr>
          <w:sz w:val="20"/>
        </w:rPr>
        <w:t>,</w:t>
      </w:r>
      <w:r w:rsidRPr="76BE792E">
        <w:rPr>
          <w:sz w:val="20"/>
        </w:rPr>
        <w:t xml:space="preserve"> CRC </w:t>
      </w:r>
      <w:r w:rsidR="00E94E7B" w:rsidRPr="76BE792E">
        <w:rPr>
          <w:sz w:val="20"/>
        </w:rPr>
        <w:t xml:space="preserve">is the </w:t>
      </w:r>
      <w:r w:rsidR="00B70BDE" w:rsidRPr="76BE792E">
        <w:rPr>
          <w:sz w:val="20"/>
          <w:lang w:val="en-GB"/>
        </w:rPr>
        <w:t xml:space="preserve">third most common type of newly </w:t>
      </w:r>
      <w:r w:rsidR="00B70BDE" w:rsidRPr="76BE792E">
        <w:rPr>
          <w:sz w:val="20"/>
          <w:lang w:eastAsia="en-AU"/>
        </w:rPr>
        <w:t>diagnosed cancer</w:t>
      </w:r>
      <w:r w:rsidR="00864F3E" w:rsidRPr="76BE792E">
        <w:rPr>
          <w:sz w:val="20"/>
          <w:lang w:eastAsia="en-AU"/>
        </w:rPr>
        <w:t>.</w:t>
      </w:r>
      <w:r w:rsidR="00864F3E" w:rsidRPr="76BE792E">
        <w:rPr>
          <w:sz w:val="20"/>
          <w:vertAlign w:val="superscript"/>
          <w:lang w:eastAsia="en-AU"/>
        </w:rPr>
        <w:footnoteReference w:id="22"/>
      </w:r>
      <w:r w:rsidR="00864F3E" w:rsidRPr="76BE792E">
        <w:rPr>
          <w:sz w:val="20"/>
          <w:lang w:eastAsia="en-AU"/>
        </w:rPr>
        <w:t xml:space="preserve"> </w:t>
      </w:r>
      <w:r w:rsidR="00994276" w:rsidRPr="76BE792E">
        <w:rPr>
          <w:sz w:val="20"/>
          <w:lang w:eastAsia="en-AU"/>
        </w:rPr>
        <w:t>In 20</w:t>
      </w:r>
      <w:r w:rsidR="00864F3E" w:rsidRPr="76BE792E">
        <w:rPr>
          <w:sz w:val="20"/>
          <w:lang w:eastAsia="en-AU"/>
        </w:rPr>
        <w:t>2</w:t>
      </w:r>
      <w:r w:rsidR="002C0D9E" w:rsidRPr="76BE792E">
        <w:rPr>
          <w:sz w:val="20"/>
          <w:lang w:eastAsia="en-AU"/>
        </w:rPr>
        <w:t>1</w:t>
      </w:r>
      <w:r w:rsidR="00994276" w:rsidRPr="76BE792E">
        <w:rPr>
          <w:sz w:val="20"/>
          <w:lang w:val="en-GB"/>
        </w:rPr>
        <w:t xml:space="preserve"> CRC</w:t>
      </w:r>
      <w:r w:rsidR="007305B6" w:rsidRPr="76BE792E">
        <w:rPr>
          <w:sz w:val="20"/>
          <w:lang w:val="en-GB"/>
        </w:rPr>
        <w:t xml:space="preserve"> was also the third most common new cancer i</w:t>
      </w:r>
      <w:r w:rsidR="008E1011" w:rsidRPr="76BE792E">
        <w:rPr>
          <w:sz w:val="20"/>
          <w:lang w:val="en-GB"/>
        </w:rPr>
        <w:t>n Victoria</w:t>
      </w:r>
      <w:r w:rsidR="00112A28" w:rsidRPr="76BE792E">
        <w:rPr>
          <w:sz w:val="20"/>
          <w:lang w:val="en-GB"/>
        </w:rPr>
        <w:t>,</w:t>
      </w:r>
      <w:r w:rsidR="008E1011" w:rsidRPr="76BE792E">
        <w:rPr>
          <w:sz w:val="20"/>
          <w:lang w:val="en-GB"/>
        </w:rPr>
        <w:t xml:space="preserve"> with 3,</w:t>
      </w:r>
      <w:r w:rsidR="002C0D9E" w:rsidRPr="76BE792E">
        <w:rPr>
          <w:sz w:val="20"/>
          <w:lang w:val="en-GB"/>
        </w:rPr>
        <w:t>713</w:t>
      </w:r>
      <w:r w:rsidR="008E1011" w:rsidRPr="76BE792E">
        <w:rPr>
          <w:sz w:val="20"/>
          <w:lang w:val="en-GB"/>
        </w:rPr>
        <w:t xml:space="preserve"> cases </w:t>
      </w:r>
      <w:r w:rsidR="00864F3E" w:rsidRPr="76BE792E">
        <w:rPr>
          <w:sz w:val="20"/>
          <w:lang w:val="en-GB"/>
        </w:rPr>
        <w:t xml:space="preserve">or </w:t>
      </w:r>
      <w:r w:rsidR="008E1011" w:rsidRPr="76BE792E">
        <w:rPr>
          <w:sz w:val="20"/>
          <w:lang w:val="en-GB"/>
        </w:rPr>
        <w:t>1</w:t>
      </w:r>
      <w:r w:rsidR="00864F3E" w:rsidRPr="76BE792E">
        <w:rPr>
          <w:sz w:val="20"/>
          <w:lang w:val="en-GB"/>
        </w:rPr>
        <w:t>0</w:t>
      </w:r>
      <w:r w:rsidR="0054537F">
        <w:rPr>
          <w:sz w:val="20"/>
          <w:lang w:val="en-GB"/>
        </w:rPr>
        <w:t>%</w:t>
      </w:r>
      <w:r w:rsidR="007305B6" w:rsidRPr="76BE792E">
        <w:rPr>
          <w:sz w:val="20"/>
          <w:lang w:val="en-GB"/>
        </w:rPr>
        <w:t xml:space="preserve"> of all </w:t>
      </w:r>
      <w:r w:rsidR="00864F3E" w:rsidRPr="76BE792E">
        <w:rPr>
          <w:sz w:val="20"/>
          <w:lang w:val="en-GB"/>
        </w:rPr>
        <w:t xml:space="preserve">new </w:t>
      </w:r>
      <w:r w:rsidR="007305B6" w:rsidRPr="76BE792E">
        <w:rPr>
          <w:sz w:val="20"/>
          <w:lang w:val="en-GB"/>
        </w:rPr>
        <w:t>cancer</w:t>
      </w:r>
      <w:r w:rsidR="00864F3E" w:rsidRPr="76BE792E">
        <w:rPr>
          <w:sz w:val="20"/>
          <w:lang w:val="en-GB"/>
        </w:rPr>
        <w:t xml:space="preserve"> </w:t>
      </w:r>
      <w:r w:rsidR="007305B6" w:rsidRPr="76BE792E">
        <w:rPr>
          <w:sz w:val="20"/>
          <w:lang w:val="en-GB"/>
        </w:rPr>
        <w:t>diagnose</w:t>
      </w:r>
      <w:r w:rsidR="00864F3E" w:rsidRPr="76BE792E">
        <w:rPr>
          <w:sz w:val="20"/>
          <w:lang w:val="en-GB"/>
        </w:rPr>
        <w:t>s</w:t>
      </w:r>
      <w:r w:rsidR="007305B6" w:rsidRPr="76BE792E">
        <w:rPr>
          <w:sz w:val="20"/>
          <w:lang w:val="en-GB"/>
        </w:rPr>
        <w:t>.</w:t>
      </w:r>
      <w:r w:rsidR="007305B6" w:rsidRPr="76BE792E">
        <w:rPr>
          <w:rStyle w:val="FootnoteReference"/>
          <w:rFonts w:cs="Arial"/>
          <w:sz w:val="20"/>
          <w:lang w:val="en-GB"/>
        </w:rPr>
        <w:footnoteReference w:id="23"/>
      </w:r>
      <w:r w:rsidR="00A30663" w:rsidRPr="76BE792E">
        <w:rPr>
          <w:sz w:val="20"/>
          <w:lang w:val="en-GB"/>
        </w:rPr>
        <w:t xml:space="preserve"> Over the study period (2014</w:t>
      </w:r>
      <w:r w:rsidR="00A30663" w:rsidRPr="76BE792E">
        <w:rPr>
          <w:sz w:val="20"/>
          <w:lang w:eastAsia="en-AU"/>
        </w:rPr>
        <w:t>–20</w:t>
      </w:r>
      <w:r w:rsidR="00432123" w:rsidRPr="76BE792E">
        <w:rPr>
          <w:sz w:val="20"/>
          <w:lang w:eastAsia="en-AU"/>
        </w:rPr>
        <w:t>2</w:t>
      </w:r>
      <w:r w:rsidR="002C0D9E" w:rsidRPr="76BE792E">
        <w:rPr>
          <w:sz w:val="20"/>
          <w:lang w:eastAsia="en-AU"/>
        </w:rPr>
        <w:t>1</w:t>
      </w:r>
      <w:r w:rsidR="00A30663" w:rsidRPr="76BE792E">
        <w:rPr>
          <w:sz w:val="20"/>
          <w:lang w:eastAsia="en-AU"/>
        </w:rPr>
        <w:t>) t</w:t>
      </w:r>
      <w:r w:rsidR="002333F6" w:rsidRPr="76BE792E">
        <w:rPr>
          <w:sz w:val="20"/>
          <w:lang w:eastAsia="en-AU"/>
        </w:rPr>
        <w:t xml:space="preserve">he age-standardised incidence rate </w:t>
      </w:r>
      <w:r w:rsidR="00EA55C3" w:rsidRPr="76BE792E">
        <w:rPr>
          <w:sz w:val="20"/>
          <w:lang w:eastAsia="en-AU"/>
        </w:rPr>
        <w:t>decreased from</w:t>
      </w:r>
      <w:r w:rsidR="002333F6" w:rsidRPr="76BE792E">
        <w:rPr>
          <w:sz w:val="20"/>
          <w:lang w:eastAsia="en-AU"/>
        </w:rPr>
        <w:t xml:space="preserve"> </w:t>
      </w:r>
      <w:r w:rsidR="00A30663" w:rsidRPr="76BE792E">
        <w:rPr>
          <w:sz w:val="20"/>
          <w:lang w:eastAsia="en-AU"/>
        </w:rPr>
        <w:t xml:space="preserve">56 </w:t>
      </w:r>
      <w:r w:rsidR="00EA55C3" w:rsidRPr="76BE792E">
        <w:rPr>
          <w:sz w:val="20"/>
          <w:lang w:eastAsia="en-AU"/>
        </w:rPr>
        <w:t>(2014) to</w:t>
      </w:r>
      <w:r w:rsidR="002333F6" w:rsidRPr="76BE792E">
        <w:rPr>
          <w:sz w:val="20"/>
          <w:lang w:eastAsia="en-AU"/>
        </w:rPr>
        <w:t xml:space="preserve"> </w:t>
      </w:r>
      <w:r w:rsidR="00EA55C3" w:rsidRPr="76BE792E">
        <w:rPr>
          <w:sz w:val="20"/>
          <w:lang w:eastAsia="en-AU"/>
        </w:rPr>
        <w:t>4</w:t>
      </w:r>
      <w:r w:rsidR="002C0D9E" w:rsidRPr="76BE792E">
        <w:rPr>
          <w:sz w:val="20"/>
          <w:lang w:eastAsia="en-AU"/>
        </w:rPr>
        <w:t>7</w:t>
      </w:r>
      <w:r w:rsidR="00A30663" w:rsidRPr="76BE792E">
        <w:rPr>
          <w:sz w:val="20"/>
          <w:lang w:eastAsia="en-AU"/>
        </w:rPr>
        <w:t xml:space="preserve"> </w:t>
      </w:r>
      <w:r w:rsidR="002333F6" w:rsidRPr="76BE792E">
        <w:rPr>
          <w:sz w:val="20"/>
          <w:lang w:eastAsia="en-AU"/>
        </w:rPr>
        <w:t xml:space="preserve">cases per 100,000 </w:t>
      </w:r>
      <w:r w:rsidR="00DC7655" w:rsidRPr="76BE792E">
        <w:rPr>
          <w:sz w:val="20"/>
          <w:lang w:eastAsia="en-AU"/>
        </w:rPr>
        <w:t>p</w:t>
      </w:r>
      <w:r w:rsidR="007614D3" w:rsidRPr="76BE792E">
        <w:rPr>
          <w:sz w:val="20"/>
          <w:lang w:eastAsia="en-AU"/>
        </w:rPr>
        <w:t>opulation</w:t>
      </w:r>
      <w:r w:rsidR="00EA55C3" w:rsidRPr="76BE792E">
        <w:rPr>
          <w:sz w:val="20"/>
          <w:lang w:eastAsia="en-AU"/>
        </w:rPr>
        <w:t xml:space="preserve"> (202</w:t>
      </w:r>
      <w:r w:rsidR="002C0D9E" w:rsidRPr="76BE792E">
        <w:rPr>
          <w:sz w:val="20"/>
          <w:lang w:eastAsia="en-AU"/>
        </w:rPr>
        <w:t>1</w:t>
      </w:r>
      <w:r w:rsidR="00EA55C3" w:rsidRPr="76BE792E">
        <w:rPr>
          <w:sz w:val="20"/>
          <w:lang w:eastAsia="en-AU"/>
        </w:rPr>
        <w:t>)</w:t>
      </w:r>
      <w:r w:rsidR="002333F6" w:rsidRPr="76BE792E">
        <w:rPr>
          <w:sz w:val="20"/>
          <w:lang w:eastAsia="en-AU"/>
        </w:rPr>
        <w:t xml:space="preserve"> (</w:t>
      </w:r>
      <w:r w:rsidR="00192D11" w:rsidRPr="76BE792E">
        <w:rPr>
          <w:sz w:val="20"/>
          <w:lang w:eastAsia="en-AU"/>
        </w:rPr>
        <w:t>Figure 1.4</w:t>
      </w:r>
      <w:r w:rsidR="007E775C" w:rsidRPr="76BE792E">
        <w:rPr>
          <w:sz w:val="20"/>
          <w:lang w:eastAsia="en-AU"/>
        </w:rPr>
        <w:t>)</w:t>
      </w:r>
      <w:r w:rsidR="00C54297" w:rsidRPr="76BE792E">
        <w:rPr>
          <w:sz w:val="20"/>
          <w:lang w:eastAsia="en-AU"/>
        </w:rPr>
        <w:t xml:space="preserve">, </w:t>
      </w:r>
      <w:r w:rsidR="002C0D9E" w:rsidRPr="76BE792E">
        <w:rPr>
          <w:sz w:val="20"/>
          <w:lang w:eastAsia="en-AU"/>
        </w:rPr>
        <w:t xml:space="preserve">including </w:t>
      </w:r>
      <w:r w:rsidR="00C54297" w:rsidRPr="76BE792E">
        <w:rPr>
          <w:sz w:val="20"/>
          <w:lang w:eastAsia="en-AU"/>
        </w:rPr>
        <w:t>an 11</w:t>
      </w:r>
      <w:r w:rsidR="0054537F">
        <w:rPr>
          <w:sz w:val="20"/>
          <w:lang w:eastAsia="en-AU"/>
        </w:rPr>
        <w:t>%</w:t>
      </w:r>
      <w:r w:rsidR="00C54297" w:rsidRPr="76BE792E">
        <w:rPr>
          <w:sz w:val="20"/>
          <w:lang w:eastAsia="en-AU"/>
        </w:rPr>
        <w:t xml:space="preserve"> decline in bowel cancer diagnoses in 2020 due to the COVID</w:t>
      </w:r>
      <w:r w:rsidR="00482C41" w:rsidRPr="76BE792E">
        <w:rPr>
          <w:sz w:val="20"/>
          <w:lang w:eastAsia="en-AU"/>
        </w:rPr>
        <w:t>-19</w:t>
      </w:r>
      <w:r w:rsidR="00C54297" w:rsidRPr="76BE792E">
        <w:rPr>
          <w:sz w:val="20"/>
          <w:lang w:eastAsia="en-AU"/>
        </w:rPr>
        <w:t xml:space="preserve"> pandemic.</w:t>
      </w:r>
      <w:r w:rsidR="00C54297" w:rsidRPr="76BE792E">
        <w:rPr>
          <w:rStyle w:val="FootnoteReference"/>
          <w:rFonts w:cs="Arial"/>
          <w:sz w:val="20"/>
          <w:lang w:val="en-GB"/>
        </w:rPr>
        <w:t xml:space="preserve"> </w:t>
      </w:r>
      <w:r w:rsidR="00C54297" w:rsidRPr="76BE792E">
        <w:rPr>
          <w:rStyle w:val="FootnoteReference"/>
          <w:rFonts w:cs="Arial"/>
          <w:sz w:val="20"/>
          <w:lang w:val="en-GB"/>
        </w:rPr>
        <w:footnoteReference w:id="24"/>
      </w:r>
      <w:r w:rsidR="00C54297" w:rsidRPr="76BE792E">
        <w:rPr>
          <w:sz w:val="20"/>
          <w:lang w:val="en-GB"/>
        </w:rPr>
        <w:t xml:space="preserve"> </w:t>
      </w:r>
      <w:r w:rsidR="007E775C" w:rsidRPr="76BE792E">
        <w:rPr>
          <w:sz w:val="20"/>
          <w:lang w:eastAsia="en-AU"/>
        </w:rPr>
        <w:t>A higher incidence rate was observed in males (</w:t>
      </w:r>
      <w:r w:rsidR="00BF52B1" w:rsidRPr="76BE792E">
        <w:rPr>
          <w:sz w:val="20"/>
          <w:lang w:eastAsia="en-AU"/>
        </w:rPr>
        <w:t>64</w:t>
      </w:r>
      <w:r w:rsidR="007E775C" w:rsidRPr="76BE792E">
        <w:rPr>
          <w:sz w:val="20"/>
          <w:lang w:eastAsia="en-AU"/>
        </w:rPr>
        <w:t xml:space="preserve"> per 100,000 population in 201</w:t>
      </w:r>
      <w:r w:rsidR="00BF52B1" w:rsidRPr="76BE792E">
        <w:rPr>
          <w:sz w:val="20"/>
          <w:lang w:eastAsia="en-AU"/>
        </w:rPr>
        <w:t>4</w:t>
      </w:r>
      <w:r w:rsidR="007E775C" w:rsidRPr="76BE792E">
        <w:rPr>
          <w:sz w:val="20"/>
          <w:lang w:eastAsia="en-AU"/>
        </w:rPr>
        <w:t xml:space="preserve"> </w:t>
      </w:r>
      <w:r w:rsidR="00EA55C3" w:rsidRPr="76BE792E">
        <w:rPr>
          <w:sz w:val="20"/>
          <w:lang w:eastAsia="en-AU"/>
        </w:rPr>
        <w:t>decreasing</w:t>
      </w:r>
      <w:r w:rsidR="007E775C" w:rsidRPr="76BE792E">
        <w:rPr>
          <w:sz w:val="20"/>
          <w:lang w:eastAsia="en-AU"/>
        </w:rPr>
        <w:t xml:space="preserve"> to </w:t>
      </w:r>
      <w:r w:rsidR="002C0D9E" w:rsidRPr="76BE792E">
        <w:rPr>
          <w:sz w:val="20"/>
          <w:lang w:eastAsia="en-AU"/>
        </w:rPr>
        <w:t>54</w:t>
      </w:r>
      <w:r w:rsidR="007E775C" w:rsidRPr="76BE792E">
        <w:rPr>
          <w:sz w:val="20"/>
          <w:lang w:eastAsia="en-AU"/>
        </w:rPr>
        <w:t xml:space="preserve"> per 100,000 population in 20</w:t>
      </w:r>
      <w:r w:rsidR="00EA55C3" w:rsidRPr="76BE792E">
        <w:rPr>
          <w:sz w:val="20"/>
          <w:lang w:eastAsia="en-AU"/>
        </w:rPr>
        <w:t>2</w:t>
      </w:r>
      <w:r w:rsidR="002C0D9E" w:rsidRPr="76BE792E">
        <w:rPr>
          <w:sz w:val="20"/>
          <w:lang w:eastAsia="en-AU"/>
        </w:rPr>
        <w:t>1</w:t>
      </w:r>
      <w:r w:rsidR="00660EC7" w:rsidRPr="76BE792E">
        <w:rPr>
          <w:sz w:val="20"/>
          <w:lang w:eastAsia="en-AU"/>
        </w:rPr>
        <w:t>)</w:t>
      </w:r>
      <w:r w:rsidR="007E775C" w:rsidRPr="76BE792E">
        <w:rPr>
          <w:sz w:val="20"/>
          <w:lang w:eastAsia="en-AU"/>
        </w:rPr>
        <w:t xml:space="preserve"> compared </w:t>
      </w:r>
      <w:r w:rsidR="001B50BF" w:rsidRPr="76BE792E">
        <w:rPr>
          <w:sz w:val="20"/>
          <w:lang w:eastAsia="en-AU"/>
        </w:rPr>
        <w:t xml:space="preserve">with </w:t>
      </w:r>
      <w:r w:rsidR="007E775C" w:rsidRPr="76BE792E">
        <w:rPr>
          <w:sz w:val="20"/>
          <w:lang w:eastAsia="en-AU"/>
        </w:rPr>
        <w:t>females (</w:t>
      </w:r>
      <w:r w:rsidR="00BF52B1" w:rsidRPr="76BE792E">
        <w:rPr>
          <w:sz w:val="20"/>
          <w:lang w:eastAsia="en-AU"/>
        </w:rPr>
        <w:t>49</w:t>
      </w:r>
      <w:r w:rsidR="007E775C" w:rsidRPr="76BE792E">
        <w:rPr>
          <w:sz w:val="20"/>
          <w:lang w:eastAsia="en-AU"/>
        </w:rPr>
        <w:t xml:space="preserve"> per 100,000 population in 201</w:t>
      </w:r>
      <w:r w:rsidR="00BF52B1" w:rsidRPr="76BE792E">
        <w:rPr>
          <w:sz w:val="20"/>
          <w:lang w:eastAsia="en-AU"/>
        </w:rPr>
        <w:t>4</w:t>
      </w:r>
      <w:r w:rsidR="00660EC7" w:rsidRPr="76BE792E">
        <w:rPr>
          <w:sz w:val="20"/>
          <w:lang w:eastAsia="en-AU"/>
        </w:rPr>
        <w:t xml:space="preserve"> </w:t>
      </w:r>
      <w:r w:rsidR="00EA55C3" w:rsidRPr="76BE792E">
        <w:rPr>
          <w:sz w:val="20"/>
          <w:lang w:eastAsia="en-AU"/>
        </w:rPr>
        <w:t>decreasing</w:t>
      </w:r>
      <w:r w:rsidR="00660EC7" w:rsidRPr="76BE792E">
        <w:rPr>
          <w:sz w:val="20"/>
          <w:lang w:eastAsia="en-AU"/>
        </w:rPr>
        <w:t xml:space="preserve"> to </w:t>
      </w:r>
      <w:r w:rsidR="002C0D9E" w:rsidRPr="76BE792E">
        <w:rPr>
          <w:sz w:val="20"/>
          <w:lang w:eastAsia="en-AU"/>
        </w:rPr>
        <w:t>41</w:t>
      </w:r>
      <w:r w:rsidR="00660EC7" w:rsidRPr="76BE792E">
        <w:rPr>
          <w:sz w:val="20"/>
          <w:lang w:eastAsia="en-AU"/>
        </w:rPr>
        <w:t xml:space="preserve"> per 100,000 population in 20</w:t>
      </w:r>
      <w:r w:rsidR="00EA55C3" w:rsidRPr="76BE792E">
        <w:rPr>
          <w:sz w:val="20"/>
          <w:lang w:eastAsia="en-AU"/>
        </w:rPr>
        <w:t>2</w:t>
      </w:r>
      <w:r w:rsidR="002C0D9E" w:rsidRPr="76BE792E">
        <w:rPr>
          <w:sz w:val="20"/>
          <w:lang w:eastAsia="en-AU"/>
        </w:rPr>
        <w:t>1</w:t>
      </w:r>
      <w:r w:rsidR="00660EC7" w:rsidRPr="76BE792E">
        <w:rPr>
          <w:sz w:val="20"/>
          <w:lang w:eastAsia="en-AU"/>
        </w:rPr>
        <w:t>)</w:t>
      </w:r>
      <w:r w:rsidR="002C0D9E" w:rsidRPr="76BE792E">
        <w:rPr>
          <w:sz w:val="20"/>
          <w:lang w:eastAsia="en-AU"/>
        </w:rPr>
        <w:t>.</w:t>
      </w:r>
    </w:p>
    <w:p w14:paraId="34C1F917" w14:textId="3EA0443D" w:rsidR="002A11C4" w:rsidRPr="00B53697" w:rsidRDefault="00B53697" w:rsidP="00606436">
      <w:pPr>
        <w:pStyle w:val="Body"/>
      </w:pPr>
      <w:r>
        <w:br w:type="page"/>
      </w:r>
    </w:p>
    <w:p w14:paraId="5F3585E6" w14:textId="33157851" w:rsidR="00B53697" w:rsidRDefault="00B53697" w:rsidP="00B53697">
      <w:pPr>
        <w:pStyle w:val="Figurecaption"/>
        <w:rPr>
          <w:sz w:val="20"/>
        </w:rPr>
      </w:pPr>
      <w:bookmarkStart w:id="134" w:name="_Toc19008003"/>
      <w:bookmarkStart w:id="135" w:name="_Toc19008262"/>
      <w:bookmarkStart w:id="136" w:name="_Toc19008409"/>
      <w:bookmarkStart w:id="137" w:name="_Toc19008556"/>
      <w:bookmarkStart w:id="138" w:name="_Toc132552993"/>
      <w:bookmarkStart w:id="139" w:name="_Toc140827599"/>
      <w:r w:rsidRPr="00EA78AF">
        <w:rPr>
          <w:sz w:val="20"/>
        </w:rPr>
        <w:lastRenderedPageBreak/>
        <w:t>Figure 1.4.2</w:t>
      </w:r>
      <w:r w:rsidR="00827C4B" w:rsidRPr="00EA78AF">
        <w:rPr>
          <w:sz w:val="20"/>
        </w:rPr>
        <w:t>:</w:t>
      </w:r>
      <w:r w:rsidRPr="00EA78AF">
        <w:rPr>
          <w:sz w:val="20"/>
        </w:rPr>
        <w:t xml:space="preserve"> Incidence of colorectal cancer in Victoria per 100,000 standardised to the 2001 Australian population, by Victorian LGA, 201</w:t>
      </w:r>
      <w:bookmarkEnd w:id="134"/>
      <w:bookmarkEnd w:id="135"/>
      <w:bookmarkEnd w:id="136"/>
      <w:bookmarkEnd w:id="137"/>
      <w:r w:rsidRPr="00EA78AF">
        <w:rPr>
          <w:sz w:val="20"/>
        </w:rPr>
        <w:t>4, 2017 and 202</w:t>
      </w:r>
      <w:r w:rsidR="00A30259" w:rsidRPr="00EA78AF">
        <w:rPr>
          <w:sz w:val="20"/>
        </w:rPr>
        <w:t>1</w:t>
      </w:r>
      <w:bookmarkEnd w:id="138"/>
      <w:bookmarkEnd w:id="139"/>
    </w:p>
    <w:p w14:paraId="0F00D3F7" w14:textId="78296E7B" w:rsidR="00BA08B0" w:rsidRDefault="00F4524F" w:rsidP="00F4524F">
      <w:pPr>
        <w:pStyle w:val="DHHSbody"/>
      </w:pPr>
      <w:r w:rsidRPr="00F4524F">
        <w:rPr>
          <w:noProof/>
        </w:rPr>
        <w:drawing>
          <wp:inline distT="0" distB="0" distL="0" distR="0" wp14:anchorId="072E7AD6" wp14:editId="6F8EA5DE">
            <wp:extent cx="3069021" cy="5580038"/>
            <wp:effectExtent l="0" t="0" r="0" b="1905"/>
            <wp:docPr id="314" name="Picture 314" descr="This figure shows a map of Victoria showing the highest and lowest reported rates of colorectal cancer in 2014, 2017 and 2021. The data set is available under 'Measure 1.4 – Incidence of colorectal cancer'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This figure shows a map of Victoria showing the highest and lowest reported rates of colorectal cancer in 2014, 2017 and 2021. The data set is available under 'Measure 1.4 – Incidence of colorectal cancer' in a separate volume, the Victorian cancer plan monitoring and evaluation framework: baseline report: Appendix 2: Datasets available on Cancer care &lt;https://www.health.vic.gov.au/health-strategies/cancer-care&gt;."/>
                    <pic:cNvPicPr/>
                  </pic:nvPicPr>
                  <pic:blipFill>
                    <a:blip r:embed="rId43"/>
                    <a:stretch>
                      <a:fillRect/>
                    </a:stretch>
                  </pic:blipFill>
                  <pic:spPr>
                    <a:xfrm>
                      <a:off x="0" y="0"/>
                      <a:ext cx="3087900" cy="5614364"/>
                    </a:xfrm>
                    <a:prstGeom prst="rect">
                      <a:avLst/>
                    </a:prstGeom>
                  </pic:spPr>
                </pic:pic>
              </a:graphicData>
            </a:graphic>
          </wp:inline>
        </w:drawing>
      </w:r>
    </w:p>
    <w:p w14:paraId="5DE7643A" w14:textId="08F068A2" w:rsidR="0009320F" w:rsidRPr="00EA78AF" w:rsidRDefault="003806BF" w:rsidP="00E87AAA">
      <w:pPr>
        <w:pStyle w:val="Body"/>
        <w:rPr>
          <w:rStyle w:val="Heading4Char"/>
          <w:b w:val="0"/>
          <w:bCs w:val="0"/>
          <w:sz w:val="20"/>
        </w:rPr>
      </w:pPr>
      <w:r w:rsidRPr="00EA78AF">
        <w:rPr>
          <w:sz w:val="20"/>
        </w:rPr>
        <w:t>Low SES</w:t>
      </w:r>
      <w:r w:rsidR="00112A28" w:rsidRPr="00EA78AF">
        <w:rPr>
          <w:sz w:val="20"/>
        </w:rPr>
        <w:t xml:space="preserve"> </w:t>
      </w:r>
      <w:r w:rsidR="00660EC7" w:rsidRPr="00EA78AF">
        <w:rPr>
          <w:sz w:val="20"/>
        </w:rPr>
        <w:t>was</w:t>
      </w:r>
      <w:r w:rsidRPr="00EA78AF">
        <w:rPr>
          <w:sz w:val="20"/>
        </w:rPr>
        <w:t xml:space="preserve"> associated with an increased risk for develop</w:t>
      </w:r>
      <w:r w:rsidR="00112A28" w:rsidRPr="00EA78AF">
        <w:rPr>
          <w:sz w:val="20"/>
        </w:rPr>
        <w:t>ing</w:t>
      </w:r>
      <w:r w:rsidRPr="00EA78AF">
        <w:rPr>
          <w:sz w:val="20"/>
        </w:rPr>
        <w:t xml:space="preserve"> CRC</w:t>
      </w:r>
      <w:r w:rsidR="00333062" w:rsidRPr="00EA78AF">
        <w:rPr>
          <w:sz w:val="20"/>
        </w:rPr>
        <w:t xml:space="preserve"> between 201</w:t>
      </w:r>
      <w:r w:rsidR="00BF52B1" w:rsidRPr="00EA78AF">
        <w:rPr>
          <w:sz w:val="20"/>
        </w:rPr>
        <w:t>4</w:t>
      </w:r>
      <w:r w:rsidR="00333062" w:rsidRPr="00EA78AF">
        <w:rPr>
          <w:sz w:val="20"/>
        </w:rPr>
        <w:t xml:space="preserve"> and 20</w:t>
      </w:r>
      <w:r w:rsidR="0009320F" w:rsidRPr="00EA78AF">
        <w:rPr>
          <w:sz w:val="20"/>
        </w:rPr>
        <w:t>21</w:t>
      </w:r>
      <w:r w:rsidR="00333062" w:rsidRPr="00EA78AF">
        <w:rPr>
          <w:sz w:val="20"/>
        </w:rPr>
        <w:t xml:space="preserve">. The </w:t>
      </w:r>
      <w:r w:rsidR="00112A28" w:rsidRPr="00EA78AF">
        <w:rPr>
          <w:sz w:val="20"/>
        </w:rPr>
        <w:t>CRC</w:t>
      </w:r>
      <w:r w:rsidR="00333062" w:rsidRPr="00EA78AF">
        <w:rPr>
          <w:sz w:val="20"/>
        </w:rPr>
        <w:t xml:space="preserve"> incidence rate between </w:t>
      </w:r>
      <w:r w:rsidR="00333062" w:rsidRPr="00EA78AF">
        <w:rPr>
          <w:sz w:val="20"/>
        </w:rPr>
        <w:t xml:space="preserve">Victorians was highest in the </w:t>
      </w:r>
      <w:r w:rsidR="00415745" w:rsidRPr="00EA78AF">
        <w:rPr>
          <w:sz w:val="20"/>
        </w:rPr>
        <w:t>most disadvantaged</w:t>
      </w:r>
      <w:r w:rsidR="00192D11" w:rsidRPr="00EA78AF">
        <w:rPr>
          <w:sz w:val="20"/>
        </w:rPr>
        <w:t xml:space="preserve"> socioeconomic quintile (SES </w:t>
      </w:r>
      <w:r w:rsidR="00415745" w:rsidRPr="00EA78AF">
        <w:rPr>
          <w:sz w:val="20"/>
        </w:rPr>
        <w:t>1</w:t>
      </w:r>
      <w:r w:rsidR="00333062" w:rsidRPr="00EA78AF">
        <w:rPr>
          <w:sz w:val="20"/>
        </w:rPr>
        <w:t xml:space="preserve">) </w:t>
      </w:r>
      <w:r w:rsidR="0009320F" w:rsidRPr="00EA78AF">
        <w:rPr>
          <w:sz w:val="20"/>
        </w:rPr>
        <w:t>during the study period (</w:t>
      </w:r>
      <w:r w:rsidR="00333062" w:rsidRPr="00EA78AF">
        <w:rPr>
          <w:sz w:val="20"/>
        </w:rPr>
        <w:t>201</w:t>
      </w:r>
      <w:r w:rsidR="00BF52B1" w:rsidRPr="00EA78AF">
        <w:rPr>
          <w:sz w:val="20"/>
        </w:rPr>
        <w:t>4</w:t>
      </w:r>
      <w:r w:rsidR="00333062" w:rsidRPr="00EA78AF">
        <w:rPr>
          <w:sz w:val="20"/>
        </w:rPr>
        <w:t xml:space="preserve"> and 20</w:t>
      </w:r>
      <w:r w:rsidR="00B0153D" w:rsidRPr="00EA78AF">
        <w:rPr>
          <w:sz w:val="20"/>
        </w:rPr>
        <w:t>2</w:t>
      </w:r>
      <w:r w:rsidR="0009320F" w:rsidRPr="00EA78AF">
        <w:rPr>
          <w:sz w:val="20"/>
        </w:rPr>
        <w:t>1)</w:t>
      </w:r>
      <w:r w:rsidR="00192D11" w:rsidRPr="00EA78AF">
        <w:rPr>
          <w:sz w:val="20"/>
        </w:rPr>
        <w:t xml:space="preserve"> (Figure 1.4</w:t>
      </w:r>
      <w:r w:rsidR="00217B16" w:rsidRPr="00EA78AF">
        <w:rPr>
          <w:sz w:val="20"/>
        </w:rPr>
        <w:t>)</w:t>
      </w:r>
      <w:r w:rsidR="00415745" w:rsidRPr="00EA78AF">
        <w:rPr>
          <w:sz w:val="20"/>
        </w:rPr>
        <w:t xml:space="preserve">. </w:t>
      </w:r>
      <w:r w:rsidR="00B0153D" w:rsidRPr="00EA78AF">
        <w:rPr>
          <w:sz w:val="20"/>
        </w:rPr>
        <w:t>Furthermore</w:t>
      </w:r>
      <w:r w:rsidR="00415745" w:rsidRPr="00EA78AF">
        <w:rPr>
          <w:sz w:val="20"/>
        </w:rPr>
        <w:t xml:space="preserve">, for Victorians living in the </w:t>
      </w:r>
      <w:r w:rsidR="006716E7" w:rsidRPr="00EA78AF">
        <w:rPr>
          <w:sz w:val="20"/>
        </w:rPr>
        <w:t>o</w:t>
      </w:r>
      <w:r w:rsidR="00415745" w:rsidRPr="00EA78AF">
        <w:rPr>
          <w:sz w:val="20"/>
        </w:rPr>
        <w:t>uter regional/remote areas</w:t>
      </w:r>
      <w:r w:rsidR="00D67A07" w:rsidRPr="00EA78AF">
        <w:rPr>
          <w:sz w:val="20"/>
        </w:rPr>
        <w:t xml:space="preserve"> the incidence rate was higher (</w:t>
      </w:r>
      <w:r w:rsidR="00BF52B1" w:rsidRPr="00EA78AF">
        <w:rPr>
          <w:sz w:val="20"/>
        </w:rPr>
        <w:t>70</w:t>
      </w:r>
      <w:r w:rsidR="00D67A07" w:rsidRPr="00EA78AF">
        <w:rPr>
          <w:sz w:val="20"/>
        </w:rPr>
        <w:t xml:space="preserve"> per 100,000 population in 201</w:t>
      </w:r>
      <w:r w:rsidR="00BF52B1" w:rsidRPr="00EA78AF">
        <w:rPr>
          <w:sz w:val="20"/>
        </w:rPr>
        <w:t>4</w:t>
      </w:r>
      <w:r w:rsidR="00D67A07" w:rsidRPr="00EA78AF">
        <w:rPr>
          <w:sz w:val="20"/>
        </w:rPr>
        <w:t xml:space="preserve"> falling to </w:t>
      </w:r>
      <w:r w:rsidR="0009320F" w:rsidRPr="00EA78AF">
        <w:rPr>
          <w:sz w:val="20"/>
        </w:rPr>
        <w:t>56</w:t>
      </w:r>
      <w:r w:rsidR="00D67A07" w:rsidRPr="00EA78AF">
        <w:rPr>
          <w:sz w:val="20"/>
        </w:rPr>
        <w:t xml:space="preserve"> per 100,000 population in 20</w:t>
      </w:r>
      <w:r w:rsidR="0009320F" w:rsidRPr="00EA78AF">
        <w:rPr>
          <w:sz w:val="20"/>
        </w:rPr>
        <w:t>21</w:t>
      </w:r>
      <w:r w:rsidR="00D67A07" w:rsidRPr="00EA78AF">
        <w:rPr>
          <w:sz w:val="20"/>
        </w:rPr>
        <w:t xml:space="preserve">) compared with those living in </w:t>
      </w:r>
      <w:r w:rsidR="006716E7" w:rsidRPr="00EA78AF">
        <w:rPr>
          <w:sz w:val="20"/>
        </w:rPr>
        <w:t>m</w:t>
      </w:r>
      <w:r w:rsidR="00D67A07" w:rsidRPr="00EA78AF">
        <w:rPr>
          <w:sz w:val="20"/>
        </w:rPr>
        <w:t>ajor cities (</w:t>
      </w:r>
      <w:r w:rsidR="00A54053" w:rsidRPr="00EA78AF">
        <w:rPr>
          <w:sz w:val="20"/>
        </w:rPr>
        <w:t>53</w:t>
      </w:r>
      <w:r w:rsidR="00D67A07" w:rsidRPr="00EA78AF">
        <w:rPr>
          <w:sz w:val="20"/>
        </w:rPr>
        <w:t xml:space="preserve"> per 100,000 population in 201</w:t>
      </w:r>
      <w:r w:rsidR="00A54053" w:rsidRPr="00EA78AF">
        <w:rPr>
          <w:sz w:val="20"/>
        </w:rPr>
        <w:t>4</w:t>
      </w:r>
      <w:r w:rsidR="00D67A07" w:rsidRPr="00EA78AF">
        <w:rPr>
          <w:sz w:val="20"/>
        </w:rPr>
        <w:t xml:space="preserve"> </w:t>
      </w:r>
      <w:r w:rsidR="00B0153D" w:rsidRPr="00EA78AF">
        <w:rPr>
          <w:sz w:val="20"/>
        </w:rPr>
        <w:t>decreasing</w:t>
      </w:r>
      <w:r w:rsidR="00D67A07" w:rsidRPr="00EA78AF">
        <w:rPr>
          <w:sz w:val="20"/>
        </w:rPr>
        <w:t xml:space="preserve"> to </w:t>
      </w:r>
      <w:r w:rsidR="0009320F" w:rsidRPr="00EA78AF">
        <w:rPr>
          <w:sz w:val="20"/>
        </w:rPr>
        <w:t>45</w:t>
      </w:r>
      <w:r w:rsidR="00D67A07" w:rsidRPr="00EA78AF">
        <w:rPr>
          <w:sz w:val="20"/>
        </w:rPr>
        <w:t xml:space="preserve"> per 100,000 population in 20</w:t>
      </w:r>
      <w:r w:rsidR="00B0153D" w:rsidRPr="00EA78AF">
        <w:rPr>
          <w:sz w:val="20"/>
        </w:rPr>
        <w:t>2</w:t>
      </w:r>
      <w:r w:rsidR="0009320F" w:rsidRPr="00EA78AF">
        <w:rPr>
          <w:sz w:val="20"/>
        </w:rPr>
        <w:t>1</w:t>
      </w:r>
      <w:r w:rsidR="00D67A07" w:rsidRPr="00EA78AF">
        <w:rPr>
          <w:sz w:val="20"/>
        </w:rPr>
        <w:t>).</w:t>
      </w:r>
      <w:r w:rsidR="00952FC7" w:rsidRPr="00EA78AF">
        <w:rPr>
          <w:sz w:val="20"/>
        </w:rPr>
        <w:t xml:space="preserve"> </w:t>
      </w:r>
      <w:r w:rsidR="0009320F" w:rsidRPr="00EA78AF">
        <w:rPr>
          <w:rStyle w:val="Heading4Char"/>
          <w:b w:val="0"/>
          <w:bCs w:val="0"/>
          <w:sz w:val="20"/>
        </w:rPr>
        <w:t xml:space="preserve">Lower incidence rates were also observed for metropolitan ICSs (NEMICS, SMICS and WCMICS) compared with the regional/rural ICSs, although except for GRICS (which showed an increase between 2014 and 2017 but decreased from 2017 to 2021), each ICS </w:t>
      </w:r>
      <w:r w:rsidR="00C47C15" w:rsidRPr="00EA78AF">
        <w:rPr>
          <w:rStyle w:val="Heading4Char"/>
          <w:b w:val="0"/>
          <w:bCs w:val="0"/>
          <w:sz w:val="20"/>
        </w:rPr>
        <w:t xml:space="preserve">saw </w:t>
      </w:r>
      <w:r w:rsidR="0009320F" w:rsidRPr="00EA78AF">
        <w:rPr>
          <w:rStyle w:val="Heading4Char"/>
          <w:b w:val="0"/>
          <w:bCs w:val="0"/>
          <w:sz w:val="20"/>
        </w:rPr>
        <w:t>a decrease in the incidence rate for CRC between 2014 and 202</w:t>
      </w:r>
      <w:r w:rsidR="00B80010">
        <w:rPr>
          <w:rStyle w:val="Heading4Char"/>
          <w:b w:val="0"/>
          <w:bCs w:val="0"/>
          <w:sz w:val="20"/>
        </w:rPr>
        <w:t>1</w:t>
      </w:r>
      <w:r w:rsidR="0009320F" w:rsidRPr="00EA78AF">
        <w:rPr>
          <w:rStyle w:val="Heading4Char"/>
          <w:b w:val="0"/>
          <w:bCs w:val="0"/>
          <w:sz w:val="20"/>
        </w:rPr>
        <w:t xml:space="preserve"> (Figure 1.4.1).</w:t>
      </w:r>
    </w:p>
    <w:p w14:paraId="6E7B3330" w14:textId="24C149D0" w:rsidR="00006D02" w:rsidRPr="00006D02" w:rsidRDefault="00B8064E" w:rsidP="00E87AAA">
      <w:pPr>
        <w:pStyle w:val="Body"/>
        <w:rPr>
          <w:highlight w:val="yellow"/>
        </w:rPr>
      </w:pPr>
      <w:r w:rsidRPr="00EA78AF">
        <w:rPr>
          <w:sz w:val="20"/>
        </w:rPr>
        <w:t>A geospatial visualisation of the incide</w:t>
      </w:r>
      <w:r w:rsidR="00637748" w:rsidRPr="00EA78AF">
        <w:rPr>
          <w:sz w:val="20"/>
        </w:rPr>
        <w:t>nce rate of CRC</w:t>
      </w:r>
      <w:r w:rsidRPr="00EA78AF">
        <w:rPr>
          <w:sz w:val="20"/>
        </w:rPr>
        <w:t xml:space="preserve"> across Victoria by LGA between 201</w:t>
      </w:r>
      <w:r w:rsidR="00A54053" w:rsidRPr="00EA78AF">
        <w:rPr>
          <w:sz w:val="20"/>
        </w:rPr>
        <w:t>4</w:t>
      </w:r>
      <w:r w:rsidRPr="00EA78AF">
        <w:rPr>
          <w:sz w:val="20"/>
        </w:rPr>
        <w:t xml:space="preserve"> and 20</w:t>
      </w:r>
      <w:r w:rsidR="00B53697" w:rsidRPr="00EA78AF">
        <w:rPr>
          <w:sz w:val="20"/>
        </w:rPr>
        <w:t>2</w:t>
      </w:r>
      <w:r w:rsidR="007E6071" w:rsidRPr="00EA78AF">
        <w:rPr>
          <w:sz w:val="20"/>
        </w:rPr>
        <w:t>1</w:t>
      </w:r>
      <w:r w:rsidRPr="00EA78AF">
        <w:rPr>
          <w:sz w:val="20"/>
        </w:rPr>
        <w:t xml:space="preserve"> is presented in Figure 1.4.2.</w:t>
      </w:r>
      <w:r w:rsidR="00821B8F" w:rsidRPr="00EA78AF">
        <w:rPr>
          <w:sz w:val="20"/>
        </w:rPr>
        <w:t xml:space="preserve"> </w:t>
      </w:r>
      <w:r w:rsidR="00610A05" w:rsidRPr="00EA78AF">
        <w:rPr>
          <w:sz w:val="20"/>
        </w:rPr>
        <w:t>Overall, 55.</w:t>
      </w:r>
      <w:r w:rsidR="00C46B36" w:rsidRPr="00EA78AF">
        <w:rPr>
          <w:sz w:val="20"/>
        </w:rPr>
        <w:t>7</w:t>
      </w:r>
      <w:r w:rsidR="0054537F">
        <w:rPr>
          <w:sz w:val="20"/>
        </w:rPr>
        <w:t>%</w:t>
      </w:r>
      <w:r w:rsidRPr="00EA78AF">
        <w:rPr>
          <w:sz w:val="20"/>
        </w:rPr>
        <w:t xml:space="preserve"> of the 79 Victorian LGAs had higher incidence rates of</w:t>
      </w:r>
      <w:r w:rsidR="00821B8F" w:rsidRPr="00EA78AF">
        <w:rPr>
          <w:sz w:val="20"/>
        </w:rPr>
        <w:t xml:space="preserve"> CRC</w:t>
      </w:r>
      <w:r w:rsidRPr="00EA78AF">
        <w:rPr>
          <w:sz w:val="20"/>
        </w:rPr>
        <w:t xml:space="preserve"> than the overall rate </w:t>
      </w:r>
      <w:r w:rsidR="00821B8F" w:rsidRPr="00EA78AF">
        <w:rPr>
          <w:sz w:val="20"/>
        </w:rPr>
        <w:t>(</w:t>
      </w:r>
      <w:r w:rsidR="00A54053" w:rsidRPr="00EA78AF">
        <w:rPr>
          <w:sz w:val="20"/>
        </w:rPr>
        <w:t>56</w:t>
      </w:r>
      <w:r w:rsidRPr="00EA78AF">
        <w:rPr>
          <w:sz w:val="20"/>
        </w:rPr>
        <w:t xml:space="preserve"> per 100,000 population) for Victoria in 201</w:t>
      </w:r>
      <w:r w:rsidR="00A54053" w:rsidRPr="00EA78AF">
        <w:rPr>
          <w:sz w:val="20"/>
        </w:rPr>
        <w:t>4</w:t>
      </w:r>
      <w:r w:rsidRPr="00EA78AF">
        <w:rPr>
          <w:sz w:val="20"/>
        </w:rPr>
        <w:t>.</w:t>
      </w:r>
      <w:r w:rsidR="00821B8F" w:rsidRPr="00EA78AF">
        <w:rPr>
          <w:sz w:val="20"/>
        </w:rPr>
        <w:t xml:space="preserve"> </w:t>
      </w:r>
      <w:r w:rsidR="00C46B36" w:rsidRPr="00EA78AF">
        <w:rPr>
          <w:sz w:val="20"/>
        </w:rPr>
        <w:t>Buloke</w:t>
      </w:r>
      <w:r w:rsidR="00821B8F" w:rsidRPr="00EA78AF">
        <w:rPr>
          <w:sz w:val="20"/>
        </w:rPr>
        <w:t xml:space="preserve"> </w:t>
      </w:r>
      <w:r w:rsidRPr="00EA78AF">
        <w:rPr>
          <w:sz w:val="20"/>
        </w:rPr>
        <w:t>Shire</w:t>
      </w:r>
      <w:r w:rsidR="00C46B36" w:rsidRPr="00EA78AF">
        <w:rPr>
          <w:sz w:val="20"/>
        </w:rPr>
        <w:t xml:space="preserve"> </w:t>
      </w:r>
      <w:r w:rsidRPr="00EA78AF">
        <w:rPr>
          <w:sz w:val="20"/>
        </w:rPr>
        <w:t>LGA reported</w:t>
      </w:r>
      <w:r w:rsidR="00821B8F" w:rsidRPr="00EA78AF">
        <w:rPr>
          <w:sz w:val="20"/>
        </w:rPr>
        <w:t xml:space="preserve"> the highest incidence rate (1</w:t>
      </w:r>
      <w:r w:rsidR="00C46B36" w:rsidRPr="00EA78AF">
        <w:rPr>
          <w:sz w:val="20"/>
        </w:rPr>
        <w:t>05</w:t>
      </w:r>
      <w:r w:rsidRPr="00EA78AF">
        <w:rPr>
          <w:sz w:val="20"/>
        </w:rPr>
        <w:t xml:space="preserve"> per 100,000 population) and</w:t>
      </w:r>
      <w:r w:rsidR="00821B8F" w:rsidRPr="00EA78AF">
        <w:rPr>
          <w:sz w:val="20"/>
        </w:rPr>
        <w:t xml:space="preserve"> </w:t>
      </w:r>
      <w:r w:rsidR="00A54053" w:rsidRPr="00EA78AF">
        <w:rPr>
          <w:sz w:val="20"/>
        </w:rPr>
        <w:t>Queenscliffe Borough</w:t>
      </w:r>
      <w:r w:rsidRPr="00EA78AF">
        <w:rPr>
          <w:sz w:val="20"/>
        </w:rPr>
        <w:t xml:space="preserve"> LG</w:t>
      </w:r>
      <w:r w:rsidR="00821B8F" w:rsidRPr="00EA78AF">
        <w:rPr>
          <w:sz w:val="20"/>
        </w:rPr>
        <w:t>A the lowest incidence rate (</w:t>
      </w:r>
      <w:r w:rsidR="00A54053" w:rsidRPr="00EA78AF">
        <w:rPr>
          <w:sz w:val="20"/>
        </w:rPr>
        <w:t>20</w:t>
      </w:r>
      <w:r w:rsidRPr="00EA78AF">
        <w:rPr>
          <w:sz w:val="20"/>
        </w:rPr>
        <w:t xml:space="preserve"> per 100,000 population) in 201</w:t>
      </w:r>
      <w:r w:rsidR="00A54053" w:rsidRPr="00EA78AF">
        <w:rPr>
          <w:sz w:val="20"/>
        </w:rPr>
        <w:t>4</w:t>
      </w:r>
      <w:r w:rsidR="00821B8F" w:rsidRPr="00EA78AF">
        <w:rPr>
          <w:sz w:val="20"/>
        </w:rPr>
        <w:t xml:space="preserve"> (</w:t>
      </w:r>
      <w:r w:rsidR="00610A05" w:rsidRPr="00EA78AF">
        <w:rPr>
          <w:sz w:val="20"/>
        </w:rPr>
        <w:t>Table 1.4b, Appendix 2)</w:t>
      </w:r>
      <w:r w:rsidRPr="00EA78AF">
        <w:rPr>
          <w:sz w:val="20"/>
        </w:rPr>
        <w:t>.</w:t>
      </w:r>
      <w:r w:rsidR="00952FC7" w:rsidRPr="00EA78AF">
        <w:rPr>
          <w:sz w:val="20"/>
        </w:rPr>
        <w:t xml:space="preserve"> </w:t>
      </w:r>
      <w:r w:rsidR="00821B8F" w:rsidRPr="00EA78AF">
        <w:rPr>
          <w:sz w:val="20"/>
        </w:rPr>
        <w:t xml:space="preserve">By comparison, </w:t>
      </w:r>
      <w:r w:rsidR="00140242" w:rsidRPr="00EA78AF">
        <w:rPr>
          <w:sz w:val="20"/>
        </w:rPr>
        <w:t>5</w:t>
      </w:r>
      <w:r w:rsidR="004A0A3D" w:rsidRPr="00EA78AF">
        <w:rPr>
          <w:sz w:val="20"/>
        </w:rPr>
        <w:t>0</w:t>
      </w:r>
      <w:r w:rsidR="00140242" w:rsidRPr="00EA78AF">
        <w:rPr>
          <w:sz w:val="20"/>
        </w:rPr>
        <w:t>.</w:t>
      </w:r>
      <w:r w:rsidR="004A0A3D" w:rsidRPr="00EA78AF">
        <w:rPr>
          <w:sz w:val="20"/>
        </w:rPr>
        <w:t>6</w:t>
      </w:r>
      <w:r w:rsidR="0054537F">
        <w:rPr>
          <w:sz w:val="20"/>
        </w:rPr>
        <w:t>%</w:t>
      </w:r>
      <w:r w:rsidRPr="00EA78AF">
        <w:rPr>
          <w:sz w:val="20"/>
        </w:rPr>
        <w:t xml:space="preserve"> of the 79 LGAs had higher incidenc</w:t>
      </w:r>
      <w:r w:rsidR="00821B8F" w:rsidRPr="00EA78AF">
        <w:rPr>
          <w:sz w:val="20"/>
        </w:rPr>
        <w:t>e rates of CRC than the overall rate (</w:t>
      </w:r>
      <w:r w:rsidR="00140242" w:rsidRPr="00EA78AF">
        <w:rPr>
          <w:sz w:val="20"/>
        </w:rPr>
        <w:t>4</w:t>
      </w:r>
      <w:r w:rsidR="004A0A3D" w:rsidRPr="00EA78AF">
        <w:rPr>
          <w:sz w:val="20"/>
        </w:rPr>
        <w:t>7</w:t>
      </w:r>
      <w:r w:rsidRPr="00EA78AF">
        <w:rPr>
          <w:sz w:val="20"/>
        </w:rPr>
        <w:t xml:space="preserve"> per 100,000 population) for Victoria in 20</w:t>
      </w:r>
      <w:r w:rsidR="00140242" w:rsidRPr="00EA78AF">
        <w:rPr>
          <w:sz w:val="20"/>
        </w:rPr>
        <w:t>2</w:t>
      </w:r>
      <w:r w:rsidR="004A0A3D" w:rsidRPr="00EA78AF">
        <w:rPr>
          <w:sz w:val="20"/>
        </w:rPr>
        <w:t>1</w:t>
      </w:r>
      <w:r w:rsidRPr="00EA78AF">
        <w:rPr>
          <w:sz w:val="20"/>
        </w:rPr>
        <w:t>.</w:t>
      </w:r>
      <w:r w:rsidR="00140242" w:rsidRPr="00EA78AF">
        <w:rPr>
          <w:sz w:val="20"/>
        </w:rPr>
        <w:t xml:space="preserve"> </w:t>
      </w:r>
      <w:r w:rsidR="004A0A3D" w:rsidRPr="00EA78AF">
        <w:rPr>
          <w:sz w:val="20"/>
        </w:rPr>
        <w:t xml:space="preserve">Moira Shire </w:t>
      </w:r>
      <w:r w:rsidRPr="00EA78AF">
        <w:rPr>
          <w:sz w:val="20"/>
        </w:rPr>
        <w:t>LGA reported the highest incidence rate (</w:t>
      </w:r>
      <w:r w:rsidR="004A0A3D" w:rsidRPr="00EA78AF">
        <w:rPr>
          <w:sz w:val="20"/>
        </w:rPr>
        <w:t>86</w:t>
      </w:r>
      <w:r w:rsidRPr="00EA78AF">
        <w:rPr>
          <w:sz w:val="20"/>
        </w:rPr>
        <w:t xml:space="preserve"> per 100,0</w:t>
      </w:r>
      <w:r w:rsidR="00821B8F" w:rsidRPr="00EA78AF">
        <w:rPr>
          <w:sz w:val="20"/>
        </w:rPr>
        <w:t xml:space="preserve">00 population) and the </w:t>
      </w:r>
      <w:r w:rsidR="004A0A3D" w:rsidRPr="00EA78AF">
        <w:rPr>
          <w:sz w:val="20"/>
        </w:rPr>
        <w:t>West Wimmera</w:t>
      </w:r>
      <w:r w:rsidR="00821B8F" w:rsidRPr="00EA78AF">
        <w:rPr>
          <w:sz w:val="20"/>
        </w:rPr>
        <w:t xml:space="preserve"> Shire</w:t>
      </w:r>
      <w:r w:rsidR="004A0A3D" w:rsidRPr="00EA78AF">
        <w:rPr>
          <w:sz w:val="20"/>
        </w:rPr>
        <w:t xml:space="preserve"> </w:t>
      </w:r>
      <w:r w:rsidR="00821B8F" w:rsidRPr="00EA78AF">
        <w:rPr>
          <w:sz w:val="20"/>
        </w:rPr>
        <w:t>LGA the lowest (</w:t>
      </w:r>
      <w:r w:rsidR="007C01BD" w:rsidRPr="00EA78AF">
        <w:rPr>
          <w:sz w:val="20"/>
        </w:rPr>
        <w:t>12</w:t>
      </w:r>
      <w:r w:rsidRPr="00EA78AF">
        <w:rPr>
          <w:sz w:val="20"/>
        </w:rPr>
        <w:t xml:space="preserve"> per 100,000 populatio</w:t>
      </w:r>
      <w:r w:rsidR="00821B8F" w:rsidRPr="00EA78AF">
        <w:rPr>
          <w:sz w:val="20"/>
        </w:rPr>
        <w:t>n</w:t>
      </w:r>
      <w:r w:rsidR="007C01BD" w:rsidRPr="00EA78AF">
        <w:rPr>
          <w:sz w:val="20"/>
        </w:rPr>
        <w:t>) for Victoria</w:t>
      </w:r>
      <w:r w:rsidR="00821B8F" w:rsidRPr="00EA78AF">
        <w:rPr>
          <w:sz w:val="20"/>
        </w:rPr>
        <w:t xml:space="preserve"> in 20</w:t>
      </w:r>
      <w:r w:rsidR="007C01BD" w:rsidRPr="00EA78AF">
        <w:rPr>
          <w:sz w:val="20"/>
        </w:rPr>
        <w:t>21</w:t>
      </w:r>
      <w:r w:rsidR="00821B8F" w:rsidRPr="00EA78AF">
        <w:rPr>
          <w:sz w:val="20"/>
        </w:rPr>
        <w:t xml:space="preserve"> </w:t>
      </w:r>
      <w:r w:rsidR="00C47C15" w:rsidRPr="00EA78AF">
        <w:rPr>
          <w:sz w:val="20"/>
        </w:rPr>
        <w:t>(</w:t>
      </w:r>
      <w:r w:rsidR="00140242" w:rsidRPr="00EA78AF">
        <w:rPr>
          <w:sz w:val="20"/>
        </w:rPr>
        <w:t>Table 1.6d, Appendix 2</w:t>
      </w:r>
      <w:r w:rsidRPr="00EA78AF">
        <w:rPr>
          <w:sz w:val="20"/>
        </w:rPr>
        <w:t>).</w:t>
      </w:r>
      <w:r w:rsidR="00952FC7" w:rsidRPr="00EA78AF">
        <w:rPr>
          <w:sz w:val="20"/>
        </w:rPr>
        <w:t xml:space="preserve"> </w:t>
      </w:r>
      <w:r w:rsidRPr="00EA78AF">
        <w:rPr>
          <w:sz w:val="20"/>
        </w:rPr>
        <w:t xml:space="preserve">Overall, most of the 79 LGAs reported slight fluctuations in the incidence rate </w:t>
      </w:r>
      <w:r w:rsidR="00821B8F" w:rsidRPr="00EA78AF">
        <w:rPr>
          <w:sz w:val="20"/>
        </w:rPr>
        <w:t>of CRC</w:t>
      </w:r>
      <w:r w:rsidRPr="00EA78AF">
        <w:rPr>
          <w:sz w:val="20"/>
        </w:rPr>
        <w:t xml:space="preserve"> between 201</w:t>
      </w:r>
      <w:r w:rsidR="00A54053" w:rsidRPr="00EA78AF">
        <w:rPr>
          <w:sz w:val="20"/>
        </w:rPr>
        <w:t>4</w:t>
      </w:r>
      <w:r w:rsidRPr="00EA78AF">
        <w:rPr>
          <w:sz w:val="20"/>
        </w:rPr>
        <w:t xml:space="preserve"> and 20</w:t>
      </w:r>
      <w:r w:rsidR="00610A05" w:rsidRPr="00EA78AF">
        <w:rPr>
          <w:sz w:val="20"/>
        </w:rPr>
        <w:t>2</w:t>
      </w:r>
      <w:r w:rsidR="007E6071" w:rsidRPr="00EA78AF">
        <w:rPr>
          <w:sz w:val="20"/>
        </w:rPr>
        <w:t>1</w:t>
      </w:r>
      <w:r w:rsidR="00821B8F" w:rsidRPr="00EA78AF">
        <w:rPr>
          <w:sz w:val="20"/>
        </w:rPr>
        <w:t>.</w:t>
      </w:r>
      <w:r w:rsidR="00006D02">
        <w:br w:type="page"/>
      </w:r>
    </w:p>
    <w:p w14:paraId="0767B9C4" w14:textId="77777777" w:rsidR="00006D02" w:rsidRDefault="00006D02" w:rsidP="00E87AAA">
      <w:pPr>
        <w:pStyle w:val="Body"/>
        <w:sectPr w:rsidR="00006D02" w:rsidSect="009302EB">
          <w:type w:val="continuous"/>
          <w:pgSz w:w="11906" w:h="16838"/>
          <w:pgMar w:top="1411" w:right="1310" w:bottom="1138" w:left="1310" w:header="454" w:footer="510" w:gutter="0"/>
          <w:cols w:num="2" w:space="854"/>
          <w:docGrid w:linePitch="360"/>
        </w:sectPr>
      </w:pPr>
    </w:p>
    <w:p w14:paraId="1AB56A40" w14:textId="77777777" w:rsidR="00006D02" w:rsidRDefault="00313494" w:rsidP="00E87AAA">
      <w:pPr>
        <w:pStyle w:val="Body"/>
        <w:rPr>
          <w:sz w:val="20"/>
          <w:lang w:val="en"/>
        </w:rPr>
      </w:pPr>
      <w:r w:rsidRPr="76BE792E">
        <w:rPr>
          <w:sz w:val="20"/>
        </w:rPr>
        <w:lastRenderedPageBreak/>
        <w:t>No target has</w:t>
      </w:r>
      <w:r w:rsidR="00C47C15" w:rsidRPr="76BE792E">
        <w:rPr>
          <w:sz w:val="20"/>
        </w:rPr>
        <w:t xml:space="preserve"> </w:t>
      </w:r>
      <w:r w:rsidRPr="76BE792E">
        <w:rPr>
          <w:sz w:val="20"/>
        </w:rPr>
        <w:t>been set for</w:t>
      </w:r>
      <w:r w:rsidR="00C47C15" w:rsidRPr="76BE792E">
        <w:rPr>
          <w:sz w:val="20"/>
        </w:rPr>
        <w:t xml:space="preserve"> </w:t>
      </w:r>
      <w:r w:rsidRPr="76BE792E">
        <w:rPr>
          <w:sz w:val="20"/>
        </w:rPr>
        <w:t xml:space="preserve">this </w:t>
      </w:r>
      <w:r w:rsidR="00E45443" w:rsidRPr="76BE792E">
        <w:rPr>
          <w:sz w:val="20"/>
        </w:rPr>
        <w:t>measure;</w:t>
      </w:r>
      <w:r w:rsidR="00E45443" w:rsidRPr="76BE792E">
        <w:rPr>
          <w:color w:val="000000"/>
          <w:sz w:val="20"/>
        </w:rPr>
        <w:t xml:space="preserve"> </w:t>
      </w:r>
      <w:r w:rsidR="002433BD" w:rsidRPr="76BE792E">
        <w:rPr>
          <w:color w:val="000000"/>
          <w:sz w:val="20"/>
        </w:rPr>
        <w:t>however,</w:t>
      </w:r>
      <w:r w:rsidR="00E45443" w:rsidRPr="76BE792E">
        <w:rPr>
          <w:color w:val="000000"/>
          <w:sz w:val="20"/>
        </w:rPr>
        <w:t xml:space="preserve"> CRC is one of the few cancers for which </w:t>
      </w:r>
      <w:r w:rsidR="000E31D2" w:rsidRPr="76BE792E">
        <w:rPr>
          <w:color w:val="000000"/>
          <w:sz w:val="20"/>
        </w:rPr>
        <w:t xml:space="preserve">a population </w:t>
      </w:r>
      <w:r w:rsidR="00E45443" w:rsidRPr="76BE792E">
        <w:rPr>
          <w:color w:val="000000"/>
          <w:sz w:val="20"/>
        </w:rPr>
        <w:t xml:space="preserve">screening </w:t>
      </w:r>
      <w:r w:rsidR="000E31D2" w:rsidRPr="76BE792E">
        <w:rPr>
          <w:color w:val="000000"/>
          <w:sz w:val="20"/>
        </w:rPr>
        <w:t>program exists</w:t>
      </w:r>
      <w:r w:rsidR="00C47C15" w:rsidRPr="76BE792E">
        <w:rPr>
          <w:color w:val="000000"/>
          <w:sz w:val="20"/>
        </w:rPr>
        <w:t>,</w:t>
      </w:r>
      <w:r w:rsidR="000E31D2" w:rsidRPr="76BE792E">
        <w:rPr>
          <w:color w:val="000000"/>
          <w:sz w:val="20"/>
        </w:rPr>
        <w:t xml:space="preserve"> and this </w:t>
      </w:r>
      <w:r w:rsidR="00E45443" w:rsidRPr="76BE792E">
        <w:rPr>
          <w:color w:val="000000"/>
          <w:sz w:val="20"/>
        </w:rPr>
        <w:t>has reduced the incidence.</w:t>
      </w:r>
      <w:r w:rsidR="00E45443" w:rsidRPr="76BE792E">
        <w:rPr>
          <w:rStyle w:val="FootnoteReference"/>
          <w:rFonts w:cs="Arial"/>
          <w:color w:val="000000"/>
          <w:sz w:val="20"/>
        </w:rPr>
        <w:footnoteReference w:id="25"/>
      </w:r>
      <w:r w:rsidR="00E37204" w:rsidRPr="76BE792E">
        <w:rPr>
          <w:sz w:val="20"/>
        </w:rPr>
        <w:t xml:space="preserve"> </w:t>
      </w:r>
      <w:r w:rsidR="00E45443" w:rsidRPr="76BE792E">
        <w:rPr>
          <w:sz w:val="20"/>
        </w:rPr>
        <w:t xml:space="preserve">Therefore, </w:t>
      </w:r>
      <w:r w:rsidR="00E37204" w:rsidRPr="76BE792E">
        <w:rPr>
          <w:sz w:val="20"/>
        </w:rPr>
        <w:t xml:space="preserve">the declining incidence </w:t>
      </w:r>
      <w:r w:rsidR="003806BF" w:rsidRPr="76BE792E">
        <w:rPr>
          <w:sz w:val="20"/>
        </w:rPr>
        <w:t xml:space="preserve">rate of CRC </w:t>
      </w:r>
      <w:r w:rsidR="00E37204" w:rsidRPr="76BE792E">
        <w:rPr>
          <w:sz w:val="20"/>
        </w:rPr>
        <w:t xml:space="preserve">in Victoria </w:t>
      </w:r>
      <w:r w:rsidR="00D67A07" w:rsidRPr="76BE792E">
        <w:rPr>
          <w:sz w:val="20"/>
        </w:rPr>
        <w:t>observed between 201</w:t>
      </w:r>
      <w:r w:rsidR="00A54053" w:rsidRPr="76BE792E">
        <w:rPr>
          <w:sz w:val="20"/>
        </w:rPr>
        <w:t>4</w:t>
      </w:r>
      <w:r w:rsidR="00D67A07" w:rsidRPr="76BE792E">
        <w:rPr>
          <w:sz w:val="20"/>
        </w:rPr>
        <w:t xml:space="preserve"> and 20</w:t>
      </w:r>
      <w:r w:rsidR="00610A05" w:rsidRPr="76BE792E">
        <w:rPr>
          <w:sz w:val="20"/>
        </w:rPr>
        <w:t>2</w:t>
      </w:r>
      <w:r w:rsidR="007E6071" w:rsidRPr="76BE792E">
        <w:rPr>
          <w:sz w:val="20"/>
        </w:rPr>
        <w:t>1</w:t>
      </w:r>
      <w:r w:rsidR="00DE295A" w:rsidRPr="76BE792E">
        <w:rPr>
          <w:sz w:val="20"/>
        </w:rPr>
        <w:t xml:space="preserve"> </w:t>
      </w:r>
      <w:r w:rsidR="00E37204" w:rsidRPr="76BE792E">
        <w:rPr>
          <w:sz w:val="20"/>
        </w:rPr>
        <w:t xml:space="preserve">may partially reflect </w:t>
      </w:r>
      <w:r w:rsidR="00B83905" w:rsidRPr="76BE792E">
        <w:rPr>
          <w:sz w:val="20"/>
          <w:lang w:val="en"/>
        </w:rPr>
        <w:t>the efficacy of the Australian National Bowel Cancer Screening Program</w:t>
      </w:r>
      <w:r w:rsidR="006716E7" w:rsidRPr="76BE792E">
        <w:rPr>
          <w:sz w:val="20"/>
          <w:lang w:val="en"/>
        </w:rPr>
        <w:t>,</w:t>
      </w:r>
      <w:r w:rsidR="00D67A07" w:rsidRPr="76BE792E">
        <w:rPr>
          <w:sz w:val="20"/>
          <w:lang w:val="en"/>
        </w:rPr>
        <w:t xml:space="preserve"> which was introduced in 2006 </w:t>
      </w:r>
      <w:r w:rsidR="00B83905" w:rsidRPr="76BE792E">
        <w:rPr>
          <w:sz w:val="20"/>
          <w:lang w:val="en"/>
        </w:rPr>
        <w:t>target</w:t>
      </w:r>
      <w:r w:rsidR="00615BFA" w:rsidRPr="76BE792E">
        <w:rPr>
          <w:sz w:val="20"/>
          <w:lang w:val="en"/>
        </w:rPr>
        <w:t>ing</w:t>
      </w:r>
      <w:r w:rsidR="00B83905" w:rsidRPr="76BE792E">
        <w:rPr>
          <w:sz w:val="20"/>
          <w:lang w:val="en"/>
        </w:rPr>
        <w:t xml:space="preserve"> those aged 50</w:t>
      </w:r>
      <w:r w:rsidR="00A46CCA" w:rsidRPr="76BE792E">
        <w:rPr>
          <w:sz w:val="20"/>
          <w:lang w:val="en"/>
        </w:rPr>
        <w:t>–</w:t>
      </w:r>
      <w:r w:rsidR="00B83905" w:rsidRPr="76BE792E">
        <w:rPr>
          <w:sz w:val="20"/>
          <w:lang w:val="en"/>
        </w:rPr>
        <w:t>74</w:t>
      </w:r>
      <w:r w:rsidR="00615BFA" w:rsidRPr="76BE792E">
        <w:rPr>
          <w:sz w:val="20"/>
          <w:lang w:val="en"/>
        </w:rPr>
        <w:t xml:space="preserve"> years and likely to prevent 300</w:t>
      </w:r>
      <w:r w:rsidR="00C47C15" w:rsidRPr="76BE792E">
        <w:rPr>
          <w:sz w:val="20"/>
          <w:lang w:val="en"/>
        </w:rPr>
        <w:t>–</w:t>
      </w:r>
      <w:r w:rsidR="00615BFA" w:rsidRPr="76BE792E">
        <w:rPr>
          <w:sz w:val="20"/>
          <w:lang w:val="en"/>
        </w:rPr>
        <w:t>500 deaths annually</w:t>
      </w:r>
      <w:r w:rsidR="00B83905" w:rsidRPr="76BE792E">
        <w:rPr>
          <w:sz w:val="20"/>
          <w:lang w:val="en"/>
        </w:rPr>
        <w:t>.</w:t>
      </w:r>
      <w:r w:rsidR="00615BFA" w:rsidRPr="76BE792E">
        <w:rPr>
          <w:rStyle w:val="FootnoteReference"/>
          <w:rFonts w:cs="Arial"/>
          <w:sz w:val="20"/>
          <w:lang w:val="en"/>
        </w:rPr>
        <w:footnoteReference w:id="26"/>
      </w:r>
      <w:r w:rsidR="00C954B9" w:rsidRPr="76BE792E">
        <w:rPr>
          <w:sz w:val="20"/>
          <w:lang w:val="en"/>
        </w:rPr>
        <w:t xml:space="preserve"> </w:t>
      </w:r>
      <w:r w:rsidR="003806BF" w:rsidRPr="76BE792E">
        <w:rPr>
          <w:sz w:val="20"/>
          <w:lang w:val="en"/>
        </w:rPr>
        <w:t>Other factors</w:t>
      </w:r>
      <w:r w:rsidR="00D91EFB" w:rsidRPr="76BE792E">
        <w:rPr>
          <w:sz w:val="20"/>
          <w:lang w:val="en"/>
        </w:rPr>
        <w:t>, such as screening outside of the national program including</w:t>
      </w:r>
      <w:r w:rsidR="000E31D2" w:rsidRPr="76BE792E">
        <w:rPr>
          <w:sz w:val="20"/>
          <w:lang w:val="en"/>
        </w:rPr>
        <w:t xml:space="preserve"> by</w:t>
      </w:r>
      <w:r w:rsidR="00D91EFB" w:rsidRPr="76BE792E">
        <w:rPr>
          <w:sz w:val="20"/>
          <w:lang w:val="en"/>
        </w:rPr>
        <w:t xml:space="preserve"> colonoscopy,</w:t>
      </w:r>
      <w:r w:rsidR="003806BF" w:rsidRPr="76BE792E">
        <w:rPr>
          <w:sz w:val="20"/>
          <w:lang w:val="en"/>
        </w:rPr>
        <w:t xml:space="preserve"> may have </w:t>
      </w:r>
      <w:r w:rsidR="000E31D2" w:rsidRPr="76BE792E">
        <w:rPr>
          <w:sz w:val="20"/>
          <w:lang w:val="en"/>
        </w:rPr>
        <w:t xml:space="preserve">contributed to the </w:t>
      </w:r>
      <w:r w:rsidR="003806BF" w:rsidRPr="76BE792E">
        <w:rPr>
          <w:sz w:val="20"/>
          <w:lang w:val="en"/>
        </w:rPr>
        <w:t xml:space="preserve">decline in </w:t>
      </w:r>
      <w:r w:rsidR="00D67A07" w:rsidRPr="76BE792E">
        <w:rPr>
          <w:sz w:val="20"/>
          <w:lang w:val="en"/>
        </w:rPr>
        <w:t xml:space="preserve">overall </w:t>
      </w:r>
      <w:r w:rsidR="003806BF" w:rsidRPr="76BE792E">
        <w:rPr>
          <w:sz w:val="20"/>
          <w:lang w:val="en"/>
        </w:rPr>
        <w:t>incidence</w:t>
      </w:r>
      <w:r w:rsidR="000E31D2" w:rsidRPr="76BE792E">
        <w:rPr>
          <w:sz w:val="20"/>
          <w:lang w:val="en"/>
        </w:rPr>
        <w:t xml:space="preserve">. </w:t>
      </w:r>
      <w:r w:rsidR="00C954B9" w:rsidRPr="76BE792E">
        <w:rPr>
          <w:sz w:val="20"/>
          <w:lang w:val="en"/>
        </w:rPr>
        <w:t>Furthermore, o</w:t>
      </w:r>
      <w:r w:rsidR="000E31D2" w:rsidRPr="76BE792E">
        <w:rPr>
          <w:sz w:val="20"/>
          <w:lang w:val="en"/>
        </w:rPr>
        <w:t>ther factors</w:t>
      </w:r>
      <w:r w:rsidR="003806BF" w:rsidRPr="76BE792E">
        <w:rPr>
          <w:sz w:val="20"/>
          <w:lang w:val="en"/>
        </w:rPr>
        <w:t xml:space="preserve"> include</w:t>
      </w:r>
      <w:r w:rsidR="007305B6" w:rsidRPr="76BE792E">
        <w:rPr>
          <w:sz w:val="20"/>
          <w:lang w:val="en"/>
        </w:rPr>
        <w:t xml:space="preserve"> detect</w:t>
      </w:r>
      <w:r w:rsidR="00C954B9" w:rsidRPr="76BE792E">
        <w:rPr>
          <w:sz w:val="20"/>
          <w:lang w:val="en"/>
        </w:rPr>
        <w:t>ion</w:t>
      </w:r>
      <w:r w:rsidR="007305B6" w:rsidRPr="76BE792E">
        <w:rPr>
          <w:sz w:val="20"/>
          <w:lang w:val="en"/>
        </w:rPr>
        <w:t xml:space="preserve"> and remov</w:t>
      </w:r>
      <w:r w:rsidR="00C954B9" w:rsidRPr="76BE792E">
        <w:rPr>
          <w:sz w:val="20"/>
          <w:lang w:val="en"/>
        </w:rPr>
        <w:t>al of</w:t>
      </w:r>
      <w:r w:rsidR="007305B6" w:rsidRPr="76BE792E">
        <w:rPr>
          <w:sz w:val="20"/>
          <w:lang w:val="en"/>
        </w:rPr>
        <w:t xml:space="preserve"> precancerous lesions</w:t>
      </w:r>
      <w:r w:rsidR="00C954B9" w:rsidRPr="76BE792E">
        <w:rPr>
          <w:sz w:val="20"/>
          <w:lang w:val="en"/>
        </w:rPr>
        <w:t xml:space="preserve"> through colonoscopy</w:t>
      </w:r>
      <w:r w:rsidR="003806BF" w:rsidRPr="76BE792E">
        <w:rPr>
          <w:sz w:val="20"/>
          <w:lang w:val="en"/>
        </w:rPr>
        <w:t>.</w:t>
      </w:r>
      <w:r w:rsidR="00952FC7" w:rsidRPr="76BE792E">
        <w:rPr>
          <w:sz w:val="20"/>
          <w:lang w:val="en"/>
        </w:rPr>
        <w:t xml:space="preserve"> </w:t>
      </w:r>
      <w:r w:rsidR="00AB5A7D" w:rsidRPr="76BE792E">
        <w:rPr>
          <w:sz w:val="20"/>
          <w:lang w:val="en"/>
        </w:rPr>
        <w:t>However</w:t>
      </w:r>
      <w:r w:rsidR="00BB70F5" w:rsidRPr="76BE792E">
        <w:rPr>
          <w:sz w:val="20"/>
          <w:lang w:val="en"/>
        </w:rPr>
        <w:t>,</w:t>
      </w:r>
      <w:r w:rsidR="00192D11" w:rsidRPr="76BE792E">
        <w:rPr>
          <w:sz w:val="20"/>
          <w:lang w:val="en"/>
        </w:rPr>
        <w:t xml:space="preserve"> </w:t>
      </w:r>
      <w:r w:rsidR="00F11D25" w:rsidRPr="76BE792E">
        <w:rPr>
          <w:sz w:val="20"/>
          <w:lang w:val="en"/>
        </w:rPr>
        <w:t>as Figure 1.4 shows</w:t>
      </w:r>
      <w:r w:rsidR="00D86773" w:rsidRPr="76BE792E">
        <w:rPr>
          <w:sz w:val="20"/>
          <w:lang w:val="en"/>
        </w:rPr>
        <w:t>,</w:t>
      </w:r>
      <w:r w:rsidR="00F11D25" w:rsidRPr="76BE792E">
        <w:rPr>
          <w:sz w:val="20"/>
          <w:lang w:val="en"/>
        </w:rPr>
        <w:t xml:space="preserve"> </w:t>
      </w:r>
      <w:r w:rsidR="00AB5A7D" w:rsidRPr="76BE792E">
        <w:rPr>
          <w:sz w:val="20"/>
          <w:lang w:val="en"/>
        </w:rPr>
        <w:t xml:space="preserve">disparities exist </w:t>
      </w:r>
      <w:r w:rsidR="007D2997" w:rsidRPr="76BE792E">
        <w:rPr>
          <w:sz w:val="20"/>
          <w:lang w:val="en"/>
        </w:rPr>
        <w:t>in some</w:t>
      </w:r>
      <w:r w:rsidR="00140242" w:rsidRPr="76BE792E">
        <w:rPr>
          <w:sz w:val="20"/>
          <w:lang w:val="en"/>
        </w:rPr>
        <w:t xml:space="preserve"> </w:t>
      </w:r>
      <w:r w:rsidR="007D2997" w:rsidRPr="76BE792E">
        <w:rPr>
          <w:sz w:val="20"/>
          <w:lang w:val="en"/>
        </w:rPr>
        <w:t>subgroups</w:t>
      </w:r>
      <w:r w:rsidR="00D86773" w:rsidRPr="76BE792E">
        <w:rPr>
          <w:sz w:val="20"/>
          <w:lang w:val="en"/>
        </w:rPr>
        <w:t>,</w:t>
      </w:r>
      <w:r w:rsidR="007D2997" w:rsidRPr="76BE792E">
        <w:rPr>
          <w:sz w:val="20"/>
          <w:lang w:val="en"/>
        </w:rPr>
        <w:t xml:space="preserve"> particularly </w:t>
      </w:r>
      <w:r w:rsidR="00C47C15" w:rsidRPr="76BE792E">
        <w:rPr>
          <w:sz w:val="20"/>
          <w:lang w:val="en"/>
        </w:rPr>
        <w:t xml:space="preserve">among </w:t>
      </w:r>
      <w:r w:rsidR="007D2997" w:rsidRPr="76BE792E">
        <w:rPr>
          <w:sz w:val="20"/>
          <w:lang w:val="en"/>
        </w:rPr>
        <w:t>Aboriginal Victorians and those living in the most disadvan</w:t>
      </w:r>
      <w:r w:rsidR="00192D11" w:rsidRPr="76BE792E">
        <w:rPr>
          <w:sz w:val="20"/>
          <w:lang w:val="en"/>
        </w:rPr>
        <w:t xml:space="preserve">taged socioeconomic </w:t>
      </w:r>
      <w:r w:rsidR="00F34179" w:rsidRPr="76BE792E">
        <w:rPr>
          <w:sz w:val="20"/>
          <w:lang w:val="en"/>
        </w:rPr>
        <w:t>areas</w:t>
      </w:r>
      <w:r w:rsidR="00192D11" w:rsidRPr="76BE792E">
        <w:rPr>
          <w:sz w:val="20"/>
          <w:lang w:val="en"/>
        </w:rPr>
        <w:t xml:space="preserve"> (SES </w:t>
      </w:r>
      <w:r w:rsidR="007D2997" w:rsidRPr="76BE792E">
        <w:rPr>
          <w:sz w:val="20"/>
          <w:lang w:val="en"/>
        </w:rPr>
        <w:t>1)</w:t>
      </w:r>
      <w:r w:rsidR="00C47C15" w:rsidRPr="76BE792E">
        <w:rPr>
          <w:sz w:val="20"/>
          <w:lang w:val="en"/>
        </w:rPr>
        <w:t>, which</w:t>
      </w:r>
      <w:r w:rsidR="007D2997" w:rsidRPr="76BE792E">
        <w:rPr>
          <w:sz w:val="20"/>
          <w:lang w:val="en"/>
        </w:rPr>
        <w:t xml:space="preserve"> </w:t>
      </w:r>
      <w:r w:rsidR="00E45443" w:rsidRPr="76BE792E">
        <w:rPr>
          <w:sz w:val="20"/>
          <w:lang w:val="en"/>
        </w:rPr>
        <w:t xml:space="preserve">continue to </w:t>
      </w:r>
      <w:r w:rsidR="007D2997" w:rsidRPr="76BE792E">
        <w:rPr>
          <w:sz w:val="20"/>
          <w:lang w:val="en"/>
        </w:rPr>
        <w:t>hav</w:t>
      </w:r>
      <w:r w:rsidR="00E45443" w:rsidRPr="76BE792E">
        <w:rPr>
          <w:sz w:val="20"/>
          <w:lang w:val="en"/>
        </w:rPr>
        <w:t>e</w:t>
      </w:r>
      <w:r w:rsidR="007D2997" w:rsidRPr="76BE792E">
        <w:rPr>
          <w:sz w:val="20"/>
          <w:lang w:val="en"/>
        </w:rPr>
        <w:t xml:space="preserve"> </w:t>
      </w:r>
      <w:r w:rsidR="00D91EFB" w:rsidRPr="76BE792E">
        <w:rPr>
          <w:sz w:val="20"/>
          <w:lang w:val="en"/>
        </w:rPr>
        <w:t>higher</w:t>
      </w:r>
      <w:r w:rsidR="007D2997" w:rsidRPr="76BE792E">
        <w:rPr>
          <w:sz w:val="20"/>
          <w:lang w:val="en"/>
        </w:rPr>
        <w:t xml:space="preserve"> rates</w:t>
      </w:r>
      <w:r w:rsidR="00E45443" w:rsidRPr="76BE792E">
        <w:rPr>
          <w:sz w:val="20"/>
          <w:lang w:val="en"/>
        </w:rPr>
        <w:t xml:space="preserve"> of CRC</w:t>
      </w:r>
      <w:r w:rsidR="006716E7" w:rsidRPr="76BE792E">
        <w:rPr>
          <w:sz w:val="20"/>
          <w:lang w:val="en"/>
        </w:rPr>
        <w:t>.</w:t>
      </w:r>
      <w:r w:rsidR="00952FC7" w:rsidRPr="76BE792E">
        <w:rPr>
          <w:sz w:val="20"/>
          <w:lang w:val="en"/>
        </w:rPr>
        <w:t xml:space="preserve"> </w:t>
      </w:r>
    </w:p>
    <w:p w14:paraId="409C19F9" w14:textId="77777777" w:rsidR="008B694D" w:rsidRDefault="008B694D" w:rsidP="00E87AAA">
      <w:pPr>
        <w:pStyle w:val="Body"/>
        <w:rPr>
          <w:sz w:val="20"/>
          <w:lang w:val="en"/>
        </w:rPr>
      </w:pPr>
    </w:p>
    <w:p w14:paraId="314E5B76" w14:textId="3CB9D7E4" w:rsidR="008B694D" w:rsidRPr="00EA78AF" w:rsidRDefault="008B694D" w:rsidP="00E87AAA">
      <w:pPr>
        <w:pStyle w:val="Body"/>
        <w:rPr>
          <w:sz w:val="20"/>
          <w:lang w:val="en"/>
        </w:rPr>
        <w:sectPr w:rsidR="008B694D" w:rsidRPr="00EA78AF" w:rsidSect="009302EB">
          <w:type w:val="continuous"/>
          <w:pgSz w:w="11906" w:h="16838"/>
          <w:pgMar w:top="1411" w:right="1310" w:bottom="1138" w:left="1310" w:header="454" w:footer="510" w:gutter="0"/>
          <w:cols w:space="854"/>
          <w:docGrid w:linePitch="360"/>
        </w:sectPr>
      </w:pPr>
    </w:p>
    <w:p w14:paraId="1B9A54CE" w14:textId="5A28E8E3" w:rsidR="00453164" w:rsidRPr="00F26711" w:rsidRDefault="009A2DF4" w:rsidP="00E87AAA">
      <w:pPr>
        <w:pStyle w:val="Body"/>
        <w:rPr>
          <w:rFonts w:cs="Arial"/>
          <w:lang w:eastAsia="en-AU"/>
        </w:rPr>
        <w:sectPr w:rsidR="00453164" w:rsidRPr="00F26711" w:rsidSect="009302EB">
          <w:type w:val="continuous"/>
          <w:pgSz w:w="11906" w:h="16838"/>
          <w:pgMar w:top="1411" w:right="1310" w:bottom="1138" w:left="1310" w:header="454" w:footer="510" w:gutter="0"/>
          <w:cols w:num="2" w:space="854"/>
          <w:docGrid w:linePitch="360"/>
        </w:sectPr>
      </w:pPr>
      <w:r w:rsidRPr="004402D5">
        <w:br w:type="page"/>
      </w:r>
    </w:p>
    <w:p w14:paraId="6F7248AA" w14:textId="34B7CA49" w:rsidR="00E8458B" w:rsidRPr="000144FD" w:rsidRDefault="00E8458B" w:rsidP="00A451D4">
      <w:pPr>
        <w:pStyle w:val="Heading3"/>
        <w:rPr>
          <w:b/>
          <w:bCs w:val="0"/>
        </w:rPr>
      </w:pPr>
      <w:bookmarkStart w:id="140" w:name="_Measure_1.5_–"/>
      <w:bookmarkStart w:id="141" w:name="_Toc19008005"/>
      <w:bookmarkEnd w:id="140"/>
      <w:r w:rsidRPr="000144FD">
        <w:rPr>
          <w:b/>
          <w:bCs w:val="0"/>
        </w:rPr>
        <w:lastRenderedPageBreak/>
        <w:t xml:space="preserve">Measure 1.5 – </w:t>
      </w:r>
      <w:r w:rsidR="006624DA" w:rsidRPr="000144FD">
        <w:rPr>
          <w:b/>
          <w:bCs w:val="0"/>
        </w:rPr>
        <w:t>Incidence of</w:t>
      </w:r>
      <w:r w:rsidR="00AF459A" w:rsidRPr="000144FD">
        <w:rPr>
          <w:b/>
          <w:bCs w:val="0"/>
        </w:rPr>
        <w:t xml:space="preserve"> melanoma</w:t>
      </w:r>
      <w:bookmarkEnd w:id="141"/>
    </w:p>
    <w:p w14:paraId="434D6C90" w14:textId="0848E991" w:rsidR="008D4EED" w:rsidRPr="00EA78AF" w:rsidRDefault="008D4EED" w:rsidP="00FF072C">
      <w:pPr>
        <w:pStyle w:val="Figurecaption"/>
        <w:rPr>
          <w:sz w:val="20"/>
        </w:rPr>
      </w:pPr>
      <w:bookmarkStart w:id="142" w:name="_Toc19008006"/>
      <w:bookmarkStart w:id="143" w:name="_Toc19008264"/>
      <w:bookmarkStart w:id="144" w:name="_Toc19008411"/>
      <w:bookmarkStart w:id="145" w:name="_Toc19008558"/>
      <w:bookmarkStart w:id="146" w:name="_Toc132552994"/>
      <w:bookmarkStart w:id="147" w:name="_Toc140827600"/>
      <w:r w:rsidRPr="00EA78AF">
        <w:rPr>
          <w:sz w:val="20"/>
        </w:rPr>
        <w:t>Figure 1.5</w:t>
      </w:r>
      <w:r w:rsidR="00827C4B" w:rsidRPr="00EA78AF">
        <w:rPr>
          <w:sz w:val="20"/>
        </w:rPr>
        <w:t>:</w:t>
      </w:r>
      <w:r w:rsidRPr="00EA78AF">
        <w:rPr>
          <w:sz w:val="20"/>
        </w:rPr>
        <w:t xml:space="preserve"> Incidence of melanoma in Victoria per 100,000 standardised to the 2001 Australian population, by year of diagnosis, 201</w:t>
      </w:r>
      <w:r w:rsidR="002B5134" w:rsidRPr="00EA78AF">
        <w:rPr>
          <w:sz w:val="20"/>
        </w:rPr>
        <w:t>4</w:t>
      </w:r>
      <w:r w:rsidR="00D86376" w:rsidRPr="00EA78AF">
        <w:rPr>
          <w:sz w:val="20"/>
        </w:rPr>
        <w:t>, 2017</w:t>
      </w:r>
      <w:r w:rsidRPr="00EA78AF">
        <w:rPr>
          <w:sz w:val="20"/>
        </w:rPr>
        <w:t xml:space="preserve"> and 20</w:t>
      </w:r>
      <w:bookmarkEnd w:id="142"/>
      <w:bookmarkEnd w:id="143"/>
      <w:bookmarkEnd w:id="144"/>
      <w:bookmarkEnd w:id="145"/>
      <w:r w:rsidR="00D86376" w:rsidRPr="00EA78AF">
        <w:rPr>
          <w:sz w:val="20"/>
        </w:rPr>
        <w:t>2</w:t>
      </w:r>
      <w:r w:rsidR="002B378A" w:rsidRPr="00EA78AF">
        <w:rPr>
          <w:sz w:val="20"/>
        </w:rPr>
        <w:t>1</w:t>
      </w:r>
      <w:bookmarkEnd w:id="146"/>
      <w:bookmarkEnd w:id="147"/>
    </w:p>
    <w:p w14:paraId="7999679C" w14:textId="32D6F665" w:rsidR="00570FE3" w:rsidRPr="00570FE3" w:rsidRDefault="00570FE3" w:rsidP="00E87AAA">
      <w:pPr>
        <w:pStyle w:val="Body"/>
      </w:pPr>
      <w:r>
        <w:rPr>
          <w:noProof/>
        </w:rPr>
        <w:drawing>
          <wp:inline distT="0" distB="0" distL="0" distR="0" wp14:anchorId="7BB76265" wp14:editId="36AF64CB">
            <wp:extent cx="5889860" cy="6420678"/>
            <wp:effectExtent l="0" t="0" r="0" b="0"/>
            <wp:docPr id="303" name="Picture 303" descr="This figure shows a data summary of 'Measure 1.5 – Incidence of melanoma'. The data set is available under 'Measure 1.5 – Incidence of melanoma'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This figure shows a data summary of 'Measure 1.5 – Incidence of melanoma'. The data set is available under 'Measure 1.5 – Incidence of melanoma' in a separate volume, the Victorian cancer plan monitoring and evaluation framework: baseline report: Appendix 2: Datasets available on Cancer care &lt;https://www.health.vic.gov.au/health-strategies/cancer-care&gt;."/>
                    <pic:cNvPicPr/>
                  </pic:nvPicPr>
                  <pic:blipFill>
                    <a:blip r:embed="rId44"/>
                    <a:stretch>
                      <a:fillRect/>
                    </a:stretch>
                  </pic:blipFill>
                  <pic:spPr>
                    <a:xfrm>
                      <a:off x="0" y="0"/>
                      <a:ext cx="5922995" cy="6456800"/>
                    </a:xfrm>
                    <a:prstGeom prst="rect">
                      <a:avLst/>
                    </a:prstGeom>
                  </pic:spPr>
                </pic:pic>
              </a:graphicData>
            </a:graphic>
          </wp:inline>
        </w:drawing>
      </w:r>
    </w:p>
    <w:p w14:paraId="24F16E62" w14:textId="77777777" w:rsidR="00421177" w:rsidRPr="0057553C" w:rsidRDefault="009A2DF4" w:rsidP="00C04E3C">
      <w:pPr>
        <w:pStyle w:val="Tablefigurenote"/>
        <w:rPr>
          <w:i/>
          <w:iCs/>
          <w:sz w:val="18"/>
          <w:szCs w:val="18"/>
        </w:rPr>
      </w:pPr>
      <w:r w:rsidRPr="0057553C">
        <w:rPr>
          <w:i/>
          <w:iCs/>
          <w:sz w:val="18"/>
          <w:szCs w:val="18"/>
        </w:rPr>
        <w:t>Note:</w:t>
      </w:r>
      <w:r w:rsidR="00250B73" w:rsidRPr="0057553C">
        <w:rPr>
          <w:i/>
          <w:iCs/>
          <w:sz w:val="18"/>
          <w:szCs w:val="18"/>
        </w:rPr>
        <w:t xml:space="preserve"> </w:t>
      </w:r>
      <w:r w:rsidRPr="0057553C">
        <w:rPr>
          <w:i/>
          <w:iCs/>
          <w:sz w:val="18"/>
          <w:szCs w:val="18"/>
        </w:rPr>
        <w:t xml:space="preserve">Results by </w:t>
      </w:r>
      <w:r w:rsidR="0011089F" w:rsidRPr="0057553C">
        <w:rPr>
          <w:i/>
          <w:iCs/>
          <w:sz w:val="18"/>
          <w:szCs w:val="18"/>
        </w:rPr>
        <w:t>cultural diversity</w:t>
      </w:r>
      <w:r w:rsidRPr="0057553C">
        <w:rPr>
          <w:i/>
          <w:iCs/>
          <w:sz w:val="18"/>
          <w:szCs w:val="18"/>
        </w:rPr>
        <w:t xml:space="preserve"> are not presented </w:t>
      </w:r>
      <w:r w:rsidR="005D072A" w:rsidRPr="0057553C">
        <w:rPr>
          <w:i/>
          <w:iCs/>
          <w:sz w:val="18"/>
          <w:szCs w:val="18"/>
        </w:rPr>
        <w:t xml:space="preserve">because </w:t>
      </w:r>
      <w:r w:rsidRPr="0057553C">
        <w:rPr>
          <w:i/>
          <w:iCs/>
          <w:sz w:val="18"/>
          <w:szCs w:val="18"/>
        </w:rPr>
        <w:t xml:space="preserve">the ERP does not estimate the population by </w:t>
      </w:r>
      <w:r w:rsidR="0011089F" w:rsidRPr="0057553C">
        <w:rPr>
          <w:i/>
          <w:iCs/>
          <w:sz w:val="18"/>
          <w:szCs w:val="18"/>
        </w:rPr>
        <w:t>cultural diversity</w:t>
      </w:r>
      <w:r w:rsidRPr="0057553C">
        <w:rPr>
          <w:i/>
          <w:iCs/>
          <w:sz w:val="18"/>
          <w:szCs w:val="18"/>
        </w:rPr>
        <w:t>, hence there is no denominator for this variable.</w:t>
      </w:r>
    </w:p>
    <w:p w14:paraId="446C5BC7" w14:textId="1E64DB4E" w:rsidR="00A76E50" w:rsidRPr="0011089F" w:rsidRDefault="0020440A" w:rsidP="00C04E3C">
      <w:pPr>
        <w:pStyle w:val="Tablefigurenote"/>
      </w:pPr>
      <w:r w:rsidRPr="0057553C">
        <w:rPr>
          <w:i/>
          <w:iCs/>
          <w:color w:val="000000"/>
          <w:sz w:val="18"/>
          <w:szCs w:val="18"/>
        </w:rPr>
        <w:t>Appendix 2 provides the dataset.</w:t>
      </w:r>
      <w:r w:rsidR="00A76E50">
        <w:br w:type="page"/>
      </w:r>
    </w:p>
    <w:p w14:paraId="3AAE56D8" w14:textId="41B57F62" w:rsidR="00A76E50" w:rsidRDefault="00A76E50" w:rsidP="00FF072C">
      <w:pPr>
        <w:pStyle w:val="Figurecaption"/>
        <w:rPr>
          <w:sz w:val="20"/>
        </w:rPr>
      </w:pPr>
      <w:bookmarkStart w:id="148" w:name="_Toc19008007"/>
      <w:bookmarkStart w:id="149" w:name="_Toc19008265"/>
      <w:bookmarkStart w:id="150" w:name="_Toc19008412"/>
      <w:bookmarkStart w:id="151" w:name="_Toc19008559"/>
      <w:bookmarkStart w:id="152" w:name="_Toc132552995"/>
      <w:bookmarkStart w:id="153" w:name="_Toc140827601"/>
      <w:r w:rsidRPr="00EA78AF">
        <w:rPr>
          <w:sz w:val="20"/>
          <w:lang w:eastAsia="en-AU"/>
        </w:rPr>
        <w:lastRenderedPageBreak/>
        <w:t>Figure 1.5.1</w:t>
      </w:r>
      <w:r w:rsidR="00827C4B" w:rsidRPr="00EA78AF">
        <w:rPr>
          <w:sz w:val="20"/>
          <w:lang w:eastAsia="en-AU"/>
        </w:rPr>
        <w:t>:</w:t>
      </w:r>
      <w:r w:rsidRPr="00EA78AF">
        <w:rPr>
          <w:sz w:val="20"/>
          <w:lang w:eastAsia="en-AU"/>
        </w:rPr>
        <w:t xml:space="preserve"> Incidence of melanoma in Victoria per </w:t>
      </w:r>
      <w:r w:rsidRPr="00EA78AF">
        <w:rPr>
          <w:color w:val="000000" w:themeColor="text1"/>
          <w:sz w:val="20"/>
        </w:rPr>
        <w:t xml:space="preserve">100,000 standardised to the 2001 Australian population, by </w:t>
      </w:r>
      <w:r w:rsidR="008439C8" w:rsidRPr="00EA78AF">
        <w:rPr>
          <w:color w:val="000000" w:themeColor="text1"/>
          <w:sz w:val="20"/>
        </w:rPr>
        <w:t>ICS</w:t>
      </w:r>
      <w:r w:rsidR="0031077F" w:rsidRPr="00EA78AF">
        <w:rPr>
          <w:sz w:val="20"/>
        </w:rPr>
        <w:t xml:space="preserve"> and</w:t>
      </w:r>
      <w:r w:rsidRPr="00EA78AF">
        <w:rPr>
          <w:sz w:val="20"/>
        </w:rPr>
        <w:t xml:space="preserve"> year, 201</w:t>
      </w:r>
      <w:r w:rsidR="00E55933" w:rsidRPr="00EA78AF">
        <w:rPr>
          <w:sz w:val="20"/>
        </w:rPr>
        <w:t>4</w:t>
      </w:r>
      <w:r w:rsidR="007929B4" w:rsidRPr="00EA78AF">
        <w:rPr>
          <w:sz w:val="20"/>
        </w:rPr>
        <w:t>,</w:t>
      </w:r>
      <w:r w:rsidRPr="00EA78AF">
        <w:rPr>
          <w:sz w:val="20"/>
        </w:rPr>
        <w:t xml:space="preserve"> 2017</w:t>
      </w:r>
      <w:bookmarkEnd w:id="148"/>
      <w:bookmarkEnd w:id="149"/>
      <w:bookmarkEnd w:id="150"/>
      <w:bookmarkEnd w:id="151"/>
      <w:r w:rsidR="007929B4" w:rsidRPr="00EA78AF">
        <w:rPr>
          <w:sz w:val="20"/>
        </w:rPr>
        <w:t xml:space="preserve"> and 202</w:t>
      </w:r>
      <w:r w:rsidR="006746D3" w:rsidRPr="00EA78AF">
        <w:rPr>
          <w:sz w:val="20"/>
        </w:rPr>
        <w:t>1</w:t>
      </w:r>
      <w:bookmarkEnd w:id="152"/>
      <w:bookmarkEnd w:id="153"/>
    </w:p>
    <w:p w14:paraId="3673F9FD" w14:textId="035AC8C5" w:rsidR="007E2B4E" w:rsidRPr="007E2B4E" w:rsidRDefault="004D2009" w:rsidP="007E2B4E">
      <w:pPr>
        <w:pStyle w:val="DHHSbody"/>
      </w:pPr>
      <w:r w:rsidRPr="004D2009">
        <w:rPr>
          <w:noProof/>
        </w:rPr>
        <w:drawing>
          <wp:inline distT="0" distB="0" distL="0" distR="0" wp14:anchorId="1E711D5C" wp14:editId="695BD72D">
            <wp:extent cx="6160910" cy="2711669"/>
            <wp:effectExtent l="0" t="0" r="0" b="0"/>
            <wp:docPr id="315" name="Picture 315" descr="This figure (bar graph) presents the incidence of melanoma in Victoria by Integrated Cancer Service for 2014, 2017 and 2021.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This figure (bar graph) presents the incidence of melanoma in Victoria by Integrated Cancer Service for 2014, 2017 and 2021. Data labels have been included in the bar graph."/>
                    <pic:cNvPicPr/>
                  </pic:nvPicPr>
                  <pic:blipFill>
                    <a:blip r:embed="rId45"/>
                    <a:stretch>
                      <a:fillRect/>
                    </a:stretch>
                  </pic:blipFill>
                  <pic:spPr>
                    <a:xfrm>
                      <a:off x="0" y="0"/>
                      <a:ext cx="6191391" cy="2725085"/>
                    </a:xfrm>
                    <a:prstGeom prst="rect">
                      <a:avLst/>
                    </a:prstGeom>
                  </pic:spPr>
                </pic:pic>
              </a:graphicData>
            </a:graphic>
          </wp:inline>
        </w:drawing>
      </w:r>
    </w:p>
    <w:p w14:paraId="549927D4" w14:textId="4475206E" w:rsidR="00665D4B" w:rsidRPr="00D64541" w:rsidRDefault="00665D4B" w:rsidP="00D64541">
      <w:pPr>
        <w:pStyle w:val="Body"/>
      </w:pPr>
      <w:r w:rsidRPr="00D64541">
        <w:rPr>
          <w:b/>
          <w:bCs/>
        </w:rPr>
        <w:t>Measure assessment</w:t>
      </w:r>
    </w:p>
    <w:p w14:paraId="63985815" w14:textId="5725C773" w:rsidR="0063336F" w:rsidRPr="00EA78AF" w:rsidRDefault="003E5FD3" w:rsidP="00606436">
      <w:pPr>
        <w:pStyle w:val="Body"/>
        <w:rPr>
          <w:sz w:val="20"/>
        </w:rPr>
      </w:pPr>
      <w:r w:rsidRPr="00EA78AF">
        <w:rPr>
          <w:sz w:val="20"/>
        </w:rPr>
        <w:t>Traffic light rating:</w:t>
      </w:r>
      <w:r w:rsidRPr="00EA78AF">
        <w:rPr>
          <w:color w:val="AF272F"/>
          <w:sz w:val="20"/>
        </w:rPr>
        <w:t xml:space="preserve"> </w:t>
      </w:r>
      <w:r w:rsidR="0063336F" w:rsidRPr="00EA78AF">
        <w:rPr>
          <w:b/>
          <w:color w:val="C5511A"/>
          <w:sz w:val="20"/>
        </w:rPr>
        <w:t>Amber</w:t>
      </w:r>
      <w:r w:rsidR="0063336F" w:rsidRPr="00EA78AF">
        <w:rPr>
          <w:b/>
          <w:sz w:val="20"/>
        </w:rPr>
        <w:t xml:space="preserve"> </w:t>
      </w:r>
      <w:r w:rsidR="0063336F" w:rsidRPr="00EA78AF">
        <w:rPr>
          <w:sz w:val="20"/>
        </w:rPr>
        <w:t>(desired result not yet evident)</w:t>
      </w:r>
    </w:p>
    <w:p w14:paraId="6677FC90" w14:textId="77777777" w:rsidR="0063336F" w:rsidRPr="00EA78AF" w:rsidRDefault="0063336F" w:rsidP="00606436">
      <w:pPr>
        <w:pStyle w:val="Body"/>
        <w:rPr>
          <w:sz w:val="20"/>
        </w:rPr>
      </w:pPr>
      <w:r w:rsidRPr="00EA78AF">
        <w:rPr>
          <w:sz w:val="20"/>
        </w:rPr>
        <w:t>Overall trend: Static or unchanging</w:t>
      </w:r>
    </w:p>
    <w:p w14:paraId="2A6A8BDD" w14:textId="350B56D0" w:rsidR="003B508F" w:rsidRPr="00EA78AF" w:rsidRDefault="003E5FD3" w:rsidP="00E87AAA">
      <w:pPr>
        <w:pStyle w:val="Body"/>
        <w:rPr>
          <w:sz w:val="20"/>
          <w:lang w:val="en"/>
        </w:rPr>
      </w:pPr>
      <w:r w:rsidRPr="76BE792E">
        <w:rPr>
          <w:sz w:val="20"/>
          <w:lang w:eastAsia="en-AU"/>
        </w:rPr>
        <w:t>Commentary</w:t>
      </w:r>
      <w:r w:rsidR="00B33C91" w:rsidRPr="76BE792E">
        <w:rPr>
          <w:sz w:val="20"/>
          <w:lang w:eastAsia="en-AU"/>
        </w:rPr>
        <w:t xml:space="preserve">: </w:t>
      </w:r>
      <w:r w:rsidR="00B33C91" w:rsidRPr="76BE792E">
        <w:rPr>
          <w:sz w:val="20"/>
          <w:lang w:val="en-GB"/>
        </w:rPr>
        <w:t xml:space="preserve">Melanoma is a type of skin cancer </w:t>
      </w:r>
      <w:r w:rsidR="0031077F" w:rsidRPr="76BE792E">
        <w:rPr>
          <w:sz w:val="20"/>
          <w:lang w:val="en-GB"/>
        </w:rPr>
        <w:t xml:space="preserve">that </w:t>
      </w:r>
      <w:r w:rsidR="00B33C91" w:rsidRPr="76BE792E">
        <w:rPr>
          <w:sz w:val="20"/>
          <w:lang w:val="en-GB"/>
        </w:rPr>
        <w:t>usually occurs on the parts of the body that have been overexposed to the sun.</w:t>
      </w:r>
      <w:r w:rsidR="00B33C91" w:rsidRPr="76BE792E">
        <w:rPr>
          <w:rStyle w:val="FootnoteReference"/>
          <w:rFonts w:cs="Arial"/>
          <w:sz w:val="20"/>
          <w:lang w:val="en-GB"/>
        </w:rPr>
        <w:footnoteReference w:id="27"/>
      </w:r>
      <w:r w:rsidR="009E17A1" w:rsidRPr="76BE792E">
        <w:rPr>
          <w:sz w:val="20"/>
          <w:lang w:val="en-GB"/>
        </w:rPr>
        <w:t xml:space="preserve"> </w:t>
      </w:r>
      <w:r w:rsidR="003F20BC" w:rsidRPr="76BE792E">
        <w:rPr>
          <w:sz w:val="20"/>
          <w:lang w:val="en-GB"/>
        </w:rPr>
        <w:t>The risk of malignant melanoma corelates with genetic and personal characteristics.</w:t>
      </w:r>
      <w:r w:rsidR="003F20BC" w:rsidRPr="76BE792E">
        <w:rPr>
          <w:rStyle w:val="FootnoteReference"/>
          <w:rFonts w:cs="Arial"/>
          <w:sz w:val="20"/>
          <w:lang w:val="en-GB"/>
        </w:rPr>
        <w:footnoteReference w:id="28"/>
      </w:r>
      <w:r w:rsidR="003F20BC" w:rsidRPr="76BE792E">
        <w:rPr>
          <w:sz w:val="20"/>
          <w:lang w:val="en-GB"/>
        </w:rPr>
        <w:t xml:space="preserve"> </w:t>
      </w:r>
      <w:r w:rsidR="005400D8" w:rsidRPr="76BE792E">
        <w:rPr>
          <w:sz w:val="20"/>
          <w:lang w:val="en-GB"/>
        </w:rPr>
        <w:t>T</w:t>
      </w:r>
      <w:r w:rsidR="001B4D1D" w:rsidRPr="76BE792E">
        <w:rPr>
          <w:sz w:val="20"/>
          <w:lang w:val="en"/>
        </w:rPr>
        <w:t>he global incidence of melanoma in 20</w:t>
      </w:r>
      <w:r w:rsidR="005400D8" w:rsidRPr="76BE792E">
        <w:rPr>
          <w:sz w:val="20"/>
          <w:lang w:val="en"/>
        </w:rPr>
        <w:t>20</w:t>
      </w:r>
      <w:r w:rsidR="001B4D1D" w:rsidRPr="76BE792E">
        <w:rPr>
          <w:sz w:val="20"/>
          <w:lang w:val="en"/>
        </w:rPr>
        <w:t xml:space="preserve"> was 3</w:t>
      </w:r>
      <w:r w:rsidR="005400D8" w:rsidRPr="76BE792E">
        <w:rPr>
          <w:sz w:val="20"/>
          <w:lang w:val="en"/>
        </w:rPr>
        <w:t>24</w:t>
      </w:r>
      <w:r w:rsidR="001B4D1D" w:rsidRPr="76BE792E">
        <w:rPr>
          <w:sz w:val="20"/>
          <w:lang w:val="en"/>
        </w:rPr>
        <w:t>,</w:t>
      </w:r>
      <w:r w:rsidR="005400D8" w:rsidRPr="76BE792E">
        <w:rPr>
          <w:sz w:val="20"/>
          <w:lang w:val="en"/>
        </w:rPr>
        <w:t>635</w:t>
      </w:r>
      <w:r w:rsidR="00546A67" w:rsidRPr="76BE792E">
        <w:rPr>
          <w:sz w:val="20"/>
          <w:lang w:val="en"/>
        </w:rPr>
        <w:t>,</w:t>
      </w:r>
      <w:r w:rsidR="001B4D1D" w:rsidRPr="76BE792E">
        <w:rPr>
          <w:sz w:val="20"/>
          <w:lang w:val="en"/>
        </w:rPr>
        <w:t xml:space="preserve"> with an age</w:t>
      </w:r>
      <w:r w:rsidR="001B4D1D" w:rsidRPr="76BE792E">
        <w:rPr>
          <w:rFonts w:ascii="Cambria Math" w:hAnsi="Cambria Math" w:cs="Cambria Math"/>
          <w:sz w:val="20"/>
          <w:lang w:val="en"/>
        </w:rPr>
        <w:t>‐</w:t>
      </w:r>
      <w:r w:rsidR="001B4D1D" w:rsidRPr="76BE792E">
        <w:rPr>
          <w:sz w:val="20"/>
          <w:lang w:val="en"/>
        </w:rPr>
        <w:t>standardi</w:t>
      </w:r>
      <w:r w:rsidR="008869C1" w:rsidRPr="76BE792E">
        <w:rPr>
          <w:sz w:val="20"/>
          <w:lang w:val="en"/>
        </w:rPr>
        <w:t>s</w:t>
      </w:r>
      <w:r w:rsidR="001B4D1D" w:rsidRPr="76BE792E">
        <w:rPr>
          <w:sz w:val="20"/>
          <w:lang w:val="en"/>
        </w:rPr>
        <w:t xml:space="preserve">ed rate of </w:t>
      </w:r>
      <w:r w:rsidR="005400D8" w:rsidRPr="76BE792E">
        <w:rPr>
          <w:sz w:val="20"/>
          <w:lang w:val="en"/>
        </w:rPr>
        <w:t>3.4</w:t>
      </w:r>
      <w:r w:rsidR="001B4D1D" w:rsidRPr="76BE792E">
        <w:rPr>
          <w:sz w:val="20"/>
          <w:lang w:val="en"/>
        </w:rPr>
        <w:t xml:space="preserve"> cases per 100</w:t>
      </w:r>
      <w:r w:rsidR="00DC7655" w:rsidRPr="76BE792E">
        <w:rPr>
          <w:sz w:val="20"/>
          <w:lang w:val="en"/>
        </w:rPr>
        <w:t>,</w:t>
      </w:r>
      <w:r w:rsidR="001B4D1D" w:rsidRPr="76BE792E">
        <w:rPr>
          <w:sz w:val="20"/>
          <w:lang w:val="en"/>
        </w:rPr>
        <w:t xml:space="preserve">000 </w:t>
      </w:r>
      <w:r w:rsidR="00DC7655" w:rsidRPr="76BE792E">
        <w:rPr>
          <w:sz w:val="20"/>
          <w:lang w:val="en"/>
        </w:rPr>
        <w:t>p</w:t>
      </w:r>
      <w:r w:rsidR="007614D3" w:rsidRPr="76BE792E">
        <w:rPr>
          <w:sz w:val="20"/>
          <w:lang w:val="en"/>
        </w:rPr>
        <w:t>opulation</w:t>
      </w:r>
      <w:r w:rsidR="001B4D1D" w:rsidRPr="76BE792E">
        <w:rPr>
          <w:sz w:val="20"/>
          <w:lang w:val="en"/>
        </w:rPr>
        <w:t>.</w:t>
      </w:r>
      <w:r w:rsidR="00603C09" w:rsidRPr="76BE792E">
        <w:rPr>
          <w:rStyle w:val="FootnoteReference"/>
          <w:sz w:val="20"/>
          <w:lang w:val="en"/>
        </w:rPr>
        <w:footnoteReference w:id="29"/>
      </w:r>
      <w:r w:rsidR="00F504E1" w:rsidRPr="76BE792E">
        <w:rPr>
          <w:sz w:val="20"/>
          <w:lang w:val="en"/>
        </w:rPr>
        <w:t xml:space="preserve"> </w:t>
      </w:r>
    </w:p>
    <w:p w14:paraId="1E62AA3E" w14:textId="72FDD0D3" w:rsidR="00CB7B59" w:rsidRPr="00EA78AF" w:rsidRDefault="001B4D1D" w:rsidP="00E87AAA">
      <w:pPr>
        <w:pStyle w:val="Body"/>
        <w:rPr>
          <w:sz w:val="20"/>
          <w:lang w:val="en"/>
        </w:rPr>
      </w:pPr>
      <w:r w:rsidRPr="76BE792E">
        <w:rPr>
          <w:sz w:val="20"/>
          <w:lang w:val="en"/>
        </w:rPr>
        <w:t xml:space="preserve">Australia </w:t>
      </w:r>
      <w:r w:rsidR="00254875" w:rsidRPr="76BE792E">
        <w:rPr>
          <w:sz w:val="20"/>
          <w:lang w:val="en"/>
        </w:rPr>
        <w:t xml:space="preserve">has the highest </w:t>
      </w:r>
      <w:r w:rsidR="00F504E1" w:rsidRPr="76BE792E">
        <w:rPr>
          <w:sz w:val="20"/>
          <w:lang w:val="en"/>
        </w:rPr>
        <w:t>melanoma incidence</w:t>
      </w:r>
      <w:r w:rsidR="00254875" w:rsidRPr="76BE792E">
        <w:rPr>
          <w:sz w:val="20"/>
          <w:lang w:val="en"/>
        </w:rPr>
        <w:t xml:space="preserve"> rate out of the five world regions with the greatest rates</w:t>
      </w:r>
      <w:r w:rsidR="00F504E1" w:rsidRPr="76BE792E">
        <w:rPr>
          <w:sz w:val="20"/>
          <w:lang w:val="en"/>
        </w:rPr>
        <w:t>.</w:t>
      </w:r>
      <w:r w:rsidR="00F504E1" w:rsidRPr="76BE792E">
        <w:rPr>
          <w:rStyle w:val="FootnoteReference"/>
          <w:sz w:val="20"/>
          <w:lang w:val="en"/>
        </w:rPr>
        <w:footnoteReference w:id="30"/>
      </w:r>
      <w:r w:rsidR="00F227BE" w:rsidRPr="76BE792E">
        <w:rPr>
          <w:sz w:val="20"/>
          <w:lang w:val="en"/>
        </w:rPr>
        <w:t xml:space="preserve"> </w:t>
      </w:r>
      <w:r w:rsidR="009E17A1" w:rsidRPr="76BE792E">
        <w:rPr>
          <w:rFonts w:cs="Arial"/>
          <w:sz w:val="20"/>
          <w:lang w:val="en-GB"/>
        </w:rPr>
        <w:t>In 2</w:t>
      </w:r>
      <w:r w:rsidR="00C6291E" w:rsidRPr="76BE792E">
        <w:rPr>
          <w:rFonts w:cs="Arial"/>
          <w:sz w:val="20"/>
          <w:lang w:val="en-GB"/>
        </w:rPr>
        <w:t>0</w:t>
      </w:r>
      <w:r w:rsidR="00F50CD1" w:rsidRPr="76BE792E">
        <w:rPr>
          <w:rFonts w:cs="Arial"/>
          <w:sz w:val="20"/>
          <w:lang w:val="en-GB"/>
        </w:rPr>
        <w:t>18</w:t>
      </w:r>
      <w:r w:rsidR="009E17A1" w:rsidRPr="76BE792E">
        <w:rPr>
          <w:rFonts w:cs="Arial"/>
          <w:sz w:val="20"/>
          <w:lang w:val="en-GB"/>
        </w:rPr>
        <w:t xml:space="preserve"> </w:t>
      </w:r>
      <w:r w:rsidR="009E17A1" w:rsidRPr="76BE792E">
        <w:rPr>
          <w:rFonts w:cs="Arial"/>
          <w:color w:val="000000"/>
          <w:sz w:val="20"/>
          <w:lang w:val="en"/>
        </w:rPr>
        <w:t>melanoma skin cancer was the </w:t>
      </w:r>
      <w:r w:rsidR="00F50CD1" w:rsidRPr="76BE792E">
        <w:rPr>
          <w:rFonts w:cs="Arial"/>
          <w:color w:val="000000"/>
          <w:sz w:val="20"/>
          <w:lang w:val="en"/>
        </w:rPr>
        <w:t>fourth</w:t>
      </w:r>
      <w:r w:rsidR="009E17A1" w:rsidRPr="76BE792E">
        <w:rPr>
          <w:rFonts w:cs="Arial"/>
          <w:color w:val="000000"/>
          <w:sz w:val="20"/>
          <w:lang w:val="en"/>
        </w:rPr>
        <w:t> most commonly diagnosed cancer in Australia.</w:t>
      </w:r>
      <w:r w:rsidR="00CB7B59" w:rsidRPr="76BE792E">
        <w:rPr>
          <w:rStyle w:val="FootnoteReference"/>
          <w:rFonts w:cs="Arial"/>
          <w:color w:val="000000"/>
          <w:sz w:val="20"/>
          <w:lang w:val="en"/>
        </w:rPr>
        <w:footnoteReference w:id="31"/>
      </w:r>
      <w:r w:rsidR="009E17A1" w:rsidRPr="76BE792E">
        <w:rPr>
          <w:rFonts w:cs="Arial"/>
          <w:color w:val="000000"/>
          <w:sz w:val="20"/>
          <w:lang w:val="en"/>
        </w:rPr>
        <w:t> </w:t>
      </w:r>
    </w:p>
    <w:p w14:paraId="684190F0" w14:textId="03D0B906" w:rsidR="005400D8" w:rsidRPr="00EA78AF" w:rsidRDefault="00CB7B59" w:rsidP="00E87AAA">
      <w:pPr>
        <w:pStyle w:val="Body"/>
        <w:rPr>
          <w:sz w:val="20"/>
          <w:lang w:val="en" w:eastAsia="en-NZ"/>
        </w:rPr>
      </w:pPr>
      <w:r w:rsidRPr="76BE792E">
        <w:rPr>
          <w:sz w:val="20"/>
          <w:lang w:val="en"/>
        </w:rPr>
        <w:t>In 20</w:t>
      </w:r>
      <w:r w:rsidR="00C54297" w:rsidRPr="76BE792E">
        <w:rPr>
          <w:sz w:val="20"/>
          <w:lang w:val="en"/>
        </w:rPr>
        <w:t>2</w:t>
      </w:r>
      <w:r w:rsidR="000607EC" w:rsidRPr="76BE792E">
        <w:rPr>
          <w:sz w:val="20"/>
          <w:lang w:val="en"/>
        </w:rPr>
        <w:t>1</w:t>
      </w:r>
      <w:r w:rsidRPr="76BE792E">
        <w:rPr>
          <w:sz w:val="20"/>
          <w:lang w:val="en"/>
        </w:rPr>
        <w:t>, 2,</w:t>
      </w:r>
      <w:r w:rsidR="000607EC" w:rsidRPr="76BE792E">
        <w:rPr>
          <w:sz w:val="20"/>
          <w:lang w:val="en"/>
        </w:rPr>
        <w:t>824</w:t>
      </w:r>
      <w:r w:rsidRPr="76BE792E">
        <w:rPr>
          <w:sz w:val="20"/>
          <w:lang w:val="en"/>
        </w:rPr>
        <w:t xml:space="preserve"> Victorians were diagnosed with melanoma</w:t>
      </w:r>
      <w:r w:rsidR="00AF07F9" w:rsidRPr="76BE792E">
        <w:rPr>
          <w:sz w:val="20"/>
          <w:lang w:val="en"/>
        </w:rPr>
        <w:t>,</w:t>
      </w:r>
      <w:r w:rsidRPr="76BE792E">
        <w:rPr>
          <w:sz w:val="20"/>
          <w:lang w:val="en"/>
        </w:rPr>
        <w:t xml:space="preserve"> making it the fifth most common cancer</w:t>
      </w:r>
      <w:r w:rsidR="00E21027" w:rsidRPr="76BE792E">
        <w:rPr>
          <w:sz w:val="20"/>
          <w:lang w:val="en"/>
        </w:rPr>
        <w:t xml:space="preserve"> and</w:t>
      </w:r>
      <w:r w:rsidRPr="76BE792E">
        <w:rPr>
          <w:sz w:val="20"/>
          <w:lang w:val="en"/>
        </w:rPr>
        <w:t xml:space="preserve"> accounting for </w:t>
      </w:r>
      <w:r w:rsidR="00FA505B" w:rsidRPr="76BE792E">
        <w:rPr>
          <w:sz w:val="20"/>
          <w:lang w:val="en"/>
        </w:rPr>
        <w:t>8</w:t>
      </w:r>
      <w:r w:rsidR="0054537F">
        <w:rPr>
          <w:sz w:val="20"/>
          <w:lang w:val="en"/>
        </w:rPr>
        <w:t>%</w:t>
      </w:r>
      <w:r w:rsidR="00FA505B" w:rsidRPr="76BE792E">
        <w:rPr>
          <w:sz w:val="20"/>
          <w:lang w:val="en"/>
        </w:rPr>
        <w:t xml:space="preserve"> </w:t>
      </w:r>
      <w:r w:rsidRPr="76BE792E">
        <w:rPr>
          <w:sz w:val="20"/>
          <w:lang w:val="en"/>
        </w:rPr>
        <w:t xml:space="preserve">of all </w:t>
      </w:r>
      <w:r w:rsidR="00E21027" w:rsidRPr="76BE792E">
        <w:rPr>
          <w:sz w:val="20"/>
          <w:lang w:val="en"/>
        </w:rPr>
        <w:t xml:space="preserve">diagnosed </w:t>
      </w:r>
      <w:r w:rsidRPr="76BE792E">
        <w:rPr>
          <w:sz w:val="20"/>
          <w:lang w:val="en"/>
        </w:rPr>
        <w:t>cancer</w:t>
      </w:r>
      <w:r w:rsidR="00E21027" w:rsidRPr="76BE792E">
        <w:rPr>
          <w:sz w:val="20"/>
          <w:lang w:val="en"/>
        </w:rPr>
        <w:t>s</w:t>
      </w:r>
      <w:r w:rsidRPr="76BE792E">
        <w:rPr>
          <w:sz w:val="20"/>
          <w:lang w:val="en"/>
        </w:rPr>
        <w:t>.</w:t>
      </w:r>
      <w:r w:rsidRPr="76BE792E">
        <w:rPr>
          <w:rStyle w:val="FootnoteReference"/>
          <w:rFonts w:cs="Arial"/>
          <w:color w:val="000000"/>
          <w:sz w:val="20"/>
          <w:lang w:val="en"/>
        </w:rPr>
        <w:footnoteReference w:id="32"/>
      </w:r>
      <w:r w:rsidRPr="76BE792E">
        <w:rPr>
          <w:sz w:val="20"/>
        </w:rPr>
        <w:t xml:space="preserve"> As Figure 1.5 shows</w:t>
      </w:r>
      <w:r w:rsidR="00D70F59" w:rsidRPr="76BE792E">
        <w:rPr>
          <w:sz w:val="20"/>
        </w:rPr>
        <w:t>,</w:t>
      </w:r>
      <w:r w:rsidRPr="76BE792E">
        <w:rPr>
          <w:sz w:val="20"/>
        </w:rPr>
        <w:t xml:space="preserve"> </w:t>
      </w:r>
      <w:r w:rsidR="007B0132" w:rsidRPr="76BE792E">
        <w:rPr>
          <w:sz w:val="20"/>
          <w:lang w:val="en" w:eastAsia="en-NZ"/>
        </w:rPr>
        <w:t>t</w:t>
      </w:r>
      <w:r w:rsidR="00383904" w:rsidRPr="76BE792E">
        <w:rPr>
          <w:sz w:val="20"/>
          <w:lang w:val="en" w:eastAsia="en-NZ"/>
        </w:rPr>
        <w:t xml:space="preserve">he age-standardised incidence rate per 100,000 </w:t>
      </w:r>
      <w:r w:rsidR="00DC7655" w:rsidRPr="76BE792E">
        <w:rPr>
          <w:sz w:val="20"/>
          <w:lang w:val="en" w:eastAsia="en-NZ"/>
        </w:rPr>
        <w:t>p</w:t>
      </w:r>
      <w:r w:rsidR="00FA505B" w:rsidRPr="76BE792E">
        <w:rPr>
          <w:sz w:val="20"/>
          <w:lang w:val="en" w:eastAsia="en-NZ"/>
        </w:rPr>
        <w:t>opulation</w:t>
      </w:r>
      <w:r w:rsidR="00281443" w:rsidRPr="76BE792E">
        <w:rPr>
          <w:sz w:val="20"/>
          <w:lang w:val="en" w:eastAsia="en-NZ"/>
        </w:rPr>
        <w:t xml:space="preserve"> increased steadily from 3</w:t>
      </w:r>
      <w:r w:rsidR="00BC44C9" w:rsidRPr="76BE792E">
        <w:rPr>
          <w:sz w:val="20"/>
          <w:lang w:val="en" w:eastAsia="en-NZ"/>
        </w:rPr>
        <w:t>8</w:t>
      </w:r>
      <w:r w:rsidR="00281443" w:rsidRPr="76BE792E">
        <w:rPr>
          <w:sz w:val="20"/>
          <w:lang w:val="en" w:eastAsia="en-NZ"/>
        </w:rPr>
        <w:t xml:space="preserve"> in 201</w:t>
      </w:r>
      <w:r w:rsidR="00BC44C9" w:rsidRPr="76BE792E">
        <w:rPr>
          <w:sz w:val="20"/>
          <w:lang w:val="en" w:eastAsia="en-NZ"/>
        </w:rPr>
        <w:t>4</w:t>
      </w:r>
      <w:r w:rsidR="00281443" w:rsidRPr="76BE792E">
        <w:rPr>
          <w:sz w:val="20"/>
          <w:lang w:val="en" w:eastAsia="en-NZ"/>
        </w:rPr>
        <w:t xml:space="preserve"> to </w:t>
      </w:r>
      <w:r w:rsidR="00C54297" w:rsidRPr="76BE792E">
        <w:rPr>
          <w:sz w:val="20"/>
          <w:lang w:val="en" w:eastAsia="en-NZ"/>
        </w:rPr>
        <w:t>42</w:t>
      </w:r>
      <w:r w:rsidR="00D2500D" w:rsidRPr="76BE792E">
        <w:rPr>
          <w:sz w:val="20"/>
          <w:lang w:val="en" w:eastAsia="en-NZ"/>
        </w:rPr>
        <w:t xml:space="preserve"> </w:t>
      </w:r>
      <w:r w:rsidR="00281443" w:rsidRPr="76BE792E">
        <w:rPr>
          <w:sz w:val="20"/>
          <w:lang w:val="en" w:eastAsia="en-NZ"/>
        </w:rPr>
        <w:t>in 20</w:t>
      </w:r>
      <w:r w:rsidR="00C54297" w:rsidRPr="76BE792E">
        <w:rPr>
          <w:sz w:val="20"/>
          <w:lang w:val="en" w:eastAsia="en-NZ"/>
        </w:rPr>
        <w:t>17 but then decreased between 2017 and 202</w:t>
      </w:r>
      <w:r w:rsidR="00FA505B" w:rsidRPr="76BE792E">
        <w:rPr>
          <w:sz w:val="20"/>
          <w:lang w:val="en" w:eastAsia="en-NZ"/>
        </w:rPr>
        <w:t>1 to an incidence rate of 38</w:t>
      </w:r>
      <w:r w:rsidR="004D41A7" w:rsidRPr="76BE792E">
        <w:rPr>
          <w:sz w:val="20"/>
          <w:lang w:val="en" w:eastAsia="en-NZ"/>
        </w:rPr>
        <w:t xml:space="preserve"> per 100,000 population</w:t>
      </w:r>
      <w:r w:rsidR="00E21027" w:rsidRPr="76BE792E">
        <w:rPr>
          <w:sz w:val="20"/>
          <w:lang w:val="en" w:eastAsia="en-NZ"/>
        </w:rPr>
        <w:t>,</w:t>
      </w:r>
      <w:r w:rsidR="00C54297" w:rsidRPr="76BE792E">
        <w:rPr>
          <w:sz w:val="20"/>
          <w:lang w:val="en" w:eastAsia="en-NZ"/>
        </w:rPr>
        <w:t xml:space="preserve"> noting that for </w:t>
      </w:r>
      <w:r w:rsidR="004D41A7" w:rsidRPr="76BE792E">
        <w:rPr>
          <w:sz w:val="20"/>
          <w:lang w:val="en" w:eastAsia="en-NZ"/>
        </w:rPr>
        <w:t xml:space="preserve">2020 </w:t>
      </w:r>
      <w:r w:rsidR="00C54297" w:rsidRPr="76BE792E">
        <w:rPr>
          <w:sz w:val="20"/>
          <w:lang w:val="en" w:eastAsia="en-NZ"/>
        </w:rPr>
        <w:t>there was</w:t>
      </w:r>
      <w:r w:rsidR="005400D8" w:rsidRPr="76BE792E">
        <w:rPr>
          <w:sz w:val="20"/>
        </w:rPr>
        <w:t xml:space="preserve"> </w:t>
      </w:r>
      <w:r w:rsidR="00E21027" w:rsidRPr="76BE792E">
        <w:rPr>
          <w:sz w:val="20"/>
        </w:rPr>
        <w:t xml:space="preserve">a </w:t>
      </w:r>
      <w:r w:rsidR="005400D8" w:rsidRPr="76BE792E">
        <w:rPr>
          <w:sz w:val="20"/>
        </w:rPr>
        <w:t>12</w:t>
      </w:r>
      <w:r w:rsidR="0054537F">
        <w:rPr>
          <w:sz w:val="20"/>
        </w:rPr>
        <w:t>%</w:t>
      </w:r>
      <w:r w:rsidR="005400D8" w:rsidRPr="76BE792E">
        <w:rPr>
          <w:sz w:val="20"/>
        </w:rPr>
        <w:t xml:space="preserve"> decline in melanoma diagnoses</w:t>
      </w:r>
      <w:r w:rsidR="00C54297" w:rsidRPr="76BE792E">
        <w:rPr>
          <w:sz w:val="20"/>
        </w:rPr>
        <w:t xml:space="preserve"> likely </w:t>
      </w:r>
      <w:r w:rsidR="00E21027" w:rsidRPr="76BE792E">
        <w:rPr>
          <w:sz w:val="20"/>
        </w:rPr>
        <w:t xml:space="preserve">due to </w:t>
      </w:r>
      <w:r w:rsidR="00C54297" w:rsidRPr="76BE792E">
        <w:rPr>
          <w:sz w:val="20"/>
        </w:rPr>
        <w:t>the COVID-19 pandemic</w:t>
      </w:r>
      <w:r w:rsidR="00D36384" w:rsidRPr="76BE792E">
        <w:rPr>
          <w:sz w:val="20"/>
        </w:rPr>
        <w:t>.</w:t>
      </w:r>
      <w:r w:rsidR="00D36384" w:rsidRPr="76BE792E">
        <w:rPr>
          <w:rStyle w:val="FootnoteReference"/>
          <w:rFonts w:cs="Arial"/>
          <w:color w:val="000000"/>
          <w:sz w:val="20"/>
          <w:lang w:val="en"/>
        </w:rPr>
        <w:footnoteReference w:id="33"/>
      </w:r>
    </w:p>
    <w:p w14:paraId="350585EF" w14:textId="7A7D2F9B" w:rsidR="009D221D" w:rsidRDefault="00383904" w:rsidP="00E87AAA">
      <w:pPr>
        <w:pStyle w:val="Body"/>
        <w:rPr>
          <w:lang w:val="en"/>
        </w:rPr>
        <w:sectPr w:rsidR="009D221D" w:rsidSect="009302EB">
          <w:type w:val="continuous"/>
          <w:pgSz w:w="11906" w:h="16838"/>
          <w:pgMar w:top="1411" w:right="1310" w:bottom="1138" w:left="1310" w:header="454" w:footer="510" w:gutter="0"/>
          <w:cols w:space="720"/>
          <w:docGrid w:linePitch="360"/>
        </w:sectPr>
      </w:pPr>
      <w:r w:rsidRPr="00EA78AF">
        <w:rPr>
          <w:sz w:val="20"/>
          <w:lang w:val="en"/>
        </w:rPr>
        <w:t>Among males, the age-standardised</w:t>
      </w:r>
      <w:r w:rsidR="00281443" w:rsidRPr="00EA78AF">
        <w:rPr>
          <w:sz w:val="20"/>
          <w:lang w:val="en"/>
        </w:rPr>
        <w:t xml:space="preserve"> incidence rate </w:t>
      </w:r>
      <w:r w:rsidR="00D36384" w:rsidRPr="00EA78AF">
        <w:rPr>
          <w:sz w:val="20"/>
          <w:lang w:val="en"/>
        </w:rPr>
        <w:t>de</w:t>
      </w:r>
      <w:r w:rsidR="00281443" w:rsidRPr="00EA78AF">
        <w:rPr>
          <w:sz w:val="20"/>
          <w:lang w:val="en"/>
        </w:rPr>
        <w:t xml:space="preserve">creased </w:t>
      </w:r>
      <w:r w:rsidR="004D41A7" w:rsidRPr="00EA78AF">
        <w:rPr>
          <w:sz w:val="20"/>
          <w:lang w:val="en"/>
        </w:rPr>
        <w:t xml:space="preserve">slightly </w:t>
      </w:r>
      <w:r w:rsidR="00281443" w:rsidRPr="00EA78AF">
        <w:rPr>
          <w:sz w:val="20"/>
          <w:lang w:val="en"/>
        </w:rPr>
        <w:t>from 4</w:t>
      </w:r>
      <w:r w:rsidR="00D36384" w:rsidRPr="00EA78AF">
        <w:rPr>
          <w:sz w:val="20"/>
          <w:lang w:val="en"/>
        </w:rPr>
        <w:t>6</w:t>
      </w:r>
      <w:r w:rsidR="00281443" w:rsidRPr="00EA78AF">
        <w:rPr>
          <w:sz w:val="20"/>
          <w:lang w:val="en"/>
        </w:rPr>
        <w:t xml:space="preserve"> in 201</w:t>
      </w:r>
      <w:r w:rsidR="00BC44C9" w:rsidRPr="00EA78AF">
        <w:rPr>
          <w:sz w:val="20"/>
          <w:lang w:val="en"/>
        </w:rPr>
        <w:t>4</w:t>
      </w:r>
      <w:r w:rsidR="00281443" w:rsidRPr="00EA78AF">
        <w:rPr>
          <w:sz w:val="20"/>
          <w:lang w:val="en"/>
        </w:rPr>
        <w:t xml:space="preserve"> to </w:t>
      </w:r>
      <w:r w:rsidR="00D36384" w:rsidRPr="00EA78AF">
        <w:rPr>
          <w:sz w:val="20"/>
          <w:lang w:val="en"/>
        </w:rPr>
        <w:t>4</w:t>
      </w:r>
      <w:r w:rsidR="004D41A7" w:rsidRPr="00EA78AF">
        <w:rPr>
          <w:sz w:val="20"/>
          <w:lang w:val="en"/>
        </w:rPr>
        <w:t>5</w:t>
      </w:r>
      <w:r w:rsidR="00281443" w:rsidRPr="00EA78AF">
        <w:rPr>
          <w:sz w:val="20"/>
          <w:lang w:val="en"/>
        </w:rPr>
        <w:t xml:space="preserve"> in 20</w:t>
      </w:r>
      <w:r w:rsidR="00D36384" w:rsidRPr="00EA78AF">
        <w:rPr>
          <w:sz w:val="20"/>
          <w:lang w:val="en"/>
        </w:rPr>
        <w:t>2</w:t>
      </w:r>
      <w:r w:rsidR="004D41A7" w:rsidRPr="00EA78AF">
        <w:rPr>
          <w:sz w:val="20"/>
          <w:lang w:val="en"/>
        </w:rPr>
        <w:t>1</w:t>
      </w:r>
      <w:r w:rsidR="007511E8" w:rsidRPr="00EA78AF">
        <w:rPr>
          <w:sz w:val="20"/>
          <w:lang w:val="en"/>
        </w:rPr>
        <w:t>. The age-standardised</w:t>
      </w:r>
      <w:r w:rsidR="00781A4B" w:rsidRPr="00EA78AF">
        <w:rPr>
          <w:sz w:val="20"/>
          <w:lang w:val="en"/>
        </w:rPr>
        <w:t xml:space="preserve"> </w:t>
      </w:r>
      <w:r w:rsidRPr="00EA78AF">
        <w:rPr>
          <w:sz w:val="20"/>
          <w:lang w:val="en"/>
        </w:rPr>
        <w:t xml:space="preserve">incidence rate </w:t>
      </w:r>
      <w:r w:rsidR="007511E8" w:rsidRPr="00EA78AF">
        <w:rPr>
          <w:sz w:val="20"/>
          <w:lang w:val="en"/>
        </w:rPr>
        <w:t xml:space="preserve">among females </w:t>
      </w:r>
      <w:r w:rsidR="00281443" w:rsidRPr="00EA78AF">
        <w:rPr>
          <w:sz w:val="20"/>
          <w:lang w:val="en"/>
        </w:rPr>
        <w:t xml:space="preserve">also </w:t>
      </w:r>
      <w:r w:rsidR="00D36384" w:rsidRPr="00EA78AF">
        <w:rPr>
          <w:sz w:val="20"/>
          <w:lang w:val="en"/>
        </w:rPr>
        <w:t>de</w:t>
      </w:r>
      <w:r w:rsidRPr="00EA78AF">
        <w:rPr>
          <w:sz w:val="20"/>
          <w:lang w:val="en"/>
        </w:rPr>
        <w:t>creased fro</w:t>
      </w:r>
      <w:r w:rsidR="00281443" w:rsidRPr="00EA78AF">
        <w:rPr>
          <w:sz w:val="20"/>
          <w:lang w:val="en"/>
        </w:rPr>
        <w:t>m 32 in 201</w:t>
      </w:r>
      <w:r w:rsidR="00BC44C9" w:rsidRPr="00EA78AF">
        <w:rPr>
          <w:sz w:val="20"/>
          <w:lang w:val="en"/>
        </w:rPr>
        <w:t>4</w:t>
      </w:r>
      <w:r w:rsidR="00281443" w:rsidRPr="00EA78AF">
        <w:rPr>
          <w:sz w:val="20"/>
          <w:lang w:val="en"/>
        </w:rPr>
        <w:t xml:space="preserve"> to </w:t>
      </w:r>
      <w:r w:rsidR="00D36384" w:rsidRPr="00EA78AF">
        <w:rPr>
          <w:sz w:val="20"/>
          <w:lang w:val="en"/>
        </w:rPr>
        <w:t>2</w:t>
      </w:r>
      <w:r w:rsidR="004D41A7" w:rsidRPr="00EA78AF">
        <w:rPr>
          <w:sz w:val="20"/>
          <w:lang w:val="en"/>
        </w:rPr>
        <w:t>9</w:t>
      </w:r>
      <w:r w:rsidR="00281443" w:rsidRPr="00EA78AF">
        <w:rPr>
          <w:sz w:val="20"/>
          <w:lang w:val="en"/>
        </w:rPr>
        <w:t xml:space="preserve"> in</w:t>
      </w:r>
      <w:r w:rsidR="00281443" w:rsidRPr="00CB7B59">
        <w:rPr>
          <w:lang w:val="en"/>
        </w:rPr>
        <w:t xml:space="preserve"> </w:t>
      </w:r>
      <w:r w:rsidR="00281443" w:rsidRPr="00EA78AF">
        <w:rPr>
          <w:sz w:val="20"/>
          <w:lang w:val="en"/>
        </w:rPr>
        <w:t>20</w:t>
      </w:r>
      <w:r w:rsidR="00D36384" w:rsidRPr="00EA78AF">
        <w:rPr>
          <w:sz w:val="20"/>
          <w:lang w:val="en"/>
        </w:rPr>
        <w:t>2</w:t>
      </w:r>
      <w:r w:rsidR="004D41A7" w:rsidRPr="00EA78AF">
        <w:rPr>
          <w:sz w:val="20"/>
          <w:lang w:val="en"/>
        </w:rPr>
        <w:t>1</w:t>
      </w:r>
      <w:r w:rsidR="00281443" w:rsidRPr="00EA78AF">
        <w:rPr>
          <w:sz w:val="20"/>
          <w:lang w:val="en"/>
        </w:rPr>
        <w:t>.</w:t>
      </w:r>
      <w:r w:rsidR="001410DA" w:rsidRPr="00EA78AF">
        <w:rPr>
          <w:sz w:val="20"/>
          <w:lang w:val="en"/>
        </w:rPr>
        <w:t xml:space="preserve"> </w:t>
      </w:r>
      <w:r w:rsidR="00CF6943" w:rsidRPr="00EA78AF">
        <w:rPr>
          <w:sz w:val="20"/>
          <w:lang w:val="en"/>
        </w:rPr>
        <w:t>T</w:t>
      </w:r>
      <w:r w:rsidR="001410DA" w:rsidRPr="00EA78AF">
        <w:rPr>
          <w:sz w:val="20"/>
          <w:lang w:val="en"/>
        </w:rPr>
        <w:t>he melanoma age-standardised rate for Aboriginal Victorians</w:t>
      </w:r>
      <w:r w:rsidR="00CF6943" w:rsidRPr="00EA78AF">
        <w:rPr>
          <w:sz w:val="20"/>
          <w:lang w:val="en"/>
        </w:rPr>
        <w:t xml:space="preserve"> during the study period</w:t>
      </w:r>
      <w:r w:rsidR="001410DA" w:rsidRPr="00EA78AF">
        <w:rPr>
          <w:sz w:val="20"/>
          <w:lang w:val="en"/>
        </w:rPr>
        <w:t xml:space="preserve"> </w:t>
      </w:r>
      <w:r w:rsidR="00CF6943" w:rsidRPr="00EA78AF">
        <w:rPr>
          <w:sz w:val="20"/>
          <w:lang w:val="en"/>
        </w:rPr>
        <w:t xml:space="preserve">was </w:t>
      </w:r>
      <w:r w:rsidR="004D41A7" w:rsidRPr="00EA78AF">
        <w:rPr>
          <w:sz w:val="20"/>
          <w:lang w:val="en"/>
        </w:rPr>
        <w:t>15</w:t>
      </w:r>
      <w:r w:rsidR="001410DA" w:rsidRPr="00EA78AF">
        <w:rPr>
          <w:sz w:val="20"/>
          <w:lang w:val="en"/>
        </w:rPr>
        <w:t xml:space="preserve"> per 100,000 population</w:t>
      </w:r>
      <w:r w:rsidR="00CF6943" w:rsidRPr="00EA78AF">
        <w:rPr>
          <w:sz w:val="20"/>
          <w:lang w:val="en"/>
        </w:rPr>
        <w:t xml:space="preserve"> (2014)</w:t>
      </w:r>
      <w:r w:rsidR="001410DA" w:rsidRPr="00EA78AF">
        <w:rPr>
          <w:sz w:val="20"/>
          <w:lang w:val="en"/>
        </w:rPr>
        <w:t xml:space="preserve"> </w:t>
      </w:r>
      <w:r w:rsidR="0072398E">
        <w:rPr>
          <w:sz w:val="20"/>
          <w:lang w:val="en"/>
        </w:rPr>
        <w:t>decreasing</w:t>
      </w:r>
      <w:r w:rsidR="00CF6943" w:rsidRPr="00EA78AF">
        <w:rPr>
          <w:sz w:val="20"/>
          <w:lang w:val="en"/>
        </w:rPr>
        <w:t xml:space="preserve"> </w:t>
      </w:r>
      <w:r w:rsidR="0072398E">
        <w:rPr>
          <w:sz w:val="20"/>
          <w:lang w:val="en"/>
        </w:rPr>
        <w:t xml:space="preserve">slightly </w:t>
      </w:r>
      <w:r w:rsidR="00CF6943" w:rsidRPr="00EA78AF">
        <w:rPr>
          <w:sz w:val="20"/>
          <w:lang w:val="en"/>
        </w:rPr>
        <w:t xml:space="preserve">to </w:t>
      </w:r>
      <w:r w:rsidR="0072398E">
        <w:rPr>
          <w:sz w:val="20"/>
          <w:lang w:val="en"/>
        </w:rPr>
        <w:t>14</w:t>
      </w:r>
      <w:r w:rsidR="00CF6943" w:rsidRPr="00EA78AF">
        <w:rPr>
          <w:sz w:val="20"/>
          <w:lang w:val="en"/>
        </w:rPr>
        <w:t xml:space="preserve"> per 100,000 population (202</w:t>
      </w:r>
      <w:r w:rsidR="004D41A7" w:rsidRPr="00EA78AF">
        <w:rPr>
          <w:sz w:val="20"/>
          <w:lang w:val="en"/>
        </w:rPr>
        <w:t>1</w:t>
      </w:r>
      <w:r w:rsidR="00CF6943" w:rsidRPr="00EA78AF">
        <w:rPr>
          <w:sz w:val="20"/>
          <w:lang w:val="en"/>
        </w:rPr>
        <w:t xml:space="preserve">) </w:t>
      </w:r>
      <w:r w:rsidR="007511E8" w:rsidRPr="00EA78AF">
        <w:rPr>
          <w:sz w:val="20"/>
          <w:lang w:val="en"/>
        </w:rPr>
        <w:t>(Figure 1</w:t>
      </w:r>
      <w:r w:rsidR="004D41A7" w:rsidRPr="00EA78AF">
        <w:rPr>
          <w:sz w:val="20"/>
          <w:lang w:val="en"/>
        </w:rPr>
        <w:t>.5</w:t>
      </w:r>
      <w:r w:rsidR="00466EB8" w:rsidRPr="00EA78AF">
        <w:rPr>
          <w:sz w:val="20"/>
          <w:lang w:val="en"/>
        </w:rPr>
        <w:t>)</w:t>
      </w:r>
      <w:r w:rsidR="00D64541">
        <w:rPr>
          <w:sz w:val="20"/>
          <w:lang w:val="en"/>
        </w:rPr>
        <w:t>.</w:t>
      </w:r>
    </w:p>
    <w:p w14:paraId="667A5DAC" w14:textId="695A75EF" w:rsidR="009D221D" w:rsidRDefault="009D221D" w:rsidP="009D221D">
      <w:pPr>
        <w:pStyle w:val="Figurecaption"/>
        <w:rPr>
          <w:sz w:val="20"/>
        </w:rPr>
      </w:pPr>
      <w:bookmarkStart w:id="154" w:name="_Toc19008008"/>
      <w:bookmarkStart w:id="155" w:name="_Toc19008266"/>
      <w:bookmarkStart w:id="156" w:name="_Toc19008413"/>
      <w:bookmarkStart w:id="157" w:name="_Toc19008560"/>
      <w:bookmarkStart w:id="158" w:name="_Toc132552996"/>
      <w:bookmarkStart w:id="159" w:name="_Toc140827602"/>
      <w:r w:rsidRPr="00EA78AF">
        <w:rPr>
          <w:sz w:val="20"/>
        </w:rPr>
        <w:lastRenderedPageBreak/>
        <w:t>Figure 1.5.2</w:t>
      </w:r>
      <w:r w:rsidR="00827C4B" w:rsidRPr="00EA78AF">
        <w:rPr>
          <w:sz w:val="20"/>
        </w:rPr>
        <w:t>:</w:t>
      </w:r>
      <w:r w:rsidRPr="00EA78AF">
        <w:rPr>
          <w:sz w:val="20"/>
        </w:rPr>
        <w:t xml:space="preserve"> Incidence of melanoma in Victoria per 100,000 standardised to the 2001 Australian population, by Victorian LGA, 201</w:t>
      </w:r>
      <w:bookmarkEnd w:id="154"/>
      <w:bookmarkEnd w:id="155"/>
      <w:bookmarkEnd w:id="156"/>
      <w:bookmarkEnd w:id="157"/>
      <w:r w:rsidRPr="00EA78AF">
        <w:rPr>
          <w:sz w:val="20"/>
        </w:rPr>
        <w:t>4, 2017 and 202</w:t>
      </w:r>
      <w:r w:rsidR="001E03C2" w:rsidRPr="00EA78AF">
        <w:rPr>
          <w:sz w:val="20"/>
        </w:rPr>
        <w:t>1</w:t>
      </w:r>
      <w:bookmarkEnd w:id="158"/>
      <w:bookmarkEnd w:id="159"/>
    </w:p>
    <w:p w14:paraId="783DAF07" w14:textId="37B56648" w:rsidR="001E03C2" w:rsidRPr="001E03C2" w:rsidRDefault="004D2009" w:rsidP="004D2009">
      <w:pPr>
        <w:pStyle w:val="DHHSbody"/>
      </w:pPr>
      <w:r w:rsidRPr="004D2009">
        <w:rPr>
          <w:noProof/>
        </w:rPr>
        <w:drawing>
          <wp:inline distT="0" distB="0" distL="0" distR="0" wp14:anchorId="3B3F8B1D" wp14:editId="09A9263C">
            <wp:extent cx="3090042" cy="5553861"/>
            <wp:effectExtent l="0" t="0" r="0" b="8890"/>
            <wp:docPr id="317" name="Picture 317" descr="This figure shows a map of Victoria showing the highest and lowest reported rates of melanoma cancer in 2014, 2017 and 2021. The data set is available under 'Measure 1.5 – Incidence of melanoma cancer'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This figure shows a map of Victoria showing the highest and lowest reported rates of melanoma cancer in 2014, 2017 and 2021. The data set is available under 'Measure 1.5 – Incidence of melanoma cancer' in a separate volume, the Victorian cancer plan monitoring and evaluation framework: baseline report: Appendix 2: Datasets available on Cancer care &lt;https://www.health.vic.gov.au/health-strategies/cancer-care&gt;."/>
                    <pic:cNvPicPr/>
                  </pic:nvPicPr>
                  <pic:blipFill>
                    <a:blip r:embed="rId46"/>
                    <a:stretch>
                      <a:fillRect/>
                    </a:stretch>
                  </pic:blipFill>
                  <pic:spPr>
                    <a:xfrm>
                      <a:off x="0" y="0"/>
                      <a:ext cx="3104894" cy="5580554"/>
                    </a:xfrm>
                    <a:prstGeom prst="rect">
                      <a:avLst/>
                    </a:prstGeom>
                  </pic:spPr>
                </pic:pic>
              </a:graphicData>
            </a:graphic>
          </wp:inline>
        </w:drawing>
      </w:r>
    </w:p>
    <w:p w14:paraId="6FB5B04B" w14:textId="6287CD24" w:rsidR="007511E8" w:rsidRPr="00EA78AF" w:rsidRDefault="007511E8" w:rsidP="00606436">
      <w:pPr>
        <w:pStyle w:val="Body"/>
        <w:rPr>
          <w:sz w:val="20"/>
          <w:lang w:val="en"/>
        </w:rPr>
      </w:pPr>
      <w:r w:rsidRPr="00EA78AF">
        <w:rPr>
          <w:sz w:val="20"/>
          <w:lang w:val="en"/>
        </w:rPr>
        <w:t xml:space="preserve">There was a clear association between the age-standardised incidence rate and </w:t>
      </w:r>
      <w:r w:rsidR="00DE7FFE" w:rsidRPr="00EA78AF">
        <w:rPr>
          <w:sz w:val="20"/>
          <w:lang w:val="en"/>
        </w:rPr>
        <w:t>SES</w:t>
      </w:r>
      <w:r w:rsidR="000B64EF" w:rsidRPr="00EA78AF">
        <w:rPr>
          <w:sz w:val="20"/>
          <w:lang w:val="en"/>
        </w:rPr>
        <w:t>,</w:t>
      </w:r>
      <w:r w:rsidRPr="00EA78AF">
        <w:rPr>
          <w:sz w:val="20"/>
          <w:lang w:val="en"/>
        </w:rPr>
        <w:t xml:space="preserve"> with lower rates for both 201</w:t>
      </w:r>
      <w:r w:rsidR="00BC44C9" w:rsidRPr="00EA78AF">
        <w:rPr>
          <w:sz w:val="20"/>
          <w:lang w:val="en"/>
        </w:rPr>
        <w:t>4</w:t>
      </w:r>
      <w:r w:rsidRPr="00EA78AF">
        <w:rPr>
          <w:sz w:val="20"/>
          <w:lang w:val="en"/>
        </w:rPr>
        <w:t xml:space="preserve"> and 20</w:t>
      </w:r>
      <w:r w:rsidR="00A64E99" w:rsidRPr="00EA78AF">
        <w:rPr>
          <w:sz w:val="20"/>
          <w:lang w:val="en"/>
        </w:rPr>
        <w:t>2</w:t>
      </w:r>
      <w:r w:rsidR="00685D26" w:rsidRPr="00EA78AF">
        <w:rPr>
          <w:sz w:val="20"/>
          <w:lang w:val="en"/>
        </w:rPr>
        <w:t>1</w:t>
      </w:r>
      <w:r w:rsidRPr="00EA78AF">
        <w:rPr>
          <w:sz w:val="20"/>
          <w:lang w:val="en"/>
        </w:rPr>
        <w:t xml:space="preserve"> observed for SES 1 (most disadvantaged) compared </w:t>
      </w:r>
      <w:r w:rsidR="001B50BF" w:rsidRPr="00EA78AF">
        <w:rPr>
          <w:sz w:val="20"/>
          <w:lang w:val="en"/>
        </w:rPr>
        <w:t xml:space="preserve">with </w:t>
      </w:r>
      <w:r w:rsidRPr="00EA78AF">
        <w:rPr>
          <w:sz w:val="20"/>
          <w:lang w:val="en"/>
        </w:rPr>
        <w:t xml:space="preserve">those for SES 5 (least </w:t>
      </w:r>
      <w:r w:rsidR="0029146A" w:rsidRPr="00EA78AF">
        <w:rPr>
          <w:sz w:val="20"/>
          <w:lang w:val="en"/>
        </w:rPr>
        <w:t>dis</w:t>
      </w:r>
      <w:r w:rsidRPr="00EA78AF">
        <w:rPr>
          <w:sz w:val="20"/>
          <w:lang w:val="en"/>
        </w:rPr>
        <w:t>advantaged).</w:t>
      </w:r>
      <w:r w:rsidR="00952FC7" w:rsidRPr="00EA78AF">
        <w:rPr>
          <w:sz w:val="20"/>
          <w:lang w:val="en"/>
        </w:rPr>
        <w:t xml:space="preserve"> </w:t>
      </w:r>
      <w:r w:rsidRPr="00EA78AF">
        <w:rPr>
          <w:sz w:val="20"/>
          <w:lang w:val="en"/>
        </w:rPr>
        <w:t>In terms of incidence rates by remoteness</w:t>
      </w:r>
      <w:r w:rsidR="000B64EF" w:rsidRPr="00EA78AF">
        <w:rPr>
          <w:sz w:val="20"/>
          <w:lang w:val="en"/>
        </w:rPr>
        <w:t>,</w:t>
      </w:r>
      <w:r w:rsidRPr="00EA78AF">
        <w:rPr>
          <w:sz w:val="20"/>
          <w:lang w:val="en"/>
        </w:rPr>
        <w:t xml:space="preserve"> lower rates were </w:t>
      </w:r>
      <w:r w:rsidR="00526085" w:rsidRPr="00EA78AF">
        <w:rPr>
          <w:sz w:val="20"/>
          <w:lang w:val="en"/>
        </w:rPr>
        <w:t xml:space="preserve">seen </w:t>
      </w:r>
      <w:r w:rsidRPr="00EA78AF">
        <w:rPr>
          <w:sz w:val="20"/>
          <w:lang w:val="en"/>
        </w:rPr>
        <w:t>in major cities compared</w:t>
      </w:r>
      <w:r w:rsidR="000B64EF" w:rsidRPr="00EA78AF">
        <w:rPr>
          <w:sz w:val="20"/>
          <w:lang w:val="en"/>
        </w:rPr>
        <w:t xml:space="preserve"> with</w:t>
      </w:r>
      <w:r w:rsidRPr="00EA78AF">
        <w:rPr>
          <w:sz w:val="20"/>
          <w:lang w:val="en"/>
        </w:rPr>
        <w:t xml:space="preserve"> outer/remote regional areas of Victoria </w:t>
      </w:r>
      <w:r w:rsidR="00526085" w:rsidRPr="00EA78AF">
        <w:rPr>
          <w:sz w:val="20"/>
          <w:lang w:val="en"/>
        </w:rPr>
        <w:t xml:space="preserve">in </w:t>
      </w:r>
      <w:r w:rsidRPr="00EA78AF">
        <w:rPr>
          <w:sz w:val="20"/>
          <w:lang w:val="en"/>
        </w:rPr>
        <w:t>both</w:t>
      </w:r>
      <w:r w:rsidR="00197BA9" w:rsidRPr="00EA78AF">
        <w:rPr>
          <w:sz w:val="20"/>
          <w:lang w:val="en"/>
        </w:rPr>
        <w:t xml:space="preserve"> </w:t>
      </w:r>
      <w:r w:rsidRPr="00EA78AF">
        <w:rPr>
          <w:sz w:val="20"/>
          <w:lang w:val="en"/>
        </w:rPr>
        <w:t>201</w:t>
      </w:r>
      <w:r w:rsidR="00BC44C9" w:rsidRPr="00EA78AF">
        <w:rPr>
          <w:sz w:val="20"/>
          <w:lang w:val="en"/>
        </w:rPr>
        <w:t>4</w:t>
      </w:r>
      <w:r w:rsidRPr="00EA78AF">
        <w:rPr>
          <w:sz w:val="20"/>
          <w:lang w:val="en"/>
        </w:rPr>
        <w:t xml:space="preserve"> and 20</w:t>
      </w:r>
      <w:r w:rsidR="00A64E99" w:rsidRPr="00EA78AF">
        <w:rPr>
          <w:sz w:val="20"/>
          <w:lang w:val="en"/>
        </w:rPr>
        <w:t>2</w:t>
      </w:r>
      <w:r w:rsidR="001F3237" w:rsidRPr="00EA78AF">
        <w:rPr>
          <w:sz w:val="20"/>
          <w:lang w:val="en"/>
        </w:rPr>
        <w:t>1</w:t>
      </w:r>
      <w:r w:rsidRPr="00EA78AF">
        <w:rPr>
          <w:sz w:val="20"/>
          <w:lang w:val="en"/>
        </w:rPr>
        <w:t xml:space="preserve"> (Figure 1.5)</w:t>
      </w:r>
      <w:r w:rsidR="00EE34A4" w:rsidRPr="00EA78AF">
        <w:rPr>
          <w:sz w:val="20"/>
          <w:lang w:val="en"/>
        </w:rPr>
        <w:t>.</w:t>
      </w:r>
      <w:r w:rsidRPr="00EA78AF">
        <w:rPr>
          <w:sz w:val="20"/>
          <w:lang w:val="en"/>
        </w:rPr>
        <w:t xml:space="preserve"> </w:t>
      </w:r>
    </w:p>
    <w:p w14:paraId="2F05FEC1" w14:textId="7F55BE2E" w:rsidR="00383904" w:rsidRPr="00EA78AF" w:rsidRDefault="007B0132" w:rsidP="00606436">
      <w:pPr>
        <w:pStyle w:val="Body"/>
        <w:rPr>
          <w:sz w:val="20"/>
          <w:lang w:val="en"/>
        </w:rPr>
      </w:pPr>
      <w:r w:rsidRPr="00EA78AF">
        <w:rPr>
          <w:sz w:val="20"/>
          <w:lang w:val="en"/>
        </w:rPr>
        <w:t>Melanoma incidence rates varied between regions of Victoria when compared between ICS</w:t>
      </w:r>
      <w:r w:rsidR="000B64EF" w:rsidRPr="00EA78AF">
        <w:rPr>
          <w:sz w:val="20"/>
          <w:lang w:val="en"/>
        </w:rPr>
        <w:t>,</w:t>
      </w:r>
      <w:r w:rsidR="008544F5" w:rsidRPr="00EA78AF">
        <w:rPr>
          <w:sz w:val="20"/>
          <w:lang w:val="en"/>
        </w:rPr>
        <w:t xml:space="preserve"> with lower rates </w:t>
      </w:r>
      <w:r w:rsidR="008544F5" w:rsidRPr="00EA78AF">
        <w:rPr>
          <w:sz w:val="20"/>
          <w:lang w:val="en"/>
        </w:rPr>
        <w:t xml:space="preserve">observed in the </w:t>
      </w:r>
      <w:r w:rsidR="00931043" w:rsidRPr="00EA78AF">
        <w:rPr>
          <w:sz w:val="20"/>
          <w:lang w:val="en"/>
        </w:rPr>
        <w:t>metropolitan</w:t>
      </w:r>
      <w:r w:rsidR="008544F5" w:rsidRPr="00EA78AF">
        <w:rPr>
          <w:sz w:val="20"/>
          <w:lang w:val="en"/>
        </w:rPr>
        <w:t xml:space="preserve"> ICS</w:t>
      </w:r>
      <w:r w:rsidR="00931043" w:rsidRPr="00EA78AF">
        <w:rPr>
          <w:sz w:val="20"/>
          <w:lang w:val="en"/>
        </w:rPr>
        <w:t>s</w:t>
      </w:r>
      <w:r w:rsidR="00794040" w:rsidRPr="00EA78AF">
        <w:rPr>
          <w:sz w:val="20"/>
          <w:lang w:val="en"/>
        </w:rPr>
        <w:t xml:space="preserve"> (NEMICS, SMICS, WCMICS). </w:t>
      </w:r>
      <w:r w:rsidR="00781A4B" w:rsidRPr="00EA78AF">
        <w:rPr>
          <w:sz w:val="20"/>
          <w:lang w:val="en"/>
        </w:rPr>
        <w:t>Except for</w:t>
      </w:r>
      <w:r w:rsidR="00B351B2" w:rsidRPr="00EA78AF">
        <w:rPr>
          <w:sz w:val="20"/>
          <w:lang w:val="en"/>
        </w:rPr>
        <w:t xml:space="preserve"> </w:t>
      </w:r>
      <w:r w:rsidR="00BC44C9" w:rsidRPr="00EA78AF">
        <w:rPr>
          <w:sz w:val="20"/>
          <w:lang w:val="en"/>
        </w:rPr>
        <w:t>G</w:t>
      </w:r>
      <w:r w:rsidR="00B351B2" w:rsidRPr="00EA78AF">
        <w:rPr>
          <w:sz w:val="20"/>
          <w:lang w:val="en"/>
        </w:rPr>
        <w:t>ICS</w:t>
      </w:r>
      <w:r w:rsidR="00A64E99" w:rsidRPr="00EA78AF">
        <w:rPr>
          <w:sz w:val="20"/>
          <w:lang w:val="en"/>
        </w:rPr>
        <w:t xml:space="preserve"> (decrease) and GRIC</w:t>
      </w:r>
      <w:r w:rsidR="00820D3B" w:rsidRPr="00EA78AF">
        <w:rPr>
          <w:sz w:val="20"/>
          <w:lang w:val="en"/>
        </w:rPr>
        <w:t>S</w:t>
      </w:r>
      <w:r w:rsidR="00A64E99" w:rsidRPr="00EA78AF">
        <w:rPr>
          <w:sz w:val="20"/>
          <w:lang w:val="en"/>
        </w:rPr>
        <w:t xml:space="preserve"> (no change)</w:t>
      </w:r>
      <w:r w:rsidR="000B64EF" w:rsidRPr="00EA78AF">
        <w:rPr>
          <w:sz w:val="20"/>
          <w:lang w:val="en"/>
        </w:rPr>
        <w:t>,</w:t>
      </w:r>
      <w:r w:rsidR="00B351B2" w:rsidRPr="00EA78AF">
        <w:rPr>
          <w:sz w:val="20"/>
          <w:lang w:val="en"/>
        </w:rPr>
        <w:t xml:space="preserve"> </w:t>
      </w:r>
      <w:r w:rsidR="00781A4B" w:rsidRPr="00EA78AF">
        <w:rPr>
          <w:sz w:val="20"/>
          <w:lang w:val="en"/>
        </w:rPr>
        <w:t xml:space="preserve">all the other ICSs </w:t>
      </w:r>
      <w:r w:rsidR="00526085" w:rsidRPr="00EA78AF">
        <w:rPr>
          <w:sz w:val="20"/>
          <w:lang w:val="en"/>
        </w:rPr>
        <w:t xml:space="preserve">saw </w:t>
      </w:r>
      <w:r w:rsidR="00B351B2" w:rsidRPr="00EA78AF">
        <w:rPr>
          <w:sz w:val="20"/>
          <w:lang w:val="en"/>
        </w:rPr>
        <w:t>an increase in melanoma rates between 201</w:t>
      </w:r>
      <w:r w:rsidR="00BC44C9" w:rsidRPr="00EA78AF">
        <w:rPr>
          <w:sz w:val="20"/>
          <w:lang w:val="en"/>
        </w:rPr>
        <w:t>4</w:t>
      </w:r>
      <w:r w:rsidR="00B351B2" w:rsidRPr="00EA78AF">
        <w:rPr>
          <w:sz w:val="20"/>
          <w:lang w:val="en"/>
        </w:rPr>
        <w:t xml:space="preserve"> and 2017</w:t>
      </w:r>
      <w:r w:rsidR="00526085" w:rsidRPr="00EA78AF">
        <w:rPr>
          <w:sz w:val="20"/>
          <w:lang w:val="en"/>
        </w:rPr>
        <w:t>,</w:t>
      </w:r>
      <w:r w:rsidR="00A64E99" w:rsidRPr="00EA78AF">
        <w:rPr>
          <w:sz w:val="20"/>
          <w:lang w:val="en"/>
        </w:rPr>
        <w:t xml:space="preserve"> which decreased between 2017 and 202</w:t>
      </w:r>
      <w:r w:rsidR="0072398E">
        <w:rPr>
          <w:sz w:val="20"/>
          <w:lang w:val="en"/>
        </w:rPr>
        <w:t>1</w:t>
      </w:r>
      <w:r w:rsidR="0097254F" w:rsidRPr="00EA78AF">
        <w:rPr>
          <w:sz w:val="20"/>
          <w:lang w:val="en"/>
        </w:rPr>
        <w:t xml:space="preserve"> (Figure 1.5.1).</w:t>
      </w:r>
    </w:p>
    <w:p w14:paraId="3F86BB93" w14:textId="1103C310" w:rsidR="00637748" w:rsidRPr="00EA78AF" w:rsidRDefault="00637748" w:rsidP="00E87AAA">
      <w:pPr>
        <w:pStyle w:val="Body"/>
        <w:rPr>
          <w:sz w:val="20"/>
        </w:rPr>
      </w:pPr>
      <w:r w:rsidRPr="00EA78AF">
        <w:rPr>
          <w:sz w:val="20"/>
        </w:rPr>
        <w:t>Figure 1.5.2 show</w:t>
      </w:r>
      <w:r w:rsidR="009D221D" w:rsidRPr="00EA78AF">
        <w:rPr>
          <w:sz w:val="20"/>
        </w:rPr>
        <w:t>s</w:t>
      </w:r>
      <w:r w:rsidRPr="00EA78AF">
        <w:rPr>
          <w:sz w:val="20"/>
        </w:rPr>
        <w:t xml:space="preserve"> </w:t>
      </w:r>
      <w:r w:rsidR="00794040" w:rsidRPr="00EA78AF">
        <w:rPr>
          <w:sz w:val="20"/>
        </w:rPr>
        <w:t>a</w:t>
      </w:r>
      <w:r w:rsidRPr="00EA78AF">
        <w:rPr>
          <w:sz w:val="20"/>
        </w:rPr>
        <w:t xml:space="preserve"> geospatial visualisation of the incide</w:t>
      </w:r>
      <w:r w:rsidR="00794040" w:rsidRPr="00EA78AF">
        <w:rPr>
          <w:sz w:val="20"/>
        </w:rPr>
        <w:t xml:space="preserve">nce rate of melanoma </w:t>
      </w:r>
      <w:r w:rsidRPr="00EA78AF">
        <w:rPr>
          <w:sz w:val="20"/>
        </w:rPr>
        <w:t>across Victoria by LGA</w:t>
      </w:r>
      <w:r w:rsidR="00794040" w:rsidRPr="00EA78AF">
        <w:rPr>
          <w:sz w:val="20"/>
        </w:rPr>
        <w:t xml:space="preserve"> between 201</w:t>
      </w:r>
      <w:r w:rsidR="00BC44C9" w:rsidRPr="00EA78AF">
        <w:rPr>
          <w:sz w:val="20"/>
        </w:rPr>
        <w:t>4</w:t>
      </w:r>
      <w:r w:rsidR="00794040" w:rsidRPr="00EA78AF">
        <w:rPr>
          <w:sz w:val="20"/>
        </w:rPr>
        <w:t xml:space="preserve"> and 20</w:t>
      </w:r>
      <w:r w:rsidR="009D221D" w:rsidRPr="00EA78AF">
        <w:rPr>
          <w:sz w:val="20"/>
        </w:rPr>
        <w:t>2</w:t>
      </w:r>
      <w:r w:rsidR="001F3237" w:rsidRPr="00EA78AF">
        <w:rPr>
          <w:sz w:val="20"/>
        </w:rPr>
        <w:t>1</w:t>
      </w:r>
      <w:r w:rsidRPr="00EA78AF">
        <w:rPr>
          <w:sz w:val="20"/>
        </w:rPr>
        <w:t>.</w:t>
      </w:r>
      <w:r w:rsidR="00794040" w:rsidRPr="00EA78AF">
        <w:rPr>
          <w:sz w:val="20"/>
        </w:rPr>
        <w:t xml:space="preserve"> </w:t>
      </w:r>
      <w:r w:rsidR="007F15AE" w:rsidRPr="00EA78AF">
        <w:rPr>
          <w:sz w:val="20"/>
        </w:rPr>
        <w:t xml:space="preserve">Overall, </w:t>
      </w:r>
      <w:r w:rsidR="00102C33" w:rsidRPr="00EA78AF">
        <w:rPr>
          <w:sz w:val="20"/>
        </w:rPr>
        <w:t>63</w:t>
      </w:r>
      <w:r w:rsidR="007F15AE" w:rsidRPr="00EA78AF">
        <w:rPr>
          <w:sz w:val="20"/>
        </w:rPr>
        <w:t>.</w:t>
      </w:r>
      <w:r w:rsidR="00102C33" w:rsidRPr="00EA78AF">
        <w:rPr>
          <w:sz w:val="20"/>
        </w:rPr>
        <w:t>3</w:t>
      </w:r>
      <w:r w:rsidR="0054537F">
        <w:rPr>
          <w:sz w:val="20"/>
        </w:rPr>
        <w:t>%</w:t>
      </w:r>
      <w:r w:rsidRPr="00EA78AF">
        <w:rPr>
          <w:sz w:val="20"/>
        </w:rPr>
        <w:t xml:space="preserve"> of the 79 Victorian LGAs had higher incidence rates of</w:t>
      </w:r>
      <w:r w:rsidR="00794040" w:rsidRPr="00EA78AF">
        <w:rPr>
          <w:sz w:val="20"/>
        </w:rPr>
        <w:t xml:space="preserve"> melanoma</w:t>
      </w:r>
      <w:r w:rsidRPr="00EA78AF">
        <w:rPr>
          <w:sz w:val="20"/>
        </w:rPr>
        <w:t xml:space="preserve"> than the overall rate (</w:t>
      </w:r>
      <w:r w:rsidR="00794040" w:rsidRPr="00EA78AF">
        <w:rPr>
          <w:sz w:val="20"/>
        </w:rPr>
        <w:t>3</w:t>
      </w:r>
      <w:r w:rsidR="00303233" w:rsidRPr="00EA78AF">
        <w:rPr>
          <w:sz w:val="20"/>
        </w:rPr>
        <w:t>8</w:t>
      </w:r>
      <w:r w:rsidRPr="00EA78AF">
        <w:rPr>
          <w:sz w:val="20"/>
        </w:rPr>
        <w:t xml:space="preserve"> per 100,000 population) for Victoria in 201</w:t>
      </w:r>
      <w:r w:rsidR="00303233" w:rsidRPr="00EA78AF">
        <w:rPr>
          <w:sz w:val="20"/>
        </w:rPr>
        <w:t>4</w:t>
      </w:r>
      <w:r w:rsidRPr="00EA78AF">
        <w:rPr>
          <w:sz w:val="20"/>
        </w:rPr>
        <w:t>.</w:t>
      </w:r>
      <w:r w:rsidR="00794040" w:rsidRPr="00EA78AF">
        <w:rPr>
          <w:sz w:val="20"/>
        </w:rPr>
        <w:t xml:space="preserve"> </w:t>
      </w:r>
      <w:r w:rsidR="00303233" w:rsidRPr="00EA78AF">
        <w:rPr>
          <w:sz w:val="20"/>
        </w:rPr>
        <w:t>North Grampians Shire</w:t>
      </w:r>
      <w:r w:rsidRPr="00EA78AF">
        <w:rPr>
          <w:sz w:val="20"/>
        </w:rPr>
        <w:t xml:space="preserve"> LGA reported</w:t>
      </w:r>
      <w:r w:rsidR="00794040" w:rsidRPr="00EA78AF">
        <w:rPr>
          <w:sz w:val="20"/>
        </w:rPr>
        <w:t xml:space="preserve"> the highest incidence rate (</w:t>
      </w:r>
      <w:r w:rsidR="00303233" w:rsidRPr="00EA78AF">
        <w:rPr>
          <w:sz w:val="20"/>
        </w:rPr>
        <w:t>96</w:t>
      </w:r>
      <w:r w:rsidRPr="00EA78AF">
        <w:rPr>
          <w:sz w:val="20"/>
        </w:rPr>
        <w:t xml:space="preserve"> per 100,000 population) and</w:t>
      </w:r>
      <w:r w:rsidR="00794040" w:rsidRPr="00EA78AF">
        <w:rPr>
          <w:sz w:val="20"/>
        </w:rPr>
        <w:t xml:space="preserve"> </w:t>
      </w:r>
      <w:r w:rsidR="00303233" w:rsidRPr="00EA78AF">
        <w:rPr>
          <w:sz w:val="20"/>
        </w:rPr>
        <w:t>Towong</w:t>
      </w:r>
      <w:r w:rsidRPr="00EA78AF">
        <w:rPr>
          <w:sz w:val="20"/>
        </w:rPr>
        <w:t xml:space="preserve"> Shire LG</w:t>
      </w:r>
      <w:r w:rsidR="00794040" w:rsidRPr="00EA78AF">
        <w:rPr>
          <w:sz w:val="20"/>
        </w:rPr>
        <w:t>A the lowest incidence rate (</w:t>
      </w:r>
      <w:r w:rsidR="00303233" w:rsidRPr="00EA78AF">
        <w:rPr>
          <w:sz w:val="20"/>
        </w:rPr>
        <w:t>10</w:t>
      </w:r>
      <w:r w:rsidRPr="00EA78AF">
        <w:rPr>
          <w:sz w:val="20"/>
        </w:rPr>
        <w:t xml:space="preserve"> per 100,000 population) in 201</w:t>
      </w:r>
      <w:r w:rsidR="00303233" w:rsidRPr="00EA78AF">
        <w:rPr>
          <w:sz w:val="20"/>
        </w:rPr>
        <w:t>4</w:t>
      </w:r>
      <w:r w:rsidR="00794040" w:rsidRPr="00EA78AF">
        <w:rPr>
          <w:sz w:val="20"/>
        </w:rPr>
        <w:t xml:space="preserve"> (</w:t>
      </w:r>
      <w:r w:rsidR="008232CD" w:rsidRPr="00EA78AF">
        <w:rPr>
          <w:sz w:val="20"/>
        </w:rPr>
        <w:t>Table 1.5b, Appendix 2</w:t>
      </w:r>
      <w:r w:rsidRPr="00EA78AF">
        <w:rPr>
          <w:sz w:val="20"/>
        </w:rPr>
        <w:t>).</w:t>
      </w:r>
      <w:r w:rsidR="00952FC7" w:rsidRPr="00EA78AF">
        <w:rPr>
          <w:sz w:val="20"/>
        </w:rPr>
        <w:t xml:space="preserve"> </w:t>
      </w:r>
      <w:r w:rsidR="00794040" w:rsidRPr="00EA78AF">
        <w:rPr>
          <w:sz w:val="20"/>
        </w:rPr>
        <w:t xml:space="preserve">By comparison, </w:t>
      </w:r>
      <w:r w:rsidR="00C02099" w:rsidRPr="00EA78AF">
        <w:rPr>
          <w:sz w:val="20"/>
        </w:rPr>
        <w:t>6</w:t>
      </w:r>
      <w:r w:rsidR="00A14848" w:rsidRPr="00EA78AF">
        <w:rPr>
          <w:sz w:val="20"/>
        </w:rPr>
        <w:t>8</w:t>
      </w:r>
      <w:r w:rsidR="007F15AE" w:rsidRPr="00EA78AF">
        <w:rPr>
          <w:sz w:val="20"/>
        </w:rPr>
        <w:t>.</w:t>
      </w:r>
      <w:r w:rsidR="00A14848" w:rsidRPr="00EA78AF">
        <w:rPr>
          <w:sz w:val="20"/>
        </w:rPr>
        <w:t>4</w:t>
      </w:r>
      <w:r w:rsidR="0054537F">
        <w:rPr>
          <w:sz w:val="20"/>
        </w:rPr>
        <w:t>%</w:t>
      </w:r>
      <w:r w:rsidRPr="00EA78AF">
        <w:rPr>
          <w:sz w:val="20"/>
        </w:rPr>
        <w:t xml:space="preserve"> of the 79 LGAs had higher incidenc</w:t>
      </w:r>
      <w:r w:rsidR="00794040" w:rsidRPr="00EA78AF">
        <w:rPr>
          <w:sz w:val="20"/>
        </w:rPr>
        <w:t>e rates of melanoma than the overall rate (</w:t>
      </w:r>
      <w:r w:rsidR="007F15AE" w:rsidRPr="00EA78AF">
        <w:rPr>
          <w:sz w:val="20"/>
        </w:rPr>
        <w:t>3</w:t>
      </w:r>
      <w:r w:rsidR="00C02099" w:rsidRPr="00EA78AF">
        <w:rPr>
          <w:sz w:val="20"/>
        </w:rPr>
        <w:t>6</w:t>
      </w:r>
      <w:r w:rsidRPr="00EA78AF">
        <w:rPr>
          <w:sz w:val="20"/>
        </w:rPr>
        <w:t xml:space="preserve"> per 100,000 population) for Victoria in 20</w:t>
      </w:r>
      <w:r w:rsidR="007F15AE" w:rsidRPr="00EA78AF">
        <w:rPr>
          <w:sz w:val="20"/>
        </w:rPr>
        <w:t>2</w:t>
      </w:r>
      <w:r w:rsidR="00C02099" w:rsidRPr="00EA78AF">
        <w:rPr>
          <w:sz w:val="20"/>
        </w:rPr>
        <w:t>1</w:t>
      </w:r>
      <w:r w:rsidRPr="00EA78AF">
        <w:rPr>
          <w:sz w:val="20"/>
        </w:rPr>
        <w:t>.</w:t>
      </w:r>
      <w:r w:rsidR="00B307EC" w:rsidRPr="00EA78AF">
        <w:rPr>
          <w:sz w:val="20"/>
        </w:rPr>
        <w:t xml:space="preserve"> </w:t>
      </w:r>
      <w:r w:rsidR="00A14848" w:rsidRPr="00EA78AF">
        <w:rPr>
          <w:sz w:val="20"/>
        </w:rPr>
        <w:t xml:space="preserve">Benalla Rural City </w:t>
      </w:r>
      <w:r w:rsidRPr="00EA78AF">
        <w:rPr>
          <w:sz w:val="20"/>
        </w:rPr>
        <w:t>LGA</w:t>
      </w:r>
      <w:r w:rsidR="00B307EC" w:rsidRPr="00EA78AF">
        <w:rPr>
          <w:sz w:val="20"/>
        </w:rPr>
        <w:t xml:space="preserve"> </w:t>
      </w:r>
      <w:r w:rsidRPr="00EA78AF">
        <w:rPr>
          <w:sz w:val="20"/>
        </w:rPr>
        <w:t>reported the highest incidence rate (</w:t>
      </w:r>
      <w:r w:rsidR="00A14848" w:rsidRPr="00EA78AF">
        <w:rPr>
          <w:sz w:val="20"/>
        </w:rPr>
        <w:t>106</w:t>
      </w:r>
      <w:r w:rsidRPr="00EA78AF">
        <w:rPr>
          <w:sz w:val="20"/>
        </w:rPr>
        <w:t xml:space="preserve"> per 100,0</w:t>
      </w:r>
      <w:r w:rsidR="00B307EC" w:rsidRPr="00EA78AF">
        <w:rPr>
          <w:sz w:val="20"/>
        </w:rPr>
        <w:t>00 population</w:t>
      </w:r>
      <w:r w:rsidR="003A1BFA" w:rsidRPr="00EA78AF">
        <w:rPr>
          <w:sz w:val="20"/>
        </w:rPr>
        <w:t xml:space="preserve">, </w:t>
      </w:r>
      <w:r w:rsidR="00526085" w:rsidRPr="00EA78AF">
        <w:rPr>
          <w:sz w:val="20"/>
        </w:rPr>
        <w:t xml:space="preserve">a </w:t>
      </w:r>
      <w:r w:rsidR="003A1BFA" w:rsidRPr="00EA78AF">
        <w:rPr>
          <w:sz w:val="20"/>
        </w:rPr>
        <w:t>significant increase from</w:t>
      </w:r>
      <w:r w:rsidR="00787D06" w:rsidRPr="00EA78AF">
        <w:rPr>
          <w:sz w:val="20"/>
        </w:rPr>
        <w:t xml:space="preserve"> 24 per 100</w:t>
      </w:r>
      <w:r w:rsidR="00526085" w:rsidRPr="00EA78AF">
        <w:rPr>
          <w:sz w:val="20"/>
        </w:rPr>
        <w:t>,</w:t>
      </w:r>
      <w:r w:rsidR="00787D06" w:rsidRPr="00EA78AF">
        <w:rPr>
          <w:sz w:val="20"/>
        </w:rPr>
        <w:t>000 population in 2014</w:t>
      </w:r>
      <w:r w:rsidR="00B307EC" w:rsidRPr="00EA78AF">
        <w:rPr>
          <w:sz w:val="20"/>
        </w:rPr>
        <w:t xml:space="preserve">) and </w:t>
      </w:r>
      <w:r w:rsidR="00A14848" w:rsidRPr="00EA78AF">
        <w:rPr>
          <w:sz w:val="20"/>
        </w:rPr>
        <w:t>Greater Dandenong</w:t>
      </w:r>
      <w:r w:rsidR="000E3A6B" w:rsidRPr="00EA78AF">
        <w:rPr>
          <w:sz w:val="20"/>
        </w:rPr>
        <w:t xml:space="preserve"> </w:t>
      </w:r>
      <w:r w:rsidR="00A14848" w:rsidRPr="00EA78AF">
        <w:rPr>
          <w:sz w:val="20"/>
        </w:rPr>
        <w:t xml:space="preserve">City </w:t>
      </w:r>
      <w:r w:rsidR="00B307EC" w:rsidRPr="00EA78AF">
        <w:rPr>
          <w:sz w:val="20"/>
        </w:rPr>
        <w:t xml:space="preserve">LGA </w:t>
      </w:r>
      <w:r w:rsidRPr="00EA78AF">
        <w:rPr>
          <w:sz w:val="20"/>
        </w:rPr>
        <w:t>the lowest (</w:t>
      </w:r>
      <w:r w:rsidR="003A1BFA" w:rsidRPr="00EA78AF">
        <w:rPr>
          <w:sz w:val="20"/>
        </w:rPr>
        <w:t>10</w:t>
      </w:r>
      <w:r w:rsidRPr="00EA78AF">
        <w:rPr>
          <w:sz w:val="20"/>
        </w:rPr>
        <w:t xml:space="preserve"> per 100,000 populatio</w:t>
      </w:r>
      <w:r w:rsidR="00B307EC" w:rsidRPr="00EA78AF">
        <w:rPr>
          <w:sz w:val="20"/>
        </w:rPr>
        <w:t>n</w:t>
      </w:r>
      <w:r w:rsidR="000E3A6B" w:rsidRPr="00EA78AF">
        <w:rPr>
          <w:sz w:val="20"/>
        </w:rPr>
        <w:t>)</w:t>
      </w:r>
      <w:r w:rsidR="00B307EC" w:rsidRPr="00EA78AF">
        <w:rPr>
          <w:sz w:val="20"/>
        </w:rPr>
        <w:t xml:space="preserve"> in 20</w:t>
      </w:r>
      <w:r w:rsidR="000E3A6B" w:rsidRPr="00EA78AF">
        <w:rPr>
          <w:sz w:val="20"/>
        </w:rPr>
        <w:t>2</w:t>
      </w:r>
      <w:r w:rsidR="003A1BFA" w:rsidRPr="00EA78AF">
        <w:rPr>
          <w:sz w:val="20"/>
        </w:rPr>
        <w:t>1</w:t>
      </w:r>
      <w:r w:rsidR="00B307EC" w:rsidRPr="00EA78AF">
        <w:rPr>
          <w:sz w:val="20"/>
        </w:rPr>
        <w:t xml:space="preserve"> (</w:t>
      </w:r>
      <w:r w:rsidR="000E3A6B" w:rsidRPr="00EA78AF">
        <w:rPr>
          <w:sz w:val="20"/>
        </w:rPr>
        <w:t>Table 1.5d, Appendix 2</w:t>
      </w:r>
      <w:r w:rsidRPr="00EA78AF">
        <w:rPr>
          <w:sz w:val="20"/>
        </w:rPr>
        <w:t>).</w:t>
      </w:r>
      <w:r w:rsidR="00952FC7" w:rsidRPr="00EA78AF">
        <w:rPr>
          <w:sz w:val="20"/>
        </w:rPr>
        <w:t xml:space="preserve"> </w:t>
      </w:r>
      <w:r w:rsidR="00787D06" w:rsidRPr="00EA78AF">
        <w:rPr>
          <w:sz w:val="20"/>
        </w:rPr>
        <w:t>O</w:t>
      </w:r>
      <w:r w:rsidRPr="00EA78AF">
        <w:rPr>
          <w:sz w:val="20"/>
        </w:rPr>
        <w:t xml:space="preserve">verall, most of the 79 LGAs reported slight fluctuations in the incidence rate </w:t>
      </w:r>
      <w:r w:rsidR="00B307EC" w:rsidRPr="00EA78AF">
        <w:rPr>
          <w:sz w:val="20"/>
        </w:rPr>
        <w:t>of melanoma</w:t>
      </w:r>
      <w:r w:rsidRPr="00EA78AF">
        <w:rPr>
          <w:sz w:val="20"/>
        </w:rPr>
        <w:t xml:space="preserve"> between 201</w:t>
      </w:r>
      <w:r w:rsidR="00632D3A" w:rsidRPr="00EA78AF">
        <w:rPr>
          <w:sz w:val="20"/>
        </w:rPr>
        <w:t>4</w:t>
      </w:r>
      <w:r w:rsidRPr="00EA78AF">
        <w:rPr>
          <w:sz w:val="20"/>
        </w:rPr>
        <w:t xml:space="preserve"> and 20</w:t>
      </w:r>
      <w:r w:rsidR="007F15AE" w:rsidRPr="00EA78AF">
        <w:rPr>
          <w:sz w:val="20"/>
        </w:rPr>
        <w:t>2</w:t>
      </w:r>
      <w:r w:rsidR="003A1BFA" w:rsidRPr="00EA78AF">
        <w:rPr>
          <w:sz w:val="20"/>
        </w:rPr>
        <w:t>1</w:t>
      </w:r>
      <w:r w:rsidRPr="00EA78AF">
        <w:rPr>
          <w:sz w:val="20"/>
        </w:rPr>
        <w:t>.</w:t>
      </w:r>
    </w:p>
    <w:p w14:paraId="41E10599" w14:textId="585EECFE" w:rsidR="009D221D" w:rsidRDefault="003B508F" w:rsidP="00606436">
      <w:pPr>
        <w:pStyle w:val="Body"/>
        <w:sectPr w:rsidR="009D221D" w:rsidSect="0072398E">
          <w:type w:val="continuous"/>
          <w:pgSz w:w="11906" w:h="16838"/>
          <w:pgMar w:top="1411" w:right="707" w:bottom="1138" w:left="1310" w:header="454" w:footer="510" w:gutter="0"/>
          <w:cols w:num="2" w:space="175"/>
          <w:docGrid w:linePitch="360"/>
        </w:sectPr>
      </w:pPr>
      <w:r w:rsidRPr="76BE792E">
        <w:rPr>
          <w:sz w:val="20"/>
          <w:shd w:val="clear" w:color="auto" w:fill="FFFFFF"/>
        </w:rPr>
        <w:t xml:space="preserve">In Victoria early </w:t>
      </w:r>
      <w:r w:rsidR="00787D06" w:rsidRPr="76BE792E">
        <w:rPr>
          <w:sz w:val="20"/>
          <w:shd w:val="clear" w:color="auto" w:fill="FFFFFF"/>
        </w:rPr>
        <w:t>detection</w:t>
      </w:r>
      <w:r w:rsidRPr="76BE792E">
        <w:rPr>
          <w:sz w:val="20"/>
          <w:shd w:val="clear" w:color="auto" w:fill="FFFFFF"/>
        </w:rPr>
        <w:t xml:space="preserve"> and screening of people at high</w:t>
      </w:r>
      <w:r w:rsidR="00526085" w:rsidRPr="76BE792E">
        <w:rPr>
          <w:rFonts w:ascii="Cambria Math" w:hAnsi="Cambria Math" w:cs="Cambria Math"/>
          <w:sz w:val="20"/>
          <w:shd w:val="clear" w:color="auto" w:fill="FFFFFF"/>
        </w:rPr>
        <w:t xml:space="preserve"> </w:t>
      </w:r>
      <w:r w:rsidRPr="76BE792E">
        <w:rPr>
          <w:sz w:val="20"/>
          <w:shd w:val="clear" w:color="auto" w:fill="FFFFFF"/>
        </w:rPr>
        <w:t>risk of skin cancer, new techniques and products for UVR protection and multiple treatment options have been implemented with the potential to reduce the burden of skin cancer. However,</w:t>
      </w:r>
      <w:r w:rsidR="000E3A6B" w:rsidRPr="76BE792E">
        <w:rPr>
          <w:sz w:val="20"/>
          <w:shd w:val="clear" w:color="auto" w:fill="FFFFFF"/>
        </w:rPr>
        <w:t xml:space="preserve"> </w:t>
      </w:r>
      <w:r w:rsidRPr="76BE792E">
        <w:rPr>
          <w:sz w:val="20"/>
        </w:rPr>
        <w:t>d</w:t>
      </w:r>
      <w:r w:rsidR="00E22966" w:rsidRPr="76BE792E">
        <w:rPr>
          <w:sz w:val="20"/>
        </w:rPr>
        <w:t>espite no target being</w:t>
      </w:r>
      <w:r w:rsidR="00313494" w:rsidRPr="76BE792E">
        <w:rPr>
          <w:sz w:val="20"/>
        </w:rPr>
        <w:t xml:space="preserve"> set for this measure</w:t>
      </w:r>
      <w:r w:rsidR="00E22966" w:rsidRPr="76BE792E">
        <w:rPr>
          <w:sz w:val="20"/>
        </w:rPr>
        <w:t xml:space="preserve">, </w:t>
      </w:r>
      <w:r w:rsidR="00632D3A" w:rsidRPr="76BE792E">
        <w:rPr>
          <w:sz w:val="20"/>
        </w:rPr>
        <w:t xml:space="preserve">the </w:t>
      </w:r>
      <w:r w:rsidR="00E22966" w:rsidRPr="76BE792E">
        <w:rPr>
          <w:sz w:val="20"/>
        </w:rPr>
        <w:t>age-standardised rate</w:t>
      </w:r>
      <w:r w:rsidR="000E3A6B" w:rsidRPr="76BE792E">
        <w:rPr>
          <w:sz w:val="20"/>
        </w:rPr>
        <w:t xml:space="preserve"> show</w:t>
      </w:r>
      <w:r w:rsidR="00C954B9" w:rsidRPr="76BE792E">
        <w:rPr>
          <w:sz w:val="20"/>
        </w:rPr>
        <w:t>s</w:t>
      </w:r>
      <w:r w:rsidR="000E3A6B" w:rsidRPr="76BE792E">
        <w:rPr>
          <w:sz w:val="20"/>
        </w:rPr>
        <w:t xml:space="preserve"> a</w:t>
      </w:r>
      <w:r w:rsidR="003742E6" w:rsidRPr="76BE792E">
        <w:rPr>
          <w:sz w:val="20"/>
        </w:rPr>
        <w:t>n</w:t>
      </w:r>
      <w:r w:rsidR="000E3A6B" w:rsidRPr="76BE792E">
        <w:rPr>
          <w:sz w:val="20"/>
        </w:rPr>
        <w:t xml:space="preserve"> </w:t>
      </w:r>
      <w:r w:rsidR="003742E6" w:rsidRPr="76BE792E">
        <w:rPr>
          <w:sz w:val="20"/>
        </w:rPr>
        <w:t xml:space="preserve">overall </w:t>
      </w:r>
      <w:r w:rsidR="000E3A6B" w:rsidRPr="76BE792E">
        <w:rPr>
          <w:sz w:val="20"/>
        </w:rPr>
        <w:t>decrease in Victoria between 2014 and 202</w:t>
      </w:r>
      <w:r w:rsidR="001F3237" w:rsidRPr="76BE792E">
        <w:rPr>
          <w:sz w:val="20"/>
        </w:rPr>
        <w:t xml:space="preserve">1. </w:t>
      </w:r>
      <w:r w:rsidR="0091062B" w:rsidRPr="76BE792E">
        <w:rPr>
          <w:sz w:val="20"/>
        </w:rPr>
        <w:t xml:space="preserve">The main factors that predispose </w:t>
      </w:r>
      <w:r w:rsidR="003742E6" w:rsidRPr="76BE792E">
        <w:rPr>
          <w:sz w:val="20"/>
        </w:rPr>
        <w:t xml:space="preserve">a person </w:t>
      </w:r>
      <w:r w:rsidR="0091062B" w:rsidRPr="76BE792E">
        <w:rPr>
          <w:sz w:val="20"/>
        </w:rPr>
        <w:t>to develop</w:t>
      </w:r>
      <w:r w:rsidR="003742E6" w:rsidRPr="76BE792E">
        <w:rPr>
          <w:sz w:val="20"/>
        </w:rPr>
        <w:t>ing</w:t>
      </w:r>
      <w:r w:rsidR="0091062B" w:rsidRPr="76BE792E">
        <w:rPr>
          <w:sz w:val="20"/>
        </w:rPr>
        <w:t xml:space="preserve"> melanoma seem to </w:t>
      </w:r>
      <w:r w:rsidR="00787D06" w:rsidRPr="76BE792E">
        <w:rPr>
          <w:sz w:val="20"/>
        </w:rPr>
        <w:t>relate to</w:t>
      </w:r>
      <w:r w:rsidR="0091062B" w:rsidRPr="76BE792E">
        <w:rPr>
          <w:sz w:val="20"/>
        </w:rPr>
        <w:t xml:space="preserve"> recreational exposure to the sun and a history of sunburn.</w:t>
      </w:r>
      <w:r w:rsidR="0091062B" w:rsidRPr="76BE792E">
        <w:rPr>
          <w:rStyle w:val="FootnoteReference"/>
          <w:rFonts w:cs="Arial"/>
          <w:sz w:val="20"/>
        </w:rPr>
        <w:footnoteReference w:id="34"/>
      </w:r>
      <w:r w:rsidR="0091062B" w:rsidRPr="76BE792E">
        <w:rPr>
          <w:sz w:val="20"/>
        </w:rPr>
        <w:t xml:space="preserve"> </w:t>
      </w:r>
      <w:r w:rsidR="00A22FC8" w:rsidRPr="76BE792E">
        <w:rPr>
          <w:sz w:val="20"/>
        </w:rPr>
        <w:t>An ongoing focus on r</w:t>
      </w:r>
      <w:r w:rsidRPr="76BE792E">
        <w:rPr>
          <w:sz w:val="20"/>
        </w:rPr>
        <w:t>educing</w:t>
      </w:r>
      <w:r w:rsidRPr="006D3740">
        <w:t xml:space="preserve"> </w:t>
      </w:r>
      <w:r w:rsidRPr="76BE792E">
        <w:rPr>
          <w:sz w:val="20"/>
        </w:rPr>
        <w:t>morbidity and mortality such as primary</w:t>
      </w:r>
      <w:r w:rsidR="0072398E" w:rsidRPr="76BE792E">
        <w:rPr>
          <w:sz w:val="20"/>
        </w:rPr>
        <w:t xml:space="preserve"> (e.g. avoiding excessive exposure to ultraviolet rays)</w:t>
      </w:r>
      <w:r w:rsidRPr="76BE792E">
        <w:rPr>
          <w:sz w:val="20"/>
        </w:rPr>
        <w:t xml:space="preserve"> and secondary </w:t>
      </w:r>
      <w:r w:rsidR="0072398E" w:rsidRPr="76BE792E">
        <w:rPr>
          <w:sz w:val="20"/>
        </w:rPr>
        <w:t xml:space="preserve">(e.g. patients’ self-examination and medical examination) </w:t>
      </w:r>
      <w:r w:rsidRPr="76BE792E">
        <w:rPr>
          <w:sz w:val="20"/>
        </w:rPr>
        <w:t xml:space="preserve">prevention </w:t>
      </w:r>
      <w:r w:rsidR="00A22FC8" w:rsidRPr="76BE792E">
        <w:rPr>
          <w:sz w:val="20"/>
        </w:rPr>
        <w:t xml:space="preserve">strategies </w:t>
      </w:r>
      <w:r w:rsidRPr="76BE792E">
        <w:rPr>
          <w:sz w:val="20"/>
        </w:rPr>
        <w:t xml:space="preserve">should </w:t>
      </w:r>
      <w:r w:rsidR="00A22FC8" w:rsidRPr="76BE792E">
        <w:rPr>
          <w:sz w:val="20"/>
        </w:rPr>
        <w:t xml:space="preserve">continue to be </w:t>
      </w:r>
      <w:r w:rsidRPr="76BE792E">
        <w:rPr>
          <w:sz w:val="20"/>
        </w:rPr>
        <w:t>considered</w:t>
      </w:r>
      <w:r w:rsidR="003742E6" w:rsidRPr="76BE792E">
        <w:rPr>
          <w:sz w:val="20"/>
        </w:rPr>
        <w:t>,</w:t>
      </w:r>
      <w:r w:rsidR="00685E3C" w:rsidRPr="76BE792E">
        <w:rPr>
          <w:sz w:val="20"/>
        </w:rPr>
        <w:t xml:space="preserve"> especially in the most prevalent regions</w:t>
      </w:r>
      <w:r w:rsidR="000E3A6B" w:rsidRPr="76BE792E">
        <w:rPr>
          <w:sz w:val="20"/>
        </w:rPr>
        <w:t xml:space="preserve"> such as regional Victoria</w:t>
      </w:r>
      <w:r w:rsidR="003742E6" w:rsidRPr="76BE792E">
        <w:rPr>
          <w:sz w:val="20"/>
        </w:rPr>
        <w:t>,</w:t>
      </w:r>
      <w:r w:rsidR="006D3740" w:rsidRPr="76BE792E">
        <w:rPr>
          <w:sz w:val="20"/>
        </w:rPr>
        <w:t xml:space="preserve"> wh</w:t>
      </w:r>
      <w:r w:rsidR="003742E6" w:rsidRPr="76BE792E">
        <w:rPr>
          <w:sz w:val="20"/>
        </w:rPr>
        <w:t>ere residents</w:t>
      </w:r>
      <w:r w:rsidR="006D3740" w:rsidRPr="76BE792E">
        <w:rPr>
          <w:sz w:val="20"/>
        </w:rPr>
        <w:t xml:space="preserve"> are 44</w:t>
      </w:r>
      <w:r w:rsidR="0054537F">
        <w:rPr>
          <w:sz w:val="20"/>
        </w:rPr>
        <w:t>%</w:t>
      </w:r>
      <w:r w:rsidR="006D3740" w:rsidRPr="76BE792E">
        <w:rPr>
          <w:sz w:val="20"/>
        </w:rPr>
        <w:t xml:space="preserve"> more likely to be diagnosed with </w:t>
      </w:r>
      <w:r w:rsidR="00D64541" w:rsidRPr="76BE792E">
        <w:rPr>
          <w:sz w:val="20"/>
          <w:lang w:val="en"/>
        </w:rPr>
        <w:t>melanoma</w:t>
      </w:r>
      <w:r w:rsidR="006D3740" w:rsidRPr="76BE792E">
        <w:rPr>
          <w:sz w:val="20"/>
        </w:rPr>
        <w:t xml:space="preserve"> than Victorians living in major cities.</w:t>
      </w:r>
      <w:r w:rsidR="006D3740" w:rsidRPr="76BE792E">
        <w:rPr>
          <w:rStyle w:val="FootnoteReference"/>
          <w:rFonts w:cs="Arial"/>
          <w:sz w:val="20"/>
        </w:rPr>
        <w:footnoteReference w:id="35"/>
      </w:r>
    </w:p>
    <w:p w14:paraId="0E5A8EC8" w14:textId="3911C2B5" w:rsidR="00E8458B" w:rsidRPr="000144FD" w:rsidRDefault="00E8458B" w:rsidP="00A451D4">
      <w:pPr>
        <w:pStyle w:val="Heading3"/>
        <w:rPr>
          <w:b/>
          <w:bCs w:val="0"/>
        </w:rPr>
      </w:pPr>
      <w:bookmarkStart w:id="160" w:name="_Measure_1.6_–"/>
      <w:bookmarkStart w:id="161" w:name="_Toc19008010"/>
      <w:bookmarkEnd w:id="160"/>
      <w:r w:rsidRPr="000144FD">
        <w:rPr>
          <w:b/>
          <w:bCs w:val="0"/>
        </w:rPr>
        <w:lastRenderedPageBreak/>
        <w:t xml:space="preserve">Measure 1.6 – </w:t>
      </w:r>
      <w:r w:rsidR="006624DA" w:rsidRPr="000144FD">
        <w:rPr>
          <w:b/>
          <w:bCs w:val="0"/>
        </w:rPr>
        <w:t>Incidence of</w:t>
      </w:r>
      <w:r w:rsidR="00AF459A" w:rsidRPr="000144FD">
        <w:rPr>
          <w:b/>
          <w:bCs w:val="0"/>
        </w:rPr>
        <w:t xml:space="preserve"> female breast cancer</w:t>
      </w:r>
      <w:bookmarkEnd w:id="161"/>
    </w:p>
    <w:p w14:paraId="2E0ECBA5" w14:textId="47AC9EAE" w:rsidR="008D4EED" w:rsidRPr="00EA78AF" w:rsidRDefault="008D4EED" w:rsidP="00036AD7">
      <w:pPr>
        <w:pStyle w:val="Figurecaption"/>
        <w:rPr>
          <w:sz w:val="20"/>
        </w:rPr>
      </w:pPr>
      <w:bookmarkStart w:id="162" w:name="_Toc19008011"/>
      <w:bookmarkStart w:id="163" w:name="_Toc19008268"/>
      <w:bookmarkStart w:id="164" w:name="_Toc19008415"/>
      <w:bookmarkStart w:id="165" w:name="_Toc19008562"/>
      <w:bookmarkStart w:id="166" w:name="_Toc132552997"/>
      <w:bookmarkStart w:id="167" w:name="_Toc140827603"/>
      <w:r w:rsidRPr="00EA78AF">
        <w:rPr>
          <w:sz w:val="20"/>
        </w:rPr>
        <w:t>Figure 1.6</w:t>
      </w:r>
      <w:r w:rsidR="00827C4B" w:rsidRPr="00EA78AF">
        <w:rPr>
          <w:sz w:val="20"/>
        </w:rPr>
        <w:t>:</w:t>
      </w:r>
      <w:r w:rsidRPr="00EA78AF">
        <w:rPr>
          <w:sz w:val="20"/>
        </w:rPr>
        <w:t xml:space="preserve"> Incidence of female breast cancer in Victoria per 100,000 standardised to the 2001 Australian population, by year of diagnosis, 201</w:t>
      </w:r>
      <w:r w:rsidR="00376716" w:rsidRPr="00EA78AF">
        <w:rPr>
          <w:sz w:val="20"/>
        </w:rPr>
        <w:t>4</w:t>
      </w:r>
      <w:r w:rsidR="00D86376" w:rsidRPr="00EA78AF">
        <w:rPr>
          <w:sz w:val="20"/>
        </w:rPr>
        <w:t>, 2017</w:t>
      </w:r>
      <w:r w:rsidRPr="00EA78AF">
        <w:rPr>
          <w:sz w:val="20"/>
        </w:rPr>
        <w:t xml:space="preserve"> and 20</w:t>
      </w:r>
      <w:bookmarkEnd w:id="162"/>
      <w:bookmarkEnd w:id="163"/>
      <w:bookmarkEnd w:id="164"/>
      <w:bookmarkEnd w:id="165"/>
      <w:r w:rsidR="00D86376" w:rsidRPr="00EA78AF">
        <w:rPr>
          <w:sz w:val="20"/>
        </w:rPr>
        <w:t>2</w:t>
      </w:r>
      <w:r w:rsidR="00C64223" w:rsidRPr="00EA78AF">
        <w:rPr>
          <w:sz w:val="20"/>
        </w:rPr>
        <w:t>1</w:t>
      </w:r>
      <w:bookmarkEnd w:id="166"/>
      <w:bookmarkEnd w:id="167"/>
    </w:p>
    <w:p w14:paraId="099F1C97" w14:textId="1E8FF399" w:rsidR="00BB000B" w:rsidRPr="00BB000B" w:rsidRDefault="00BB000B" w:rsidP="00E87AAA">
      <w:pPr>
        <w:pStyle w:val="Body"/>
      </w:pPr>
      <w:r>
        <w:rPr>
          <w:noProof/>
        </w:rPr>
        <w:drawing>
          <wp:inline distT="0" distB="0" distL="0" distR="0" wp14:anchorId="1380EEE1" wp14:editId="2AE270AD">
            <wp:extent cx="5722174" cy="5595227"/>
            <wp:effectExtent l="0" t="0" r="0" b="5715"/>
            <wp:docPr id="304" name="Picture 304" descr="This figure shows a data summary of 'Measure 1.6 – Incidence of female breast cancer'. The data set is available under 'Measure 1.6 – Incidence of female breast cancer'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This figure shows a data summary of 'Measure 1.6 – Incidence of female breast cancer'. The data set is available under 'Measure 1.6 – Incidence of female breast cancer' in a separate volume, the Victorian cancer plan monitoring and evaluation framework: baseline report: Appendix 2: Datasets available on Cancer care &lt;https://www.health.vic.gov.au/health-strategies/cancer-care&gt;."/>
                    <pic:cNvPicPr/>
                  </pic:nvPicPr>
                  <pic:blipFill>
                    <a:blip r:embed="rId47"/>
                    <a:stretch>
                      <a:fillRect/>
                    </a:stretch>
                  </pic:blipFill>
                  <pic:spPr>
                    <a:xfrm>
                      <a:off x="0" y="0"/>
                      <a:ext cx="5741202" cy="5613833"/>
                    </a:xfrm>
                    <a:prstGeom prst="rect">
                      <a:avLst/>
                    </a:prstGeom>
                  </pic:spPr>
                </pic:pic>
              </a:graphicData>
            </a:graphic>
          </wp:inline>
        </w:drawing>
      </w:r>
    </w:p>
    <w:p w14:paraId="4395D46E" w14:textId="77777777" w:rsidR="0020440A" w:rsidRPr="0057553C" w:rsidRDefault="009A2DF4" w:rsidP="00FA1AAC">
      <w:pPr>
        <w:pStyle w:val="Tablefigurenote"/>
        <w:rPr>
          <w:i/>
          <w:iCs/>
          <w:sz w:val="18"/>
          <w:szCs w:val="18"/>
        </w:rPr>
      </w:pPr>
      <w:r w:rsidRPr="0057553C">
        <w:rPr>
          <w:i/>
          <w:iCs/>
          <w:sz w:val="18"/>
          <w:szCs w:val="18"/>
        </w:rPr>
        <w:t>Note:</w:t>
      </w:r>
      <w:r w:rsidR="00250B73" w:rsidRPr="0057553C">
        <w:rPr>
          <w:i/>
          <w:iCs/>
          <w:sz w:val="18"/>
          <w:szCs w:val="18"/>
        </w:rPr>
        <w:t xml:space="preserve"> </w:t>
      </w:r>
      <w:r w:rsidRPr="0057553C">
        <w:rPr>
          <w:i/>
          <w:iCs/>
          <w:sz w:val="18"/>
          <w:szCs w:val="18"/>
        </w:rPr>
        <w:t>Results by</w:t>
      </w:r>
      <w:r w:rsidR="0011089F" w:rsidRPr="0057553C">
        <w:rPr>
          <w:i/>
          <w:iCs/>
          <w:sz w:val="18"/>
          <w:szCs w:val="18"/>
        </w:rPr>
        <w:t xml:space="preserve"> cultural diversity</w:t>
      </w:r>
      <w:r w:rsidRPr="0057553C">
        <w:rPr>
          <w:i/>
          <w:iCs/>
          <w:sz w:val="18"/>
          <w:szCs w:val="18"/>
        </w:rPr>
        <w:t xml:space="preserve"> are not presented </w:t>
      </w:r>
      <w:r w:rsidR="005D072A" w:rsidRPr="0057553C">
        <w:rPr>
          <w:i/>
          <w:iCs/>
          <w:sz w:val="18"/>
          <w:szCs w:val="18"/>
        </w:rPr>
        <w:t>because</w:t>
      </w:r>
      <w:r w:rsidR="005D072A" w:rsidRPr="0057553C" w:rsidDel="005D072A">
        <w:rPr>
          <w:i/>
          <w:iCs/>
          <w:sz w:val="18"/>
          <w:szCs w:val="18"/>
        </w:rPr>
        <w:t xml:space="preserve"> </w:t>
      </w:r>
      <w:r w:rsidRPr="0057553C">
        <w:rPr>
          <w:i/>
          <w:iCs/>
          <w:sz w:val="18"/>
          <w:szCs w:val="18"/>
        </w:rPr>
        <w:t>the ERP does not estimate the population by</w:t>
      </w:r>
      <w:r w:rsidR="0011089F" w:rsidRPr="0057553C">
        <w:rPr>
          <w:i/>
          <w:iCs/>
          <w:sz w:val="18"/>
          <w:szCs w:val="18"/>
        </w:rPr>
        <w:t xml:space="preserve"> cultural diversity</w:t>
      </w:r>
      <w:r w:rsidRPr="0057553C">
        <w:rPr>
          <w:i/>
          <w:iCs/>
          <w:sz w:val="18"/>
          <w:szCs w:val="18"/>
        </w:rPr>
        <w:t>, hence there is no denominator for this variable.</w:t>
      </w:r>
    </w:p>
    <w:p w14:paraId="31830B76" w14:textId="35ADC3C8" w:rsidR="00A76E50" w:rsidRPr="0011089F" w:rsidRDefault="0020440A" w:rsidP="00FA1AAC">
      <w:pPr>
        <w:pStyle w:val="Tablefigurenote"/>
      </w:pPr>
      <w:r w:rsidRPr="0057553C">
        <w:rPr>
          <w:i/>
          <w:iCs/>
          <w:color w:val="000000"/>
          <w:sz w:val="18"/>
          <w:szCs w:val="18"/>
        </w:rPr>
        <w:t>Appendix 2 provides the dataset.</w:t>
      </w:r>
      <w:r w:rsidR="00A76E50">
        <w:br w:type="page"/>
      </w:r>
    </w:p>
    <w:p w14:paraId="79B8C8FB" w14:textId="1E408772" w:rsidR="00A76E50" w:rsidRDefault="00A76E50" w:rsidP="00036AD7">
      <w:pPr>
        <w:pStyle w:val="Figurecaption"/>
        <w:rPr>
          <w:sz w:val="20"/>
        </w:rPr>
      </w:pPr>
      <w:bookmarkStart w:id="168" w:name="_Toc19008012"/>
      <w:bookmarkStart w:id="169" w:name="_Toc19008269"/>
      <w:bookmarkStart w:id="170" w:name="_Toc19008416"/>
      <w:bookmarkStart w:id="171" w:name="_Toc19008563"/>
      <w:bookmarkStart w:id="172" w:name="_Toc132552998"/>
      <w:bookmarkStart w:id="173" w:name="_Toc140827604"/>
      <w:r w:rsidRPr="00EA78AF">
        <w:rPr>
          <w:sz w:val="20"/>
          <w:lang w:eastAsia="en-AU"/>
        </w:rPr>
        <w:lastRenderedPageBreak/>
        <w:t>Figure 1.6.1</w:t>
      </w:r>
      <w:r w:rsidR="00827C4B" w:rsidRPr="00EA78AF">
        <w:rPr>
          <w:sz w:val="20"/>
          <w:lang w:eastAsia="en-AU"/>
        </w:rPr>
        <w:t>:</w:t>
      </w:r>
      <w:r w:rsidRPr="00EA78AF">
        <w:rPr>
          <w:sz w:val="20"/>
          <w:lang w:eastAsia="en-AU"/>
        </w:rPr>
        <w:t xml:space="preserve"> Incidence of female breast cancer in Victoria per </w:t>
      </w:r>
      <w:r w:rsidRPr="00EA78AF">
        <w:rPr>
          <w:color w:val="000000" w:themeColor="text1"/>
          <w:sz w:val="20"/>
        </w:rPr>
        <w:t xml:space="preserve">100,000 standardised to the 2001 Australian population, by </w:t>
      </w:r>
      <w:r w:rsidR="008439C8" w:rsidRPr="00EA78AF">
        <w:rPr>
          <w:color w:val="000000" w:themeColor="text1"/>
          <w:sz w:val="20"/>
        </w:rPr>
        <w:t>ICS</w:t>
      </w:r>
      <w:r w:rsidRPr="00EA78AF">
        <w:rPr>
          <w:sz w:val="20"/>
        </w:rPr>
        <w:t xml:space="preserve"> </w:t>
      </w:r>
      <w:r w:rsidR="0031077F" w:rsidRPr="00EA78AF">
        <w:rPr>
          <w:sz w:val="20"/>
        </w:rPr>
        <w:t xml:space="preserve">and </w:t>
      </w:r>
      <w:r w:rsidRPr="00EA78AF">
        <w:rPr>
          <w:sz w:val="20"/>
        </w:rPr>
        <w:t>year, 201</w:t>
      </w:r>
      <w:r w:rsidR="00220DFB" w:rsidRPr="00EA78AF">
        <w:rPr>
          <w:sz w:val="20"/>
        </w:rPr>
        <w:t>4</w:t>
      </w:r>
      <w:r w:rsidR="00871E03" w:rsidRPr="00EA78AF">
        <w:rPr>
          <w:sz w:val="20"/>
        </w:rPr>
        <w:t>,</w:t>
      </w:r>
      <w:r w:rsidRPr="00EA78AF">
        <w:rPr>
          <w:sz w:val="20"/>
        </w:rPr>
        <w:t xml:space="preserve"> 2017</w:t>
      </w:r>
      <w:bookmarkEnd w:id="168"/>
      <w:bookmarkEnd w:id="169"/>
      <w:bookmarkEnd w:id="170"/>
      <w:bookmarkEnd w:id="171"/>
      <w:r w:rsidR="00871E03" w:rsidRPr="00EA78AF">
        <w:rPr>
          <w:sz w:val="20"/>
        </w:rPr>
        <w:t xml:space="preserve"> and 202</w:t>
      </w:r>
      <w:r w:rsidR="00C64223" w:rsidRPr="00EA78AF">
        <w:rPr>
          <w:sz w:val="20"/>
        </w:rPr>
        <w:t>1</w:t>
      </w:r>
      <w:bookmarkEnd w:id="172"/>
      <w:bookmarkEnd w:id="173"/>
    </w:p>
    <w:p w14:paraId="08A8EAFA" w14:textId="0D35B8E1" w:rsidR="002F3FCB" w:rsidRPr="002F3FCB" w:rsidRDefault="00240A54" w:rsidP="002F3FCB">
      <w:pPr>
        <w:pStyle w:val="DHHSbody"/>
      </w:pPr>
      <w:r w:rsidRPr="00240A54">
        <w:rPr>
          <w:noProof/>
        </w:rPr>
        <w:drawing>
          <wp:inline distT="0" distB="0" distL="0" distR="0" wp14:anchorId="1DD0D142" wp14:editId="556B374F">
            <wp:extent cx="5906814" cy="2995299"/>
            <wp:effectExtent l="0" t="0" r="0" b="0"/>
            <wp:docPr id="319" name="Picture 319" descr="This figure (bar graph) presents the incidence of female breast cancer in Victoria by Integrated Cancer Service for 2014, 2017 and 2021.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This figure (bar graph) presents the incidence of female breast cancer in Victoria by Integrated Cancer Service for 2014, 2017 and 2021.  Data labels have been included in the bar graph."/>
                    <pic:cNvPicPr/>
                  </pic:nvPicPr>
                  <pic:blipFill>
                    <a:blip r:embed="rId48"/>
                    <a:stretch>
                      <a:fillRect/>
                    </a:stretch>
                  </pic:blipFill>
                  <pic:spPr>
                    <a:xfrm>
                      <a:off x="0" y="0"/>
                      <a:ext cx="5921946" cy="3002972"/>
                    </a:xfrm>
                    <a:prstGeom prst="rect">
                      <a:avLst/>
                    </a:prstGeom>
                  </pic:spPr>
                </pic:pic>
              </a:graphicData>
            </a:graphic>
          </wp:inline>
        </w:drawing>
      </w:r>
    </w:p>
    <w:p w14:paraId="1CD40DC0" w14:textId="39E2D599" w:rsidR="00665D4B" w:rsidRPr="009535E2" w:rsidRDefault="00665D4B" w:rsidP="00E87AAA">
      <w:pPr>
        <w:pStyle w:val="Body"/>
      </w:pPr>
      <w:r w:rsidRPr="007C7F00">
        <w:rPr>
          <w:rStyle w:val="Heading4Char"/>
        </w:rPr>
        <w:t>Measure assessment</w:t>
      </w:r>
    </w:p>
    <w:p w14:paraId="4F47114F" w14:textId="77777777" w:rsidR="0063336F" w:rsidRPr="00EA78AF" w:rsidRDefault="0063336F" w:rsidP="00606436">
      <w:pPr>
        <w:pStyle w:val="Body"/>
        <w:rPr>
          <w:sz w:val="20"/>
        </w:rPr>
      </w:pPr>
      <w:r w:rsidRPr="00EA78AF">
        <w:rPr>
          <w:sz w:val="20"/>
        </w:rPr>
        <w:t>Traffic light rating:</w:t>
      </w:r>
      <w:r w:rsidRPr="00EA78AF">
        <w:rPr>
          <w:color w:val="AF272F"/>
          <w:sz w:val="20"/>
        </w:rPr>
        <w:t xml:space="preserve"> </w:t>
      </w:r>
      <w:r w:rsidRPr="00EA78AF">
        <w:rPr>
          <w:b/>
          <w:color w:val="C5511A"/>
          <w:sz w:val="20"/>
        </w:rPr>
        <w:t>Amber</w:t>
      </w:r>
      <w:r w:rsidRPr="00EA78AF">
        <w:rPr>
          <w:b/>
          <w:sz w:val="20"/>
        </w:rPr>
        <w:t xml:space="preserve"> </w:t>
      </w:r>
      <w:r w:rsidRPr="00EA78AF">
        <w:rPr>
          <w:sz w:val="20"/>
        </w:rPr>
        <w:t>(desired result not yet evident)</w:t>
      </w:r>
    </w:p>
    <w:p w14:paraId="632CF886" w14:textId="023F6C8F" w:rsidR="0063336F" w:rsidRPr="00EA78AF" w:rsidRDefault="0063336F" w:rsidP="00606436">
      <w:pPr>
        <w:pStyle w:val="Body"/>
        <w:rPr>
          <w:sz w:val="20"/>
        </w:rPr>
      </w:pPr>
      <w:r w:rsidRPr="00EA78AF">
        <w:rPr>
          <w:sz w:val="20"/>
        </w:rPr>
        <w:t>Overall trend: Static or unchanging</w:t>
      </w:r>
    </w:p>
    <w:p w14:paraId="0848481D" w14:textId="3C52F9E7" w:rsidR="007372D8" w:rsidRPr="00EA78AF" w:rsidRDefault="003E5FD3" w:rsidP="00E87AAA">
      <w:pPr>
        <w:pStyle w:val="Body"/>
        <w:rPr>
          <w:color w:val="231F20"/>
          <w:sz w:val="20"/>
          <w:shd w:val="clear" w:color="auto" w:fill="FFFFFF"/>
        </w:rPr>
      </w:pPr>
      <w:r w:rsidRPr="76BE792E">
        <w:rPr>
          <w:sz w:val="20"/>
          <w:lang w:eastAsia="en-AU"/>
        </w:rPr>
        <w:t xml:space="preserve">Commentary: </w:t>
      </w:r>
      <w:r w:rsidR="00B15809" w:rsidRPr="76BE792E">
        <w:rPr>
          <w:sz w:val="20"/>
          <w:lang w:val="en"/>
        </w:rPr>
        <w:t xml:space="preserve">Breast cancer </w:t>
      </w:r>
      <w:r w:rsidR="00F323FA" w:rsidRPr="76BE792E">
        <w:rPr>
          <w:sz w:val="20"/>
          <w:lang w:val="en"/>
        </w:rPr>
        <w:t>is</w:t>
      </w:r>
      <w:r w:rsidR="00B15809" w:rsidRPr="76BE792E">
        <w:rPr>
          <w:sz w:val="20"/>
          <w:lang w:val="en"/>
        </w:rPr>
        <w:t xml:space="preserve"> the most common malignancy in women</w:t>
      </w:r>
      <w:r w:rsidR="00AD0F00" w:rsidRPr="76BE792E">
        <w:rPr>
          <w:sz w:val="20"/>
          <w:lang w:val="en"/>
        </w:rPr>
        <w:t xml:space="preserve"> (although it </w:t>
      </w:r>
      <w:r w:rsidR="00FA343A" w:rsidRPr="76BE792E">
        <w:rPr>
          <w:sz w:val="20"/>
          <w:lang w:val="en"/>
        </w:rPr>
        <w:t xml:space="preserve">can occur in </w:t>
      </w:r>
      <w:r w:rsidR="00AD0F00" w:rsidRPr="76BE792E">
        <w:rPr>
          <w:sz w:val="20"/>
          <w:lang w:val="en"/>
        </w:rPr>
        <w:t>males)</w:t>
      </w:r>
      <w:r w:rsidR="00B15809" w:rsidRPr="76BE792E">
        <w:rPr>
          <w:sz w:val="20"/>
          <w:lang w:val="en"/>
        </w:rPr>
        <w:t xml:space="preserve"> around the world</w:t>
      </w:r>
      <w:r w:rsidR="00B3186D" w:rsidRPr="76BE792E">
        <w:rPr>
          <w:sz w:val="20"/>
          <w:lang w:val="en"/>
        </w:rPr>
        <w:t>.</w:t>
      </w:r>
      <w:r w:rsidR="00B3186D" w:rsidRPr="76BE792E">
        <w:rPr>
          <w:rStyle w:val="FootnoteReference"/>
          <w:rFonts w:cs="Arial"/>
          <w:sz w:val="20"/>
          <w:lang w:val="en"/>
        </w:rPr>
        <w:footnoteReference w:id="36"/>
      </w:r>
      <w:r w:rsidR="008F59AE" w:rsidRPr="76BE792E">
        <w:rPr>
          <w:sz w:val="20"/>
          <w:lang w:val="en"/>
        </w:rPr>
        <w:t xml:space="preserve"> In 20</w:t>
      </w:r>
      <w:r w:rsidR="00160810" w:rsidRPr="76BE792E">
        <w:rPr>
          <w:sz w:val="20"/>
          <w:lang w:val="en"/>
        </w:rPr>
        <w:t>20</w:t>
      </w:r>
      <w:r w:rsidR="008F59AE" w:rsidRPr="76BE792E">
        <w:rPr>
          <w:sz w:val="20"/>
          <w:lang w:val="en"/>
        </w:rPr>
        <w:t xml:space="preserve"> </w:t>
      </w:r>
      <w:r w:rsidR="00786519" w:rsidRPr="76BE792E">
        <w:rPr>
          <w:sz w:val="20"/>
        </w:rPr>
        <w:t xml:space="preserve">the World Health Organization GLOBOCAN database </w:t>
      </w:r>
      <w:r w:rsidR="00F323FA" w:rsidRPr="76BE792E">
        <w:rPr>
          <w:sz w:val="20"/>
          <w:lang w:val="en"/>
        </w:rPr>
        <w:t xml:space="preserve">estimated </w:t>
      </w:r>
      <w:r w:rsidR="008F59AE" w:rsidRPr="76BE792E">
        <w:rPr>
          <w:sz w:val="20"/>
          <w:lang w:val="en"/>
        </w:rPr>
        <w:t>there would be 2.</w:t>
      </w:r>
      <w:r w:rsidR="00160810" w:rsidRPr="76BE792E">
        <w:rPr>
          <w:sz w:val="20"/>
          <w:lang w:val="en"/>
        </w:rPr>
        <w:t>3</w:t>
      </w:r>
      <w:r w:rsidR="008F59AE" w:rsidRPr="76BE792E">
        <w:rPr>
          <w:sz w:val="20"/>
          <w:lang w:val="en"/>
        </w:rPr>
        <w:t xml:space="preserve"> million newly diagnosed female breast cancer cases, accounting for </w:t>
      </w:r>
      <w:r w:rsidR="00A46CCA" w:rsidRPr="76BE792E">
        <w:rPr>
          <w:sz w:val="20"/>
          <w:lang w:val="en"/>
        </w:rPr>
        <w:t>one</w:t>
      </w:r>
      <w:r w:rsidR="008F59AE" w:rsidRPr="76BE792E">
        <w:rPr>
          <w:sz w:val="20"/>
          <w:lang w:val="en"/>
        </w:rPr>
        <w:t xml:space="preserve"> in </w:t>
      </w:r>
      <w:r w:rsidR="00A46CCA" w:rsidRPr="76BE792E">
        <w:rPr>
          <w:sz w:val="20"/>
          <w:lang w:val="en"/>
        </w:rPr>
        <w:t>four</w:t>
      </w:r>
      <w:r w:rsidR="008F59AE" w:rsidRPr="76BE792E">
        <w:rPr>
          <w:sz w:val="20"/>
          <w:lang w:val="en"/>
        </w:rPr>
        <w:t xml:space="preserve"> cancer</w:t>
      </w:r>
      <w:r w:rsidR="00160810" w:rsidRPr="76BE792E">
        <w:rPr>
          <w:sz w:val="20"/>
          <w:lang w:val="en"/>
        </w:rPr>
        <w:t>s diagnosed</w:t>
      </w:r>
      <w:r w:rsidR="008F59AE" w:rsidRPr="76BE792E">
        <w:rPr>
          <w:sz w:val="20"/>
          <w:lang w:val="en"/>
        </w:rPr>
        <w:t xml:space="preserve"> among women</w:t>
      </w:r>
      <w:r w:rsidR="00160810" w:rsidRPr="76BE792E">
        <w:rPr>
          <w:sz w:val="20"/>
          <w:lang w:val="en"/>
        </w:rPr>
        <w:t xml:space="preserve"> globally</w:t>
      </w:r>
      <w:r w:rsidR="008F59AE" w:rsidRPr="76BE792E">
        <w:rPr>
          <w:sz w:val="20"/>
          <w:lang w:val="en"/>
        </w:rPr>
        <w:t>.</w:t>
      </w:r>
      <w:r w:rsidR="00160810" w:rsidRPr="76BE792E">
        <w:rPr>
          <w:rStyle w:val="FootnoteReference"/>
          <w:rFonts w:cs="Arial"/>
          <w:sz w:val="20"/>
          <w:lang w:val="en"/>
        </w:rPr>
        <w:footnoteReference w:id="37"/>
      </w:r>
      <w:r w:rsidR="00865D0C" w:rsidRPr="76BE792E">
        <w:rPr>
          <w:sz w:val="20"/>
          <w:lang w:val="en"/>
        </w:rPr>
        <w:t xml:space="preserve"> In Austr</w:t>
      </w:r>
      <w:r w:rsidR="00905BEB" w:rsidRPr="76BE792E">
        <w:rPr>
          <w:sz w:val="20"/>
          <w:lang w:val="en"/>
        </w:rPr>
        <w:t>alia this global trend is also reflected in national cancer statistics</w:t>
      </w:r>
      <w:r w:rsidR="0001449F" w:rsidRPr="76BE792E">
        <w:rPr>
          <w:sz w:val="20"/>
          <w:lang w:val="en"/>
        </w:rPr>
        <w:t>,</w:t>
      </w:r>
      <w:r w:rsidR="00905BEB" w:rsidRPr="76BE792E">
        <w:rPr>
          <w:sz w:val="20"/>
          <w:lang w:val="en"/>
        </w:rPr>
        <w:t xml:space="preserve"> with breast cancer also the most common cancer affecting women</w:t>
      </w:r>
      <w:r w:rsidR="005111EB" w:rsidRPr="76BE792E">
        <w:rPr>
          <w:sz w:val="20"/>
          <w:lang w:val="en"/>
        </w:rPr>
        <w:t xml:space="preserve"> including Aboriginal and Torres Strait Islander </w:t>
      </w:r>
      <w:r w:rsidR="00491339" w:rsidRPr="76BE792E">
        <w:rPr>
          <w:sz w:val="20"/>
          <w:lang w:val="en"/>
        </w:rPr>
        <w:t>women</w:t>
      </w:r>
      <w:r w:rsidR="00905BEB" w:rsidRPr="76BE792E">
        <w:rPr>
          <w:sz w:val="20"/>
          <w:lang w:val="en"/>
        </w:rPr>
        <w:t>.</w:t>
      </w:r>
      <w:r w:rsidR="007372D8" w:rsidRPr="76BE792E">
        <w:rPr>
          <w:sz w:val="20"/>
          <w:lang w:val="en"/>
        </w:rPr>
        <w:t xml:space="preserve"> </w:t>
      </w:r>
      <w:r w:rsidR="005F3565" w:rsidRPr="76BE792E">
        <w:rPr>
          <w:color w:val="231F20"/>
          <w:sz w:val="20"/>
          <w:shd w:val="clear" w:color="auto" w:fill="FFFFFF"/>
        </w:rPr>
        <w:t xml:space="preserve">In 2017 </w:t>
      </w:r>
      <w:r w:rsidR="00234E6F" w:rsidRPr="76BE792E">
        <w:rPr>
          <w:color w:val="231F20"/>
          <w:sz w:val="20"/>
          <w:shd w:val="clear" w:color="auto" w:fill="FFFFFF"/>
        </w:rPr>
        <w:t xml:space="preserve">the age-standardised rate for breast cancer in females was 124.8 per 100,000 population compared </w:t>
      </w:r>
      <w:r w:rsidR="002769E7" w:rsidRPr="76BE792E">
        <w:rPr>
          <w:color w:val="231F20"/>
          <w:sz w:val="20"/>
          <w:shd w:val="clear" w:color="auto" w:fill="FFFFFF"/>
        </w:rPr>
        <w:t xml:space="preserve">with </w:t>
      </w:r>
      <w:r w:rsidR="00F323FA" w:rsidRPr="76BE792E">
        <w:rPr>
          <w:color w:val="231F20"/>
          <w:sz w:val="20"/>
          <w:shd w:val="clear" w:color="auto" w:fill="FFFFFF"/>
        </w:rPr>
        <w:t>an</w:t>
      </w:r>
      <w:r w:rsidR="00234E6F" w:rsidRPr="76BE792E">
        <w:rPr>
          <w:color w:val="231F20"/>
          <w:sz w:val="20"/>
          <w:shd w:val="clear" w:color="auto" w:fill="FFFFFF"/>
        </w:rPr>
        <w:t xml:space="preserve"> age-standardised rate in males </w:t>
      </w:r>
      <w:r w:rsidR="00F323FA" w:rsidRPr="76BE792E">
        <w:rPr>
          <w:color w:val="231F20"/>
          <w:sz w:val="20"/>
          <w:shd w:val="clear" w:color="auto" w:fill="FFFFFF"/>
        </w:rPr>
        <w:t xml:space="preserve">of </w:t>
      </w:r>
      <w:r w:rsidR="00234E6F" w:rsidRPr="76BE792E">
        <w:rPr>
          <w:color w:val="231F20"/>
          <w:sz w:val="20"/>
          <w:shd w:val="clear" w:color="auto" w:fill="FFFFFF"/>
        </w:rPr>
        <w:t>1.0 per 100,000 population.</w:t>
      </w:r>
      <w:r w:rsidR="00234E6F" w:rsidRPr="76BE792E">
        <w:rPr>
          <w:rStyle w:val="FootnoteReference"/>
          <w:rFonts w:cs="Arial"/>
          <w:color w:val="231F20"/>
          <w:sz w:val="20"/>
          <w:shd w:val="clear" w:color="auto" w:fill="FFFFFF"/>
        </w:rPr>
        <w:footnoteReference w:id="38"/>
      </w:r>
      <w:r w:rsidR="00234E6F" w:rsidRPr="76BE792E">
        <w:rPr>
          <w:color w:val="231F20"/>
          <w:sz w:val="20"/>
          <w:shd w:val="clear" w:color="auto" w:fill="FFFFFF"/>
        </w:rPr>
        <w:t xml:space="preserve"> </w:t>
      </w:r>
      <w:r w:rsidR="00AD0F00" w:rsidRPr="76BE792E">
        <w:rPr>
          <w:sz w:val="20"/>
          <w:lang w:val="en"/>
        </w:rPr>
        <w:t>Because of the disproportionate low incidence rate of breast cancer in men, this measure focuses on breast cancer in Victorian females only.</w:t>
      </w:r>
    </w:p>
    <w:p w14:paraId="46FAB579" w14:textId="14E1A5CA" w:rsidR="004442C4" w:rsidRPr="00EA78AF" w:rsidRDefault="00AC3576" w:rsidP="00E87AAA">
      <w:pPr>
        <w:pStyle w:val="Body"/>
        <w:rPr>
          <w:sz w:val="20"/>
          <w:lang w:val="en"/>
        </w:rPr>
        <w:sectPr w:rsidR="004442C4" w:rsidRPr="00EA78AF" w:rsidSect="009302EB">
          <w:type w:val="continuous"/>
          <w:pgSz w:w="11906" w:h="16838"/>
          <w:pgMar w:top="1411" w:right="1310" w:bottom="1138" w:left="1310" w:header="454" w:footer="510" w:gutter="0"/>
          <w:cols w:space="720"/>
          <w:docGrid w:linePitch="360"/>
        </w:sectPr>
      </w:pPr>
      <w:r w:rsidRPr="76BE792E">
        <w:rPr>
          <w:sz w:val="20"/>
          <w:lang w:val="en"/>
        </w:rPr>
        <w:t>In Victoria breast cancer is the second most common new cancer</w:t>
      </w:r>
      <w:r w:rsidR="00F323FA" w:rsidRPr="76BE792E">
        <w:rPr>
          <w:sz w:val="20"/>
          <w:lang w:val="en"/>
        </w:rPr>
        <w:t>,</w:t>
      </w:r>
      <w:r w:rsidRPr="76BE792E">
        <w:rPr>
          <w:sz w:val="20"/>
          <w:lang w:val="en"/>
        </w:rPr>
        <w:t xml:space="preserve"> account</w:t>
      </w:r>
      <w:r w:rsidR="00B96827" w:rsidRPr="76BE792E">
        <w:rPr>
          <w:sz w:val="20"/>
          <w:lang w:val="en"/>
        </w:rPr>
        <w:t>ing</w:t>
      </w:r>
      <w:r w:rsidRPr="76BE792E">
        <w:rPr>
          <w:sz w:val="20"/>
          <w:lang w:val="en"/>
        </w:rPr>
        <w:t xml:space="preserve"> for </w:t>
      </w:r>
      <w:r w:rsidR="00DF731D" w:rsidRPr="76BE792E">
        <w:rPr>
          <w:sz w:val="20"/>
          <w:lang w:val="en"/>
        </w:rPr>
        <w:t>13</w:t>
      </w:r>
      <w:r w:rsidR="0054537F">
        <w:rPr>
          <w:sz w:val="20"/>
          <w:lang w:val="en"/>
        </w:rPr>
        <w:t>%</w:t>
      </w:r>
      <w:r w:rsidR="00DF731D" w:rsidRPr="76BE792E">
        <w:rPr>
          <w:sz w:val="20"/>
          <w:lang w:val="en"/>
        </w:rPr>
        <w:t xml:space="preserve"> of all new cases diagnosed in 2021 and </w:t>
      </w:r>
      <w:r w:rsidR="004F3548" w:rsidRPr="76BE792E">
        <w:rPr>
          <w:sz w:val="20"/>
          <w:lang w:val="en"/>
        </w:rPr>
        <w:t>29</w:t>
      </w:r>
      <w:r w:rsidR="0054537F">
        <w:rPr>
          <w:sz w:val="20"/>
          <w:lang w:val="en"/>
        </w:rPr>
        <w:t>%</w:t>
      </w:r>
      <w:r w:rsidRPr="76BE792E">
        <w:rPr>
          <w:sz w:val="20"/>
          <w:lang w:val="en"/>
        </w:rPr>
        <w:t xml:space="preserve"> </w:t>
      </w:r>
      <w:r w:rsidR="00DF731D" w:rsidRPr="76BE792E">
        <w:rPr>
          <w:sz w:val="20"/>
          <w:lang w:val="en"/>
        </w:rPr>
        <w:t>in females</w:t>
      </w:r>
      <w:r w:rsidRPr="76BE792E">
        <w:rPr>
          <w:sz w:val="20"/>
          <w:lang w:val="en"/>
        </w:rPr>
        <w:t>.</w:t>
      </w:r>
      <w:r w:rsidR="00A61269" w:rsidRPr="76BE792E">
        <w:rPr>
          <w:rStyle w:val="FootnoteReference"/>
          <w:rFonts w:cs="Arial"/>
          <w:sz w:val="20"/>
          <w:lang w:val="en"/>
        </w:rPr>
        <w:footnoteReference w:id="39"/>
      </w:r>
      <w:r w:rsidR="00F53BE0" w:rsidRPr="76BE792E">
        <w:rPr>
          <w:sz w:val="20"/>
          <w:lang w:val="en"/>
        </w:rPr>
        <w:t xml:space="preserve"> </w:t>
      </w:r>
      <w:r w:rsidR="008A3F25" w:rsidRPr="76BE792E">
        <w:rPr>
          <w:sz w:val="20"/>
          <w:lang w:val="en"/>
        </w:rPr>
        <w:t>Nevertheless breast cancer incidence rates are projected to remain stable over the next decade</w:t>
      </w:r>
      <w:r w:rsidR="00A5001A" w:rsidRPr="76BE792E">
        <w:rPr>
          <w:sz w:val="20"/>
          <w:lang w:val="en"/>
        </w:rPr>
        <w:t>.</w:t>
      </w:r>
      <w:r w:rsidR="00A5001A" w:rsidRPr="76BE792E">
        <w:rPr>
          <w:rStyle w:val="FootnoteReference"/>
          <w:rFonts w:cs="Arial"/>
          <w:sz w:val="20"/>
          <w:lang w:val="en"/>
        </w:rPr>
        <w:footnoteReference w:id="40"/>
      </w:r>
    </w:p>
    <w:p w14:paraId="7CC27D72" w14:textId="610247C8" w:rsidR="004442C4" w:rsidRDefault="004442C4" w:rsidP="004442C4">
      <w:pPr>
        <w:pStyle w:val="Figurecaption"/>
        <w:rPr>
          <w:sz w:val="20"/>
        </w:rPr>
      </w:pPr>
      <w:bookmarkStart w:id="174" w:name="_Toc19008013"/>
      <w:bookmarkStart w:id="175" w:name="_Toc19008270"/>
      <w:bookmarkStart w:id="176" w:name="_Toc19008417"/>
      <w:bookmarkStart w:id="177" w:name="_Toc19008564"/>
      <w:bookmarkStart w:id="178" w:name="_Toc132552999"/>
      <w:bookmarkStart w:id="179" w:name="_Toc140827605"/>
      <w:r w:rsidRPr="00EA78AF">
        <w:rPr>
          <w:sz w:val="20"/>
        </w:rPr>
        <w:lastRenderedPageBreak/>
        <w:t>Figure 1.6.2</w:t>
      </w:r>
      <w:r w:rsidR="00827C4B" w:rsidRPr="00EA78AF">
        <w:rPr>
          <w:sz w:val="20"/>
        </w:rPr>
        <w:t>:</w:t>
      </w:r>
      <w:r w:rsidRPr="00EA78AF">
        <w:rPr>
          <w:sz w:val="20"/>
        </w:rPr>
        <w:t xml:space="preserve"> Incidence of female breast cancer in Victoria per 100,000 standardised to the 2001 Australian population, by Victorian LGA, 201</w:t>
      </w:r>
      <w:bookmarkEnd w:id="174"/>
      <w:bookmarkEnd w:id="175"/>
      <w:bookmarkEnd w:id="176"/>
      <w:bookmarkEnd w:id="177"/>
      <w:r w:rsidRPr="00EA78AF">
        <w:rPr>
          <w:sz w:val="20"/>
        </w:rPr>
        <w:t>4, 2017 and 202</w:t>
      </w:r>
      <w:r w:rsidR="00466EB8" w:rsidRPr="00EA78AF">
        <w:rPr>
          <w:sz w:val="20"/>
        </w:rPr>
        <w:t>1</w:t>
      </w:r>
      <w:bookmarkEnd w:id="178"/>
      <w:bookmarkEnd w:id="179"/>
    </w:p>
    <w:p w14:paraId="0C560CEC" w14:textId="7C0D7AAB" w:rsidR="00466EB8" w:rsidRPr="00466EB8" w:rsidRDefault="00240A54" w:rsidP="00240A54">
      <w:pPr>
        <w:pStyle w:val="DHHSbody"/>
      </w:pPr>
      <w:r w:rsidRPr="00240A54">
        <w:rPr>
          <w:noProof/>
        </w:rPr>
        <w:drawing>
          <wp:inline distT="0" distB="0" distL="0" distR="0" wp14:anchorId="7E6AD7BB" wp14:editId="6A7DA0A8">
            <wp:extent cx="3064713" cy="5160580"/>
            <wp:effectExtent l="0" t="0" r="2540" b="2540"/>
            <wp:docPr id="320" name="Picture 320" descr="This figure shows a map of Victoria showing the highest and lowest reported rates of female breast cancer in 2014, 2017 and 2021. The data set is available under 'Measure 1.6 – Incidence of female breast cancer'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This figure shows a map of Victoria showing the highest and lowest reported rates of female breast cancer in 2014, 2017 and 2021. The data set is available under 'Measure 1.6 – Incidence of female breast cancer' in a separate volume, the Victorian cancer plan monitoring and evaluation framework: baseline report: Appendix 2: Datasets available on Cancer care &lt;https://www.health.vic.gov.au/health-strategies/cancer-care&gt;."/>
                    <pic:cNvPicPr/>
                  </pic:nvPicPr>
                  <pic:blipFill>
                    <a:blip r:embed="rId49"/>
                    <a:stretch>
                      <a:fillRect/>
                    </a:stretch>
                  </pic:blipFill>
                  <pic:spPr>
                    <a:xfrm>
                      <a:off x="0" y="0"/>
                      <a:ext cx="3089157" cy="5201741"/>
                    </a:xfrm>
                    <a:prstGeom prst="rect">
                      <a:avLst/>
                    </a:prstGeom>
                  </pic:spPr>
                </pic:pic>
              </a:graphicData>
            </a:graphic>
          </wp:inline>
        </w:drawing>
      </w:r>
    </w:p>
    <w:p w14:paraId="579B766F" w14:textId="714A3274" w:rsidR="004A7970" w:rsidRPr="00EA78AF" w:rsidRDefault="004A7970" w:rsidP="00E87AAA">
      <w:pPr>
        <w:pStyle w:val="Body"/>
        <w:rPr>
          <w:sz w:val="20"/>
          <w:lang w:val="en"/>
        </w:rPr>
      </w:pPr>
      <w:r w:rsidRPr="00EA78AF">
        <w:rPr>
          <w:sz w:val="20"/>
          <w:lang w:val="en"/>
        </w:rPr>
        <w:t xml:space="preserve">Figure 1.6 shows that the </w:t>
      </w:r>
      <w:r w:rsidR="00F53BE0" w:rsidRPr="00EA78AF">
        <w:rPr>
          <w:sz w:val="20"/>
          <w:lang w:val="en"/>
        </w:rPr>
        <w:t xml:space="preserve">overall </w:t>
      </w:r>
      <w:r w:rsidRPr="00EA78AF">
        <w:rPr>
          <w:sz w:val="20"/>
          <w:lang w:val="en"/>
        </w:rPr>
        <w:t xml:space="preserve">age-standardised rate for </w:t>
      </w:r>
      <w:r w:rsidR="0047095D" w:rsidRPr="00EA78AF">
        <w:rPr>
          <w:sz w:val="20"/>
          <w:lang w:val="en"/>
        </w:rPr>
        <w:t>female</w:t>
      </w:r>
      <w:r w:rsidRPr="00EA78AF">
        <w:rPr>
          <w:sz w:val="20"/>
          <w:lang w:val="en"/>
        </w:rPr>
        <w:t xml:space="preserve"> breast </w:t>
      </w:r>
      <w:r w:rsidR="0047095D" w:rsidRPr="00EA78AF">
        <w:rPr>
          <w:sz w:val="20"/>
          <w:lang w:val="en"/>
        </w:rPr>
        <w:t>cancer</w:t>
      </w:r>
      <w:r w:rsidR="00F803C7" w:rsidRPr="00EA78AF">
        <w:rPr>
          <w:sz w:val="20"/>
          <w:lang w:val="en"/>
        </w:rPr>
        <w:t xml:space="preserve"> remained </w:t>
      </w:r>
      <w:r w:rsidR="002E35B3" w:rsidRPr="00EA78AF">
        <w:rPr>
          <w:sz w:val="20"/>
          <w:lang w:val="en"/>
        </w:rPr>
        <w:t xml:space="preserve">relatively </w:t>
      </w:r>
      <w:r w:rsidR="00F803C7" w:rsidRPr="00EA78AF">
        <w:rPr>
          <w:sz w:val="20"/>
          <w:lang w:val="en"/>
        </w:rPr>
        <w:t>unchanged</w:t>
      </w:r>
      <w:r w:rsidR="0047095D" w:rsidRPr="00EA78AF">
        <w:rPr>
          <w:sz w:val="20"/>
          <w:lang w:val="en"/>
        </w:rPr>
        <w:t xml:space="preserve"> </w:t>
      </w:r>
      <w:r w:rsidR="00F803C7" w:rsidRPr="00EA78AF">
        <w:rPr>
          <w:sz w:val="20"/>
          <w:lang w:val="en"/>
        </w:rPr>
        <w:t xml:space="preserve">at </w:t>
      </w:r>
      <w:r w:rsidR="00F53BE0" w:rsidRPr="00EA78AF">
        <w:rPr>
          <w:sz w:val="20"/>
          <w:lang w:val="en"/>
        </w:rPr>
        <w:t>1</w:t>
      </w:r>
      <w:r w:rsidR="00F803C7" w:rsidRPr="00EA78AF">
        <w:rPr>
          <w:sz w:val="20"/>
          <w:lang w:val="en"/>
        </w:rPr>
        <w:t>2</w:t>
      </w:r>
      <w:r w:rsidR="00CB1C29" w:rsidRPr="00EA78AF">
        <w:rPr>
          <w:sz w:val="20"/>
          <w:lang w:val="en"/>
        </w:rPr>
        <w:t>7</w:t>
      </w:r>
      <w:r w:rsidR="00F53BE0" w:rsidRPr="00EA78AF">
        <w:rPr>
          <w:sz w:val="20"/>
          <w:lang w:val="en"/>
        </w:rPr>
        <w:t xml:space="preserve"> per 100,000 population in</w:t>
      </w:r>
      <w:r w:rsidR="00CB1C29" w:rsidRPr="00EA78AF">
        <w:rPr>
          <w:sz w:val="20"/>
          <w:lang w:val="en"/>
        </w:rPr>
        <w:t xml:space="preserve"> </w:t>
      </w:r>
      <w:r w:rsidR="00F53BE0" w:rsidRPr="00EA78AF">
        <w:rPr>
          <w:sz w:val="20"/>
          <w:lang w:val="en"/>
        </w:rPr>
        <w:t>201</w:t>
      </w:r>
      <w:r w:rsidR="00F803C7" w:rsidRPr="00EA78AF">
        <w:rPr>
          <w:sz w:val="20"/>
          <w:lang w:val="en"/>
        </w:rPr>
        <w:t>4</w:t>
      </w:r>
      <w:r w:rsidR="00F53BE0" w:rsidRPr="00EA78AF">
        <w:rPr>
          <w:sz w:val="20"/>
          <w:lang w:val="en"/>
        </w:rPr>
        <w:t xml:space="preserve"> </w:t>
      </w:r>
      <w:r w:rsidR="002E35B3" w:rsidRPr="00EA78AF">
        <w:rPr>
          <w:sz w:val="20"/>
          <w:lang w:val="en"/>
        </w:rPr>
        <w:t>through to</w:t>
      </w:r>
      <w:r w:rsidR="00F803C7" w:rsidRPr="00EA78AF">
        <w:rPr>
          <w:sz w:val="20"/>
          <w:lang w:val="en"/>
        </w:rPr>
        <w:t xml:space="preserve"> </w:t>
      </w:r>
      <w:r w:rsidR="00CB1C29" w:rsidRPr="00EA78AF">
        <w:rPr>
          <w:sz w:val="20"/>
          <w:lang w:val="en"/>
        </w:rPr>
        <w:t>202</w:t>
      </w:r>
      <w:r w:rsidR="002E35B3" w:rsidRPr="00EA78AF">
        <w:rPr>
          <w:sz w:val="20"/>
          <w:lang w:val="en"/>
        </w:rPr>
        <w:t>1</w:t>
      </w:r>
      <w:r w:rsidR="00F53BE0" w:rsidRPr="00EA78AF">
        <w:rPr>
          <w:sz w:val="20"/>
          <w:lang w:val="en"/>
        </w:rPr>
        <w:t>.</w:t>
      </w:r>
      <w:r w:rsidR="00952FC7" w:rsidRPr="00EA78AF">
        <w:rPr>
          <w:sz w:val="20"/>
          <w:lang w:val="en"/>
        </w:rPr>
        <w:t xml:space="preserve"> </w:t>
      </w:r>
      <w:r w:rsidR="00D93806" w:rsidRPr="00EA78AF">
        <w:rPr>
          <w:sz w:val="20"/>
          <w:lang w:val="en"/>
        </w:rPr>
        <w:t xml:space="preserve">Higher incidence rates for </w:t>
      </w:r>
      <w:r w:rsidR="00F323FA" w:rsidRPr="00EA78AF">
        <w:rPr>
          <w:sz w:val="20"/>
          <w:lang w:val="en"/>
        </w:rPr>
        <w:t xml:space="preserve">Victorian </w:t>
      </w:r>
      <w:r w:rsidR="00D93806" w:rsidRPr="00EA78AF">
        <w:rPr>
          <w:sz w:val="20"/>
          <w:lang w:val="en"/>
        </w:rPr>
        <w:t>Aboriginal women were observed</w:t>
      </w:r>
      <w:r w:rsidR="00EB72BD" w:rsidRPr="00EA78AF">
        <w:rPr>
          <w:sz w:val="20"/>
          <w:lang w:val="en"/>
        </w:rPr>
        <w:t xml:space="preserve"> over</w:t>
      </w:r>
      <w:r w:rsidR="00D93806" w:rsidRPr="00EA78AF">
        <w:rPr>
          <w:sz w:val="20"/>
          <w:lang w:val="en"/>
        </w:rPr>
        <w:t xml:space="preserve"> the same period</w:t>
      </w:r>
      <w:r w:rsidR="0001449F" w:rsidRPr="00EA78AF">
        <w:rPr>
          <w:sz w:val="20"/>
          <w:lang w:val="en"/>
        </w:rPr>
        <w:t>,</w:t>
      </w:r>
      <w:r w:rsidR="00D93806" w:rsidRPr="00EA78AF">
        <w:rPr>
          <w:sz w:val="20"/>
          <w:lang w:val="en"/>
        </w:rPr>
        <w:t xml:space="preserve"> although caution should be taken when </w:t>
      </w:r>
      <w:r w:rsidR="00197BA9" w:rsidRPr="00EA78AF">
        <w:rPr>
          <w:sz w:val="20"/>
          <w:lang w:val="en"/>
        </w:rPr>
        <w:t>interpreting</w:t>
      </w:r>
      <w:r w:rsidR="00D93806" w:rsidRPr="00EA78AF">
        <w:rPr>
          <w:sz w:val="20"/>
          <w:lang w:val="en"/>
        </w:rPr>
        <w:t xml:space="preserve"> these figures due to the low numbers of cases for this subgroup (</w:t>
      </w:r>
      <w:r w:rsidR="00984F99" w:rsidRPr="00EA78AF">
        <w:rPr>
          <w:sz w:val="20"/>
          <w:lang w:val="en"/>
        </w:rPr>
        <w:t>18</w:t>
      </w:r>
      <w:r w:rsidR="00D93806" w:rsidRPr="00EA78AF">
        <w:rPr>
          <w:sz w:val="20"/>
          <w:lang w:val="en"/>
        </w:rPr>
        <w:t xml:space="preserve"> cases in 201</w:t>
      </w:r>
      <w:r w:rsidR="00F803C7" w:rsidRPr="00EA78AF">
        <w:rPr>
          <w:sz w:val="20"/>
          <w:lang w:val="en"/>
        </w:rPr>
        <w:t>4</w:t>
      </w:r>
      <w:r w:rsidR="00D93806" w:rsidRPr="00EA78AF">
        <w:rPr>
          <w:sz w:val="20"/>
          <w:lang w:val="en"/>
        </w:rPr>
        <w:t xml:space="preserve"> increasing to 2</w:t>
      </w:r>
      <w:r w:rsidR="00984F99" w:rsidRPr="00EA78AF">
        <w:rPr>
          <w:sz w:val="20"/>
          <w:lang w:val="en"/>
        </w:rPr>
        <w:t>6</w:t>
      </w:r>
      <w:r w:rsidR="00D93806" w:rsidRPr="00EA78AF">
        <w:rPr>
          <w:sz w:val="20"/>
          <w:lang w:val="en"/>
        </w:rPr>
        <w:t xml:space="preserve"> in 2017</w:t>
      </w:r>
      <w:r w:rsidR="00F803C7" w:rsidRPr="00EA78AF">
        <w:rPr>
          <w:sz w:val="20"/>
          <w:lang w:val="en"/>
        </w:rPr>
        <w:t xml:space="preserve"> </w:t>
      </w:r>
      <w:r w:rsidR="00F023C2" w:rsidRPr="00EA78AF">
        <w:rPr>
          <w:sz w:val="20"/>
          <w:lang w:val="en"/>
        </w:rPr>
        <w:t xml:space="preserve">but decreasing to </w:t>
      </w:r>
      <w:r w:rsidR="00984F99" w:rsidRPr="00EA78AF">
        <w:rPr>
          <w:sz w:val="20"/>
          <w:lang w:val="en"/>
        </w:rPr>
        <w:t>19</w:t>
      </w:r>
      <w:r w:rsidR="00F023C2" w:rsidRPr="00EA78AF">
        <w:rPr>
          <w:sz w:val="20"/>
          <w:lang w:val="en"/>
        </w:rPr>
        <w:t xml:space="preserve"> in 202</w:t>
      </w:r>
      <w:r w:rsidR="00984F99" w:rsidRPr="00EA78AF">
        <w:rPr>
          <w:sz w:val="20"/>
          <w:lang w:val="en"/>
        </w:rPr>
        <w:t>1</w:t>
      </w:r>
      <w:r w:rsidR="00F023C2" w:rsidRPr="00EA78AF">
        <w:rPr>
          <w:sz w:val="20"/>
          <w:lang w:val="en"/>
        </w:rPr>
        <w:t xml:space="preserve"> </w:t>
      </w:r>
      <w:r w:rsidR="00F803C7" w:rsidRPr="00EA78AF">
        <w:rPr>
          <w:sz w:val="20"/>
          <w:lang w:val="en"/>
        </w:rPr>
        <w:t xml:space="preserve">– refer to </w:t>
      </w:r>
      <w:r w:rsidR="00984F99" w:rsidRPr="00EA78AF">
        <w:rPr>
          <w:sz w:val="20"/>
          <w:lang w:val="en"/>
        </w:rPr>
        <w:t xml:space="preserve">Tables 1.6a and c in </w:t>
      </w:r>
      <w:r w:rsidR="00F803C7" w:rsidRPr="00EA78AF">
        <w:rPr>
          <w:sz w:val="20"/>
          <w:lang w:val="en"/>
        </w:rPr>
        <w:t>Appendix 2</w:t>
      </w:r>
      <w:r w:rsidR="00D93806" w:rsidRPr="00EA78AF">
        <w:rPr>
          <w:sz w:val="20"/>
          <w:lang w:val="en"/>
        </w:rPr>
        <w:t>).</w:t>
      </w:r>
    </w:p>
    <w:p w14:paraId="79098F59" w14:textId="45CFFFF0" w:rsidR="00F23E4E" w:rsidRPr="00EA78AF" w:rsidRDefault="00EE34A4" w:rsidP="00E87AAA">
      <w:pPr>
        <w:pStyle w:val="Body"/>
        <w:rPr>
          <w:sz w:val="20"/>
        </w:rPr>
      </w:pPr>
      <w:r w:rsidRPr="00EA78AF">
        <w:rPr>
          <w:sz w:val="20"/>
        </w:rPr>
        <w:t>High</w:t>
      </w:r>
      <w:r w:rsidR="00E11164" w:rsidRPr="00EA78AF">
        <w:rPr>
          <w:sz w:val="20"/>
        </w:rPr>
        <w:t xml:space="preserve"> SES</w:t>
      </w:r>
      <w:r w:rsidR="008365BB" w:rsidRPr="00EA78AF">
        <w:rPr>
          <w:sz w:val="20"/>
        </w:rPr>
        <w:t xml:space="preserve"> </w:t>
      </w:r>
      <w:r w:rsidR="00F323FA" w:rsidRPr="00EA78AF">
        <w:rPr>
          <w:sz w:val="20"/>
        </w:rPr>
        <w:t>correlated</w:t>
      </w:r>
      <w:r w:rsidR="00E11164" w:rsidRPr="00EA78AF">
        <w:rPr>
          <w:sz w:val="20"/>
        </w:rPr>
        <w:t xml:space="preserve"> with an increased risk for develop</w:t>
      </w:r>
      <w:r w:rsidR="0001449F" w:rsidRPr="00EA78AF">
        <w:rPr>
          <w:sz w:val="20"/>
        </w:rPr>
        <w:t>ing</w:t>
      </w:r>
      <w:r w:rsidR="00E11164" w:rsidRPr="00EA78AF">
        <w:rPr>
          <w:sz w:val="20"/>
        </w:rPr>
        <w:t xml:space="preserve"> breast cancer in women between 201</w:t>
      </w:r>
      <w:r w:rsidR="008365BB" w:rsidRPr="00EA78AF">
        <w:rPr>
          <w:sz w:val="20"/>
        </w:rPr>
        <w:t>4</w:t>
      </w:r>
      <w:r w:rsidR="00E11164" w:rsidRPr="00EA78AF">
        <w:rPr>
          <w:sz w:val="20"/>
        </w:rPr>
        <w:t xml:space="preserve"> and 20</w:t>
      </w:r>
      <w:r w:rsidR="00234E6F" w:rsidRPr="00EA78AF">
        <w:rPr>
          <w:sz w:val="20"/>
        </w:rPr>
        <w:t>2</w:t>
      </w:r>
      <w:r w:rsidR="00984F99" w:rsidRPr="00EA78AF">
        <w:rPr>
          <w:sz w:val="20"/>
        </w:rPr>
        <w:t>1</w:t>
      </w:r>
      <w:r w:rsidR="00E11164" w:rsidRPr="00EA78AF">
        <w:rPr>
          <w:sz w:val="20"/>
        </w:rPr>
        <w:t>. The female breast cancer incidence rate between Victorians was highest in the</w:t>
      </w:r>
      <w:r w:rsidR="00C97DF9" w:rsidRPr="00EA78AF">
        <w:rPr>
          <w:sz w:val="20"/>
        </w:rPr>
        <w:t xml:space="preserve"> least</w:t>
      </w:r>
      <w:r w:rsidR="00E11164" w:rsidRPr="00EA78AF">
        <w:rPr>
          <w:sz w:val="20"/>
        </w:rPr>
        <w:t xml:space="preserve"> disadvantaged socioeconomic quintile (SES </w:t>
      </w:r>
      <w:r w:rsidRPr="00EA78AF">
        <w:rPr>
          <w:sz w:val="20"/>
        </w:rPr>
        <w:t>5</w:t>
      </w:r>
      <w:r w:rsidR="00E11164" w:rsidRPr="00EA78AF">
        <w:rPr>
          <w:sz w:val="20"/>
        </w:rPr>
        <w:t>) during the reporting period</w:t>
      </w:r>
      <w:r w:rsidR="0001449F" w:rsidRPr="00EA78AF">
        <w:rPr>
          <w:sz w:val="20"/>
        </w:rPr>
        <w:t>,</w:t>
      </w:r>
      <w:r w:rsidR="00E11164" w:rsidRPr="00EA78AF">
        <w:rPr>
          <w:sz w:val="20"/>
        </w:rPr>
        <w:t xml:space="preserve"> </w:t>
      </w:r>
      <w:r w:rsidR="008365BB" w:rsidRPr="00EA78AF">
        <w:rPr>
          <w:sz w:val="20"/>
        </w:rPr>
        <w:t xml:space="preserve">although a decrease was </w:t>
      </w:r>
      <w:r w:rsidR="008365BB" w:rsidRPr="00EA78AF">
        <w:rPr>
          <w:sz w:val="20"/>
        </w:rPr>
        <w:t xml:space="preserve">observed in the rates from </w:t>
      </w:r>
      <w:r w:rsidR="00E11164" w:rsidRPr="00EA78AF">
        <w:rPr>
          <w:sz w:val="20"/>
        </w:rPr>
        <w:t>1</w:t>
      </w:r>
      <w:r w:rsidR="008365BB" w:rsidRPr="00EA78AF">
        <w:rPr>
          <w:sz w:val="20"/>
        </w:rPr>
        <w:t>40</w:t>
      </w:r>
      <w:r w:rsidR="00E11164" w:rsidRPr="00EA78AF">
        <w:rPr>
          <w:sz w:val="20"/>
        </w:rPr>
        <w:t xml:space="preserve"> per 100,000 population in 201</w:t>
      </w:r>
      <w:r w:rsidR="008365BB" w:rsidRPr="00EA78AF">
        <w:rPr>
          <w:sz w:val="20"/>
        </w:rPr>
        <w:t>4</w:t>
      </w:r>
      <w:r w:rsidR="00E11164" w:rsidRPr="00EA78AF">
        <w:rPr>
          <w:sz w:val="20"/>
        </w:rPr>
        <w:t xml:space="preserve"> to 1</w:t>
      </w:r>
      <w:r w:rsidR="00234E6F" w:rsidRPr="00EA78AF">
        <w:rPr>
          <w:sz w:val="20"/>
        </w:rPr>
        <w:t>2</w:t>
      </w:r>
      <w:r w:rsidR="00984F99" w:rsidRPr="00EA78AF">
        <w:rPr>
          <w:sz w:val="20"/>
        </w:rPr>
        <w:t>9</w:t>
      </w:r>
      <w:r w:rsidR="00E11164" w:rsidRPr="00EA78AF">
        <w:rPr>
          <w:sz w:val="20"/>
        </w:rPr>
        <w:t xml:space="preserve"> per 100,000 population in 20</w:t>
      </w:r>
      <w:r w:rsidR="00234E6F" w:rsidRPr="00EA78AF">
        <w:rPr>
          <w:sz w:val="20"/>
        </w:rPr>
        <w:t>2</w:t>
      </w:r>
      <w:r w:rsidR="00984F99" w:rsidRPr="00EA78AF">
        <w:rPr>
          <w:sz w:val="20"/>
        </w:rPr>
        <w:t>1</w:t>
      </w:r>
      <w:r w:rsidR="00E11164" w:rsidRPr="00EA78AF">
        <w:rPr>
          <w:sz w:val="20"/>
        </w:rPr>
        <w:t xml:space="preserve"> (Figure 1.6). </w:t>
      </w:r>
    </w:p>
    <w:p w14:paraId="1D9B7629" w14:textId="5E7AF2AC" w:rsidR="00B94135" w:rsidRPr="00EA78AF" w:rsidRDefault="00F23E4E" w:rsidP="00E87AAA">
      <w:pPr>
        <w:pStyle w:val="Body"/>
        <w:rPr>
          <w:sz w:val="20"/>
        </w:rPr>
      </w:pPr>
      <w:r w:rsidRPr="00EA78AF">
        <w:rPr>
          <w:sz w:val="20"/>
        </w:rPr>
        <w:t xml:space="preserve">Figure 1.6 shows </w:t>
      </w:r>
      <w:r w:rsidR="002F3AF5" w:rsidRPr="00EA78AF">
        <w:rPr>
          <w:sz w:val="20"/>
        </w:rPr>
        <w:t xml:space="preserve">that </w:t>
      </w:r>
      <w:r w:rsidRPr="00EA78AF">
        <w:rPr>
          <w:sz w:val="20"/>
        </w:rPr>
        <w:t>the</w:t>
      </w:r>
      <w:r w:rsidR="00B94135" w:rsidRPr="00EA78AF">
        <w:rPr>
          <w:sz w:val="20"/>
        </w:rPr>
        <w:t xml:space="preserve"> gap between Victorian</w:t>
      </w:r>
      <w:r w:rsidR="002F3AF5" w:rsidRPr="00EA78AF">
        <w:rPr>
          <w:sz w:val="20"/>
        </w:rPr>
        <w:t>s</w:t>
      </w:r>
      <w:r w:rsidR="00B94135" w:rsidRPr="00EA78AF">
        <w:rPr>
          <w:sz w:val="20"/>
        </w:rPr>
        <w:t xml:space="preserve"> living in the outer regional/remote areas compared with major cities is narrowing. Of note </w:t>
      </w:r>
      <w:r w:rsidRPr="00EA78AF">
        <w:rPr>
          <w:sz w:val="20"/>
        </w:rPr>
        <w:t xml:space="preserve">was </w:t>
      </w:r>
      <w:r w:rsidR="00B94135" w:rsidRPr="00EA78AF">
        <w:rPr>
          <w:sz w:val="20"/>
        </w:rPr>
        <w:t xml:space="preserve">the significant decrease in the incidence rate </w:t>
      </w:r>
      <w:r w:rsidRPr="00EA78AF">
        <w:rPr>
          <w:sz w:val="20"/>
        </w:rPr>
        <w:t xml:space="preserve">for those </w:t>
      </w:r>
      <w:r w:rsidR="007511E8" w:rsidRPr="00EA78AF">
        <w:rPr>
          <w:sz w:val="20"/>
        </w:rPr>
        <w:t>Victorians living in the o</w:t>
      </w:r>
      <w:r w:rsidR="00E11164" w:rsidRPr="00EA78AF">
        <w:rPr>
          <w:sz w:val="20"/>
        </w:rPr>
        <w:t>uter regional/remote areas</w:t>
      </w:r>
      <w:r w:rsidR="0001449F" w:rsidRPr="00EA78AF">
        <w:rPr>
          <w:sz w:val="20"/>
        </w:rPr>
        <w:t xml:space="preserve">, </w:t>
      </w:r>
      <w:r w:rsidR="00B94135" w:rsidRPr="00EA78AF">
        <w:rPr>
          <w:sz w:val="20"/>
        </w:rPr>
        <w:t>a decrease from 13</w:t>
      </w:r>
      <w:r w:rsidR="009535E2" w:rsidRPr="00EA78AF">
        <w:rPr>
          <w:sz w:val="20"/>
        </w:rPr>
        <w:t>7</w:t>
      </w:r>
      <w:r w:rsidR="00B94135" w:rsidRPr="00EA78AF">
        <w:rPr>
          <w:sz w:val="20"/>
        </w:rPr>
        <w:t xml:space="preserve"> per 100,000 population in 2014 to 1</w:t>
      </w:r>
      <w:r w:rsidR="009535E2" w:rsidRPr="00EA78AF">
        <w:rPr>
          <w:sz w:val="20"/>
        </w:rPr>
        <w:t>28</w:t>
      </w:r>
      <w:r w:rsidR="00B94135" w:rsidRPr="00EA78AF">
        <w:rPr>
          <w:sz w:val="20"/>
        </w:rPr>
        <w:t xml:space="preserve"> per 100,000 population</w:t>
      </w:r>
      <w:r w:rsidR="009535E2" w:rsidRPr="00EA78AF">
        <w:rPr>
          <w:sz w:val="20"/>
        </w:rPr>
        <w:t xml:space="preserve"> in 2021. There was a similar trend for ICSs across Victoria, which showed little variation, although each of the ICSs recorded an increase in incidence rates for female breast cancer from 2014 </w:t>
      </w:r>
      <w:r w:rsidR="002F3AF5" w:rsidRPr="00EA78AF">
        <w:rPr>
          <w:sz w:val="20"/>
        </w:rPr>
        <w:t xml:space="preserve">to </w:t>
      </w:r>
      <w:r w:rsidR="009535E2" w:rsidRPr="00EA78AF">
        <w:rPr>
          <w:sz w:val="20"/>
        </w:rPr>
        <w:t xml:space="preserve">2017 except for NEMICS, WCMICS, BSWRICS and HRICS, which recorded a slight decrease. The impact of people not accessing </w:t>
      </w:r>
      <w:r w:rsidR="00A22FC8" w:rsidRPr="00EA78AF">
        <w:rPr>
          <w:sz w:val="20"/>
        </w:rPr>
        <w:t xml:space="preserve">cancer </w:t>
      </w:r>
      <w:r w:rsidR="009535E2" w:rsidRPr="00EA78AF">
        <w:rPr>
          <w:sz w:val="20"/>
        </w:rPr>
        <w:t xml:space="preserve">services early on during the 2020 lockdowns may account for the decrease in incidence rates across </w:t>
      </w:r>
      <w:r w:rsidR="00F408F1">
        <w:rPr>
          <w:sz w:val="20"/>
        </w:rPr>
        <w:t xml:space="preserve">most of </w:t>
      </w:r>
      <w:r w:rsidR="009535E2" w:rsidRPr="00EA78AF">
        <w:rPr>
          <w:sz w:val="20"/>
        </w:rPr>
        <w:t>the ICS</w:t>
      </w:r>
      <w:r w:rsidR="00F408F1">
        <w:rPr>
          <w:sz w:val="20"/>
        </w:rPr>
        <w:t>s</w:t>
      </w:r>
      <w:r w:rsidR="009535E2" w:rsidRPr="00EA78AF">
        <w:rPr>
          <w:sz w:val="20"/>
        </w:rPr>
        <w:t xml:space="preserve"> between 2017 and 2021 and should be interpreted with caution.</w:t>
      </w:r>
    </w:p>
    <w:p w14:paraId="30E83284" w14:textId="731F3CE0" w:rsidR="0055065F" w:rsidRPr="00EA78AF" w:rsidRDefault="0055065F" w:rsidP="00E87AAA">
      <w:pPr>
        <w:pStyle w:val="Body"/>
        <w:rPr>
          <w:sz w:val="20"/>
        </w:rPr>
      </w:pPr>
      <w:r w:rsidRPr="00EA78AF">
        <w:rPr>
          <w:sz w:val="20"/>
        </w:rPr>
        <w:t>The spatial variation of incidence rates of female breast cancer by LGA is presented in Figure 1.6.2</w:t>
      </w:r>
      <w:r w:rsidR="005334AA" w:rsidRPr="00EA78AF">
        <w:rPr>
          <w:sz w:val="20"/>
        </w:rPr>
        <w:t xml:space="preserve"> f</w:t>
      </w:r>
      <w:r w:rsidR="006C210F" w:rsidRPr="00EA78AF">
        <w:rPr>
          <w:sz w:val="20"/>
        </w:rPr>
        <w:t>rom</w:t>
      </w:r>
      <w:r w:rsidR="005334AA" w:rsidRPr="00EA78AF">
        <w:rPr>
          <w:sz w:val="20"/>
        </w:rPr>
        <w:t xml:space="preserve"> 201</w:t>
      </w:r>
      <w:r w:rsidR="003E6AE8" w:rsidRPr="00EA78AF">
        <w:rPr>
          <w:sz w:val="20"/>
        </w:rPr>
        <w:t>4</w:t>
      </w:r>
      <w:r w:rsidR="006C210F" w:rsidRPr="00EA78AF">
        <w:rPr>
          <w:sz w:val="20"/>
        </w:rPr>
        <w:t xml:space="preserve"> to </w:t>
      </w:r>
      <w:r w:rsidR="005334AA" w:rsidRPr="00EA78AF">
        <w:rPr>
          <w:sz w:val="20"/>
        </w:rPr>
        <w:t>202</w:t>
      </w:r>
      <w:r w:rsidR="00F408F1">
        <w:rPr>
          <w:sz w:val="20"/>
        </w:rPr>
        <w:t>1</w:t>
      </w:r>
      <w:r w:rsidRPr="00EA78AF">
        <w:rPr>
          <w:sz w:val="20"/>
        </w:rPr>
        <w:t>. Forty-</w:t>
      </w:r>
      <w:r w:rsidR="00935000" w:rsidRPr="00EA78AF">
        <w:rPr>
          <w:sz w:val="20"/>
        </w:rPr>
        <w:t>seven</w:t>
      </w:r>
      <w:r w:rsidR="0054537F">
        <w:rPr>
          <w:sz w:val="20"/>
        </w:rPr>
        <w:t>%</w:t>
      </w:r>
      <w:r w:rsidRPr="00EA78AF">
        <w:rPr>
          <w:sz w:val="20"/>
        </w:rPr>
        <w:t xml:space="preserve"> of the 79 LGAs had higher incidence rates of female breast cancer than the overall rate (1</w:t>
      </w:r>
      <w:r w:rsidR="00B94CAC" w:rsidRPr="00EA78AF">
        <w:rPr>
          <w:sz w:val="20"/>
        </w:rPr>
        <w:t>2</w:t>
      </w:r>
      <w:r w:rsidR="006C210F" w:rsidRPr="00EA78AF">
        <w:rPr>
          <w:sz w:val="20"/>
        </w:rPr>
        <w:t>7</w:t>
      </w:r>
      <w:r w:rsidRPr="00EA78AF">
        <w:rPr>
          <w:sz w:val="20"/>
        </w:rPr>
        <w:t xml:space="preserve"> per 100,000 population) in 201</w:t>
      </w:r>
      <w:r w:rsidR="00B94CAC" w:rsidRPr="00EA78AF">
        <w:rPr>
          <w:sz w:val="20"/>
        </w:rPr>
        <w:t>4</w:t>
      </w:r>
      <w:r w:rsidRPr="00EA78AF">
        <w:rPr>
          <w:sz w:val="20"/>
        </w:rPr>
        <w:t xml:space="preserve">. </w:t>
      </w:r>
      <w:r w:rsidR="00B94CAC" w:rsidRPr="00EA78AF">
        <w:rPr>
          <w:sz w:val="20"/>
        </w:rPr>
        <w:t>Towong Shire</w:t>
      </w:r>
      <w:r w:rsidR="00FA343A" w:rsidRPr="00EA78AF">
        <w:rPr>
          <w:sz w:val="20"/>
        </w:rPr>
        <w:t xml:space="preserve"> </w:t>
      </w:r>
      <w:r w:rsidRPr="00EA78AF">
        <w:rPr>
          <w:sz w:val="20"/>
        </w:rPr>
        <w:t>LGA reported the highest incidence rate (19</w:t>
      </w:r>
      <w:r w:rsidR="00B94CAC" w:rsidRPr="00EA78AF">
        <w:rPr>
          <w:sz w:val="20"/>
        </w:rPr>
        <w:t>8</w:t>
      </w:r>
      <w:r w:rsidRPr="00EA78AF">
        <w:rPr>
          <w:sz w:val="20"/>
        </w:rPr>
        <w:t xml:space="preserve"> per 100,000 population) and </w:t>
      </w:r>
      <w:r w:rsidR="006C210F" w:rsidRPr="00EA78AF">
        <w:rPr>
          <w:sz w:val="20"/>
        </w:rPr>
        <w:t>Queenscliffe</w:t>
      </w:r>
      <w:r w:rsidRPr="00EA78AF">
        <w:rPr>
          <w:sz w:val="20"/>
        </w:rPr>
        <w:t xml:space="preserve"> </w:t>
      </w:r>
      <w:r w:rsidR="00D80F92" w:rsidRPr="00EA78AF">
        <w:rPr>
          <w:sz w:val="20"/>
        </w:rPr>
        <w:t xml:space="preserve">Borough </w:t>
      </w:r>
      <w:r w:rsidRPr="00EA78AF">
        <w:rPr>
          <w:sz w:val="20"/>
        </w:rPr>
        <w:t>LGA the lowest incidence rate (</w:t>
      </w:r>
      <w:r w:rsidR="006C210F" w:rsidRPr="00EA78AF">
        <w:rPr>
          <w:sz w:val="20"/>
        </w:rPr>
        <w:t>39</w:t>
      </w:r>
      <w:r w:rsidRPr="00EA78AF">
        <w:rPr>
          <w:sz w:val="20"/>
        </w:rPr>
        <w:t xml:space="preserve"> per 100,000 population) in 201</w:t>
      </w:r>
      <w:r w:rsidR="0020710D" w:rsidRPr="00EA78AF">
        <w:rPr>
          <w:sz w:val="20"/>
        </w:rPr>
        <w:t>4</w:t>
      </w:r>
      <w:r w:rsidRPr="00EA78AF">
        <w:rPr>
          <w:sz w:val="20"/>
        </w:rPr>
        <w:t xml:space="preserve"> (</w:t>
      </w:r>
      <w:r w:rsidR="006C210F" w:rsidRPr="00EA78AF">
        <w:rPr>
          <w:sz w:val="20"/>
        </w:rPr>
        <w:t>Table 1.</w:t>
      </w:r>
      <w:r w:rsidR="00246BC0" w:rsidRPr="00EA78AF">
        <w:rPr>
          <w:sz w:val="20"/>
        </w:rPr>
        <w:t>6</w:t>
      </w:r>
      <w:r w:rsidR="006C210F" w:rsidRPr="00EA78AF">
        <w:rPr>
          <w:sz w:val="20"/>
        </w:rPr>
        <w:t>b, Appendix 2</w:t>
      </w:r>
      <w:r w:rsidRPr="00EA78AF">
        <w:rPr>
          <w:sz w:val="20"/>
        </w:rPr>
        <w:t xml:space="preserve">). By comparison, </w:t>
      </w:r>
      <w:r w:rsidR="000F5E59" w:rsidRPr="00EA78AF">
        <w:rPr>
          <w:sz w:val="20"/>
        </w:rPr>
        <w:t>54</w:t>
      </w:r>
      <w:r w:rsidR="009E2E46" w:rsidRPr="00EA78AF">
        <w:rPr>
          <w:sz w:val="20"/>
        </w:rPr>
        <w:t>.</w:t>
      </w:r>
      <w:r w:rsidR="000F5E59" w:rsidRPr="00EA78AF">
        <w:rPr>
          <w:sz w:val="20"/>
        </w:rPr>
        <w:t>4</w:t>
      </w:r>
      <w:r w:rsidR="0054537F">
        <w:rPr>
          <w:sz w:val="20"/>
        </w:rPr>
        <w:t>%</w:t>
      </w:r>
      <w:r w:rsidRPr="00EA78AF">
        <w:rPr>
          <w:sz w:val="20"/>
        </w:rPr>
        <w:t xml:space="preserve"> </w:t>
      </w:r>
      <w:r w:rsidRPr="00EA78AF">
        <w:rPr>
          <w:color w:val="000000" w:themeColor="text1"/>
          <w:sz w:val="20"/>
        </w:rPr>
        <w:t>of the 79 LGAs had high incidence rates of female breast cancer than the overall rate (1</w:t>
      </w:r>
      <w:r w:rsidR="004365C6" w:rsidRPr="00EA78AF">
        <w:rPr>
          <w:color w:val="000000" w:themeColor="text1"/>
          <w:sz w:val="20"/>
        </w:rPr>
        <w:t>27</w:t>
      </w:r>
      <w:r w:rsidRPr="00EA78AF">
        <w:rPr>
          <w:color w:val="000000" w:themeColor="text1"/>
          <w:sz w:val="20"/>
        </w:rPr>
        <w:t xml:space="preserve"> per 100,000 population) for Victoria in 20</w:t>
      </w:r>
      <w:r w:rsidR="006C210F" w:rsidRPr="00EA78AF">
        <w:rPr>
          <w:color w:val="000000" w:themeColor="text1"/>
          <w:sz w:val="20"/>
        </w:rPr>
        <w:t>2</w:t>
      </w:r>
      <w:r w:rsidR="000F5E59" w:rsidRPr="00EA78AF">
        <w:rPr>
          <w:color w:val="000000" w:themeColor="text1"/>
          <w:sz w:val="20"/>
        </w:rPr>
        <w:t>1</w:t>
      </w:r>
      <w:r w:rsidRPr="00EA78AF">
        <w:rPr>
          <w:color w:val="000000" w:themeColor="text1"/>
          <w:sz w:val="20"/>
        </w:rPr>
        <w:t xml:space="preserve">. </w:t>
      </w:r>
      <w:r w:rsidR="000F5E59" w:rsidRPr="00EA78AF">
        <w:rPr>
          <w:sz w:val="20"/>
        </w:rPr>
        <w:t>Queenscliffe</w:t>
      </w:r>
      <w:r w:rsidRPr="00EA78AF">
        <w:rPr>
          <w:color w:val="000000" w:themeColor="text1"/>
          <w:sz w:val="20"/>
        </w:rPr>
        <w:t xml:space="preserve"> </w:t>
      </w:r>
      <w:r w:rsidR="00D80F92" w:rsidRPr="00EA78AF">
        <w:rPr>
          <w:color w:val="000000" w:themeColor="text1"/>
          <w:sz w:val="20"/>
        </w:rPr>
        <w:t xml:space="preserve">Borough </w:t>
      </w:r>
      <w:r w:rsidRPr="00EA78AF">
        <w:rPr>
          <w:color w:val="000000" w:themeColor="text1"/>
          <w:sz w:val="20"/>
        </w:rPr>
        <w:t>LGA reported the highest incidence rate (2</w:t>
      </w:r>
      <w:r w:rsidR="000F5E59" w:rsidRPr="00EA78AF">
        <w:rPr>
          <w:color w:val="000000" w:themeColor="text1"/>
          <w:sz w:val="20"/>
        </w:rPr>
        <w:t>27</w:t>
      </w:r>
      <w:r w:rsidRPr="00EA78AF">
        <w:rPr>
          <w:color w:val="000000" w:themeColor="text1"/>
          <w:sz w:val="20"/>
        </w:rPr>
        <w:t xml:space="preserve"> per 100,000 population) and </w:t>
      </w:r>
      <w:r w:rsidR="000F5E59" w:rsidRPr="00EA78AF">
        <w:rPr>
          <w:color w:val="000000" w:themeColor="text1"/>
          <w:sz w:val="20"/>
        </w:rPr>
        <w:t xml:space="preserve">Gannawarra </w:t>
      </w:r>
      <w:r w:rsidRPr="00EA78AF">
        <w:rPr>
          <w:color w:val="000000" w:themeColor="text1"/>
          <w:sz w:val="20"/>
        </w:rPr>
        <w:t>Shire</w:t>
      </w:r>
      <w:r w:rsidR="000F5E59" w:rsidRPr="00EA78AF">
        <w:rPr>
          <w:color w:val="000000" w:themeColor="text1"/>
          <w:sz w:val="20"/>
        </w:rPr>
        <w:t xml:space="preserve"> and Wangaratta Rural City</w:t>
      </w:r>
      <w:r w:rsidRPr="00EA78AF">
        <w:rPr>
          <w:color w:val="000000" w:themeColor="text1"/>
          <w:sz w:val="20"/>
        </w:rPr>
        <w:t xml:space="preserve"> LGA</w:t>
      </w:r>
      <w:r w:rsidR="000F5E59" w:rsidRPr="00EA78AF">
        <w:rPr>
          <w:color w:val="000000" w:themeColor="text1"/>
          <w:sz w:val="20"/>
        </w:rPr>
        <w:t>s</w:t>
      </w:r>
      <w:r w:rsidRPr="00EA78AF">
        <w:rPr>
          <w:color w:val="000000" w:themeColor="text1"/>
          <w:sz w:val="20"/>
        </w:rPr>
        <w:t xml:space="preserve"> the lowest (</w:t>
      </w:r>
      <w:r w:rsidR="000F5E59" w:rsidRPr="00EA78AF">
        <w:rPr>
          <w:color w:val="000000" w:themeColor="text1"/>
          <w:sz w:val="20"/>
        </w:rPr>
        <w:t>67</w:t>
      </w:r>
      <w:r w:rsidRPr="00EA78AF">
        <w:rPr>
          <w:color w:val="000000" w:themeColor="text1"/>
          <w:sz w:val="20"/>
        </w:rPr>
        <w:t xml:space="preserve"> per 100,000 population) in 20</w:t>
      </w:r>
      <w:r w:rsidR="00246BC0" w:rsidRPr="00EA78AF">
        <w:rPr>
          <w:color w:val="000000" w:themeColor="text1"/>
          <w:sz w:val="20"/>
        </w:rPr>
        <w:t>2</w:t>
      </w:r>
      <w:r w:rsidR="000F5E59" w:rsidRPr="00EA78AF">
        <w:rPr>
          <w:color w:val="000000" w:themeColor="text1"/>
          <w:sz w:val="20"/>
        </w:rPr>
        <w:t>1</w:t>
      </w:r>
      <w:r w:rsidRPr="00EA78AF">
        <w:rPr>
          <w:color w:val="000000" w:themeColor="text1"/>
          <w:sz w:val="20"/>
        </w:rPr>
        <w:t xml:space="preserve"> (</w:t>
      </w:r>
      <w:r w:rsidR="00246BC0" w:rsidRPr="00EA78AF">
        <w:rPr>
          <w:color w:val="000000" w:themeColor="text1"/>
          <w:sz w:val="20"/>
        </w:rPr>
        <w:t>Table 1.6d, Appendix 2</w:t>
      </w:r>
      <w:r w:rsidRPr="00EA78AF">
        <w:rPr>
          <w:color w:val="000000" w:themeColor="text1"/>
          <w:sz w:val="20"/>
        </w:rPr>
        <w:t>).</w:t>
      </w:r>
      <w:r w:rsidR="004A4AD2" w:rsidRPr="00EA78AF">
        <w:rPr>
          <w:color w:val="000000" w:themeColor="text1"/>
          <w:sz w:val="20"/>
        </w:rPr>
        <w:t xml:space="preserve"> </w:t>
      </w:r>
      <w:r w:rsidRPr="00EA78AF">
        <w:rPr>
          <w:color w:val="000000" w:themeColor="text1"/>
          <w:sz w:val="20"/>
        </w:rPr>
        <w:t xml:space="preserve">Overall, most of the 79 LGAs reported very little variation in the incidence rate during the </w:t>
      </w:r>
      <w:r w:rsidR="00A41D84" w:rsidRPr="00EA78AF">
        <w:rPr>
          <w:color w:val="000000" w:themeColor="text1"/>
          <w:sz w:val="20"/>
        </w:rPr>
        <w:t>study</w:t>
      </w:r>
      <w:r w:rsidRPr="00EA78AF">
        <w:rPr>
          <w:color w:val="000000" w:themeColor="text1"/>
          <w:sz w:val="20"/>
        </w:rPr>
        <w:t xml:space="preserve"> period.</w:t>
      </w:r>
      <w:r w:rsidR="004A4AD2" w:rsidRPr="00EA78AF">
        <w:rPr>
          <w:color w:val="000000" w:themeColor="text1"/>
          <w:sz w:val="20"/>
        </w:rPr>
        <w:t xml:space="preserve"> </w:t>
      </w:r>
      <w:r w:rsidRPr="00EA78AF">
        <w:rPr>
          <w:color w:val="000000" w:themeColor="text1"/>
          <w:sz w:val="20"/>
        </w:rPr>
        <w:t xml:space="preserve">Nevertheless, </w:t>
      </w:r>
      <w:r w:rsidR="00C65895" w:rsidRPr="00EA78AF">
        <w:rPr>
          <w:color w:val="000000" w:themeColor="text1"/>
          <w:sz w:val="20"/>
        </w:rPr>
        <w:t>Mansfield</w:t>
      </w:r>
      <w:r w:rsidRPr="00EA78AF">
        <w:rPr>
          <w:color w:val="000000" w:themeColor="text1"/>
          <w:sz w:val="20"/>
        </w:rPr>
        <w:t xml:space="preserve"> Shire LGA showed</w:t>
      </w:r>
      <w:r w:rsidR="00FC1507" w:rsidRPr="00EA78AF">
        <w:rPr>
          <w:color w:val="000000" w:themeColor="text1"/>
          <w:sz w:val="20"/>
        </w:rPr>
        <w:t xml:space="preserve"> one</w:t>
      </w:r>
      <w:r w:rsidR="002F3AF5" w:rsidRPr="00EA78AF">
        <w:rPr>
          <w:color w:val="000000" w:themeColor="text1"/>
          <w:sz w:val="20"/>
        </w:rPr>
        <w:t xml:space="preserve"> of</w:t>
      </w:r>
      <w:r w:rsidRPr="00EA78AF">
        <w:rPr>
          <w:color w:val="000000" w:themeColor="text1"/>
          <w:sz w:val="20"/>
        </w:rPr>
        <w:t xml:space="preserve"> the most significant change</w:t>
      </w:r>
      <w:r w:rsidR="00FC1507" w:rsidRPr="00EA78AF">
        <w:rPr>
          <w:color w:val="000000" w:themeColor="text1"/>
          <w:sz w:val="20"/>
        </w:rPr>
        <w:t>s</w:t>
      </w:r>
      <w:r w:rsidR="0001449F" w:rsidRPr="00EA78AF">
        <w:rPr>
          <w:color w:val="000000" w:themeColor="text1"/>
          <w:sz w:val="20"/>
        </w:rPr>
        <w:t>,</w:t>
      </w:r>
      <w:r w:rsidRPr="00EA78AF">
        <w:rPr>
          <w:color w:val="000000" w:themeColor="text1"/>
          <w:sz w:val="20"/>
        </w:rPr>
        <w:t xml:space="preserve"> with a decrease in the incidence rate from 1</w:t>
      </w:r>
      <w:r w:rsidR="00C65895" w:rsidRPr="00EA78AF">
        <w:rPr>
          <w:color w:val="000000" w:themeColor="text1"/>
          <w:sz w:val="20"/>
        </w:rPr>
        <w:t>81</w:t>
      </w:r>
      <w:r w:rsidRPr="00EA78AF">
        <w:rPr>
          <w:color w:val="000000" w:themeColor="text1"/>
          <w:sz w:val="20"/>
        </w:rPr>
        <w:t xml:space="preserve"> per 100,000 population in 201</w:t>
      </w:r>
      <w:r w:rsidR="0020710D" w:rsidRPr="00EA78AF">
        <w:rPr>
          <w:color w:val="000000" w:themeColor="text1"/>
          <w:sz w:val="20"/>
        </w:rPr>
        <w:t>4</w:t>
      </w:r>
      <w:r w:rsidRPr="00EA78AF">
        <w:rPr>
          <w:color w:val="000000" w:themeColor="text1"/>
          <w:sz w:val="20"/>
        </w:rPr>
        <w:t xml:space="preserve"> to </w:t>
      </w:r>
      <w:r w:rsidR="00C65895" w:rsidRPr="00EA78AF">
        <w:rPr>
          <w:color w:val="000000" w:themeColor="text1"/>
          <w:sz w:val="20"/>
        </w:rPr>
        <w:t>91</w:t>
      </w:r>
      <w:r w:rsidRPr="00EA78AF">
        <w:rPr>
          <w:color w:val="000000" w:themeColor="text1"/>
          <w:sz w:val="20"/>
        </w:rPr>
        <w:t xml:space="preserve"> per 100,000 population in 20</w:t>
      </w:r>
      <w:r w:rsidR="00FC1507" w:rsidRPr="00EA78AF">
        <w:rPr>
          <w:color w:val="000000" w:themeColor="text1"/>
          <w:sz w:val="20"/>
        </w:rPr>
        <w:t>2</w:t>
      </w:r>
      <w:r w:rsidR="00C65895" w:rsidRPr="00EA78AF">
        <w:rPr>
          <w:color w:val="000000" w:themeColor="text1"/>
          <w:sz w:val="20"/>
        </w:rPr>
        <w:t>1</w:t>
      </w:r>
      <w:r w:rsidRPr="00EA78AF">
        <w:rPr>
          <w:color w:val="000000" w:themeColor="text1"/>
          <w:sz w:val="20"/>
        </w:rPr>
        <w:t>.</w:t>
      </w:r>
    </w:p>
    <w:p w14:paraId="1EC5A38C" w14:textId="76217189" w:rsidR="004442C4" w:rsidRPr="00EA78AF" w:rsidRDefault="00F53BE0" w:rsidP="00E87AAA">
      <w:pPr>
        <w:pStyle w:val="Body"/>
        <w:rPr>
          <w:rFonts w:cs="Arial"/>
          <w:sz w:val="20"/>
          <w:highlight w:val="yellow"/>
        </w:rPr>
        <w:sectPr w:rsidR="004442C4" w:rsidRPr="00EA78AF" w:rsidSect="0086350D">
          <w:pgSz w:w="11906" w:h="16838"/>
          <w:pgMar w:top="1411" w:right="991" w:bottom="1138" w:left="1310" w:header="454" w:footer="510" w:gutter="0"/>
          <w:cols w:num="2" w:space="33"/>
          <w:docGrid w:linePitch="360"/>
        </w:sectPr>
      </w:pPr>
      <w:r w:rsidRPr="00EA78AF">
        <w:rPr>
          <w:rStyle w:val="DHHSbodyChar"/>
          <w:sz w:val="20"/>
        </w:rPr>
        <w:t>While n</w:t>
      </w:r>
      <w:r w:rsidR="00136D74" w:rsidRPr="00EA78AF">
        <w:rPr>
          <w:rStyle w:val="DHHSbodyChar"/>
          <w:sz w:val="20"/>
        </w:rPr>
        <w:t>o target has been set for this measure</w:t>
      </w:r>
      <w:r w:rsidR="002F3AF5" w:rsidRPr="00EA78AF">
        <w:rPr>
          <w:rStyle w:val="DHHSbodyChar"/>
          <w:sz w:val="20"/>
        </w:rPr>
        <w:t>,</w:t>
      </w:r>
      <w:r w:rsidR="00C954B9" w:rsidRPr="00EA78AF">
        <w:rPr>
          <w:rStyle w:val="DHHSbodyChar"/>
          <w:sz w:val="20"/>
        </w:rPr>
        <w:t xml:space="preserve"> </w:t>
      </w:r>
      <w:r w:rsidRPr="00EA78AF">
        <w:rPr>
          <w:rStyle w:val="DHHSbodyChar"/>
          <w:sz w:val="20"/>
        </w:rPr>
        <w:t xml:space="preserve">the overall </w:t>
      </w:r>
      <w:r w:rsidR="0029347E" w:rsidRPr="00EA78AF">
        <w:rPr>
          <w:rStyle w:val="DHHSbodyChar"/>
          <w:sz w:val="20"/>
        </w:rPr>
        <w:t xml:space="preserve">the age-standardised rate for female breast cancer has </w:t>
      </w:r>
      <w:r w:rsidR="00FC1507" w:rsidRPr="00EA78AF">
        <w:rPr>
          <w:rStyle w:val="DHHSbodyChar"/>
          <w:sz w:val="20"/>
        </w:rPr>
        <w:t>de</w:t>
      </w:r>
      <w:r w:rsidR="0029347E" w:rsidRPr="00EA78AF">
        <w:rPr>
          <w:rStyle w:val="DHHSbodyChar"/>
          <w:sz w:val="20"/>
        </w:rPr>
        <w:t>creased</w:t>
      </w:r>
      <w:r w:rsidR="009535E2" w:rsidRPr="00EA78AF">
        <w:rPr>
          <w:rStyle w:val="DHHSbodyChar"/>
          <w:sz w:val="20"/>
        </w:rPr>
        <w:t xml:space="preserve"> and </w:t>
      </w:r>
      <w:r w:rsidR="0029347E" w:rsidRPr="00EA78AF">
        <w:rPr>
          <w:rStyle w:val="DHHSbodyChar"/>
          <w:sz w:val="20"/>
        </w:rPr>
        <w:t xml:space="preserve">projected </w:t>
      </w:r>
      <w:r w:rsidR="00FC1507" w:rsidRPr="00EA78AF">
        <w:rPr>
          <w:rStyle w:val="DHHSbodyChar"/>
          <w:sz w:val="20"/>
        </w:rPr>
        <w:t xml:space="preserve">incidence rates are expected to remain </w:t>
      </w:r>
      <w:r w:rsidR="005A1A3B" w:rsidRPr="00EA78AF">
        <w:rPr>
          <w:rStyle w:val="DHHSbodyChar"/>
          <w:sz w:val="20"/>
        </w:rPr>
        <w:t>constant</w:t>
      </w:r>
      <w:r w:rsidR="00FC1507" w:rsidRPr="00EA78AF">
        <w:rPr>
          <w:rStyle w:val="DHHSbodyChar"/>
          <w:sz w:val="20"/>
        </w:rPr>
        <w:t xml:space="preserve"> ove</w:t>
      </w:r>
      <w:r w:rsidR="0027553F" w:rsidRPr="00EA78AF">
        <w:rPr>
          <w:rStyle w:val="DHHSbodyChar"/>
          <w:sz w:val="20"/>
        </w:rPr>
        <w:t>r</w:t>
      </w:r>
      <w:r w:rsidR="00FC1507" w:rsidRPr="00EA78AF">
        <w:rPr>
          <w:rStyle w:val="DHHSbodyChar"/>
          <w:sz w:val="20"/>
        </w:rPr>
        <w:t xml:space="preserve"> the next decade</w:t>
      </w:r>
      <w:r w:rsidR="00240A54">
        <w:rPr>
          <w:rStyle w:val="DHHSbodyChar"/>
          <w:sz w:val="20"/>
        </w:rPr>
        <w:t>.</w:t>
      </w:r>
    </w:p>
    <w:p w14:paraId="43244D39" w14:textId="7726FCC5" w:rsidR="00E8458B" w:rsidRPr="000144FD" w:rsidRDefault="00E8458B" w:rsidP="00A451D4">
      <w:pPr>
        <w:pStyle w:val="Heading3"/>
        <w:rPr>
          <w:b/>
          <w:bCs w:val="0"/>
        </w:rPr>
      </w:pPr>
      <w:bookmarkStart w:id="180" w:name="_Measure_1.7_–"/>
      <w:bookmarkStart w:id="181" w:name="_Toc19008015"/>
      <w:bookmarkEnd w:id="180"/>
      <w:r w:rsidRPr="000144FD">
        <w:rPr>
          <w:b/>
          <w:bCs w:val="0"/>
        </w:rPr>
        <w:lastRenderedPageBreak/>
        <w:t xml:space="preserve">Measure 1.7 – </w:t>
      </w:r>
      <w:r w:rsidR="006624DA" w:rsidRPr="000144FD">
        <w:rPr>
          <w:b/>
          <w:bCs w:val="0"/>
        </w:rPr>
        <w:t>Incidence of</w:t>
      </w:r>
      <w:r w:rsidR="00AF459A" w:rsidRPr="000144FD">
        <w:rPr>
          <w:b/>
          <w:bCs w:val="0"/>
        </w:rPr>
        <w:t xml:space="preserve"> </w:t>
      </w:r>
      <w:r w:rsidR="00436D4D" w:rsidRPr="000144FD">
        <w:rPr>
          <w:b/>
          <w:bCs w:val="0"/>
        </w:rPr>
        <w:t xml:space="preserve">cancer of the </w:t>
      </w:r>
      <w:r w:rsidR="00AF459A" w:rsidRPr="000144FD">
        <w:rPr>
          <w:b/>
          <w:bCs w:val="0"/>
        </w:rPr>
        <w:t>cervix</w:t>
      </w:r>
      <w:bookmarkEnd w:id="181"/>
    </w:p>
    <w:p w14:paraId="0C22082B" w14:textId="0F13CB66" w:rsidR="008D4EED" w:rsidRPr="00EA78AF" w:rsidRDefault="008D4EED" w:rsidP="00036AD7">
      <w:pPr>
        <w:pStyle w:val="Figurecaption"/>
        <w:rPr>
          <w:sz w:val="20"/>
        </w:rPr>
      </w:pPr>
      <w:bookmarkStart w:id="182" w:name="_Toc19008016"/>
      <w:bookmarkStart w:id="183" w:name="_Toc19008272"/>
      <w:bookmarkStart w:id="184" w:name="_Toc19008419"/>
      <w:bookmarkStart w:id="185" w:name="_Toc19008566"/>
      <w:bookmarkStart w:id="186" w:name="_Toc132553000"/>
      <w:bookmarkStart w:id="187" w:name="_Toc140827606"/>
      <w:r w:rsidRPr="00EA78AF">
        <w:rPr>
          <w:sz w:val="20"/>
        </w:rPr>
        <w:t>Figure 1.7</w:t>
      </w:r>
      <w:r w:rsidR="00827C4B" w:rsidRPr="00EA78AF">
        <w:rPr>
          <w:sz w:val="20"/>
        </w:rPr>
        <w:t>:</w:t>
      </w:r>
      <w:r w:rsidRPr="00EA78AF">
        <w:rPr>
          <w:sz w:val="20"/>
        </w:rPr>
        <w:t xml:space="preserve"> Incidence of cancer</w:t>
      </w:r>
      <w:r w:rsidR="00436D4D" w:rsidRPr="00EA78AF">
        <w:rPr>
          <w:sz w:val="20"/>
        </w:rPr>
        <w:t xml:space="preserve"> of the cervix</w:t>
      </w:r>
      <w:r w:rsidRPr="00EA78AF">
        <w:rPr>
          <w:sz w:val="20"/>
        </w:rPr>
        <w:t xml:space="preserve"> in Victoria per 100,000 standardised to the 2001 Australian population, by year of diagnosis, 201</w:t>
      </w:r>
      <w:r w:rsidR="005173F9" w:rsidRPr="00EA78AF">
        <w:rPr>
          <w:sz w:val="20"/>
        </w:rPr>
        <w:t>4</w:t>
      </w:r>
      <w:r w:rsidR="00557D47" w:rsidRPr="00EA78AF">
        <w:rPr>
          <w:sz w:val="20"/>
        </w:rPr>
        <w:t>, 2017</w:t>
      </w:r>
      <w:r w:rsidRPr="00EA78AF">
        <w:rPr>
          <w:sz w:val="20"/>
        </w:rPr>
        <w:t xml:space="preserve"> and 20</w:t>
      </w:r>
      <w:bookmarkEnd w:id="182"/>
      <w:bookmarkEnd w:id="183"/>
      <w:bookmarkEnd w:id="184"/>
      <w:bookmarkEnd w:id="185"/>
      <w:r w:rsidR="00557D47" w:rsidRPr="00EA78AF">
        <w:rPr>
          <w:sz w:val="20"/>
        </w:rPr>
        <w:t>2</w:t>
      </w:r>
      <w:r w:rsidR="00135BFD" w:rsidRPr="00EA78AF">
        <w:rPr>
          <w:sz w:val="20"/>
        </w:rPr>
        <w:t>1</w:t>
      </w:r>
      <w:bookmarkEnd w:id="186"/>
      <w:bookmarkEnd w:id="187"/>
    </w:p>
    <w:p w14:paraId="05D6C85E" w14:textId="4A859561" w:rsidR="005B2BEC" w:rsidRPr="005B2BEC" w:rsidRDefault="005B2BEC" w:rsidP="00E87AAA">
      <w:pPr>
        <w:pStyle w:val="Body"/>
      </w:pPr>
      <w:r>
        <w:rPr>
          <w:noProof/>
        </w:rPr>
        <w:drawing>
          <wp:inline distT="0" distB="0" distL="0" distR="0" wp14:anchorId="01C079AB" wp14:editId="0D85A14B">
            <wp:extent cx="6299023" cy="6103620"/>
            <wp:effectExtent l="0" t="0" r="6985" b="0"/>
            <wp:docPr id="307" name="Picture 307" descr="This figure shows a data summary of 'Measure 1.7 – Incidence of cancer of the cervix'. The data set is available under 'Measure 1.7 – Incidence of cancer of the cervix'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This figure shows a data summary of 'Measure 1.7 – Incidence of cancer of the cervix'. The data set is available under 'Measure 1.7 – Incidence of cancer of the cervix' in a separate volume, the Victorian cancer plan monitoring and evaluation framework: baseline report: Appendix 2: Datasets available on Cancer care &lt;https://www.health.vic.gov.au/health-strategies/cancer-care&gt;."/>
                    <pic:cNvPicPr/>
                  </pic:nvPicPr>
                  <pic:blipFill>
                    <a:blip r:embed="rId50"/>
                    <a:stretch>
                      <a:fillRect/>
                    </a:stretch>
                  </pic:blipFill>
                  <pic:spPr>
                    <a:xfrm>
                      <a:off x="0" y="0"/>
                      <a:ext cx="6320273" cy="6124210"/>
                    </a:xfrm>
                    <a:prstGeom prst="rect">
                      <a:avLst/>
                    </a:prstGeom>
                  </pic:spPr>
                </pic:pic>
              </a:graphicData>
            </a:graphic>
          </wp:inline>
        </w:drawing>
      </w:r>
    </w:p>
    <w:p w14:paraId="66D3278C" w14:textId="77777777" w:rsidR="0020440A" w:rsidRPr="00BF58E3" w:rsidRDefault="009A2DF4" w:rsidP="00FA1AAC">
      <w:pPr>
        <w:pStyle w:val="Tablefigurenote"/>
        <w:rPr>
          <w:i/>
          <w:iCs/>
          <w:sz w:val="18"/>
          <w:szCs w:val="18"/>
        </w:rPr>
      </w:pPr>
      <w:r w:rsidRPr="00BF58E3">
        <w:rPr>
          <w:i/>
          <w:iCs/>
          <w:sz w:val="18"/>
          <w:szCs w:val="18"/>
        </w:rPr>
        <w:t>Note:</w:t>
      </w:r>
      <w:r w:rsidR="00250B73" w:rsidRPr="00BF58E3">
        <w:rPr>
          <w:i/>
          <w:iCs/>
          <w:sz w:val="18"/>
          <w:szCs w:val="18"/>
        </w:rPr>
        <w:t xml:space="preserve"> </w:t>
      </w:r>
      <w:r w:rsidRPr="00BF58E3">
        <w:rPr>
          <w:i/>
          <w:iCs/>
          <w:sz w:val="18"/>
          <w:szCs w:val="18"/>
        </w:rPr>
        <w:t>Results by</w:t>
      </w:r>
      <w:r w:rsidR="0011089F" w:rsidRPr="00BF58E3">
        <w:rPr>
          <w:i/>
          <w:iCs/>
          <w:sz w:val="18"/>
          <w:szCs w:val="18"/>
        </w:rPr>
        <w:t xml:space="preserve"> cultural diversity</w:t>
      </w:r>
      <w:r w:rsidRPr="00BF58E3">
        <w:rPr>
          <w:i/>
          <w:iCs/>
          <w:sz w:val="18"/>
          <w:szCs w:val="18"/>
        </w:rPr>
        <w:t xml:space="preserve"> are not presented </w:t>
      </w:r>
      <w:r w:rsidR="005D072A" w:rsidRPr="00BF58E3">
        <w:rPr>
          <w:i/>
          <w:iCs/>
          <w:sz w:val="18"/>
          <w:szCs w:val="18"/>
        </w:rPr>
        <w:t>because</w:t>
      </w:r>
      <w:r w:rsidR="005D072A" w:rsidRPr="00BF58E3" w:rsidDel="005D072A">
        <w:rPr>
          <w:i/>
          <w:iCs/>
          <w:sz w:val="18"/>
          <w:szCs w:val="18"/>
        </w:rPr>
        <w:t xml:space="preserve"> </w:t>
      </w:r>
      <w:r w:rsidRPr="00BF58E3">
        <w:rPr>
          <w:i/>
          <w:iCs/>
          <w:sz w:val="18"/>
          <w:szCs w:val="18"/>
        </w:rPr>
        <w:t>the ERP does not estimate the population by</w:t>
      </w:r>
      <w:r w:rsidR="0011089F" w:rsidRPr="00BF58E3">
        <w:rPr>
          <w:i/>
          <w:iCs/>
          <w:sz w:val="18"/>
          <w:szCs w:val="18"/>
        </w:rPr>
        <w:t xml:space="preserve"> cultural diversity</w:t>
      </w:r>
      <w:r w:rsidRPr="00BF58E3">
        <w:rPr>
          <w:i/>
          <w:iCs/>
          <w:sz w:val="18"/>
          <w:szCs w:val="18"/>
        </w:rPr>
        <w:t>, hence there is no denominator for this variable.</w:t>
      </w:r>
    </w:p>
    <w:p w14:paraId="07773C52" w14:textId="7914CEC1" w:rsidR="00A76E50" w:rsidRPr="0011089F" w:rsidRDefault="0020440A" w:rsidP="00FA1AAC">
      <w:pPr>
        <w:pStyle w:val="Tablefigurenote"/>
      </w:pPr>
      <w:r w:rsidRPr="00BF58E3">
        <w:rPr>
          <w:i/>
          <w:iCs/>
          <w:color w:val="000000"/>
          <w:sz w:val="18"/>
          <w:szCs w:val="18"/>
        </w:rPr>
        <w:t>Appendix 2 provides the dataset.</w:t>
      </w:r>
      <w:r w:rsidR="00A76E50">
        <w:br w:type="page"/>
      </w:r>
    </w:p>
    <w:p w14:paraId="7D1AD2E0" w14:textId="0765293B" w:rsidR="00217563" w:rsidRDefault="00A76E50" w:rsidP="00217563">
      <w:pPr>
        <w:pStyle w:val="Figurecaption"/>
        <w:rPr>
          <w:sz w:val="20"/>
        </w:rPr>
      </w:pPr>
      <w:bookmarkStart w:id="188" w:name="_Toc19008017"/>
      <w:bookmarkStart w:id="189" w:name="_Toc19008273"/>
      <w:bookmarkStart w:id="190" w:name="_Toc19008420"/>
      <w:bookmarkStart w:id="191" w:name="_Toc19008567"/>
      <w:bookmarkStart w:id="192" w:name="_Toc132553001"/>
      <w:bookmarkStart w:id="193" w:name="_Toc140827607"/>
      <w:r w:rsidRPr="00EA78AF">
        <w:rPr>
          <w:sz w:val="20"/>
          <w:lang w:eastAsia="en-AU"/>
        </w:rPr>
        <w:lastRenderedPageBreak/>
        <w:t>Figure 1.7.1</w:t>
      </w:r>
      <w:r w:rsidR="003B391F" w:rsidRPr="00EA78AF">
        <w:rPr>
          <w:sz w:val="20"/>
          <w:lang w:eastAsia="en-AU"/>
        </w:rPr>
        <w:t>:</w:t>
      </w:r>
      <w:r w:rsidRPr="00EA78AF">
        <w:rPr>
          <w:sz w:val="20"/>
          <w:lang w:eastAsia="en-AU"/>
        </w:rPr>
        <w:t xml:space="preserve"> Incidence of cancer</w:t>
      </w:r>
      <w:r w:rsidR="00436D4D" w:rsidRPr="00EA78AF">
        <w:rPr>
          <w:sz w:val="20"/>
          <w:lang w:eastAsia="en-AU"/>
        </w:rPr>
        <w:t xml:space="preserve"> of the cervix</w:t>
      </w:r>
      <w:r w:rsidRPr="00EA78AF">
        <w:rPr>
          <w:sz w:val="20"/>
          <w:lang w:eastAsia="en-AU"/>
        </w:rPr>
        <w:t xml:space="preserve"> in Victoria per </w:t>
      </w:r>
      <w:r w:rsidRPr="00EA78AF">
        <w:rPr>
          <w:color w:val="000000" w:themeColor="text1"/>
          <w:sz w:val="20"/>
        </w:rPr>
        <w:t xml:space="preserve">100,000 standardised to the 2001 Australian population, by </w:t>
      </w:r>
      <w:r w:rsidR="008439C8" w:rsidRPr="00EA78AF">
        <w:rPr>
          <w:color w:val="000000" w:themeColor="text1"/>
          <w:sz w:val="20"/>
        </w:rPr>
        <w:t>ICS</w:t>
      </w:r>
      <w:r w:rsidR="0031077F" w:rsidRPr="00EA78AF">
        <w:rPr>
          <w:sz w:val="20"/>
        </w:rPr>
        <w:t xml:space="preserve"> and</w:t>
      </w:r>
      <w:r w:rsidRPr="00EA78AF">
        <w:rPr>
          <w:sz w:val="20"/>
        </w:rPr>
        <w:t xml:space="preserve"> year, 201</w:t>
      </w:r>
      <w:r w:rsidR="008C4D5C" w:rsidRPr="00EA78AF">
        <w:rPr>
          <w:sz w:val="20"/>
        </w:rPr>
        <w:t>4</w:t>
      </w:r>
      <w:r w:rsidR="00217563" w:rsidRPr="00EA78AF">
        <w:rPr>
          <w:sz w:val="20"/>
        </w:rPr>
        <w:t>,</w:t>
      </w:r>
      <w:r w:rsidRPr="00EA78AF">
        <w:rPr>
          <w:sz w:val="20"/>
        </w:rPr>
        <w:t xml:space="preserve"> 2017</w:t>
      </w:r>
      <w:bookmarkEnd w:id="188"/>
      <w:bookmarkEnd w:id="189"/>
      <w:bookmarkEnd w:id="190"/>
      <w:bookmarkEnd w:id="191"/>
      <w:r w:rsidR="00217563" w:rsidRPr="00EA78AF">
        <w:rPr>
          <w:sz w:val="20"/>
        </w:rPr>
        <w:t xml:space="preserve"> and 202</w:t>
      </w:r>
      <w:r w:rsidR="00135BFD" w:rsidRPr="00EA78AF">
        <w:rPr>
          <w:sz w:val="20"/>
        </w:rPr>
        <w:t>1</w:t>
      </w:r>
      <w:bookmarkEnd w:id="192"/>
      <w:bookmarkEnd w:id="193"/>
    </w:p>
    <w:p w14:paraId="29ED502F" w14:textId="28CC0697" w:rsidR="00135BFD" w:rsidRPr="00135BFD" w:rsidRDefault="00BC436C" w:rsidP="00BC436C">
      <w:pPr>
        <w:pStyle w:val="DHHSbody"/>
      </w:pPr>
      <w:r w:rsidRPr="00BC436C">
        <w:rPr>
          <w:noProof/>
        </w:rPr>
        <w:drawing>
          <wp:inline distT="0" distB="0" distL="0" distR="0" wp14:anchorId="417A64A5" wp14:editId="35B62C3E">
            <wp:extent cx="6175879" cy="3279228"/>
            <wp:effectExtent l="0" t="0" r="0" b="0"/>
            <wp:docPr id="321" name="Picture 321" descr="This figure (bar graph) presents the incidence of cancer of the cervix in Victoria by Integrated Cancer Service for 2014, 2017 and 2021.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This figure (bar graph) presents the incidence of cancer of the cervix in Victoria by Integrated Cancer Service for 2014, 2017 and 2021.  Data labels have been included in the bar graph."/>
                    <pic:cNvPicPr/>
                  </pic:nvPicPr>
                  <pic:blipFill>
                    <a:blip r:embed="rId51"/>
                    <a:stretch>
                      <a:fillRect/>
                    </a:stretch>
                  </pic:blipFill>
                  <pic:spPr>
                    <a:xfrm>
                      <a:off x="0" y="0"/>
                      <a:ext cx="6198400" cy="3291186"/>
                    </a:xfrm>
                    <a:prstGeom prst="rect">
                      <a:avLst/>
                    </a:prstGeom>
                  </pic:spPr>
                </pic:pic>
              </a:graphicData>
            </a:graphic>
          </wp:inline>
        </w:drawing>
      </w:r>
    </w:p>
    <w:p w14:paraId="3B5AFB74" w14:textId="1650266C" w:rsidR="00665D4B" w:rsidRPr="0078684F" w:rsidRDefault="00665D4B" w:rsidP="007C7F00">
      <w:pPr>
        <w:pStyle w:val="Heading4"/>
        <w:rPr>
          <w:rFonts w:cs="Arial"/>
        </w:rPr>
      </w:pPr>
      <w:r w:rsidRPr="007C7F00">
        <w:t>Measure assessment</w:t>
      </w:r>
    </w:p>
    <w:p w14:paraId="2D68AF32" w14:textId="0796AE36" w:rsidR="003E5FD3" w:rsidRPr="00EA78AF" w:rsidRDefault="003E5FD3" w:rsidP="00606436">
      <w:pPr>
        <w:pStyle w:val="Body"/>
        <w:rPr>
          <w:sz w:val="20"/>
        </w:rPr>
      </w:pPr>
      <w:r w:rsidRPr="00EA78AF">
        <w:rPr>
          <w:sz w:val="20"/>
        </w:rPr>
        <w:t>Traffic light rating:</w:t>
      </w:r>
      <w:r w:rsidRPr="00EA78AF">
        <w:rPr>
          <w:color w:val="AF272F"/>
          <w:sz w:val="20"/>
        </w:rPr>
        <w:t xml:space="preserve"> </w:t>
      </w:r>
      <w:r w:rsidR="00AC3576" w:rsidRPr="00EA78AF">
        <w:rPr>
          <w:b/>
          <w:color w:val="C5511A"/>
          <w:sz w:val="20"/>
        </w:rPr>
        <w:t>Amber</w:t>
      </w:r>
      <w:r w:rsidR="00EA3932" w:rsidRPr="00EA78AF">
        <w:rPr>
          <w:b/>
          <w:sz w:val="20"/>
        </w:rPr>
        <w:t xml:space="preserve"> </w:t>
      </w:r>
      <w:r w:rsidR="00EA3932" w:rsidRPr="00EA78AF">
        <w:rPr>
          <w:sz w:val="20"/>
        </w:rPr>
        <w:t>(desired result not yet evident)</w:t>
      </w:r>
    </w:p>
    <w:p w14:paraId="77F0D684" w14:textId="0000FEFD" w:rsidR="003E5FD3" w:rsidRPr="00EA78AF" w:rsidRDefault="003E5FD3" w:rsidP="00606436">
      <w:pPr>
        <w:pStyle w:val="Body"/>
        <w:rPr>
          <w:sz w:val="20"/>
        </w:rPr>
      </w:pPr>
      <w:r w:rsidRPr="00EA78AF">
        <w:rPr>
          <w:sz w:val="20"/>
        </w:rPr>
        <w:t xml:space="preserve">Overall trend: </w:t>
      </w:r>
      <w:r w:rsidR="00AC3576" w:rsidRPr="00EA78AF">
        <w:rPr>
          <w:sz w:val="20"/>
        </w:rPr>
        <w:t>Static o</w:t>
      </w:r>
      <w:r w:rsidR="00E80F1E" w:rsidRPr="00EA78AF">
        <w:rPr>
          <w:sz w:val="20"/>
        </w:rPr>
        <w:t>r</w:t>
      </w:r>
      <w:r w:rsidR="00AC3576" w:rsidRPr="00EA78AF">
        <w:rPr>
          <w:sz w:val="20"/>
        </w:rPr>
        <w:t xml:space="preserve"> unchanging</w:t>
      </w:r>
    </w:p>
    <w:p w14:paraId="5653B21D" w14:textId="221B8644" w:rsidR="00750734" w:rsidRPr="00EA78AF" w:rsidRDefault="0081425D" w:rsidP="00E87AAA">
      <w:pPr>
        <w:pStyle w:val="Body"/>
        <w:rPr>
          <w:rFonts w:cs="Arial"/>
          <w:sz w:val="20"/>
        </w:rPr>
      </w:pPr>
      <w:r w:rsidRPr="76BE792E">
        <w:rPr>
          <w:sz w:val="20"/>
        </w:rPr>
        <w:t xml:space="preserve">Commentary: </w:t>
      </w:r>
      <w:r w:rsidR="00E533A3" w:rsidRPr="76BE792E">
        <w:rPr>
          <w:sz w:val="20"/>
        </w:rPr>
        <w:t>Most</w:t>
      </w:r>
      <w:r w:rsidR="00577070" w:rsidRPr="76BE792E">
        <w:rPr>
          <w:sz w:val="20"/>
        </w:rPr>
        <w:t xml:space="preserve"> </w:t>
      </w:r>
      <w:r w:rsidR="00A41D84" w:rsidRPr="76BE792E">
        <w:rPr>
          <w:sz w:val="20"/>
        </w:rPr>
        <w:t>cancer</w:t>
      </w:r>
      <w:r w:rsidR="00577070" w:rsidRPr="76BE792E">
        <w:rPr>
          <w:sz w:val="20"/>
        </w:rPr>
        <w:t>s</w:t>
      </w:r>
      <w:r w:rsidR="00436D4D" w:rsidRPr="76BE792E">
        <w:rPr>
          <w:sz w:val="20"/>
        </w:rPr>
        <w:t xml:space="preserve"> of the cervix</w:t>
      </w:r>
      <w:r w:rsidR="00A41D84" w:rsidRPr="76BE792E">
        <w:rPr>
          <w:sz w:val="20"/>
        </w:rPr>
        <w:t xml:space="preserve"> </w:t>
      </w:r>
      <w:r w:rsidR="00577070" w:rsidRPr="76BE792E">
        <w:rPr>
          <w:sz w:val="20"/>
        </w:rPr>
        <w:t xml:space="preserve">are </w:t>
      </w:r>
      <w:r w:rsidR="00A41D84" w:rsidRPr="76BE792E">
        <w:rPr>
          <w:sz w:val="20"/>
        </w:rPr>
        <w:t>preventable.</w:t>
      </w:r>
      <w:r w:rsidR="00952FC7" w:rsidRPr="76BE792E">
        <w:rPr>
          <w:sz w:val="20"/>
        </w:rPr>
        <w:t xml:space="preserve"> </w:t>
      </w:r>
      <w:r w:rsidR="00A41D84" w:rsidRPr="76BE792E">
        <w:rPr>
          <w:sz w:val="20"/>
        </w:rPr>
        <w:t>Nevertheless, w</w:t>
      </w:r>
      <w:r w:rsidR="000D6D4B" w:rsidRPr="76BE792E">
        <w:rPr>
          <w:sz w:val="20"/>
        </w:rPr>
        <w:t xml:space="preserve">ith an estimated </w:t>
      </w:r>
      <w:r w:rsidR="00BA0C02" w:rsidRPr="76BE792E">
        <w:rPr>
          <w:sz w:val="20"/>
        </w:rPr>
        <w:t>604</w:t>
      </w:r>
      <w:r w:rsidR="000D6D4B" w:rsidRPr="76BE792E">
        <w:rPr>
          <w:sz w:val="20"/>
        </w:rPr>
        <w:t xml:space="preserve">,000 </w:t>
      </w:r>
      <w:r w:rsidR="00BA0C02" w:rsidRPr="76BE792E">
        <w:rPr>
          <w:sz w:val="20"/>
        </w:rPr>
        <w:t xml:space="preserve">new </w:t>
      </w:r>
      <w:r w:rsidR="000D6D4B" w:rsidRPr="76BE792E">
        <w:rPr>
          <w:sz w:val="20"/>
        </w:rPr>
        <w:t>cases and 3</w:t>
      </w:r>
      <w:r w:rsidR="00BA0C02" w:rsidRPr="76BE792E">
        <w:rPr>
          <w:sz w:val="20"/>
        </w:rPr>
        <w:t>42</w:t>
      </w:r>
      <w:r w:rsidR="000D6D4B" w:rsidRPr="76BE792E">
        <w:rPr>
          <w:sz w:val="20"/>
        </w:rPr>
        <w:t>,000 deaths in 20</w:t>
      </w:r>
      <w:r w:rsidR="00BA0C02" w:rsidRPr="76BE792E">
        <w:rPr>
          <w:sz w:val="20"/>
        </w:rPr>
        <w:t>20</w:t>
      </w:r>
      <w:r w:rsidR="000D6D4B" w:rsidRPr="76BE792E">
        <w:rPr>
          <w:sz w:val="20"/>
        </w:rPr>
        <w:t xml:space="preserve"> globally, this disease ranks as the fourth most frequently diagnosed cancer and the fourth leading cause of cancer death in women.</w:t>
      </w:r>
      <w:r w:rsidR="000D6D4B" w:rsidRPr="76BE792E">
        <w:rPr>
          <w:rStyle w:val="FootnoteReference"/>
          <w:sz w:val="20"/>
          <w:lang w:eastAsia="en-AU"/>
        </w:rPr>
        <w:footnoteReference w:id="41"/>
      </w:r>
      <w:r w:rsidR="000D6D4B" w:rsidRPr="76BE792E">
        <w:rPr>
          <w:sz w:val="20"/>
        </w:rPr>
        <w:t xml:space="preserve"> HPV is the </w:t>
      </w:r>
      <w:r w:rsidR="00AC3576" w:rsidRPr="76BE792E">
        <w:rPr>
          <w:sz w:val="20"/>
        </w:rPr>
        <w:t xml:space="preserve">main </w:t>
      </w:r>
      <w:r w:rsidR="000D6D4B" w:rsidRPr="76BE792E">
        <w:rPr>
          <w:sz w:val="20"/>
        </w:rPr>
        <w:t xml:space="preserve">cause of cervical cancer, with 12 oncogenic types classified as group 1 carcinogens by the International Agency for Cancer Research </w:t>
      </w:r>
      <w:r w:rsidR="00DB5FC1" w:rsidRPr="76BE792E">
        <w:rPr>
          <w:sz w:val="20"/>
        </w:rPr>
        <w:t>m</w:t>
      </w:r>
      <w:r w:rsidR="000D6D4B" w:rsidRPr="76BE792E">
        <w:rPr>
          <w:sz w:val="20"/>
        </w:rPr>
        <w:t>onographs.</w:t>
      </w:r>
      <w:r w:rsidR="000D6D4B" w:rsidRPr="76BE792E">
        <w:rPr>
          <w:rStyle w:val="FootnoteReference"/>
          <w:sz w:val="20"/>
          <w:lang w:eastAsia="en-AU"/>
        </w:rPr>
        <w:footnoteReference w:id="42"/>
      </w:r>
      <w:r w:rsidR="00AC3576" w:rsidRPr="76BE792E">
        <w:rPr>
          <w:sz w:val="20"/>
        </w:rPr>
        <w:t xml:space="preserve"> </w:t>
      </w:r>
      <w:r w:rsidR="00AC3576" w:rsidRPr="76BE792E">
        <w:rPr>
          <w:rFonts w:cs="Arial"/>
          <w:sz w:val="20"/>
        </w:rPr>
        <w:t xml:space="preserve">In Australia </w:t>
      </w:r>
      <w:r w:rsidR="00C13345" w:rsidRPr="76BE792E">
        <w:rPr>
          <w:rFonts w:cs="Arial"/>
          <w:sz w:val="20"/>
        </w:rPr>
        <w:t>cervical</w:t>
      </w:r>
      <w:r w:rsidR="00750734" w:rsidRPr="76BE792E">
        <w:rPr>
          <w:rFonts w:cs="Arial"/>
          <w:sz w:val="20"/>
        </w:rPr>
        <w:t xml:space="preserve"> cancer </w:t>
      </w:r>
      <w:r w:rsidR="00750734" w:rsidRPr="76BE792E">
        <w:rPr>
          <w:rFonts w:cs="Arial"/>
          <w:sz w:val="20"/>
          <w:lang w:val="en"/>
        </w:rPr>
        <w:t xml:space="preserve">was the 14th most commonly diagnosed cancer among females in 2015 and in 2019 </w:t>
      </w:r>
      <w:r w:rsidR="00F442E5" w:rsidRPr="76BE792E">
        <w:rPr>
          <w:rFonts w:cs="Arial"/>
          <w:sz w:val="20"/>
          <w:lang w:val="en"/>
        </w:rPr>
        <w:t>was</w:t>
      </w:r>
      <w:r w:rsidR="00750734" w:rsidRPr="76BE792E">
        <w:rPr>
          <w:rFonts w:cs="Arial"/>
          <w:sz w:val="20"/>
          <w:lang w:val="en"/>
        </w:rPr>
        <w:t xml:space="preserve"> estimated to remain the 14th most commonly diagnosed cancer among females.</w:t>
      </w:r>
      <w:r w:rsidR="00750734" w:rsidRPr="76BE792E">
        <w:rPr>
          <w:rStyle w:val="FootnoteReference"/>
          <w:rFonts w:cs="Arial"/>
          <w:sz w:val="20"/>
          <w:lang w:val="en"/>
        </w:rPr>
        <w:footnoteReference w:id="43"/>
      </w:r>
    </w:p>
    <w:p w14:paraId="137703BB" w14:textId="657BB589" w:rsidR="00EF4E4F" w:rsidRDefault="00686CB6" w:rsidP="00EF4E4F">
      <w:pPr>
        <w:pStyle w:val="Body"/>
        <w:rPr>
          <w:lang w:val="en" w:eastAsia="en-NZ"/>
        </w:rPr>
        <w:sectPr w:rsidR="00EF4E4F" w:rsidSect="009302EB">
          <w:type w:val="continuous"/>
          <w:pgSz w:w="11906" w:h="16838"/>
          <w:pgMar w:top="1411" w:right="1310" w:bottom="1138" w:left="1310" w:header="454" w:footer="510" w:gutter="0"/>
          <w:cols w:space="720"/>
          <w:docGrid w:linePitch="360"/>
        </w:sectPr>
      </w:pPr>
      <w:r w:rsidRPr="00EA78AF">
        <w:rPr>
          <w:sz w:val="20"/>
          <w:lang w:eastAsia="en-AU"/>
        </w:rPr>
        <w:t xml:space="preserve">In Victoria the </w:t>
      </w:r>
      <w:r w:rsidRPr="00EA78AF">
        <w:rPr>
          <w:sz w:val="20"/>
          <w:lang w:val="en"/>
        </w:rPr>
        <w:t>number of annual cervical cancer diagnoses</w:t>
      </w:r>
      <w:r w:rsidR="004B16FB" w:rsidRPr="00EA78AF">
        <w:rPr>
          <w:sz w:val="20"/>
          <w:lang w:val="en"/>
        </w:rPr>
        <w:t>,</w:t>
      </w:r>
      <w:r w:rsidRPr="00EA78AF">
        <w:rPr>
          <w:sz w:val="20"/>
          <w:lang w:val="en"/>
        </w:rPr>
        <w:t xml:space="preserve"> while low</w:t>
      </w:r>
      <w:r w:rsidR="004B16FB" w:rsidRPr="00EA78AF">
        <w:rPr>
          <w:sz w:val="20"/>
          <w:lang w:val="en"/>
        </w:rPr>
        <w:t>,</w:t>
      </w:r>
      <w:r w:rsidRPr="00EA78AF">
        <w:rPr>
          <w:sz w:val="20"/>
          <w:lang w:val="en"/>
        </w:rPr>
        <w:t xml:space="preserve"> initially increased from 18</w:t>
      </w:r>
      <w:r w:rsidR="00805F9C" w:rsidRPr="00EA78AF">
        <w:rPr>
          <w:sz w:val="20"/>
          <w:lang w:val="en"/>
        </w:rPr>
        <w:t>1</w:t>
      </w:r>
      <w:r w:rsidRPr="00EA78AF">
        <w:rPr>
          <w:sz w:val="20"/>
          <w:lang w:val="en"/>
        </w:rPr>
        <w:t xml:space="preserve"> in 201</w:t>
      </w:r>
      <w:r w:rsidR="00805F9C" w:rsidRPr="00EA78AF">
        <w:rPr>
          <w:sz w:val="20"/>
          <w:lang w:val="en"/>
        </w:rPr>
        <w:t>4</w:t>
      </w:r>
      <w:r w:rsidRPr="00EA78AF">
        <w:rPr>
          <w:sz w:val="20"/>
          <w:lang w:val="en"/>
        </w:rPr>
        <w:t xml:space="preserve"> to 20</w:t>
      </w:r>
      <w:r w:rsidR="002E1D26" w:rsidRPr="00EA78AF">
        <w:rPr>
          <w:sz w:val="20"/>
          <w:lang w:val="en"/>
        </w:rPr>
        <w:t>9</w:t>
      </w:r>
      <w:r w:rsidRPr="00EA78AF">
        <w:rPr>
          <w:sz w:val="20"/>
          <w:lang w:val="en"/>
        </w:rPr>
        <w:t xml:space="preserve"> in 20</w:t>
      </w:r>
      <w:r w:rsidR="00C37093" w:rsidRPr="00EA78AF">
        <w:rPr>
          <w:sz w:val="20"/>
          <w:lang w:val="en"/>
        </w:rPr>
        <w:t>2</w:t>
      </w:r>
      <w:r w:rsidR="002E1D26" w:rsidRPr="00EA78AF">
        <w:rPr>
          <w:sz w:val="20"/>
          <w:lang w:val="en"/>
        </w:rPr>
        <w:t>1</w:t>
      </w:r>
      <w:r w:rsidR="00805F9C" w:rsidRPr="00EA78AF">
        <w:rPr>
          <w:sz w:val="20"/>
          <w:lang w:val="en"/>
        </w:rPr>
        <w:t xml:space="preserve"> </w:t>
      </w:r>
      <w:r w:rsidR="00DB5FC1" w:rsidRPr="00EA78AF">
        <w:rPr>
          <w:sz w:val="20"/>
          <w:lang w:val="en"/>
        </w:rPr>
        <w:t>(</w:t>
      </w:r>
      <w:r w:rsidR="002E1D26" w:rsidRPr="00EA78AF">
        <w:rPr>
          <w:sz w:val="20"/>
          <w:lang w:val="en"/>
        </w:rPr>
        <w:t xml:space="preserve">Tables 1.7a and c in </w:t>
      </w:r>
      <w:r w:rsidR="00805F9C" w:rsidRPr="00EA78AF">
        <w:rPr>
          <w:sz w:val="20"/>
          <w:lang w:val="en"/>
        </w:rPr>
        <w:t>Appendix 2)</w:t>
      </w:r>
      <w:r w:rsidRPr="00EA78AF">
        <w:rPr>
          <w:sz w:val="20"/>
          <w:lang w:val="en"/>
        </w:rPr>
        <w:t xml:space="preserve">. </w:t>
      </w:r>
      <w:r w:rsidR="00C13345" w:rsidRPr="00EA78AF">
        <w:rPr>
          <w:sz w:val="20"/>
          <w:lang w:val="en" w:eastAsia="en-NZ"/>
        </w:rPr>
        <w:t xml:space="preserve">The age-standardised incidence rate per 100,000 females </w:t>
      </w:r>
      <w:r w:rsidRPr="00EA78AF">
        <w:rPr>
          <w:sz w:val="20"/>
          <w:lang w:val="en" w:eastAsia="en-NZ"/>
        </w:rPr>
        <w:t xml:space="preserve">remained </w:t>
      </w:r>
      <w:r w:rsidR="00805F9C" w:rsidRPr="00EA78AF">
        <w:rPr>
          <w:sz w:val="20"/>
          <w:lang w:val="en" w:eastAsia="en-NZ"/>
        </w:rPr>
        <w:t xml:space="preserve">largely </w:t>
      </w:r>
      <w:r w:rsidRPr="00EA78AF">
        <w:rPr>
          <w:sz w:val="20"/>
          <w:lang w:val="en" w:eastAsia="en-NZ"/>
        </w:rPr>
        <w:t xml:space="preserve">the same </w:t>
      </w:r>
      <w:r w:rsidR="00C37093" w:rsidRPr="00EA78AF">
        <w:rPr>
          <w:sz w:val="20"/>
          <w:lang w:val="en" w:eastAsia="en-NZ"/>
        </w:rPr>
        <w:t>between</w:t>
      </w:r>
      <w:r w:rsidRPr="00EA78AF">
        <w:rPr>
          <w:sz w:val="20"/>
          <w:lang w:val="en" w:eastAsia="en-NZ"/>
        </w:rPr>
        <w:t xml:space="preserve"> 201</w:t>
      </w:r>
      <w:r w:rsidR="00805F9C" w:rsidRPr="00EA78AF">
        <w:rPr>
          <w:sz w:val="20"/>
          <w:lang w:val="en" w:eastAsia="en-NZ"/>
        </w:rPr>
        <w:t>4</w:t>
      </w:r>
      <w:r w:rsidRPr="00EA78AF">
        <w:rPr>
          <w:sz w:val="20"/>
          <w:lang w:val="en" w:eastAsia="en-NZ"/>
        </w:rPr>
        <w:t xml:space="preserve"> and 20</w:t>
      </w:r>
      <w:r w:rsidR="00C37093" w:rsidRPr="00EA78AF">
        <w:rPr>
          <w:sz w:val="20"/>
          <w:lang w:val="en" w:eastAsia="en-NZ"/>
        </w:rPr>
        <w:t>2</w:t>
      </w:r>
      <w:r w:rsidR="002E1D26" w:rsidRPr="00EA78AF">
        <w:rPr>
          <w:sz w:val="20"/>
          <w:lang w:val="en" w:eastAsia="en-NZ"/>
        </w:rPr>
        <w:t>1</w:t>
      </w:r>
      <w:r w:rsidRPr="00EA78AF">
        <w:rPr>
          <w:sz w:val="20"/>
          <w:lang w:val="en" w:eastAsia="en-NZ"/>
        </w:rPr>
        <w:t xml:space="preserve"> </w:t>
      </w:r>
      <w:r w:rsidR="002E1D26" w:rsidRPr="00EA78AF">
        <w:rPr>
          <w:sz w:val="20"/>
          <w:lang w:val="en" w:eastAsia="en-NZ"/>
        </w:rPr>
        <w:t>but increased in 2017</w:t>
      </w:r>
      <w:r w:rsidR="00DB5FC1" w:rsidRPr="00EA78AF">
        <w:rPr>
          <w:sz w:val="20"/>
          <w:lang w:val="en" w:eastAsia="en-NZ"/>
        </w:rPr>
        <w:t xml:space="preserve"> (</w:t>
      </w:r>
      <w:r w:rsidRPr="00EA78AF">
        <w:rPr>
          <w:sz w:val="20"/>
          <w:lang w:val="en" w:eastAsia="en-NZ"/>
        </w:rPr>
        <w:t>Figure 1.7)</w:t>
      </w:r>
      <w:r w:rsidR="002E4CC2" w:rsidRPr="00EA78AF">
        <w:rPr>
          <w:sz w:val="20"/>
          <w:lang w:val="en" w:eastAsia="en-NZ"/>
        </w:rPr>
        <w:t>.</w:t>
      </w:r>
      <w:r w:rsidR="00C13345" w:rsidRPr="00EA78AF">
        <w:rPr>
          <w:sz w:val="20"/>
          <w:lang w:val="en" w:eastAsia="en-NZ"/>
        </w:rPr>
        <w:t xml:space="preserve"> </w:t>
      </w:r>
      <w:r w:rsidR="004B16FB" w:rsidRPr="00EA78AF">
        <w:rPr>
          <w:sz w:val="20"/>
          <w:lang w:val="en" w:eastAsia="en-NZ"/>
        </w:rPr>
        <w:t xml:space="preserve">There </w:t>
      </w:r>
      <w:r w:rsidR="00E07C5F" w:rsidRPr="00EA78AF">
        <w:rPr>
          <w:sz w:val="20"/>
          <w:lang w:val="en" w:eastAsia="en-NZ"/>
        </w:rPr>
        <w:t>was a</w:t>
      </w:r>
      <w:r w:rsidR="00072ECF" w:rsidRPr="00EA78AF">
        <w:rPr>
          <w:sz w:val="20"/>
          <w:lang w:val="en" w:eastAsia="en-NZ"/>
        </w:rPr>
        <w:t xml:space="preserve">n </w:t>
      </w:r>
      <w:r w:rsidR="004B16FB" w:rsidRPr="00EA78AF">
        <w:rPr>
          <w:sz w:val="20"/>
          <w:lang w:val="en" w:eastAsia="en-NZ"/>
        </w:rPr>
        <w:t xml:space="preserve">association between the age-standardised incidence rate and </w:t>
      </w:r>
      <w:r w:rsidR="00DE7FFE" w:rsidRPr="00EA78AF">
        <w:rPr>
          <w:sz w:val="20"/>
          <w:lang w:val="en" w:eastAsia="en-NZ"/>
        </w:rPr>
        <w:t>SES</w:t>
      </w:r>
      <w:r w:rsidR="00B5106E" w:rsidRPr="00EA78AF">
        <w:rPr>
          <w:sz w:val="20"/>
          <w:lang w:val="en" w:eastAsia="en-NZ"/>
        </w:rPr>
        <w:t>,</w:t>
      </w:r>
      <w:r w:rsidR="00E07C5F" w:rsidRPr="00EA78AF">
        <w:rPr>
          <w:sz w:val="20"/>
          <w:lang w:val="en" w:eastAsia="en-NZ"/>
        </w:rPr>
        <w:t xml:space="preserve"> with higher incidence rates observed for SES 1 (most disadvantaged) compared </w:t>
      </w:r>
      <w:r w:rsidR="001B50BF" w:rsidRPr="00EA78AF">
        <w:rPr>
          <w:sz w:val="20"/>
          <w:lang w:val="en" w:eastAsia="en-NZ"/>
        </w:rPr>
        <w:t xml:space="preserve">with </w:t>
      </w:r>
      <w:r w:rsidR="00E07C5F" w:rsidRPr="00EA78AF">
        <w:rPr>
          <w:sz w:val="20"/>
          <w:lang w:val="en" w:eastAsia="en-NZ"/>
        </w:rPr>
        <w:t>SES 5 (least disadvantaged)</w:t>
      </w:r>
      <w:r w:rsidR="00B5106E" w:rsidRPr="00EA78AF">
        <w:rPr>
          <w:sz w:val="20"/>
          <w:lang w:val="en" w:eastAsia="en-NZ"/>
        </w:rPr>
        <w:t>,</w:t>
      </w:r>
      <w:r w:rsidR="00E07C5F" w:rsidRPr="00EA78AF">
        <w:rPr>
          <w:sz w:val="20"/>
          <w:lang w:val="en" w:eastAsia="en-NZ"/>
        </w:rPr>
        <w:t xml:space="preserve"> which largely remained the same between 201</w:t>
      </w:r>
      <w:r w:rsidR="00805F9C" w:rsidRPr="00EA78AF">
        <w:rPr>
          <w:sz w:val="20"/>
          <w:lang w:val="en" w:eastAsia="en-NZ"/>
        </w:rPr>
        <w:t>4</w:t>
      </w:r>
      <w:r w:rsidR="00E07C5F" w:rsidRPr="00EA78AF">
        <w:rPr>
          <w:sz w:val="20"/>
          <w:lang w:val="en" w:eastAsia="en-NZ"/>
        </w:rPr>
        <w:t xml:space="preserve"> and 20</w:t>
      </w:r>
      <w:r w:rsidR="00417087" w:rsidRPr="00EA78AF">
        <w:rPr>
          <w:sz w:val="20"/>
          <w:lang w:val="en" w:eastAsia="en-NZ"/>
        </w:rPr>
        <w:t>2</w:t>
      </w:r>
      <w:r w:rsidR="002E1D26" w:rsidRPr="00EA78AF">
        <w:rPr>
          <w:sz w:val="20"/>
          <w:lang w:val="en" w:eastAsia="en-NZ"/>
        </w:rPr>
        <w:t>1</w:t>
      </w:r>
      <w:r w:rsidR="00E07C5F" w:rsidRPr="00EA78AF">
        <w:rPr>
          <w:sz w:val="20"/>
          <w:lang w:val="en" w:eastAsia="en-NZ"/>
        </w:rPr>
        <w:t xml:space="preserve">. The age-standardised rate for cervical cancer did not differ significantly by remoteness between </w:t>
      </w:r>
      <w:r w:rsidR="00840304" w:rsidRPr="00EA78AF">
        <w:rPr>
          <w:sz w:val="20"/>
          <w:lang w:val="en" w:eastAsia="en-NZ"/>
        </w:rPr>
        <w:t>m</w:t>
      </w:r>
      <w:r w:rsidR="00E07C5F" w:rsidRPr="00EA78AF">
        <w:rPr>
          <w:sz w:val="20"/>
          <w:lang w:val="en" w:eastAsia="en-NZ"/>
        </w:rPr>
        <w:t xml:space="preserve">ajor cities and </w:t>
      </w:r>
      <w:r w:rsidR="00840304" w:rsidRPr="00EA78AF">
        <w:rPr>
          <w:sz w:val="20"/>
          <w:lang w:val="en" w:eastAsia="en-NZ"/>
        </w:rPr>
        <w:t>o</w:t>
      </w:r>
      <w:r w:rsidR="00E07C5F" w:rsidRPr="00EA78AF">
        <w:rPr>
          <w:sz w:val="20"/>
          <w:lang w:val="en" w:eastAsia="en-NZ"/>
        </w:rPr>
        <w:t>uter/remote areas of Victoria during the reporting period (Figure 1.7)</w:t>
      </w:r>
      <w:r w:rsidR="000C0607" w:rsidRPr="00EA78AF">
        <w:rPr>
          <w:sz w:val="20"/>
          <w:lang w:val="en" w:eastAsia="en-NZ"/>
        </w:rPr>
        <w:t>.</w:t>
      </w:r>
      <w:r w:rsidR="00C91D37" w:rsidRPr="00EA78AF">
        <w:rPr>
          <w:sz w:val="20"/>
          <w:lang w:val="en" w:eastAsia="en-NZ"/>
        </w:rPr>
        <w:t xml:space="preserve"> Figure 1.7.</w:t>
      </w:r>
      <w:r w:rsidR="00643051" w:rsidRPr="00EA78AF">
        <w:rPr>
          <w:sz w:val="20"/>
          <w:lang w:val="en" w:eastAsia="en-NZ"/>
        </w:rPr>
        <w:t>1</w:t>
      </w:r>
      <w:r w:rsidR="00C91D37" w:rsidRPr="00EA78AF">
        <w:rPr>
          <w:sz w:val="20"/>
          <w:lang w:val="en" w:eastAsia="en-NZ"/>
        </w:rPr>
        <w:t xml:space="preserve"> shows that the incidence rates were similar between ICSs across the </w:t>
      </w:r>
      <w:r w:rsidR="00B40166" w:rsidRPr="00EA78AF">
        <w:rPr>
          <w:sz w:val="20"/>
          <w:lang w:val="en" w:eastAsia="en-NZ"/>
        </w:rPr>
        <w:t>s</w:t>
      </w:r>
      <w:r w:rsidR="00C91D37" w:rsidRPr="00EA78AF">
        <w:rPr>
          <w:sz w:val="20"/>
          <w:lang w:val="en" w:eastAsia="en-NZ"/>
        </w:rPr>
        <w:t>tate</w:t>
      </w:r>
      <w:r w:rsidR="00B40166" w:rsidRPr="00EA78AF">
        <w:rPr>
          <w:sz w:val="20"/>
          <w:lang w:val="en" w:eastAsia="en-NZ"/>
        </w:rPr>
        <w:t>;</w:t>
      </w:r>
      <w:r w:rsidR="00C91D37" w:rsidRPr="00EA78AF">
        <w:rPr>
          <w:sz w:val="20"/>
          <w:lang w:val="en" w:eastAsia="en-NZ"/>
        </w:rPr>
        <w:t xml:space="preserve"> however</w:t>
      </w:r>
      <w:r w:rsidR="00B40166" w:rsidRPr="00EA78AF">
        <w:rPr>
          <w:sz w:val="20"/>
          <w:lang w:val="en" w:eastAsia="en-NZ"/>
        </w:rPr>
        <w:t>,</w:t>
      </w:r>
      <w:r w:rsidR="00C91D37" w:rsidRPr="00EA78AF">
        <w:rPr>
          <w:sz w:val="20"/>
          <w:lang w:val="en" w:eastAsia="en-NZ"/>
        </w:rPr>
        <w:t xml:space="preserve"> care should be taken when interpreting these results </w:t>
      </w:r>
      <w:r w:rsidR="00B5106E" w:rsidRPr="00EA78AF">
        <w:rPr>
          <w:sz w:val="20"/>
          <w:lang w:val="en" w:eastAsia="en-NZ"/>
        </w:rPr>
        <w:t xml:space="preserve">because </w:t>
      </w:r>
      <w:r w:rsidR="00C91D37" w:rsidRPr="00EA78AF">
        <w:rPr>
          <w:sz w:val="20"/>
          <w:lang w:val="en" w:eastAsia="en-NZ"/>
        </w:rPr>
        <w:t>the wide confidence intervals denote low number</w:t>
      </w:r>
      <w:r w:rsidR="00D11422" w:rsidRPr="00EA78AF">
        <w:rPr>
          <w:sz w:val="20"/>
          <w:lang w:val="en" w:eastAsia="en-NZ"/>
        </w:rPr>
        <w:t>s</w:t>
      </w:r>
      <w:r w:rsidR="00C91D37" w:rsidRPr="00EA78AF">
        <w:rPr>
          <w:sz w:val="20"/>
          <w:lang w:val="en" w:eastAsia="en-NZ"/>
        </w:rPr>
        <w:t xml:space="preserve"> of </w:t>
      </w:r>
      <w:r w:rsidR="00436D4D" w:rsidRPr="00EA78AF">
        <w:rPr>
          <w:sz w:val="20"/>
          <w:lang w:val="en" w:eastAsia="en-NZ"/>
        </w:rPr>
        <w:t>cervical</w:t>
      </w:r>
      <w:r w:rsidR="00C91D37" w:rsidRPr="00EA78AF">
        <w:rPr>
          <w:sz w:val="20"/>
          <w:lang w:val="en" w:eastAsia="en-NZ"/>
        </w:rPr>
        <w:t xml:space="preserve"> cancer cases.</w:t>
      </w:r>
      <w:r w:rsidR="003522E9">
        <w:rPr>
          <w:lang w:val="en" w:eastAsia="en-NZ"/>
        </w:rPr>
        <w:br w:type="column"/>
      </w:r>
      <w:r w:rsidR="007C623A" w:rsidRPr="00977C14">
        <w:rPr>
          <w:noProof/>
        </w:rPr>
        <w:lastRenderedPageBreak/>
        <w:drawing>
          <wp:anchor distT="0" distB="0" distL="114300" distR="114300" simplePos="0" relativeHeight="252340224" behindDoc="0" locked="0" layoutInCell="1" allowOverlap="1" wp14:anchorId="4E39A63D" wp14:editId="3CC28967">
            <wp:simplePos x="0" y="0"/>
            <wp:positionH relativeFrom="margin">
              <wp:posOffset>59690</wp:posOffset>
            </wp:positionH>
            <wp:positionV relativeFrom="paragraph">
              <wp:posOffset>311785</wp:posOffset>
            </wp:positionV>
            <wp:extent cx="3375025" cy="6416040"/>
            <wp:effectExtent l="0" t="0" r="0" b="3810"/>
            <wp:wrapThrough wrapText="bothSides">
              <wp:wrapPolygon edited="0">
                <wp:start x="0" y="0"/>
                <wp:lineTo x="0" y="21549"/>
                <wp:lineTo x="21458" y="21549"/>
                <wp:lineTo x="21458" y="0"/>
                <wp:lineTo x="0" y="0"/>
              </wp:wrapPolygon>
            </wp:wrapThrough>
            <wp:docPr id="324" name="Picture 324" descr="This figure shows a map of Victoria showing the highest and lowest reported rates of cancer of the cervix in 2014, 2017 and 2021. The data set is available under 'Measure 1.7 – Incidence of cancer of the cervix'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This figure shows a map of Victoria showing the highest and lowest reported rates of cancer of the cervix in 2014, 2017 and 2021. The data set is available under 'Measure 1.7 – Incidence of cancer of the cervix' in a separate volume, the Victorian cancer plan monitoring and evaluation framework: baseline report: Appendix 2: Datasets available on Cancer care &lt;https://www.health.vic.gov.au/health-strategies/cancer-care&gt;."/>
                    <pic:cNvPicPr/>
                  </pic:nvPicPr>
                  <pic:blipFill>
                    <a:blip r:embed="rId52"/>
                    <a:stretch>
                      <a:fillRect/>
                    </a:stretch>
                  </pic:blipFill>
                  <pic:spPr>
                    <a:xfrm>
                      <a:off x="0" y="0"/>
                      <a:ext cx="3375025" cy="6416040"/>
                    </a:xfrm>
                    <a:prstGeom prst="rect">
                      <a:avLst/>
                    </a:prstGeom>
                  </pic:spPr>
                </pic:pic>
              </a:graphicData>
            </a:graphic>
            <wp14:sizeRelH relativeFrom="margin">
              <wp14:pctWidth>0</wp14:pctWidth>
            </wp14:sizeRelH>
            <wp14:sizeRelV relativeFrom="margin">
              <wp14:pctHeight>0</wp14:pctHeight>
            </wp14:sizeRelV>
          </wp:anchor>
        </w:drawing>
      </w:r>
    </w:p>
    <w:p w14:paraId="57D6D6B4" w14:textId="2E8CAAA8" w:rsidR="00EF4E4F" w:rsidRPr="00EF4E4F" w:rsidRDefault="00977C14" w:rsidP="00351F18">
      <w:pPr>
        <w:pStyle w:val="Figurecaption"/>
        <w:sectPr w:rsidR="00EF4E4F" w:rsidRPr="00EF4E4F" w:rsidSect="007C623A">
          <w:type w:val="continuous"/>
          <w:pgSz w:w="11906" w:h="16838"/>
          <w:pgMar w:top="1411" w:right="1310" w:bottom="1138" w:left="1310" w:header="454" w:footer="510" w:gutter="0"/>
          <w:cols w:num="2" w:space="2"/>
          <w:docGrid w:linePitch="360"/>
        </w:sectPr>
      </w:pPr>
      <w:bookmarkStart w:id="194" w:name="_Toc140827608"/>
      <w:r w:rsidRPr="00EA78AF">
        <w:rPr>
          <w:sz w:val="20"/>
        </w:rPr>
        <w:t>Figure 1.</w:t>
      </w:r>
      <w:r>
        <w:rPr>
          <w:sz w:val="20"/>
        </w:rPr>
        <w:t>7</w:t>
      </w:r>
      <w:r w:rsidRPr="00EA78AF">
        <w:rPr>
          <w:sz w:val="20"/>
        </w:rPr>
        <w:t xml:space="preserve">.2: Incidence of cancer </w:t>
      </w:r>
      <w:r>
        <w:rPr>
          <w:sz w:val="20"/>
        </w:rPr>
        <w:t>of the cervix</w:t>
      </w:r>
      <w:r w:rsidRPr="00EA78AF">
        <w:rPr>
          <w:sz w:val="20"/>
        </w:rPr>
        <w:t xml:space="preserve"> </w:t>
      </w:r>
      <w:r w:rsidR="00E82FC9" w:rsidRPr="00EF4E4F">
        <w:t xml:space="preserve">in Victoria per 100,000 standardised </w:t>
      </w:r>
      <w:r w:rsidR="00B8247D" w:rsidRPr="00EF4E4F">
        <w:t>to the 2001 Australian population, by Victorian LGA, 2014, 2017 and 2021</w:t>
      </w:r>
      <w:bookmarkEnd w:id="194"/>
    </w:p>
    <w:p w14:paraId="43CFEE6C" w14:textId="173598D4" w:rsidR="007062AE" w:rsidRPr="00EA78AF" w:rsidRDefault="007062AE" w:rsidP="00E87AAA">
      <w:pPr>
        <w:pStyle w:val="Body"/>
        <w:rPr>
          <w:sz w:val="20"/>
          <w:lang w:val="en" w:eastAsia="en-NZ"/>
        </w:rPr>
      </w:pPr>
      <w:r w:rsidRPr="00EA78AF">
        <w:rPr>
          <w:sz w:val="20"/>
        </w:rPr>
        <w:t xml:space="preserve">Figure 1.7.2 </w:t>
      </w:r>
      <w:r w:rsidR="00787D3F" w:rsidRPr="00EA78AF">
        <w:rPr>
          <w:sz w:val="20"/>
        </w:rPr>
        <w:t>v</w:t>
      </w:r>
      <w:r w:rsidRPr="00EA78AF">
        <w:rPr>
          <w:sz w:val="20"/>
        </w:rPr>
        <w:t>isualise</w:t>
      </w:r>
      <w:r w:rsidR="00E82FC9" w:rsidRPr="00EA78AF">
        <w:rPr>
          <w:sz w:val="20"/>
        </w:rPr>
        <w:t>s</w:t>
      </w:r>
      <w:r w:rsidRPr="00EA78AF">
        <w:rPr>
          <w:sz w:val="20"/>
        </w:rPr>
        <w:t xml:space="preserve"> the spatial variation of incidence rates of </w:t>
      </w:r>
      <w:r w:rsidR="00F442E5">
        <w:rPr>
          <w:sz w:val="20"/>
        </w:rPr>
        <w:t>c</w:t>
      </w:r>
      <w:r w:rsidRPr="00EA78AF">
        <w:rPr>
          <w:sz w:val="20"/>
        </w:rPr>
        <w:t xml:space="preserve">ancer </w:t>
      </w:r>
      <w:r w:rsidR="00F442E5">
        <w:rPr>
          <w:sz w:val="20"/>
        </w:rPr>
        <w:t xml:space="preserve">of the cervix </w:t>
      </w:r>
      <w:r w:rsidRPr="00EA78AF">
        <w:rPr>
          <w:sz w:val="20"/>
        </w:rPr>
        <w:t>by LGA</w:t>
      </w:r>
      <w:r w:rsidR="00787D3F" w:rsidRPr="00EA78AF">
        <w:rPr>
          <w:sz w:val="20"/>
        </w:rPr>
        <w:t xml:space="preserve"> from 2014 to 202</w:t>
      </w:r>
      <w:r w:rsidR="00243F72" w:rsidRPr="00EA78AF">
        <w:rPr>
          <w:sz w:val="20"/>
        </w:rPr>
        <w:t>1</w:t>
      </w:r>
      <w:r w:rsidRPr="00EA78AF">
        <w:rPr>
          <w:sz w:val="20"/>
        </w:rPr>
        <w:t>. Forty-</w:t>
      </w:r>
      <w:r w:rsidR="00C617DD" w:rsidRPr="00EA78AF">
        <w:rPr>
          <w:sz w:val="20"/>
        </w:rPr>
        <w:t>three</w:t>
      </w:r>
      <w:r w:rsidR="0054537F">
        <w:rPr>
          <w:sz w:val="20"/>
        </w:rPr>
        <w:t>%</w:t>
      </w:r>
      <w:r w:rsidRPr="00EA78AF">
        <w:rPr>
          <w:sz w:val="20"/>
        </w:rPr>
        <w:t xml:space="preserve"> of the 79 LGAs had</w:t>
      </w:r>
      <w:r w:rsidR="00015CCA" w:rsidRPr="00EA78AF">
        <w:rPr>
          <w:sz w:val="20"/>
        </w:rPr>
        <w:t xml:space="preserve"> equal to or</w:t>
      </w:r>
      <w:r w:rsidRPr="00EA78AF">
        <w:rPr>
          <w:sz w:val="20"/>
        </w:rPr>
        <w:t xml:space="preserve"> higher incidence rates of </w:t>
      </w:r>
      <w:r w:rsidR="00BF58E3">
        <w:rPr>
          <w:sz w:val="20"/>
        </w:rPr>
        <w:t>c</w:t>
      </w:r>
      <w:r w:rsidRPr="00EA78AF">
        <w:rPr>
          <w:sz w:val="20"/>
        </w:rPr>
        <w:t xml:space="preserve">ancer </w:t>
      </w:r>
      <w:r w:rsidR="00F442E5">
        <w:rPr>
          <w:sz w:val="20"/>
        </w:rPr>
        <w:t xml:space="preserve">of the cervix </w:t>
      </w:r>
      <w:r w:rsidRPr="00EA78AF">
        <w:rPr>
          <w:sz w:val="20"/>
        </w:rPr>
        <w:t>than the overall rate (6</w:t>
      </w:r>
      <w:r w:rsidR="00EF20DA" w:rsidRPr="00EA78AF">
        <w:rPr>
          <w:sz w:val="20"/>
        </w:rPr>
        <w:t xml:space="preserve"> </w:t>
      </w:r>
      <w:r w:rsidRPr="00EA78AF">
        <w:rPr>
          <w:sz w:val="20"/>
        </w:rPr>
        <w:t>per 100,000 population) in 201</w:t>
      </w:r>
      <w:r w:rsidR="00EF20DA" w:rsidRPr="00EA78AF">
        <w:rPr>
          <w:sz w:val="20"/>
        </w:rPr>
        <w:t>4</w:t>
      </w:r>
      <w:r w:rsidRPr="00EA78AF">
        <w:rPr>
          <w:sz w:val="20"/>
        </w:rPr>
        <w:t>.</w:t>
      </w:r>
      <w:r w:rsidR="00D646CB" w:rsidRPr="00EA78AF">
        <w:rPr>
          <w:sz w:val="20"/>
        </w:rPr>
        <w:t xml:space="preserve"> </w:t>
      </w:r>
      <w:r w:rsidR="00EF20DA" w:rsidRPr="00EA78AF">
        <w:rPr>
          <w:sz w:val="20"/>
        </w:rPr>
        <w:t>Strathbogie</w:t>
      </w:r>
      <w:r w:rsidR="00CB5383" w:rsidRPr="00EA78AF">
        <w:rPr>
          <w:sz w:val="20"/>
        </w:rPr>
        <w:t xml:space="preserve"> Shire</w:t>
      </w:r>
      <w:r w:rsidRPr="00EA78AF">
        <w:rPr>
          <w:sz w:val="20"/>
        </w:rPr>
        <w:t xml:space="preserve"> LGA reported the highest incidence rate (</w:t>
      </w:r>
      <w:r w:rsidR="00CB5383" w:rsidRPr="00EA78AF">
        <w:rPr>
          <w:sz w:val="20"/>
        </w:rPr>
        <w:t>3</w:t>
      </w:r>
      <w:r w:rsidR="00C617DD" w:rsidRPr="00EA78AF">
        <w:rPr>
          <w:sz w:val="20"/>
        </w:rPr>
        <w:t>7.6</w:t>
      </w:r>
      <w:r w:rsidRPr="00EA78AF">
        <w:rPr>
          <w:sz w:val="20"/>
        </w:rPr>
        <w:t xml:space="preserve"> per 100,000 population) and</w:t>
      </w:r>
      <w:r w:rsidR="00C617DD" w:rsidRPr="00EA78AF">
        <w:rPr>
          <w:sz w:val="20"/>
        </w:rPr>
        <w:t xml:space="preserve"> </w:t>
      </w:r>
      <w:r w:rsidR="00EF20DA" w:rsidRPr="00EA78AF">
        <w:rPr>
          <w:sz w:val="20"/>
        </w:rPr>
        <w:t>Melbourne City</w:t>
      </w:r>
      <w:r w:rsidR="00015CCA" w:rsidRPr="00EA78AF">
        <w:rPr>
          <w:sz w:val="20"/>
        </w:rPr>
        <w:t xml:space="preserve"> </w:t>
      </w:r>
      <w:r w:rsidRPr="00EA78AF">
        <w:rPr>
          <w:sz w:val="20"/>
        </w:rPr>
        <w:t>LGA</w:t>
      </w:r>
      <w:r w:rsidR="00D646CB" w:rsidRPr="00EA78AF">
        <w:rPr>
          <w:sz w:val="20"/>
        </w:rPr>
        <w:t xml:space="preserve"> </w:t>
      </w:r>
      <w:r w:rsidRPr="00EA78AF">
        <w:rPr>
          <w:sz w:val="20"/>
        </w:rPr>
        <w:t>the lowest incidence rate (</w:t>
      </w:r>
      <w:r w:rsidR="00C617DD" w:rsidRPr="00EA78AF">
        <w:rPr>
          <w:sz w:val="20"/>
        </w:rPr>
        <w:t>0.9</w:t>
      </w:r>
      <w:r w:rsidRPr="00EA78AF">
        <w:rPr>
          <w:sz w:val="20"/>
        </w:rPr>
        <w:t xml:space="preserve"> per 100,000 population) in 201</w:t>
      </w:r>
      <w:r w:rsidR="00EF20DA" w:rsidRPr="00EA78AF">
        <w:rPr>
          <w:sz w:val="20"/>
        </w:rPr>
        <w:t>4</w:t>
      </w:r>
      <w:r w:rsidRPr="00EA78AF">
        <w:rPr>
          <w:sz w:val="20"/>
        </w:rPr>
        <w:t xml:space="preserve"> (</w:t>
      </w:r>
      <w:r w:rsidR="00787D3F" w:rsidRPr="00EA78AF">
        <w:rPr>
          <w:sz w:val="20"/>
        </w:rPr>
        <w:t>Table 1.</w:t>
      </w:r>
      <w:r w:rsidR="00246BC0" w:rsidRPr="00EA78AF">
        <w:rPr>
          <w:sz w:val="20"/>
        </w:rPr>
        <w:t>7</w:t>
      </w:r>
      <w:r w:rsidR="00787D3F" w:rsidRPr="00EA78AF">
        <w:rPr>
          <w:sz w:val="20"/>
        </w:rPr>
        <w:t>b, Appendix 2</w:t>
      </w:r>
      <w:r w:rsidRPr="00EA78AF">
        <w:rPr>
          <w:sz w:val="20"/>
        </w:rPr>
        <w:t>).</w:t>
      </w:r>
      <w:r w:rsidR="00952FC7" w:rsidRPr="00EA78AF">
        <w:rPr>
          <w:sz w:val="20"/>
        </w:rPr>
        <w:t xml:space="preserve"> </w:t>
      </w:r>
      <w:r w:rsidRPr="00EA78AF">
        <w:rPr>
          <w:sz w:val="20"/>
        </w:rPr>
        <w:t xml:space="preserve">However, </w:t>
      </w:r>
      <w:r w:rsidR="00CB5383" w:rsidRPr="00EA78AF">
        <w:rPr>
          <w:sz w:val="20"/>
        </w:rPr>
        <w:t>2</w:t>
      </w:r>
      <w:r w:rsidR="00EF20DA" w:rsidRPr="00EA78AF">
        <w:rPr>
          <w:sz w:val="20"/>
        </w:rPr>
        <w:t>4</w:t>
      </w:r>
      <w:r w:rsidRPr="00EA78AF">
        <w:rPr>
          <w:sz w:val="20"/>
        </w:rPr>
        <w:t xml:space="preserve"> LGAs reported zero incidence rates in 201</w:t>
      </w:r>
      <w:r w:rsidR="00EF20DA" w:rsidRPr="00EA78AF">
        <w:rPr>
          <w:sz w:val="20"/>
        </w:rPr>
        <w:t>4</w:t>
      </w:r>
      <w:r w:rsidRPr="00EA78AF">
        <w:rPr>
          <w:sz w:val="20"/>
        </w:rPr>
        <w:t>. By comparison, 4</w:t>
      </w:r>
      <w:r w:rsidR="00760AEA" w:rsidRPr="00EA78AF">
        <w:rPr>
          <w:sz w:val="20"/>
        </w:rPr>
        <w:t>5</w:t>
      </w:r>
      <w:r w:rsidR="004E58C6" w:rsidRPr="00EA78AF">
        <w:rPr>
          <w:sz w:val="20"/>
        </w:rPr>
        <w:t>.</w:t>
      </w:r>
      <w:r w:rsidR="00760AEA" w:rsidRPr="00EA78AF">
        <w:rPr>
          <w:sz w:val="20"/>
        </w:rPr>
        <w:t>6</w:t>
      </w:r>
      <w:r w:rsidR="0054537F">
        <w:rPr>
          <w:sz w:val="20"/>
        </w:rPr>
        <w:t>%</w:t>
      </w:r>
      <w:r w:rsidRPr="00EA78AF">
        <w:rPr>
          <w:sz w:val="20"/>
        </w:rPr>
        <w:t xml:space="preserve"> </w:t>
      </w:r>
      <w:r w:rsidRPr="00EA78AF">
        <w:rPr>
          <w:color w:val="000000" w:themeColor="text1"/>
          <w:sz w:val="20"/>
        </w:rPr>
        <w:t>of the 79 LGAs had</w:t>
      </w:r>
      <w:r w:rsidR="00015CCA" w:rsidRPr="00EA78AF">
        <w:rPr>
          <w:color w:val="000000" w:themeColor="text1"/>
          <w:sz w:val="20"/>
        </w:rPr>
        <w:t xml:space="preserve"> equal to or</w:t>
      </w:r>
      <w:r w:rsidRPr="00EA78AF">
        <w:rPr>
          <w:color w:val="000000" w:themeColor="text1"/>
          <w:sz w:val="20"/>
        </w:rPr>
        <w:t xml:space="preserve"> high</w:t>
      </w:r>
      <w:r w:rsidR="00927F21" w:rsidRPr="00EA78AF">
        <w:rPr>
          <w:color w:val="000000" w:themeColor="text1"/>
          <w:sz w:val="20"/>
        </w:rPr>
        <w:t>er</w:t>
      </w:r>
      <w:r w:rsidRPr="00EA78AF">
        <w:rPr>
          <w:color w:val="000000" w:themeColor="text1"/>
          <w:sz w:val="20"/>
        </w:rPr>
        <w:t xml:space="preserve"> incidence rates </w:t>
      </w:r>
      <w:r w:rsidR="00203D63" w:rsidRPr="00EA78AF">
        <w:rPr>
          <w:color w:val="000000" w:themeColor="text1"/>
          <w:sz w:val="20"/>
        </w:rPr>
        <w:t xml:space="preserve">of </w:t>
      </w:r>
      <w:r w:rsidR="00F442E5">
        <w:rPr>
          <w:color w:val="000000" w:themeColor="text1"/>
          <w:sz w:val="20"/>
        </w:rPr>
        <w:t>c</w:t>
      </w:r>
      <w:r w:rsidRPr="00EA78AF">
        <w:rPr>
          <w:color w:val="000000" w:themeColor="text1"/>
          <w:sz w:val="20"/>
        </w:rPr>
        <w:t>ancer</w:t>
      </w:r>
      <w:r w:rsidR="00F442E5">
        <w:rPr>
          <w:color w:val="000000" w:themeColor="text1"/>
          <w:sz w:val="20"/>
        </w:rPr>
        <w:t xml:space="preserve"> of the cervix</w:t>
      </w:r>
      <w:r w:rsidRPr="00EA78AF">
        <w:rPr>
          <w:color w:val="000000" w:themeColor="text1"/>
          <w:sz w:val="20"/>
        </w:rPr>
        <w:t xml:space="preserve"> than the overall rate (</w:t>
      </w:r>
      <w:r w:rsidR="00AE5C6E" w:rsidRPr="00EA78AF">
        <w:rPr>
          <w:color w:val="000000" w:themeColor="text1"/>
          <w:sz w:val="20"/>
        </w:rPr>
        <w:t>6</w:t>
      </w:r>
      <w:r w:rsidRPr="00EA78AF">
        <w:rPr>
          <w:color w:val="000000" w:themeColor="text1"/>
          <w:sz w:val="20"/>
        </w:rPr>
        <w:t xml:space="preserve"> per 100,000 population) for Victoria in 20</w:t>
      </w:r>
      <w:r w:rsidR="004E58C6" w:rsidRPr="00EA78AF">
        <w:rPr>
          <w:color w:val="000000" w:themeColor="text1"/>
          <w:sz w:val="20"/>
        </w:rPr>
        <w:t>2</w:t>
      </w:r>
      <w:r w:rsidR="00AE5C6E" w:rsidRPr="00EA78AF">
        <w:rPr>
          <w:color w:val="000000" w:themeColor="text1"/>
          <w:sz w:val="20"/>
        </w:rPr>
        <w:t>1</w:t>
      </w:r>
      <w:r w:rsidRPr="00EA78AF">
        <w:rPr>
          <w:color w:val="000000" w:themeColor="text1"/>
          <w:sz w:val="20"/>
        </w:rPr>
        <w:t>.</w:t>
      </w:r>
      <w:r w:rsidR="00952FC7" w:rsidRPr="00EA78AF">
        <w:rPr>
          <w:color w:val="000000" w:themeColor="text1"/>
          <w:sz w:val="20"/>
        </w:rPr>
        <w:t xml:space="preserve"> </w:t>
      </w:r>
      <w:r w:rsidR="00760AEA" w:rsidRPr="00EA78AF">
        <w:rPr>
          <w:color w:val="000000" w:themeColor="text1"/>
          <w:sz w:val="20"/>
        </w:rPr>
        <w:t>Central Goldfield</w:t>
      </w:r>
      <w:r w:rsidR="00927F21" w:rsidRPr="00EA78AF">
        <w:rPr>
          <w:color w:val="000000" w:themeColor="text1"/>
          <w:sz w:val="20"/>
        </w:rPr>
        <w:t>s</w:t>
      </w:r>
      <w:r w:rsidR="00824169" w:rsidRPr="00EA78AF">
        <w:rPr>
          <w:color w:val="000000" w:themeColor="text1"/>
          <w:sz w:val="20"/>
        </w:rPr>
        <w:t xml:space="preserve"> Shire</w:t>
      </w:r>
      <w:r w:rsidRPr="00EA78AF">
        <w:rPr>
          <w:color w:val="000000" w:themeColor="text1"/>
          <w:sz w:val="20"/>
        </w:rPr>
        <w:t xml:space="preserve"> LGA reported the highest incidence rate (</w:t>
      </w:r>
      <w:r w:rsidR="00824169" w:rsidRPr="00EA78AF">
        <w:rPr>
          <w:color w:val="000000" w:themeColor="text1"/>
          <w:sz w:val="20"/>
        </w:rPr>
        <w:t>49.7</w:t>
      </w:r>
      <w:r w:rsidRPr="00EA78AF">
        <w:rPr>
          <w:color w:val="000000" w:themeColor="text1"/>
          <w:sz w:val="20"/>
        </w:rPr>
        <w:t xml:space="preserve"> per 100,000 population) and </w:t>
      </w:r>
      <w:r w:rsidR="00824169" w:rsidRPr="00EA78AF">
        <w:rPr>
          <w:color w:val="000000" w:themeColor="text1"/>
          <w:sz w:val="20"/>
        </w:rPr>
        <w:t xml:space="preserve">Glen Eira City and Stonnington City </w:t>
      </w:r>
      <w:r w:rsidRPr="00EA78AF">
        <w:rPr>
          <w:color w:val="000000" w:themeColor="text1"/>
          <w:sz w:val="20"/>
        </w:rPr>
        <w:t>LGA</w:t>
      </w:r>
      <w:r w:rsidR="00824169" w:rsidRPr="00EA78AF">
        <w:rPr>
          <w:color w:val="000000" w:themeColor="text1"/>
          <w:sz w:val="20"/>
        </w:rPr>
        <w:t>s</w:t>
      </w:r>
      <w:r w:rsidRPr="00EA78AF">
        <w:rPr>
          <w:color w:val="000000" w:themeColor="text1"/>
          <w:sz w:val="20"/>
        </w:rPr>
        <w:t xml:space="preserve"> the lowest (1</w:t>
      </w:r>
      <w:r w:rsidR="00824169" w:rsidRPr="00EA78AF">
        <w:rPr>
          <w:color w:val="000000" w:themeColor="text1"/>
          <w:sz w:val="20"/>
        </w:rPr>
        <w:t>.3</w:t>
      </w:r>
      <w:r w:rsidRPr="00EA78AF">
        <w:rPr>
          <w:color w:val="000000" w:themeColor="text1"/>
          <w:sz w:val="20"/>
        </w:rPr>
        <w:t xml:space="preserve"> per 100,000 population) in 20</w:t>
      </w:r>
      <w:r w:rsidR="00E239CF" w:rsidRPr="00EA78AF">
        <w:rPr>
          <w:color w:val="000000" w:themeColor="text1"/>
          <w:sz w:val="20"/>
        </w:rPr>
        <w:t>2</w:t>
      </w:r>
      <w:r w:rsidR="00760AEA" w:rsidRPr="00EA78AF">
        <w:rPr>
          <w:color w:val="000000" w:themeColor="text1"/>
          <w:sz w:val="20"/>
        </w:rPr>
        <w:t>1</w:t>
      </w:r>
      <w:r w:rsidR="00787D3F" w:rsidRPr="00EA78AF">
        <w:rPr>
          <w:color w:val="000000" w:themeColor="text1"/>
          <w:sz w:val="20"/>
        </w:rPr>
        <w:t xml:space="preserve"> </w:t>
      </w:r>
      <w:r w:rsidR="003E6AE8" w:rsidRPr="00EA78AF">
        <w:rPr>
          <w:color w:val="000000" w:themeColor="text1"/>
          <w:sz w:val="20"/>
        </w:rPr>
        <w:t>(</w:t>
      </w:r>
      <w:r w:rsidR="00787D3F" w:rsidRPr="00EA78AF">
        <w:rPr>
          <w:color w:val="000000" w:themeColor="text1"/>
          <w:sz w:val="20"/>
        </w:rPr>
        <w:t>Table 1.</w:t>
      </w:r>
      <w:r w:rsidR="00246BC0" w:rsidRPr="00EA78AF">
        <w:rPr>
          <w:color w:val="000000" w:themeColor="text1"/>
          <w:sz w:val="20"/>
        </w:rPr>
        <w:t>7</w:t>
      </w:r>
      <w:r w:rsidR="00787D3F" w:rsidRPr="00EA78AF">
        <w:rPr>
          <w:color w:val="000000" w:themeColor="text1"/>
          <w:sz w:val="20"/>
        </w:rPr>
        <w:t>d, Appendix 2)</w:t>
      </w:r>
      <w:r w:rsidRPr="00EA78AF">
        <w:rPr>
          <w:color w:val="000000" w:themeColor="text1"/>
          <w:sz w:val="20"/>
        </w:rPr>
        <w:t>.</w:t>
      </w:r>
      <w:r w:rsidR="00D646CB" w:rsidRPr="00EA78AF">
        <w:rPr>
          <w:sz w:val="20"/>
        </w:rPr>
        <w:t xml:space="preserve"> </w:t>
      </w:r>
      <w:r w:rsidRPr="00EA78AF">
        <w:rPr>
          <w:color w:val="000000" w:themeColor="text1"/>
          <w:sz w:val="20"/>
        </w:rPr>
        <w:t xml:space="preserve">However, there were </w:t>
      </w:r>
      <w:r w:rsidR="00927F21" w:rsidRPr="00EA78AF">
        <w:rPr>
          <w:color w:val="000000" w:themeColor="text1"/>
          <w:sz w:val="20"/>
        </w:rPr>
        <w:t>nine</w:t>
      </w:r>
      <w:r w:rsidRPr="00EA78AF">
        <w:rPr>
          <w:color w:val="000000" w:themeColor="text1"/>
          <w:sz w:val="20"/>
        </w:rPr>
        <w:t xml:space="preserve"> LGAs (</w:t>
      </w:r>
      <w:r w:rsidR="00664A92" w:rsidRPr="00EA78AF">
        <w:rPr>
          <w:color w:val="000000" w:themeColor="text1"/>
          <w:sz w:val="20"/>
        </w:rPr>
        <w:t>Benalla Rural City</w:t>
      </w:r>
      <w:r w:rsidR="004B77E8" w:rsidRPr="00EA78AF">
        <w:rPr>
          <w:color w:val="000000" w:themeColor="text1"/>
          <w:sz w:val="20"/>
        </w:rPr>
        <w:t xml:space="preserve">, </w:t>
      </w:r>
      <w:r w:rsidR="00664A92" w:rsidRPr="00EA78AF">
        <w:rPr>
          <w:color w:val="000000" w:themeColor="text1"/>
          <w:sz w:val="20"/>
        </w:rPr>
        <w:t xml:space="preserve">Buloke Shire, </w:t>
      </w:r>
      <w:r w:rsidR="004B77E8" w:rsidRPr="00EA78AF">
        <w:rPr>
          <w:color w:val="000000" w:themeColor="text1"/>
          <w:sz w:val="20"/>
        </w:rPr>
        <w:t>Corangamite Shire</w:t>
      </w:r>
      <w:r w:rsidR="00664A92" w:rsidRPr="00EA78AF">
        <w:rPr>
          <w:color w:val="000000" w:themeColor="text1"/>
          <w:sz w:val="20"/>
        </w:rPr>
        <w:t>, H</w:t>
      </w:r>
      <w:r w:rsidR="00824169" w:rsidRPr="00EA78AF">
        <w:rPr>
          <w:color w:val="000000" w:themeColor="text1"/>
          <w:sz w:val="20"/>
        </w:rPr>
        <w:t>orsham Rural City</w:t>
      </w:r>
      <w:r w:rsidR="00664A92" w:rsidRPr="00EA78AF">
        <w:rPr>
          <w:color w:val="000000" w:themeColor="text1"/>
          <w:sz w:val="20"/>
        </w:rPr>
        <w:t xml:space="preserve">, </w:t>
      </w:r>
      <w:r w:rsidR="00824169" w:rsidRPr="00EA78AF">
        <w:rPr>
          <w:color w:val="000000" w:themeColor="text1"/>
          <w:sz w:val="20"/>
        </w:rPr>
        <w:t xml:space="preserve">Macedon Ranges Shire, </w:t>
      </w:r>
      <w:r w:rsidR="00664A92" w:rsidRPr="00EA78AF">
        <w:rPr>
          <w:color w:val="000000" w:themeColor="text1"/>
          <w:sz w:val="20"/>
        </w:rPr>
        <w:t xml:space="preserve">Mansfield Shire, </w:t>
      </w:r>
      <w:r w:rsidR="00824169" w:rsidRPr="00EA78AF">
        <w:rPr>
          <w:color w:val="000000" w:themeColor="text1"/>
          <w:sz w:val="20"/>
        </w:rPr>
        <w:t>Pyrenees Shire, Queenscliffe Borough</w:t>
      </w:r>
      <w:r w:rsidR="00D646CB" w:rsidRPr="00EA78AF">
        <w:rPr>
          <w:color w:val="000000" w:themeColor="text1"/>
          <w:sz w:val="20"/>
        </w:rPr>
        <w:t>, Yarriambiack Shire</w:t>
      </w:r>
      <w:r w:rsidRPr="00EA78AF">
        <w:rPr>
          <w:color w:val="000000" w:themeColor="text1"/>
          <w:sz w:val="20"/>
        </w:rPr>
        <w:t xml:space="preserve">) </w:t>
      </w:r>
      <w:r w:rsidR="00B5106E" w:rsidRPr="00EA78AF">
        <w:rPr>
          <w:color w:val="000000" w:themeColor="text1"/>
          <w:sz w:val="20"/>
        </w:rPr>
        <w:t xml:space="preserve">that </w:t>
      </w:r>
      <w:r w:rsidRPr="00EA78AF">
        <w:rPr>
          <w:color w:val="000000" w:themeColor="text1"/>
          <w:sz w:val="20"/>
        </w:rPr>
        <w:t>reported zero incidence rates for both 201</w:t>
      </w:r>
      <w:r w:rsidR="004B77E8" w:rsidRPr="00EA78AF">
        <w:rPr>
          <w:color w:val="000000" w:themeColor="text1"/>
          <w:sz w:val="20"/>
        </w:rPr>
        <w:t>4</w:t>
      </w:r>
      <w:r w:rsidRPr="00EA78AF">
        <w:rPr>
          <w:color w:val="000000" w:themeColor="text1"/>
          <w:sz w:val="20"/>
        </w:rPr>
        <w:t xml:space="preserve"> and 20</w:t>
      </w:r>
      <w:r w:rsidR="00664A92" w:rsidRPr="00EA78AF">
        <w:rPr>
          <w:color w:val="000000" w:themeColor="text1"/>
          <w:sz w:val="20"/>
        </w:rPr>
        <w:t>2</w:t>
      </w:r>
      <w:r w:rsidR="00824169" w:rsidRPr="00EA78AF">
        <w:rPr>
          <w:color w:val="000000" w:themeColor="text1"/>
          <w:sz w:val="20"/>
        </w:rPr>
        <w:t>1</w:t>
      </w:r>
      <w:r w:rsidRPr="00EA78AF">
        <w:rPr>
          <w:color w:val="000000" w:themeColor="text1"/>
          <w:sz w:val="20"/>
        </w:rPr>
        <w:t>. Overall, most of the 79 LGAs reported very little variation in the incidence rate during the reporting period</w:t>
      </w:r>
      <w:r w:rsidR="00927F21" w:rsidRPr="00EA78AF">
        <w:rPr>
          <w:color w:val="000000" w:themeColor="text1"/>
          <w:sz w:val="20"/>
        </w:rPr>
        <w:t>,</w:t>
      </w:r>
      <w:r w:rsidRPr="00EA78AF">
        <w:rPr>
          <w:color w:val="000000" w:themeColor="text1"/>
          <w:sz w:val="20"/>
        </w:rPr>
        <w:t xml:space="preserve"> likely due to the low number of cases. </w:t>
      </w:r>
      <w:r w:rsidR="00824169" w:rsidRPr="00EA78AF">
        <w:rPr>
          <w:color w:val="000000" w:themeColor="text1"/>
          <w:sz w:val="20"/>
        </w:rPr>
        <w:t xml:space="preserve">Central Goldfields Shire </w:t>
      </w:r>
      <w:r w:rsidR="00D646CB" w:rsidRPr="00EA78AF">
        <w:rPr>
          <w:color w:val="000000" w:themeColor="text1"/>
          <w:sz w:val="20"/>
        </w:rPr>
        <w:t xml:space="preserve">LGA </w:t>
      </w:r>
      <w:r w:rsidRPr="00EA78AF">
        <w:rPr>
          <w:color w:val="000000" w:themeColor="text1"/>
          <w:sz w:val="20"/>
        </w:rPr>
        <w:t>showed the most</w:t>
      </w:r>
      <w:r w:rsidR="00C26BFB" w:rsidRPr="00EA78AF">
        <w:rPr>
          <w:color w:val="000000" w:themeColor="text1"/>
          <w:sz w:val="20"/>
        </w:rPr>
        <w:t xml:space="preserve"> </w:t>
      </w:r>
      <w:r w:rsidR="00CD68E3" w:rsidRPr="00EA78AF">
        <w:rPr>
          <w:color w:val="000000" w:themeColor="text1"/>
          <w:sz w:val="20"/>
        </w:rPr>
        <w:t>change</w:t>
      </w:r>
      <w:r w:rsidR="00B5106E" w:rsidRPr="00EA78AF">
        <w:rPr>
          <w:color w:val="000000" w:themeColor="text1"/>
          <w:sz w:val="20"/>
        </w:rPr>
        <w:t>,</w:t>
      </w:r>
      <w:r w:rsidR="00CD68E3" w:rsidRPr="00EA78AF">
        <w:rPr>
          <w:color w:val="000000" w:themeColor="text1"/>
          <w:sz w:val="20"/>
        </w:rPr>
        <w:t xml:space="preserve"> with a</w:t>
      </w:r>
      <w:r w:rsidR="00D646CB" w:rsidRPr="00EA78AF">
        <w:rPr>
          <w:color w:val="000000" w:themeColor="text1"/>
          <w:sz w:val="20"/>
        </w:rPr>
        <w:t>n increase</w:t>
      </w:r>
      <w:r w:rsidR="00265CE0" w:rsidRPr="00EA78AF">
        <w:rPr>
          <w:color w:val="000000" w:themeColor="text1"/>
          <w:sz w:val="20"/>
        </w:rPr>
        <w:t xml:space="preserve"> in the incidence rate</w:t>
      </w:r>
      <w:r w:rsidRPr="00EA78AF">
        <w:rPr>
          <w:color w:val="000000" w:themeColor="text1"/>
          <w:sz w:val="20"/>
        </w:rPr>
        <w:t xml:space="preserve"> from </w:t>
      </w:r>
      <w:r w:rsidR="00D646CB" w:rsidRPr="00EA78AF">
        <w:rPr>
          <w:color w:val="000000" w:themeColor="text1"/>
          <w:sz w:val="20"/>
        </w:rPr>
        <w:t>zero</w:t>
      </w:r>
      <w:r w:rsidRPr="00EA78AF">
        <w:rPr>
          <w:color w:val="000000" w:themeColor="text1"/>
          <w:sz w:val="20"/>
        </w:rPr>
        <w:t xml:space="preserve"> per 100,000 population in 201</w:t>
      </w:r>
      <w:r w:rsidR="008013A8" w:rsidRPr="00EA78AF">
        <w:rPr>
          <w:color w:val="000000" w:themeColor="text1"/>
          <w:sz w:val="20"/>
        </w:rPr>
        <w:t>4</w:t>
      </w:r>
      <w:r w:rsidRPr="00EA78AF">
        <w:rPr>
          <w:color w:val="000000" w:themeColor="text1"/>
          <w:sz w:val="20"/>
        </w:rPr>
        <w:t xml:space="preserve"> to </w:t>
      </w:r>
      <w:r w:rsidR="00824169" w:rsidRPr="00EA78AF">
        <w:rPr>
          <w:color w:val="000000" w:themeColor="text1"/>
          <w:sz w:val="20"/>
        </w:rPr>
        <w:t>49.7</w:t>
      </w:r>
      <w:r w:rsidRPr="00EA78AF">
        <w:rPr>
          <w:color w:val="000000" w:themeColor="text1"/>
          <w:sz w:val="20"/>
        </w:rPr>
        <w:t xml:space="preserve"> per 100,000 population in 20</w:t>
      </w:r>
      <w:r w:rsidR="00E239CF" w:rsidRPr="00EA78AF">
        <w:rPr>
          <w:color w:val="000000" w:themeColor="text1"/>
          <w:sz w:val="20"/>
        </w:rPr>
        <w:t>2</w:t>
      </w:r>
      <w:r w:rsidR="00824169" w:rsidRPr="00EA78AF">
        <w:rPr>
          <w:color w:val="000000" w:themeColor="text1"/>
          <w:sz w:val="20"/>
        </w:rPr>
        <w:t>1</w:t>
      </w:r>
      <w:r w:rsidRPr="00EA78AF">
        <w:rPr>
          <w:color w:val="000000" w:themeColor="text1"/>
          <w:sz w:val="20"/>
        </w:rPr>
        <w:t>.</w:t>
      </w:r>
      <w:r w:rsidR="0039494A" w:rsidRPr="00EA78AF">
        <w:rPr>
          <w:color w:val="000000" w:themeColor="text1"/>
          <w:sz w:val="20"/>
        </w:rPr>
        <w:t xml:space="preserve"> </w:t>
      </w:r>
    </w:p>
    <w:p w14:paraId="095D9A76" w14:textId="77777777" w:rsidR="007C623A" w:rsidRDefault="007C623A" w:rsidP="00E87AAA">
      <w:pPr>
        <w:pStyle w:val="Body"/>
        <w:rPr>
          <w:sz w:val="20"/>
        </w:rPr>
        <w:sectPr w:rsidR="007C623A" w:rsidSect="007C623A">
          <w:type w:val="continuous"/>
          <w:pgSz w:w="11906" w:h="16838"/>
          <w:pgMar w:top="1411" w:right="566" w:bottom="1138" w:left="1310" w:header="454" w:footer="510" w:gutter="0"/>
          <w:cols w:num="2" w:space="720"/>
          <w:docGrid w:linePitch="360"/>
        </w:sectPr>
      </w:pPr>
    </w:p>
    <w:p w14:paraId="6B4AD172" w14:textId="4FE4B16A" w:rsidR="009A2DF4" w:rsidRPr="006942CA" w:rsidRDefault="002E4CC2" w:rsidP="00E87AAA">
      <w:pPr>
        <w:pStyle w:val="Body"/>
        <w:rPr>
          <w:lang w:val="en"/>
        </w:rPr>
      </w:pPr>
      <w:r w:rsidRPr="76BE792E">
        <w:rPr>
          <w:sz w:val="20"/>
        </w:rPr>
        <w:t>Despite no target being</w:t>
      </w:r>
      <w:r w:rsidR="00136D74" w:rsidRPr="76BE792E">
        <w:rPr>
          <w:sz w:val="20"/>
        </w:rPr>
        <w:t xml:space="preserve"> set for this measure</w:t>
      </w:r>
      <w:r w:rsidRPr="76BE792E">
        <w:rPr>
          <w:sz w:val="20"/>
        </w:rPr>
        <w:t xml:space="preserve"> and no change in the overall age-standardised incidence rate for cervical cancer observed between 201</w:t>
      </w:r>
      <w:r w:rsidR="008013A8" w:rsidRPr="76BE792E">
        <w:rPr>
          <w:sz w:val="20"/>
        </w:rPr>
        <w:t>4</w:t>
      </w:r>
      <w:r w:rsidRPr="76BE792E">
        <w:rPr>
          <w:sz w:val="20"/>
        </w:rPr>
        <w:t xml:space="preserve"> and 20</w:t>
      </w:r>
      <w:r w:rsidR="00417087" w:rsidRPr="76BE792E">
        <w:rPr>
          <w:sz w:val="20"/>
        </w:rPr>
        <w:t>2</w:t>
      </w:r>
      <w:r w:rsidR="002E1D26" w:rsidRPr="76BE792E">
        <w:rPr>
          <w:sz w:val="20"/>
        </w:rPr>
        <w:t>1</w:t>
      </w:r>
      <w:r w:rsidRPr="76BE792E">
        <w:rPr>
          <w:sz w:val="20"/>
        </w:rPr>
        <w:t xml:space="preserve">, a steady decrease </w:t>
      </w:r>
      <w:r w:rsidR="00927F21" w:rsidRPr="76BE792E">
        <w:rPr>
          <w:sz w:val="20"/>
        </w:rPr>
        <w:t xml:space="preserve">is anticipated </w:t>
      </w:r>
      <w:r w:rsidRPr="76BE792E">
        <w:rPr>
          <w:sz w:val="20"/>
        </w:rPr>
        <w:t>in the future</w:t>
      </w:r>
      <w:r w:rsidR="00B5106E" w:rsidRPr="76BE792E">
        <w:rPr>
          <w:sz w:val="20"/>
        </w:rPr>
        <w:t>,</w:t>
      </w:r>
      <w:r w:rsidRPr="76BE792E">
        <w:rPr>
          <w:sz w:val="20"/>
        </w:rPr>
        <w:t xml:space="preserve"> which will be partly attributed to the effects of </w:t>
      </w:r>
      <w:r w:rsidR="00D95810" w:rsidRPr="76BE792E">
        <w:rPr>
          <w:sz w:val="20"/>
        </w:rPr>
        <w:t xml:space="preserve">HPV vaccination and </w:t>
      </w:r>
      <w:r w:rsidRPr="76BE792E">
        <w:rPr>
          <w:sz w:val="20"/>
        </w:rPr>
        <w:t xml:space="preserve">the National </w:t>
      </w:r>
      <w:r w:rsidRPr="76BE792E">
        <w:rPr>
          <w:sz w:val="20"/>
          <w:lang w:val="en" w:eastAsia="en-NZ"/>
        </w:rPr>
        <w:t xml:space="preserve">Cervical Screening Program </w:t>
      </w:r>
      <w:r w:rsidR="00B5106E" w:rsidRPr="76BE792E">
        <w:rPr>
          <w:sz w:val="20"/>
          <w:lang w:val="en" w:eastAsia="en-NZ"/>
        </w:rPr>
        <w:t xml:space="preserve">that began </w:t>
      </w:r>
      <w:r w:rsidRPr="76BE792E">
        <w:rPr>
          <w:sz w:val="20"/>
          <w:lang w:val="en" w:eastAsia="en-NZ"/>
        </w:rPr>
        <w:t>in 1991.</w:t>
      </w:r>
      <w:r w:rsidR="004C0BA1" w:rsidRPr="76BE792E">
        <w:rPr>
          <w:sz w:val="20"/>
          <w:lang w:val="en" w:eastAsia="en-NZ"/>
        </w:rPr>
        <w:t xml:space="preserve"> </w:t>
      </w:r>
      <w:r w:rsidR="00417087" w:rsidRPr="76BE792E">
        <w:rPr>
          <w:sz w:val="20"/>
          <w:lang w:val="en" w:eastAsia="en-NZ"/>
        </w:rPr>
        <w:t xml:space="preserve">A </w:t>
      </w:r>
      <w:r w:rsidR="00D95810" w:rsidRPr="76BE792E">
        <w:rPr>
          <w:sz w:val="20"/>
        </w:rPr>
        <w:t xml:space="preserve">study </w:t>
      </w:r>
      <w:r w:rsidR="00417087" w:rsidRPr="76BE792E">
        <w:rPr>
          <w:sz w:val="20"/>
        </w:rPr>
        <w:t xml:space="preserve">published </w:t>
      </w:r>
      <w:r w:rsidR="00C954B9" w:rsidRPr="76BE792E">
        <w:rPr>
          <w:sz w:val="20"/>
        </w:rPr>
        <w:t xml:space="preserve">in </w:t>
      </w:r>
      <w:r w:rsidR="00417087" w:rsidRPr="76BE792E">
        <w:rPr>
          <w:sz w:val="20"/>
        </w:rPr>
        <w:t xml:space="preserve">2019 </w:t>
      </w:r>
      <w:r w:rsidR="00D95810" w:rsidRPr="76BE792E">
        <w:rPr>
          <w:sz w:val="20"/>
        </w:rPr>
        <w:t>estimate</w:t>
      </w:r>
      <w:r w:rsidR="00417087" w:rsidRPr="76BE792E">
        <w:rPr>
          <w:sz w:val="20"/>
        </w:rPr>
        <w:t>d</w:t>
      </w:r>
      <w:r w:rsidR="00D95810" w:rsidRPr="76BE792E">
        <w:rPr>
          <w:sz w:val="20"/>
        </w:rPr>
        <w:t xml:space="preserve"> that</w:t>
      </w:r>
      <w:r w:rsidR="00927F21" w:rsidRPr="76BE792E">
        <w:rPr>
          <w:sz w:val="20"/>
        </w:rPr>
        <w:t>,</w:t>
      </w:r>
      <w:r w:rsidR="00D95810" w:rsidRPr="76BE792E">
        <w:rPr>
          <w:sz w:val="20"/>
        </w:rPr>
        <w:t xml:space="preserve"> in Australia</w:t>
      </w:r>
      <w:r w:rsidR="00927F21" w:rsidRPr="76BE792E">
        <w:rPr>
          <w:sz w:val="20"/>
        </w:rPr>
        <w:t>,</w:t>
      </w:r>
      <w:r w:rsidR="00D95810" w:rsidRPr="76BE792E">
        <w:rPr>
          <w:sz w:val="20"/>
        </w:rPr>
        <w:t xml:space="preserve"> the </w:t>
      </w:r>
      <w:r w:rsidR="00D95810" w:rsidRPr="76BE792E">
        <w:rPr>
          <w:sz w:val="20"/>
          <w:lang w:val="en"/>
        </w:rPr>
        <w:t xml:space="preserve">age-standardised annual incidence of </w:t>
      </w:r>
      <w:r w:rsidR="00F442E5" w:rsidRPr="76BE792E">
        <w:rPr>
          <w:sz w:val="20"/>
          <w:lang w:val="en"/>
        </w:rPr>
        <w:t>c</w:t>
      </w:r>
      <w:r w:rsidR="00D95810" w:rsidRPr="76BE792E">
        <w:rPr>
          <w:sz w:val="20"/>
          <w:lang w:val="en"/>
        </w:rPr>
        <w:t>ancer</w:t>
      </w:r>
      <w:r w:rsidR="00F442E5" w:rsidRPr="76BE792E">
        <w:rPr>
          <w:sz w:val="20"/>
          <w:lang w:val="en"/>
        </w:rPr>
        <w:t xml:space="preserve"> of the cervix</w:t>
      </w:r>
      <w:r w:rsidR="00D95810" w:rsidRPr="76BE792E">
        <w:rPr>
          <w:sz w:val="20"/>
          <w:lang w:val="en"/>
        </w:rPr>
        <w:t xml:space="preserve"> w</w:t>
      </w:r>
      <w:r w:rsidR="00E239CF" w:rsidRPr="76BE792E">
        <w:rPr>
          <w:sz w:val="20"/>
          <w:lang w:val="en"/>
        </w:rPr>
        <w:t>ould</w:t>
      </w:r>
      <w:r w:rsidR="00D95810" w:rsidRPr="76BE792E">
        <w:rPr>
          <w:sz w:val="20"/>
          <w:lang w:val="en"/>
        </w:rPr>
        <w:t xml:space="preserve"> decrease to fewer than six new cases per 100</w:t>
      </w:r>
      <w:r w:rsidR="00927F21" w:rsidRPr="76BE792E">
        <w:rPr>
          <w:sz w:val="20"/>
          <w:lang w:val="en"/>
        </w:rPr>
        <w:t>,</w:t>
      </w:r>
      <w:r w:rsidR="00D95810" w:rsidRPr="76BE792E">
        <w:rPr>
          <w:sz w:val="20"/>
          <w:lang w:val="en"/>
        </w:rPr>
        <w:t>000 women by 2020 (range 2018–22) and to fewer than four new cases per</w:t>
      </w:r>
      <w:r w:rsidR="00D95810" w:rsidRPr="008472D2">
        <w:rPr>
          <w:lang w:val="en"/>
        </w:rPr>
        <w:t xml:space="preserve"> </w:t>
      </w:r>
      <w:r w:rsidR="00D95810" w:rsidRPr="76BE792E">
        <w:rPr>
          <w:sz w:val="20"/>
          <w:lang w:val="en"/>
        </w:rPr>
        <w:t>100</w:t>
      </w:r>
      <w:r w:rsidR="00A46CCA" w:rsidRPr="76BE792E">
        <w:rPr>
          <w:sz w:val="20"/>
          <w:lang w:val="en"/>
        </w:rPr>
        <w:t>,</w:t>
      </w:r>
      <w:r w:rsidR="00D95810" w:rsidRPr="76BE792E">
        <w:rPr>
          <w:sz w:val="20"/>
          <w:lang w:val="en"/>
        </w:rPr>
        <w:t>000 women by 2028 (2021–35).</w:t>
      </w:r>
      <w:r w:rsidR="00D95810" w:rsidRPr="76BE792E">
        <w:rPr>
          <w:rStyle w:val="FootnoteReference"/>
          <w:rFonts w:cs="Arial"/>
          <w:sz w:val="20"/>
          <w:lang w:val="en"/>
        </w:rPr>
        <w:footnoteReference w:id="44"/>
      </w:r>
      <w:r w:rsidR="008472D2" w:rsidRPr="76BE792E">
        <w:rPr>
          <w:sz w:val="20"/>
          <w:lang w:val="en"/>
        </w:rPr>
        <w:t xml:space="preserve"> </w:t>
      </w:r>
      <w:r w:rsidR="006942CA" w:rsidRPr="76BE792E">
        <w:rPr>
          <w:sz w:val="20"/>
          <w:lang w:val="en"/>
        </w:rPr>
        <w:t xml:space="preserve">As noted above, </w:t>
      </w:r>
      <w:r w:rsidR="006942CA" w:rsidRPr="76BE792E">
        <w:rPr>
          <w:rFonts w:cs="Arial"/>
          <w:sz w:val="20"/>
          <w:lang w:val="en" w:eastAsia="en-NZ"/>
        </w:rPr>
        <w:t>the age-standardised incidence rate per 100,000 females reported in 202</w:t>
      </w:r>
      <w:r w:rsidR="002E1D26" w:rsidRPr="76BE792E">
        <w:rPr>
          <w:rFonts w:cs="Arial"/>
          <w:sz w:val="20"/>
          <w:lang w:val="en" w:eastAsia="en-NZ"/>
        </w:rPr>
        <w:t>1</w:t>
      </w:r>
      <w:r w:rsidR="006942CA" w:rsidRPr="76BE792E">
        <w:rPr>
          <w:rFonts w:cs="Arial"/>
          <w:sz w:val="20"/>
          <w:lang w:val="en" w:eastAsia="en-NZ"/>
        </w:rPr>
        <w:t xml:space="preserve"> was </w:t>
      </w:r>
      <w:r w:rsidR="002E1D26" w:rsidRPr="76BE792E">
        <w:rPr>
          <w:rFonts w:cs="Arial"/>
          <w:sz w:val="20"/>
          <w:lang w:val="en" w:eastAsia="en-NZ"/>
        </w:rPr>
        <w:t>6.0</w:t>
      </w:r>
      <w:r w:rsidR="006942CA" w:rsidRPr="76BE792E">
        <w:rPr>
          <w:rFonts w:cs="Arial"/>
          <w:sz w:val="20"/>
          <w:lang w:val="en" w:eastAsia="en-NZ"/>
        </w:rPr>
        <w:t xml:space="preserve"> per 100,000 female population. This </w:t>
      </w:r>
      <w:r w:rsidR="008472D2" w:rsidRPr="76BE792E">
        <w:rPr>
          <w:sz w:val="20"/>
        </w:rPr>
        <w:t>finding indicate</w:t>
      </w:r>
      <w:r w:rsidR="006942CA" w:rsidRPr="76BE792E">
        <w:rPr>
          <w:sz w:val="20"/>
        </w:rPr>
        <w:t>s</w:t>
      </w:r>
      <w:r w:rsidR="008472D2" w:rsidRPr="76BE792E">
        <w:rPr>
          <w:sz w:val="20"/>
        </w:rPr>
        <w:t xml:space="preserve"> that Australia is on</w:t>
      </w:r>
      <w:r w:rsidR="00927F21" w:rsidRPr="76BE792E">
        <w:rPr>
          <w:sz w:val="20"/>
        </w:rPr>
        <w:t xml:space="preserve"> </w:t>
      </w:r>
      <w:r w:rsidR="008472D2" w:rsidRPr="76BE792E">
        <w:rPr>
          <w:sz w:val="20"/>
        </w:rPr>
        <w:t>track to be the first country in the world to eliminate cervical cancer by successfully implementing a combined approach to vaccination and screening.</w:t>
      </w:r>
      <w:r w:rsidR="00BF2F48" w:rsidRPr="76BE792E">
        <w:rPr>
          <w:rFonts w:cs="Arial"/>
          <w:sz w:val="20"/>
        </w:rPr>
        <w:t xml:space="preserve"> </w:t>
      </w:r>
      <w:r w:rsidR="006942CA" w:rsidRPr="76BE792E">
        <w:rPr>
          <w:rFonts w:cs="Arial"/>
          <w:sz w:val="20"/>
        </w:rPr>
        <w:lastRenderedPageBreak/>
        <w:t>Nevertheless</w:t>
      </w:r>
      <w:r w:rsidR="00417087" w:rsidRPr="76BE792E">
        <w:rPr>
          <w:sz w:val="20"/>
          <w:lang w:val="en" w:eastAsia="en-NZ"/>
        </w:rPr>
        <w:t xml:space="preserve">, a continued </w:t>
      </w:r>
      <w:r w:rsidR="00417087" w:rsidRPr="76BE792E">
        <w:rPr>
          <w:sz w:val="20"/>
          <w:lang w:val="en"/>
        </w:rPr>
        <w:t xml:space="preserve">high </w:t>
      </w:r>
      <w:r w:rsidR="00491339" w:rsidRPr="76BE792E">
        <w:rPr>
          <w:sz w:val="20"/>
          <w:lang w:val="en"/>
        </w:rPr>
        <w:t xml:space="preserve">cervical screening </w:t>
      </w:r>
      <w:r w:rsidR="00417087" w:rsidRPr="76BE792E">
        <w:rPr>
          <w:sz w:val="20"/>
          <w:lang w:val="en"/>
        </w:rPr>
        <w:t>participation rate and increased coverage of HPV vaccination</w:t>
      </w:r>
      <w:r w:rsidR="00927F21" w:rsidRPr="76BE792E">
        <w:rPr>
          <w:sz w:val="20"/>
          <w:lang w:val="en"/>
        </w:rPr>
        <w:t>,</w:t>
      </w:r>
      <w:r w:rsidR="00417087" w:rsidRPr="76BE792E">
        <w:rPr>
          <w:sz w:val="20"/>
          <w:lang w:val="en"/>
        </w:rPr>
        <w:t xml:space="preserve"> </w:t>
      </w:r>
      <w:r w:rsidR="00491339" w:rsidRPr="76BE792E">
        <w:rPr>
          <w:sz w:val="20"/>
          <w:lang w:val="en"/>
        </w:rPr>
        <w:t>particularly in lower SES and Aboriginal and Torres Strait Islander communities</w:t>
      </w:r>
      <w:r w:rsidR="00927F21" w:rsidRPr="76BE792E">
        <w:rPr>
          <w:sz w:val="20"/>
          <w:lang w:val="en"/>
        </w:rPr>
        <w:t>,</w:t>
      </w:r>
      <w:r w:rsidR="00491339" w:rsidRPr="76BE792E">
        <w:rPr>
          <w:sz w:val="20"/>
          <w:lang w:val="en"/>
        </w:rPr>
        <w:t xml:space="preserve"> is</w:t>
      </w:r>
      <w:r w:rsidR="00417087" w:rsidRPr="76BE792E">
        <w:rPr>
          <w:sz w:val="20"/>
          <w:lang w:val="en"/>
        </w:rPr>
        <w:t xml:space="preserve"> necessary </w:t>
      </w:r>
      <w:r w:rsidR="00491339" w:rsidRPr="76BE792E">
        <w:rPr>
          <w:sz w:val="20"/>
          <w:lang w:val="en"/>
        </w:rPr>
        <w:t xml:space="preserve">to achieve the </w:t>
      </w:r>
      <w:r w:rsidR="00491339" w:rsidRPr="76BE792E">
        <w:rPr>
          <w:i/>
          <w:iCs/>
          <w:sz w:val="20"/>
          <w:lang w:val="en"/>
        </w:rPr>
        <w:t xml:space="preserve">Victorian </w:t>
      </w:r>
      <w:r w:rsidR="00927F21" w:rsidRPr="76BE792E">
        <w:rPr>
          <w:i/>
          <w:iCs/>
          <w:sz w:val="20"/>
          <w:lang w:val="en"/>
        </w:rPr>
        <w:t>c</w:t>
      </w:r>
      <w:r w:rsidR="00491339" w:rsidRPr="76BE792E">
        <w:rPr>
          <w:i/>
          <w:iCs/>
          <w:sz w:val="20"/>
          <w:lang w:val="en"/>
        </w:rPr>
        <w:t xml:space="preserve">ancer </w:t>
      </w:r>
      <w:r w:rsidR="00927F21" w:rsidRPr="76BE792E">
        <w:rPr>
          <w:i/>
          <w:iCs/>
          <w:sz w:val="20"/>
          <w:lang w:val="en"/>
        </w:rPr>
        <w:t>p</w:t>
      </w:r>
      <w:r w:rsidR="00491339" w:rsidRPr="76BE792E">
        <w:rPr>
          <w:i/>
          <w:iCs/>
          <w:sz w:val="20"/>
          <w:lang w:val="en"/>
        </w:rPr>
        <w:t>lan’s</w:t>
      </w:r>
      <w:r w:rsidR="00491339" w:rsidRPr="76BE792E">
        <w:rPr>
          <w:sz w:val="20"/>
          <w:lang w:val="en"/>
        </w:rPr>
        <w:t xml:space="preserve"> goal</w:t>
      </w:r>
      <w:r w:rsidR="00417087" w:rsidRPr="76BE792E">
        <w:rPr>
          <w:sz w:val="20"/>
          <w:lang w:val="en"/>
        </w:rPr>
        <w:t xml:space="preserve"> of </w:t>
      </w:r>
      <w:r w:rsidR="006942CA" w:rsidRPr="76BE792E">
        <w:rPr>
          <w:sz w:val="20"/>
          <w:lang w:val="en"/>
        </w:rPr>
        <w:t>eliminating</w:t>
      </w:r>
      <w:r w:rsidR="00417087" w:rsidRPr="76BE792E">
        <w:rPr>
          <w:sz w:val="20"/>
          <w:lang w:val="en"/>
        </w:rPr>
        <w:t xml:space="preserve"> cervical cancer </w:t>
      </w:r>
      <w:r w:rsidR="00491339" w:rsidRPr="76BE792E">
        <w:rPr>
          <w:sz w:val="20"/>
          <w:lang w:val="en"/>
        </w:rPr>
        <w:t>as a public health problem in Victoria by 2030.</w:t>
      </w:r>
      <w:r w:rsidR="00EF4E4F" w:rsidRPr="002E4CC2">
        <w:rPr>
          <w:rFonts w:cs="Arial"/>
        </w:rPr>
        <w:t xml:space="preserve"> </w:t>
      </w:r>
      <w:r w:rsidR="009A2DF4" w:rsidRPr="002E4CC2">
        <w:rPr>
          <w:rFonts w:cs="Arial"/>
        </w:rPr>
        <w:br w:type="page"/>
      </w:r>
    </w:p>
    <w:p w14:paraId="62B350E2" w14:textId="5247B1F5" w:rsidR="00E8458B" w:rsidRPr="000144FD" w:rsidRDefault="00E8458B" w:rsidP="00A451D4">
      <w:pPr>
        <w:pStyle w:val="Heading3"/>
        <w:rPr>
          <w:b/>
          <w:bCs w:val="0"/>
        </w:rPr>
      </w:pPr>
      <w:bookmarkStart w:id="195" w:name="_Measure_1.8_–"/>
      <w:bookmarkStart w:id="196" w:name="_Toc19008020"/>
      <w:bookmarkEnd w:id="195"/>
      <w:r w:rsidRPr="000144FD">
        <w:rPr>
          <w:b/>
          <w:bCs w:val="0"/>
        </w:rPr>
        <w:lastRenderedPageBreak/>
        <w:t xml:space="preserve">Measure 1.8 – </w:t>
      </w:r>
      <w:r w:rsidR="006624DA" w:rsidRPr="000144FD">
        <w:rPr>
          <w:b/>
          <w:bCs w:val="0"/>
        </w:rPr>
        <w:t>Incidence of</w:t>
      </w:r>
      <w:r w:rsidR="00AF459A" w:rsidRPr="000144FD">
        <w:rPr>
          <w:b/>
          <w:bCs w:val="0"/>
        </w:rPr>
        <w:t xml:space="preserve"> liver cancer</w:t>
      </w:r>
      <w:bookmarkEnd w:id="196"/>
    </w:p>
    <w:p w14:paraId="3D272A62" w14:textId="55394FC4" w:rsidR="008D4EED" w:rsidRPr="00EA78AF" w:rsidRDefault="008D4EED" w:rsidP="00036AD7">
      <w:pPr>
        <w:pStyle w:val="Figurecaption"/>
        <w:rPr>
          <w:sz w:val="20"/>
        </w:rPr>
      </w:pPr>
      <w:bookmarkStart w:id="197" w:name="_Toc19008021"/>
      <w:bookmarkStart w:id="198" w:name="_Toc19008276"/>
      <w:bookmarkStart w:id="199" w:name="_Toc19008423"/>
      <w:bookmarkStart w:id="200" w:name="_Toc19008570"/>
      <w:bookmarkStart w:id="201" w:name="_Toc132553002"/>
      <w:bookmarkStart w:id="202" w:name="_Toc140827609"/>
      <w:r w:rsidRPr="00EA78AF">
        <w:rPr>
          <w:sz w:val="20"/>
        </w:rPr>
        <w:t>Figure 1.8</w:t>
      </w:r>
      <w:r w:rsidR="003B391F" w:rsidRPr="00EA78AF">
        <w:rPr>
          <w:sz w:val="20"/>
        </w:rPr>
        <w:t>:</w:t>
      </w:r>
      <w:r w:rsidRPr="00EA78AF">
        <w:rPr>
          <w:sz w:val="20"/>
        </w:rPr>
        <w:t xml:space="preserve"> Incidence of liver cancer</w:t>
      </w:r>
      <w:r w:rsidR="003F5041" w:rsidRPr="00EA78AF">
        <w:rPr>
          <w:sz w:val="20"/>
        </w:rPr>
        <w:t xml:space="preserve"> (primary)</w:t>
      </w:r>
      <w:r w:rsidRPr="00EA78AF">
        <w:rPr>
          <w:sz w:val="20"/>
        </w:rPr>
        <w:t xml:space="preserve"> in Victoria per 100,000 standardised to the 2001 Australian population, by year of diagnosis, 201</w:t>
      </w:r>
      <w:r w:rsidR="00054A74" w:rsidRPr="00EA78AF">
        <w:rPr>
          <w:sz w:val="20"/>
        </w:rPr>
        <w:t>4</w:t>
      </w:r>
      <w:r w:rsidR="00557D47" w:rsidRPr="00EA78AF">
        <w:rPr>
          <w:sz w:val="20"/>
        </w:rPr>
        <w:t>, 2017</w:t>
      </w:r>
      <w:r w:rsidRPr="00EA78AF">
        <w:rPr>
          <w:sz w:val="20"/>
        </w:rPr>
        <w:t xml:space="preserve"> and 20</w:t>
      </w:r>
      <w:bookmarkEnd w:id="197"/>
      <w:bookmarkEnd w:id="198"/>
      <w:bookmarkEnd w:id="199"/>
      <w:bookmarkEnd w:id="200"/>
      <w:r w:rsidR="00557D47" w:rsidRPr="00EA78AF">
        <w:rPr>
          <w:sz w:val="20"/>
        </w:rPr>
        <w:t>2</w:t>
      </w:r>
      <w:r w:rsidR="002C3CC9" w:rsidRPr="00EA78AF">
        <w:rPr>
          <w:sz w:val="20"/>
        </w:rPr>
        <w:t>1</w:t>
      </w:r>
      <w:bookmarkEnd w:id="201"/>
      <w:bookmarkEnd w:id="202"/>
    </w:p>
    <w:p w14:paraId="56DC9104" w14:textId="28F11BC8" w:rsidR="005B2BEC" w:rsidRPr="005B2BEC" w:rsidRDefault="005B2BEC" w:rsidP="00E87AAA">
      <w:pPr>
        <w:pStyle w:val="Body"/>
      </w:pPr>
      <w:r>
        <w:rPr>
          <w:noProof/>
        </w:rPr>
        <w:drawing>
          <wp:inline distT="0" distB="0" distL="0" distR="0" wp14:anchorId="44C37E94" wp14:editId="4B96A43D">
            <wp:extent cx="5849512" cy="5654040"/>
            <wp:effectExtent l="0" t="0" r="0" b="3810"/>
            <wp:docPr id="308" name="Picture 308" descr="This figure shows a data summary of 'Measure 1.8 – Incidence of liver cancer'. The data set is available under 'Measure 1.8 – Incidence of liver cancer'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This figure shows a data summary of 'Measure 1.8 – Incidence of liver cancer'. The data set is available under 'Measure 1.8 – Incidence of liver cancer' in a separate volume, the Victorian cancer plan monitoring and evaluation framework: baseline report: Appendix 2: Datasets available on Cancer care &lt;https://www.health.vic.gov.au/health-strategies/cancer-care&gt;."/>
                    <pic:cNvPicPr/>
                  </pic:nvPicPr>
                  <pic:blipFill>
                    <a:blip r:embed="rId53"/>
                    <a:stretch>
                      <a:fillRect/>
                    </a:stretch>
                  </pic:blipFill>
                  <pic:spPr>
                    <a:xfrm>
                      <a:off x="0" y="0"/>
                      <a:ext cx="5858106" cy="5662347"/>
                    </a:xfrm>
                    <a:prstGeom prst="rect">
                      <a:avLst/>
                    </a:prstGeom>
                  </pic:spPr>
                </pic:pic>
              </a:graphicData>
            </a:graphic>
          </wp:inline>
        </w:drawing>
      </w:r>
    </w:p>
    <w:p w14:paraId="227E7A0E" w14:textId="77777777" w:rsidR="0020440A" w:rsidRPr="00BF58E3" w:rsidRDefault="009A2DF4" w:rsidP="000D3B16">
      <w:pPr>
        <w:pStyle w:val="Tablefigurenote"/>
        <w:rPr>
          <w:i/>
          <w:iCs/>
          <w:sz w:val="18"/>
          <w:szCs w:val="18"/>
        </w:rPr>
      </w:pPr>
      <w:r w:rsidRPr="00BF58E3">
        <w:rPr>
          <w:i/>
          <w:iCs/>
          <w:sz w:val="18"/>
          <w:szCs w:val="18"/>
        </w:rPr>
        <w:t>Note:</w:t>
      </w:r>
      <w:r w:rsidR="00250B73" w:rsidRPr="00BF58E3">
        <w:rPr>
          <w:i/>
          <w:iCs/>
          <w:sz w:val="18"/>
          <w:szCs w:val="18"/>
        </w:rPr>
        <w:t xml:space="preserve"> </w:t>
      </w:r>
      <w:r w:rsidRPr="00BF58E3">
        <w:rPr>
          <w:i/>
          <w:iCs/>
          <w:sz w:val="18"/>
          <w:szCs w:val="18"/>
        </w:rPr>
        <w:t xml:space="preserve">Results by </w:t>
      </w:r>
      <w:r w:rsidR="0011089F" w:rsidRPr="00BF58E3">
        <w:rPr>
          <w:i/>
          <w:iCs/>
          <w:sz w:val="18"/>
          <w:szCs w:val="18"/>
        </w:rPr>
        <w:t>cultural diversity</w:t>
      </w:r>
      <w:r w:rsidRPr="00BF58E3">
        <w:rPr>
          <w:i/>
          <w:iCs/>
          <w:sz w:val="18"/>
          <w:szCs w:val="18"/>
        </w:rPr>
        <w:t xml:space="preserve"> are not presented </w:t>
      </w:r>
      <w:r w:rsidR="005D072A" w:rsidRPr="00BF58E3">
        <w:rPr>
          <w:i/>
          <w:iCs/>
          <w:sz w:val="18"/>
          <w:szCs w:val="18"/>
        </w:rPr>
        <w:t>because</w:t>
      </w:r>
      <w:r w:rsidR="005D072A" w:rsidRPr="00BF58E3" w:rsidDel="005D072A">
        <w:rPr>
          <w:i/>
          <w:iCs/>
          <w:sz w:val="18"/>
          <w:szCs w:val="18"/>
        </w:rPr>
        <w:t xml:space="preserve"> </w:t>
      </w:r>
      <w:r w:rsidRPr="00BF58E3">
        <w:rPr>
          <w:i/>
          <w:iCs/>
          <w:sz w:val="18"/>
          <w:szCs w:val="18"/>
        </w:rPr>
        <w:t>the ERP does not estimate the population by</w:t>
      </w:r>
      <w:r w:rsidR="0011089F" w:rsidRPr="00BF58E3">
        <w:rPr>
          <w:i/>
          <w:iCs/>
          <w:sz w:val="18"/>
          <w:szCs w:val="18"/>
        </w:rPr>
        <w:t xml:space="preserve"> cultural diversity</w:t>
      </w:r>
      <w:r w:rsidRPr="00BF58E3">
        <w:rPr>
          <w:i/>
          <w:iCs/>
          <w:sz w:val="18"/>
          <w:szCs w:val="18"/>
        </w:rPr>
        <w:t>, hence there is no denominator for this variable.</w:t>
      </w:r>
    </w:p>
    <w:p w14:paraId="530F445C" w14:textId="691D25AD" w:rsidR="00A76E50" w:rsidRPr="0011089F" w:rsidRDefault="0020440A" w:rsidP="000D3B16">
      <w:pPr>
        <w:pStyle w:val="Tablefigurenote"/>
      </w:pPr>
      <w:r w:rsidRPr="00BF58E3">
        <w:rPr>
          <w:i/>
          <w:iCs/>
          <w:color w:val="000000"/>
          <w:sz w:val="18"/>
          <w:szCs w:val="18"/>
        </w:rPr>
        <w:t>Appendix 2 provides the dataset.</w:t>
      </w:r>
      <w:r w:rsidR="00A76E50">
        <w:br w:type="page"/>
      </w:r>
    </w:p>
    <w:p w14:paraId="54AEE352" w14:textId="05104F46" w:rsidR="00A76E50" w:rsidRDefault="00A76E50" w:rsidP="00036AD7">
      <w:pPr>
        <w:pStyle w:val="Figurecaption"/>
        <w:rPr>
          <w:sz w:val="20"/>
        </w:rPr>
      </w:pPr>
      <w:bookmarkStart w:id="203" w:name="_Toc19008022"/>
      <w:bookmarkStart w:id="204" w:name="_Toc19008277"/>
      <w:bookmarkStart w:id="205" w:name="_Toc19008424"/>
      <w:bookmarkStart w:id="206" w:name="_Toc19008571"/>
      <w:bookmarkStart w:id="207" w:name="_Toc132553003"/>
      <w:bookmarkStart w:id="208" w:name="_Toc140827610"/>
      <w:r w:rsidRPr="00EA78AF">
        <w:rPr>
          <w:sz w:val="20"/>
          <w:lang w:eastAsia="en-AU"/>
        </w:rPr>
        <w:lastRenderedPageBreak/>
        <w:t>Figure 1.8.1</w:t>
      </w:r>
      <w:r w:rsidR="003B391F" w:rsidRPr="00EA78AF">
        <w:rPr>
          <w:sz w:val="20"/>
          <w:lang w:eastAsia="en-AU"/>
        </w:rPr>
        <w:t>:</w:t>
      </w:r>
      <w:r w:rsidRPr="00EA78AF">
        <w:rPr>
          <w:sz w:val="20"/>
          <w:lang w:eastAsia="en-AU"/>
        </w:rPr>
        <w:t xml:space="preserve"> Incidence of liver cancer </w:t>
      </w:r>
      <w:r w:rsidR="003F5041" w:rsidRPr="00EA78AF">
        <w:rPr>
          <w:sz w:val="20"/>
          <w:lang w:eastAsia="en-AU"/>
        </w:rPr>
        <w:t xml:space="preserve">(primary) </w:t>
      </w:r>
      <w:r w:rsidRPr="00EA78AF">
        <w:rPr>
          <w:sz w:val="20"/>
          <w:lang w:eastAsia="en-AU"/>
        </w:rPr>
        <w:t xml:space="preserve">in Victoria per </w:t>
      </w:r>
      <w:r w:rsidRPr="00EA78AF">
        <w:rPr>
          <w:color w:val="000000" w:themeColor="text1"/>
          <w:sz w:val="20"/>
        </w:rPr>
        <w:t xml:space="preserve">100,000 standardised to the 2001 Australian population, by </w:t>
      </w:r>
      <w:r w:rsidR="008439C8" w:rsidRPr="00EA78AF">
        <w:rPr>
          <w:color w:val="000000" w:themeColor="text1"/>
          <w:sz w:val="20"/>
        </w:rPr>
        <w:t>ICS</w:t>
      </w:r>
      <w:r w:rsidRPr="00EA78AF">
        <w:rPr>
          <w:sz w:val="20"/>
        </w:rPr>
        <w:t xml:space="preserve"> </w:t>
      </w:r>
      <w:r w:rsidR="0031077F" w:rsidRPr="00EA78AF">
        <w:rPr>
          <w:sz w:val="20"/>
        </w:rPr>
        <w:t xml:space="preserve">and </w:t>
      </w:r>
      <w:r w:rsidRPr="00EA78AF">
        <w:rPr>
          <w:sz w:val="20"/>
        </w:rPr>
        <w:t>year, 201</w:t>
      </w:r>
      <w:r w:rsidR="002A04B9" w:rsidRPr="00EA78AF">
        <w:rPr>
          <w:sz w:val="20"/>
        </w:rPr>
        <w:t>4</w:t>
      </w:r>
      <w:r w:rsidR="00AE260D" w:rsidRPr="00EA78AF">
        <w:rPr>
          <w:sz w:val="20"/>
        </w:rPr>
        <w:t>,</w:t>
      </w:r>
      <w:r w:rsidRPr="00EA78AF">
        <w:rPr>
          <w:sz w:val="20"/>
        </w:rPr>
        <w:t xml:space="preserve"> 2017</w:t>
      </w:r>
      <w:bookmarkEnd w:id="203"/>
      <w:bookmarkEnd w:id="204"/>
      <w:bookmarkEnd w:id="205"/>
      <w:bookmarkEnd w:id="206"/>
      <w:r w:rsidR="00AE260D" w:rsidRPr="00EA78AF">
        <w:rPr>
          <w:sz w:val="20"/>
        </w:rPr>
        <w:t xml:space="preserve"> and 202</w:t>
      </w:r>
      <w:r w:rsidR="002524AD" w:rsidRPr="00EA78AF">
        <w:rPr>
          <w:sz w:val="20"/>
        </w:rPr>
        <w:t>1</w:t>
      </w:r>
      <w:bookmarkEnd w:id="207"/>
      <w:bookmarkEnd w:id="208"/>
    </w:p>
    <w:p w14:paraId="5DBDDA17" w14:textId="687475AA" w:rsidR="007C623A" w:rsidRPr="007C623A" w:rsidRDefault="007C623A" w:rsidP="007C623A">
      <w:pPr>
        <w:pStyle w:val="DHHSbody"/>
      </w:pPr>
      <w:r w:rsidRPr="007C623A">
        <w:rPr>
          <w:noProof/>
        </w:rPr>
        <w:drawing>
          <wp:inline distT="0" distB="0" distL="0" distR="0" wp14:anchorId="56D2FA82" wp14:editId="3A72413F">
            <wp:extent cx="6005092" cy="2946400"/>
            <wp:effectExtent l="0" t="0" r="0" b="6350"/>
            <wp:docPr id="356" name="Picture 356" descr="This figure (bar graph) presents the incidence of liver cancer in Victoria by Integrated Cancer Service for 2014, 2017 and 2021.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This figure (bar graph) presents the incidence of liver cancer in Victoria by Integrated Cancer Service for 2014, 2017 and 2021.  Data labels have been included in the bar graph."/>
                    <pic:cNvPicPr/>
                  </pic:nvPicPr>
                  <pic:blipFill>
                    <a:blip r:embed="rId54"/>
                    <a:stretch>
                      <a:fillRect/>
                    </a:stretch>
                  </pic:blipFill>
                  <pic:spPr>
                    <a:xfrm>
                      <a:off x="0" y="0"/>
                      <a:ext cx="6022688" cy="2955033"/>
                    </a:xfrm>
                    <a:prstGeom prst="rect">
                      <a:avLst/>
                    </a:prstGeom>
                  </pic:spPr>
                </pic:pic>
              </a:graphicData>
            </a:graphic>
          </wp:inline>
        </w:drawing>
      </w:r>
    </w:p>
    <w:p w14:paraId="14FFD240" w14:textId="2789FF31" w:rsidR="00665D4B" w:rsidRPr="00975D8F" w:rsidRDefault="00665D4B" w:rsidP="00EF4E4F">
      <w:pPr>
        <w:pStyle w:val="Body"/>
      </w:pPr>
      <w:r w:rsidRPr="00EF4E4F">
        <w:rPr>
          <w:b/>
          <w:bCs/>
        </w:rPr>
        <w:t>Measure assessment</w:t>
      </w:r>
    </w:p>
    <w:p w14:paraId="261EE22C" w14:textId="77777777" w:rsidR="00406E01" w:rsidRPr="00135551" w:rsidRDefault="00406E01" w:rsidP="00406E01">
      <w:pPr>
        <w:pStyle w:val="Body"/>
        <w:rPr>
          <w:sz w:val="20"/>
        </w:rPr>
      </w:pPr>
      <w:r w:rsidRPr="00EA78AF">
        <w:rPr>
          <w:sz w:val="20"/>
        </w:rPr>
        <w:t xml:space="preserve">Traffic light rating: </w:t>
      </w:r>
      <w:r w:rsidRPr="00EA78AF">
        <w:rPr>
          <w:b/>
          <w:color w:val="C5511A"/>
          <w:sz w:val="20"/>
        </w:rPr>
        <w:t>Amber</w:t>
      </w:r>
      <w:r w:rsidRPr="00EA78AF">
        <w:rPr>
          <w:b/>
          <w:sz w:val="20"/>
        </w:rPr>
        <w:t xml:space="preserve"> </w:t>
      </w:r>
      <w:r w:rsidRPr="00EA78AF">
        <w:rPr>
          <w:sz w:val="20"/>
        </w:rPr>
        <w:t>(desired result not yet evident)</w:t>
      </w:r>
    </w:p>
    <w:p w14:paraId="09D77FB0" w14:textId="77777777" w:rsidR="00406E01" w:rsidRPr="00EA78AF" w:rsidRDefault="00406E01" w:rsidP="00406E01">
      <w:pPr>
        <w:pStyle w:val="Body"/>
        <w:rPr>
          <w:sz w:val="20"/>
        </w:rPr>
      </w:pPr>
      <w:r w:rsidRPr="00EA78AF">
        <w:rPr>
          <w:sz w:val="20"/>
        </w:rPr>
        <w:t xml:space="preserve">Overall trend: </w:t>
      </w:r>
      <w:r>
        <w:rPr>
          <w:sz w:val="20"/>
        </w:rPr>
        <w:t>Generally m</w:t>
      </w:r>
      <w:r w:rsidRPr="00EA78AF">
        <w:rPr>
          <w:sz w:val="20"/>
        </w:rPr>
        <w:t>oving in the right direction</w:t>
      </w:r>
      <w:r>
        <w:rPr>
          <w:sz w:val="20"/>
        </w:rPr>
        <w:t xml:space="preserve"> however there is currently uncertainty regarding the impact of the pandemic as to the true direction of trend</w:t>
      </w:r>
    </w:p>
    <w:p w14:paraId="3F99C78D" w14:textId="3EB70E24" w:rsidR="00CE123F" w:rsidRPr="00EA78AF" w:rsidRDefault="003E5FD3" w:rsidP="00606436">
      <w:pPr>
        <w:pStyle w:val="Body"/>
        <w:rPr>
          <w:sz w:val="20"/>
        </w:rPr>
      </w:pPr>
      <w:r w:rsidRPr="76BE792E">
        <w:rPr>
          <w:sz w:val="20"/>
        </w:rPr>
        <w:t>Commentary:</w:t>
      </w:r>
      <w:r w:rsidR="00952FC7" w:rsidRPr="76BE792E">
        <w:rPr>
          <w:sz w:val="20"/>
        </w:rPr>
        <w:t xml:space="preserve"> </w:t>
      </w:r>
      <w:r w:rsidR="004E15D3" w:rsidRPr="76BE792E">
        <w:rPr>
          <w:sz w:val="20"/>
        </w:rPr>
        <w:t xml:space="preserve">Liver cancer can be divided into </w:t>
      </w:r>
      <w:r w:rsidR="00C80117" w:rsidRPr="76BE792E">
        <w:rPr>
          <w:sz w:val="20"/>
        </w:rPr>
        <w:t>two</w:t>
      </w:r>
      <w:r w:rsidR="004E15D3" w:rsidRPr="76BE792E">
        <w:rPr>
          <w:sz w:val="20"/>
        </w:rPr>
        <w:t xml:space="preserve"> types: primary liver cancer and secondary liver cancer</w:t>
      </w:r>
      <w:r w:rsidR="005517FA" w:rsidRPr="76BE792E">
        <w:rPr>
          <w:sz w:val="20"/>
        </w:rPr>
        <w:t xml:space="preserve"> </w:t>
      </w:r>
      <w:r w:rsidR="004E15D3" w:rsidRPr="76BE792E">
        <w:rPr>
          <w:sz w:val="20"/>
        </w:rPr>
        <w:t xml:space="preserve">(that is, cancer that develops elsewhere in the body and spreads to the liver). </w:t>
      </w:r>
      <w:r w:rsidR="005E0DC3" w:rsidRPr="76BE792E">
        <w:rPr>
          <w:sz w:val="20"/>
        </w:rPr>
        <w:t>Globally</w:t>
      </w:r>
      <w:r w:rsidR="00CC3513" w:rsidRPr="76BE792E">
        <w:rPr>
          <w:sz w:val="20"/>
        </w:rPr>
        <w:t xml:space="preserve"> primary</w:t>
      </w:r>
      <w:r w:rsidR="005E0DC3" w:rsidRPr="76BE792E">
        <w:rPr>
          <w:sz w:val="20"/>
        </w:rPr>
        <w:t xml:space="preserve"> liver cancer </w:t>
      </w:r>
      <w:r w:rsidR="00003CC1" w:rsidRPr="76BE792E">
        <w:rPr>
          <w:sz w:val="20"/>
        </w:rPr>
        <w:t>was</w:t>
      </w:r>
      <w:r w:rsidR="005E0DC3" w:rsidRPr="76BE792E">
        <w:rPr>
          <w:sz w:val="20"/>
        </w:rPr>
        <w:t xml:space="preserve"> </w:t>
      </w:r>
      <w:r w:rsidR="0051051D" w:rsidRPr="76BE792E">
        <w:rPr>
          <w:sz w:val="20"/>
        </w:rPr>
        <w:t>the sixth most commonly diagnosed cancer in 20</w:t>
      </w:r>
      <w:r w:rsidR="00003CC1" w:rsidRPr="76BE792E">
        <w:rPr>
          <w:sz w:val="20"/>
        </w:rPr>
        <w:t>20</w:t>
      </w:r>
      <w:r w:rsidR="0051051D" w:rsidRPr="76BE792E">
        <w:rPr>
          <w:sz w:val="20"/>
        </w:rPr>
        <w:t xml:space="preserve">. </w:t>
      </w:r>
      <w:r w:rsidR="009666D0" w:rsidRPr="76BE792E">
        <w:rPr>
          <w:sz w:val="20"/>
        </w:rPr>
        <w:t>I</w:t>
      </w:r>
      <w:r w:rsidR="0051051D" w:rsidRPr="76BE792E">
        <w:rPr>
          <w:sz w:val="20"/>
        </w:rPr>
        <w:t>ncidence</w:t>
      </w:r>
      <w:r w:rsidR="009666D0" w:rsidRPr="76BE792E">
        <w:rPr>
          <w:sz w:val="20"/>
        </w:rPr>
        <w:t xml:space="preserve"> rates of liver cancer</w:t>
      </w:r>
      <w:r w:rsidR="0051051D" w:rsidRPr="76BE792E">
        <w:rPr>
          <w:sz w:val="20"/>
        </w:rPr>
        <w:t xml:space="preserve"> are </w:t>
      </w:r>
      <w:r w:rsidR="00903EBD" w:rsidRPr="76BE792E">
        <w:rPr>
          <w:sz w:val="20"/>
        </w:rPr>
        <w:t>two</w:t>
      </w:r>
      <w:r w:rsidR="0051051D" w:rsidRPr="76BE792E">
        <w:rPr>
          <w:sz w:val="20"/>
        </w:rPr>
        <w:t xml:space="preserve"> to </w:t>
      </w:r>
      <w:r w:rsidR="00903EBD" w:rsidRPr="76BE792E">
        <w:rPr>
          <w:sz w:val="20"/>
        </w:rPr>
        <w:t>three</w:t>
      </w:r>
      <w:r w:rsidR="0051051D" w:rsidRPr="76BE792E">
        <w:rPr>
          <w:sz w:val="20"/>
        </w:rPr>
        <w:t xml:space="preserve"> times higher among men in most world regions.</w:t>
      </w:r>
      <w:r w:rsidR="004A10E8" w:rsidRPr="76BE792E">
        <w:rPr>
          <w:rStyle w:val="FootnoteReference"/>
          <w:rFonts w:cs="Arial"/>
          <w:sz w:val="20"/>
        </w:rPr>
        <w:footnoteReference w:id="45"/>
      </w:r>
      <w:r w:rsidR="0029123F" w:rsidRPr="76BE792E">
        <w:rPr>
          <w:sz w:val="20"/>
        </w:rPr>
        <w:t xml:space="preserve"> </w:t>
      </w:r>
      <w:r w:rsidR="005517FA" w:rsidRPr="76BE792E">
        <w:rPr>
          <w:sz w:val="20"/>
        </w:rPr>
        <w:t xml:space="preserve">In </w:t>
      </w:r>
      <w:r w:rsidR="00D62A91" w:rsidRPr="76BE792E">
        <w:rPr>
          <w:sz w:val="20"/>
        </w:rPr>
        <w:t>20</w:t>
      </w:r>
      <w:r w:rsidR="006879C2" w:rsidRPr="76BE792E">
        <w:rPr>
          <w:sz w:val="20"/>
        </w:rPr>
        <w:t>17</w:t>
      </w:r>
      <w:r w:rsidR="00D62A91" w:rsidRPr="76BE792E">
        <w:rPr>
          <w:sz w:val="20"/>
        </w:rPr>
        <w:t xml:space="preserve"> </w:t>
      </w:r>
      <w:r w:rsidR="005517FA" w:rsidRPr="76BE792E">
        <w:rPr>
          <w:sz w:val="20"/>
        </w:rPr>
        <w:t xml:space="preserve">liver cancer was the </w:t>
      </w:r>
      <w:r w:rsidR="00B40166" w:rsidRPr="76BE792E">
        <w:rPr>
          <w:sz w:val="20"/>
        </w:rPr>
        <w:t>1</w:t>
      </w:r>
      <w:r w:rsidR="006879C2" w:rsidRPr="76BE792E">
        <w:rPr>
          <w:sz w:val="20"/>
        </w:rPr>
        <w:t>4</w:t>
      </w:r>
      <w:r w:rsidR="005517FA" w:rsidRPr="76BE792E">
        <w:rPr>
          <w:sz w:val="20"/>
        </w:rPr>
        <w:t xml:space="preserve">th most commonly </w:t>
      </w:r>
      <w:r w:rsidR="00D62A91" w:rsidRPr="76BE792E">
        <w:rPr>
          <w:sz w:val="20"/>
        </w:rPr>
        <w:t>diagnosed cancer in Australia.</w:t>
      </w:r>
      <w:r w:rsidR="00D62A91" w:rsidRPr="76BE792E">
        <w:rPr>
          <w:rStyle w:val="FootnoteReference"/>
          <w:rFonts w:cs="Arial"/>
          <w:sz w:val="20"/>
        </w:rPr>
        <w:footnoteReference w:id="46"/>
      </w:r>
      <w:r w:rsidR="00D62A91" w:rsidRPr="76BE792E">
        <w:rPr>
          <w:sz w:val="20"/>
        </w:rPr>
        <w:t xml:space="preserve"> </w:t>
      </w:r>
      <w:r w:rsidR="00D62A91" w:rsidRPr="76BE792E">
        <w:rPr>
          <w:color w:val="000000"/>
          <w:sz w:val="20"/>
          <w:lang w:val="en"/>
        </w:rPr>
        <w:t>In 201</w:t>
      </w:r>
      <w:r w:rsidR="00DD5B33" w:rsidRPr="76BE792E">
        <w:rPr>
          <w:color w:val="000000"/>
          <w:sz w:val="20"/>
          <w:lang w:val="en"/>
        </w:rPr>
        <w:t>8</w:t>
      </w:r>
      <w:r w:rsidR="00D62A91" w:rsidRPr="76BE792E">
        <w:rPr>
          <w:color w:val="000000"/>
          <w:sz w:val="20"/>
          <w:lang w:val="en"/>
        </w:rPr>
        <w:t xml:space="preserve"> the age-standardised incidence rate was </w:t>
      </w:r>
      <w:r w:rsidR="00DD5B33" w:rsidRPr="76BE792E">
        <w:rPr>
          <w:color w:val="000000"/>
          <w:sz w:val="20"/>
          <w:lang w:val="en"/>
        </w:rPr>
        <w:t>8</w:t>
      </w:r>
      <w:r w:rsidR="00D62A91" w:rsidRPr="76BE792E">
        <w:rPr>
          <w:color w:val="000000"/>
          <w:sz w:val="20"/>
          <w:lang w:val="en"/>
        </w:rPr>
        <w:t>.</w:t>
      </w:r>
      <w:r w:rsidR="00DD5B33" w:rsidRPr="76BE792E">
        <w:rPr>
          <w:color w:val="000000"/>
          <w:sz w:val="20"/>
          <w:lang w:val="en"/>
        </w:rPr>
        <w:t>1</w:t>
      </w:r>
      <w:r w:rsidR="00D62A91" w:rsidRPr="76BE792E">
        <w:rPr>
          <w:color w:val="000000"/>
          <w:sz w:val="20"/>
          <w:lang w:val="en"/>
        </w:rPr>
        <w:t xml:space="preserve"> cases per 100,000 population (1</w:t>
      </w:r>
      <w:r w:rsidR="009C090D" w:rsidRPr="76BE792E">
        <w:rPr>
          <w:color w:val="000000"/>
          <w:sz w:val="20"/>
          <w:lang w:val="en"/>
        </w:rPr>
        <w:t>3</w:t>
      </w:r>
      <w:r w:rsidR="00D62A91" w:rsidRPr="76BE792E">
        <w:rPr>
          <w:color w:val="000000"/>
          <w:sz w:val="20"/>
          <w:lang w:val="en"/>
        </w:rPr>
        <w:t xml:space="preserve"> for males and 3.9 for females).</w:t>
      </w:r>
      <w:r w:rsidR="00A72FE9" w:rsidRPr="76BE792E">
        <w:rPr>
          <w:rStyle w:val="FootnoteReference"/>
          <w:rFonts w:cs="Arial"/>
          <w:sz w:val="20"/>
        </w:rPr>
        <w:footnoteReference w:id="47"/>
      </w:r>
      <w:r w:rsidR="00A72FE9" w:rsidRPr="76BE792E">
        <w:rPr>
          <w:sz w:val="20"/>
        </w:rPr>
        <w:t xml:space="preserve"> </w:t>
      </w:r>
      <w:r w:rsidR="00D62A91" w:rsidRPr="76BE792E">
        <w:rPr>
          <w:color w:val="000000"/>
          <w:sz w:val="20"/>
          <w:lang w:val="en"/>
        </w:rPr>
        <w:t>Victoria follow</w:t>
      </w:r>
      <w:r w:rsidR="006528DE" w:rsidRPr="76BE792E">
        <w:rPr>
          <w:color w:val="000000"/>
          <w:sz w:val="20"/>
          <w:lang w:val="en"/>
        </w:rPr>
        <w:t>ed</w:t>
      </w:r>
      <w:r w:rsidR="00D62A91" w:rsidRPr="76BE792E">
        <w:rPr>
          <w:color w:val="000000"/>
          <w:sz w:val="20"/>
          <w:lang w:val="en"/>
        </w:rPr>
        <w:t xml:space="preserve"> a similar trend in that </w:t>
      </w:r>
      <w:r w:rsidR="00D62A91" w:rsidRPr="76BE792E">
        <w:rPr>
          <w:sz w:val="20"/>
        </w:rPr>
        <w:t>the a</w:t>
      </w:r>
      <w:r w:rsidR="00C80117" w:rsidRPr="76BE792E">
        <w:rPr>
          <w:sz w:val="20"/>
        </w:rPr>
        <w:t xml:space="preserve">ge-standardised incidence rate </w:t>
      </w:r>
      <w:r w:rsidR="00261D7C" w:rsidRPr="76BE792E">
        <w:rPr>
          <w:sz w:val="20"/>
        </w:rPr>
        <w:t>rang</w:t>
      </w:r>
      <w:r w:rsidR="006528DE" w:rsidRPr="76BE792E">
        <w:rPr>
          <w:sz w:val="20"/>
        </w:rPr>
        <w:t>ed</w:t>
      </w:r>
      <w:r w:rsidR="00261D7C" w:rsidRPr="76BE792E">
        <w:rPr>
          <w:sz w:val="20"/>
        </w:rPr>
        <w:t xml:space="preserve"> </w:t>
      </w:r>
      <w:r w:rsidR="00C80117" w:rsidRPr="76BE792E">
        <w:rPr>
          <w:sz w:val="20"/>
        </w:rPr>
        <w:t xml:space="preserve">from </w:t>
      </w:r>
      <w:r w:rsidR="00261D7C" w:rsidRPr="76BE792E">
        <w:rPr>
          <w:sz w:val="20"/>
        </w:rPr>
        <w:t>8.</w:t>
      </w:r>
      <w:r w:rsidR="00E9122F" w:rsidRPr="76BE792E">
        <w:rPr>
          <w:sz w:val="20"/>
        </w:rPr>
        <w:t>3</w:t>
      </w:r>
      <w:r w:rsidR="00C80117" w:rsidRPr="76BE792E">
        <w:rPr>
          <w:sz w:val="20"/>
        </w:rPr>
        <w:t xml:space="preserve"> cases per 100,000</w:t>
      </w:r>
      <w:r w:rsidR="005028A5" w:rsidRPr="76BE792E">
        <w:rPr>
          <w:sz w:val="20"/>
        </w:rPr>
        <w:t xml:space="preserve"> </w:t>
      </w:r>
      <w:r w:rsidR="00C80117" w:rsidRPr="76BE792E">
        <w:rPr>
          <w:sz w:val="20"/>
        </w:rPr>
        <w:t>p</w:t>
      </w:r>
      <w:r w:rsidR="005028A5" w:rsidRPr="76BE792E">
        <w:rPr>
          <w:sz w:val="20"/>
        </w:rPr>
        <w:t>opulation</w:t>
      </w:r>
      <w:r w:rsidR="0029123F" w:rsidRPr="76BE792E">
        <w:rPr>
          <w:sz w:val="20"/>
        </w:rPr>
        <w:t xml:space="preserve"> in 201</w:t>
      </w:r>
      <w:r w:rsidR="00A72FE9" w:rsidRPr="76BE792E">
        <w:rPr>
          <w:sz w:val="20"/>
        </w:rPr>
        <w:t>4</w:t>
      </w:r>
      <w:r w:rsidR="00C80117" w:rsidRPr="76BE792E">
        <w:rPr>
          <w:sz w:val="20"/>
        </w:rPr>
        <w:t xml:space="preserve"> to 7.</w:t>
      </w:r>
      <w:r w:rsidR="000E3513" w:rsidRPr="76BE792E">
        <w:rPr>
          <w:sz w:val="20"/>
        </w:rPr>
        <w:t>4</w:t>
      </w:r>
      <w:r w:rsidR="00C80117" w:rsidRPr="76BE792E">
        <w:rPr>
          <w:sz w:val="20"/>
        </w:rPr>
        <w:t xml:space="preserve"> per 100,000 </w:t>
      </w:r>
      <w:r w:rsidR="0029123F" w:rsidRPr="76BE792E">
        <w:rPr>
          <w:sz w:val="20"/>
        </w:rPr>
        <w:t>population in 20</w:t>
      </w:r>
      <w:r w:rsidR="00E9122F" w:rsidRPr="76BE792E">
        <w:rPr>
          <w:sz w:val="20"/>
        </w:rPr>
        <w:t>2</w:t>
      </w:r>
      <w:r w:rsidR="000E3513" w:rsidRPr="76BE792E">
        <w:rPr>
          <w:sz w:val="20"/>
        </w:rPr>
        <w:t>1</w:t>
      </w:r>
      <w:r w:rsidR="005028A5" w:rsidRPr="76BE792E">
        <w:rPr>
          <w:sz w:val="20"/>
        </w:rPr>
        <w:t>.</w:t>
      </w:r>
      <w:r w:rsidR="00952FC7" w:rsidRPr="76BE792E">
        <w:rPr>
          <w:sz w:val="20"/>
        </w:rPr>
        <w:t xml:space="preserve"> </w:t>
      </w:r>
      <w:r w:rsidR="00D150A2" w:rsidRPr="76BE792E">
        <w:rPr>
          <w:sz w:val="20"/>
        </w:rPr>
        <w:t>In addition</w:t>
      </w:r>
      <w:r w:rsidR="00D62A91" w:rsidRPr="76BE792E">
        <w:rPr>
          <w:sz w:val="20"/>
        </w:rPr>
        <w:t xml:space="preserve"> the incidence rate was </w:t>
      </w:r>
      <w:r w:rsidR="00D150A2" w:rsidRPr="76BE792E">
        <w:rPr>
          <w:sz w:val="20"/>
        </w:rPr>
        <w:t xml:space="preserve">also </w:t>
      </w:r>
      <w:r w:rsidR="00D62A91" w:rsidRPr="76BE792E">
        <w:rPr>
          <w:sz w:val="20"/>
        </w:rPr>
        <w:t>higher for males (1</w:t>
      </w:r>
      <w:r w:rsidR="00261D7C" w:rsidRPr="76BE792E">
        <w:rPr>
          <w:sz w:val="20"/>
        </w:rPr>
        <w:t>3.4</w:t>
      </w:r>
      <w:r w:rsidR="00D62A91" w:rsidRPr="76BE792E">
        <w:rPr>
          <w:sz w:val="20"/>
        </w:rPr>
        <w:t xml:space="preserve"> per 100,00</w:t>
      </w:r>
      <w:r w:rsidR="00760F67" w:rsidRPr="76BE792E">
        <w:rPr>
          <w:sz w:val="20"/>
        </w:rPr>
        <w:t>0</w:t>
      </w:r>
      <w:r w:rsidR="00D62A91" w:rsidRPr="76BE792E">
        <w:rPr>
          <w:sz w:val="20"/>
        </w:rPr>
        <w:t xml:space="preserve"> population in 201</w:t>
      </w:r>
      <w:r w:rsidR="00261D7C" w:rsidRPr="76BE792E">
        <w:rPr>
          <w:sz w:val="20"/>
        </w:rPr>
        <w:t>4</w:t>
      </w:r>
      <w:r w:rsidR="00D62A91" w:rsidRPr="76BE792E">
        <w:rPr>
          <w:sz w:val="20"/>
        </w:rPr>
        <w:t xml:space="preserve"> </w:t>
      </w:r>
      <w:r w:rsidR="00261D7C" w:rsidRPr="76BE792E">
        <w:rPr>
          <w:sz w:val="20"/>
        </w:rPr>
        <w:t>falling</w:t>
      </w:r>
      <w:r w:rsidR="00D62A91" w:rsidRPr="76BE792E">
        <w:rPr>
          <w:sz w:val="20"/>
        </w:rPr>
        <w:t xml:space="preserve"> to 1</w:t>
      </w:r>
      <w:r w:rsidR="000E3513" w:rsidRPr="76BE792E">
        <w:rPr>
          <w:sz w:val="20"/>
        </w:rPr>
        <w:t>1</w:t>
      </w:r>
      <w:r w:rsidR="00D62A91" w:rsidRPr="76BE792E">
        <w:rPr>
          <w:sz w:val="20"/>
        </w:rPr>
        <w:t xml:space="preserve"> per 100,000 population in 20</w:t>
      </w:r>
      <w:r w:rsidR="00E9122F" w:rsidRPr="76BE792E">
        <w:rPr>
          <w:sz w:val="20"/>
        </w:rPr>
        <w:t>2</w:t>
      </w:r>
      <w:r w:rsidR="000E3513" w:rsidRPr="76BE792E">
        <w:rPr>
          <w:sz w:val="20"/>
        </w:rPr>
        <w:t>1</w:t>
      </w:r>
      <w:r w:rsidR="00D62A91" w:rsidRPr="76BE792E">
        <w:rPr>
          <w:sz w:val="20"/>
        </w:rPr>
        <w:t>)</w:t>
      </w:r>
      <w:r w:rsidR="00D150A2" w:rsidRPr="76BE792E">
        <w:rPr>
          <w:sz w:val="20"/>
        </w:rPr>
        <w:t xml:space="preserve"> compared </w:t>
      </w:r>
      <w:r w:rsidR="001B50BF" w:rsidRPr="76BE792E">
        <w:rPr>
          <w:sz w:val="20"/>
        </w:rPr>
        <w:t xml:space="preserve">with </w:t>
      </w:r>
      <w:r w:rsidR="00D150A2" w:rsidRPr="76BE792E">
        <w:rPr>
          <w:sz w:val="20"/>
        </w:rPr>
        <w:t>females (</w:t>
      </w:r>
      <w:r w:rsidR="00261D7C" w:rsidRPr="76BE792E">
        <w:rPr>
          <w:sz w:val="20"/>
        </w:rPr>
        <w:t>3.</w:t>
      </w:r>
      <w:r w:rsidR="00E9122F" w:rsidRPr="76BE792E">
        <w:rPr>
          <w:sz w:val="20"/>
        </w:rPr>
        <w:t>8</w:t>
      </w:r>
      <w:r w:rsidR="00D150A2" w:rsidRPr="76BE792E">
        <w:rPr>
          <w:sz w:val="20"/>
        </w:rPr>
        <w:t xml:space="preserve"> per 100,000 population in 201</w:t>
      </w:r>
      <w:r w:rsidR="00261D7C" w:rsidRPr="76BE792E">
        <w:rPr>
          <w:sz w:val="20"/>
        </w:rPr>
        <w:t>4</w:t>
      </w:r>
      <w:r w:rsidR="00D150A2" w:rsidRPr="76BE792E">
        <w:rPr>
          <w:sz w:val="20"/>
        </w:rPr>
        <w:t xml:space="preserve"> </w:t>
      </w:r>
      <w:r w:rsidR="000E3513" w:rsidRPr="76BE792E">
        <w:rPr>
          <w:sz w:val="20"/>
        </w:rPr>
        <w:t>rising</w:t>
      </w:r>
      <w:r w:rsidR="00D150A2" w:rsidRPr="76BE792E">
        <w:rPr>
          <w:sz w:val="20"/>
        </w:rPr>
        <w:t xml:space="preserve"> to </w:t>
      </w:r>
      <w:r w:rsidR="000E3513" w:rsidRPr="76BE792E">
        <w:rPr>
          <w:sz w:val="20"/>
        </w:rPr>
        <w:t>4.2</w:t>
      </w:r>
      <w:r w:rsidR="00D150A2" w:rsidRPr="76BE792E">
        <w:rPr>
          <w:sz w:val="20"/>
        </w:rPr>
        <w:t xml:space="preserve"> per 100,000 population in 20</w:t>
      </w:r>
      <w:r w:rsidR="00E9122F" w:rsidRPr="76BE792E">
        <w:rPr>
          <w:sz w:val="20"/>
        </w:rPr>
        <w:t>2</w:t>
      </w:r>
      <w:r w:rsidR="000E3513" w:rsidRPr="76BE792E">
        <w:rPr>
          <w:sz w:val="20"/>
        </w:rPr>
        <w:t>1</w:t>
      </w:r>
      <w:r w:rsidR="00D150A2" w:rsidRPr="76BE792E">
        <w:rPr>
          <w:sz w:val="20"/>
        </w:rPr>
        <w:t>).</w:t>
      </w:r>
    </w:p>
    <w:p w14:paraId="2EF5EB24" w14:textId="7E34C099" w:rsidR="000D405B" w:rsidRPr="00EA78AF" w:rsidRDefault="00787D3F" w:rsidP="00606436">
      <w:pPr>
        <w:pStyle w:val="Body"/>
        <w:rPr>
          <w:sz w:val="20"/>
        </w:rPr>
        <w:sectPr w:rsidR="000D405B" w:rsidRPr="00EA78AF" w:rsidSect="00011A63">
          <w:type w:val="continuous"/>
          <w:pgSz w:w="11906" w:h="16838"/>
          <w:pgMar w:top="1411" w:right="1133" w:bottom="1138" w:left="1310" w:header="454" w:footer="510" w:gutter="0"/>
          <w:cols w:space="720"/>
          <w:docGrid w:linePitch="360"/>
        </w:sectPr>
      </w:pPr>
      <w:r w:rsidRPr="00EA78AF">
        <w:rPr>
          <w:sz w:val="20"/>
        </w:rPr>
        <w:t>For Aboriginal and Torres Strait Islander Victorians, the age</w:t>
      </w:r>
      <w:r w:rsidR="002A0ED1" w:rsidRPr="00EA78AF">
        <w:rPr>
          <w:b/>
          <w:sz w:val="20"/>
        </w:rPr>
        <w:t>-</w:t>
      </w:r>
      <w:r w:rsidRPr="00EA78AF">
        <w:rPr>
          <w:sz w:val="20"/>
        </w:rPr>
        <w:t>standardised incidence rates for liver cancer have varied over time. An increasing trend was observed in the liver cancer age-standardised incidence rate for Aboriginal Victorians. However, these results should be interpreted with caution because, while incidence appears to have increased from 1</w:t>
      </w:r>
      <w:r w:rsidR="000E3513" w:rsidRPr="00EA78AF">
        <w:rPr>
          <w:sz w:val="20"/>
        </w:rPr>
        <w:t>4</w:t>
      </w:r>
      <w:r w:rsidRPr="00EA78AF">
        <w:rPr>
          <w:sz w:val="20"/>
        </w:rPr>
        <w:t xml:space="preserve"> per 100,000 population in 2014 to 2</w:t>
      </w:r>
      <w:r w:rsidR="000E3513" w:rsidRPr="00EA78AF">
        <w:rPr>
          <w:sz w:val="20"/>
        </w:rPr>
        <w:t>6.2</w:t>
      </w:r>
      <w:r w:rsidRPr="00EA78AF">
        <w:rPr>
          <w:sz w:val="20"/>
        </w:rPr>
        <w:t xml:space="preserve"> per 100,000 population in 202</w:t>
      </w:r>
      <w:r w:rsidR="000E3513" w:rsidRPr="00EA78AF">
        <w:rPr>
          <w:sz w:val="20"/>
        </w:rPr>
        <w:t>1</w:t>
      </w:r>
      <w:r w:rsidRPr="00EA78AF">
        <w:rPr>
          <w:sz w:val="20"/>
        </w:rPr>
        <w:t>, the 95</w:t>
      </w:r>
      <w:r w:rsidR="0054537F">
        <w:rPr>
          <w:sz w:val="20"/>
        </w:rPr>
        <w:t>%</w:t>
      </w:r>
      <w:r w:rsidRPr="00EA78AF">
        <w:rPr>
          <w:sz w:val="20"/>
        </w:rPr>
        <w:t xml:space="preserve"> confidence intervals are very wide and overlap (Figure 1.8</w:t>
      </w:r>
      <w:r w:rsidR="009666D0" w:rsidRPr="00EA78AF">
        <w:rPr>
          <w:sz w:val="20"/>
        </w:rPr>
        <w:t>).</w:t>
      </w:r>
    </w:p>
    <w:p w14:paraId="672A8042" w14:textId="4A580AC1" w:rsidR="004E15D3" w:rsidRDefault="00F86311" w:rsidP="006153D8">
      <w:pPr>
        <w:pStyle w:val="Figurecaption"/>
        <w:tabs>
          <w:tab w:val="left" w:pos="5387"/>
          <w:tab w:val="left" w:pos="5529"/>
        </w:tabs>
        <w:spacing w:line="270" w:lineRule="atLeast"/>
        <w:ind w:right="106"/>
        <w:rPr>
          <w:sz w:val="20"/>
        </w:rPr>
      </w:pPr>
      <w:bookmarkStart w:id="209" w:name="_Toc132553004"/>
      <w:bookmarkStart w:id="210" w:name="_Toc140827611"/>
      <w:r w:rsidRPr="00EA78AF">
        <w:rPr>
          <w:sz w:val="20"/>
        </w:rPr>
        <w:lastRenderedPageBreak/>
        <w:t>Figure 1.8.2</w:t>
      </w:r>
      <w:r w:rsidR="003B391F" w:rsidRPr="00EA78AF">
        <w:rPr>
          <w:sz w:val="20"/>
        </w:rPr>
        <w:t>:</w:t>
      </w:r>
      <w:r w:rsidRPr="00EA78AF">
        <w:rPr>
          <w:sz w:val="20"/>
        </w:rPr>
        <w:t xml:space="preserve"> Incidence of liver cancer (primary) in Victoria per 100,000 standardised to the 2001 Australian population, by Victorian LGA, 2014, 2017 and 202</w:t>
      </w:r>
      <w:r w:rsidR="0088715E" w:rsidRPr="00EA78AF">
        <w:rPr>
          <w:sz w:val="20"/>
        </w:rPr>
        <w:t>1</w:t>
      </w:r>
      <w:bookmarkEnd w:id="209"/>
      <w:bookmarkEnd w:id="210"/>
    </w:p>
    <w:p w14:paraId="7C828CAA" w14:textId="2CDEF5F7" w:rsidR="007C623A" w:rsidRPr="007C623A" w:rsidRDefault="007C623A" w:rsidP="007C623A">
      <w:pPr>
        <w:pStyle w:val="DHHSbody"/>
      </w:pPr>
      <w:r w:rsidRPr="007C623A">
        <w:rPr>
          <w:noProof/>
        </w:rPr>
        <w:drawing>
          <wp:inline distT="0" distB="0" distL="0" distR="0" wp14:anchorId="008EDA4E" wp14:editId="39B9D4D0">
            <wp:extent cx="2847975" cy="5342109"/>
            <wp:effectExtent l="0" t="0" r="0" b="0"/>
            <wp:docPr id="412" name="Picture 412" descr="This figure shows a map of Victoria showing the highest and lowest reported rates of liver cancer in 2014, 2017 and 2021. The data set is available under 'Measure 1.8 – Incidence of liver cancer'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icture 412" descr="This figure shows a map of Victoria showing the highest and lowest reported rates of liver cancer in 2014, 2017 and 2021. The data set is available under 'Measure 1.8 – Incidence of liver cancer' in a separate volume, the Victorian cancer plan monitoring and evaluation framework: baseline report: Appendix 2: Datasets available on Cancer care &lt;https://www.health.vic.gov.au/health-strategies/cancer-care&gt;."/>
                    <pic:cNvPicPr/>
                  </pic:nvPicPr>
                  <pic:blipFill>
                    <a:blip r:embed="rId55"/>
                    <a:stretch>
                      <a:fillRect/>
                    </a:stretch>
                  </pic:blipFill>
                  <pic:spPr>
                    <a:xfrm>
                      <a:off x="0" y="0"/>
                      <a:ext cx="2853258" cy="5352019"/>
                    </a:xfrm>
                    <a:prstGeom prst="rect">
                      <a:avLst/>
                    </a:prstGeom>
                  </pic:spPr>
                </pic:pic>
              </a:graphicData>
            </a:graphic>
          </wp:inline>
        </w:drawing>
      </w:r>
    </w:p>
    <w:p w14:paraId="3CD192A8" w14:textId="35301220" w:rsidR="00705C66" w:rsidRDefault="00CC7FBA" w:rsidP="00A621BE">
      <w:pPr>
        <w:pStyle w:val="Body"/>
      </w:pPr>
      <w:r w:rsidRPr="76BE792E">
        <w:rPr>
          <w:sz w:val="20"/>
        </w:rPr>
        <w:t xml:space="preserve">Age-standardised incidence rates for liver cancer </w:t>
      </w:r>
      <w:r w:rsidR="006A357D" w:rsidRPr="76BE792E">
        <w:rPr>
          <w:sz w:val="20"/>
        </w:rPr>
        <w:t xml:space="preserve">continued to be </w:t>
      </w:r>
      <w:r w:rsidRPr="76BE792E">
        <w:rPr>
          <w:sz w:val="20"/>
        </w:rPr>
        <w:t xml:space="preserve">highest in the lowest socioeconomic </w:t>
      </w:r>
      <w:r w:rsidR="00E67019" w:rsidRPr="76BE792E">
        <w:rPr>
          <w:sz w:val="20"/>
        </w:rPr>
        <w:t>quintile (SES 1</w:t>
      </w:r>
      <w:r w:rsidRPr="76BE792E">
        <w:rPr>
          <w:sz w:val="20"/>
        </w:rPr>
        <w:t>) between 201</w:t>
      </w:r>
      <w:r w:rsidR="00261D7C" w:rsidRPr="76BE792E">
        <w:rPr>
          <w:sz w:val="20"/>
        </w:rPr>
        <w:t>4</w:t>
      </w:r>
      <w:r w:rsidRPr="76BE792E">
        <w:rPr>
          <w:sz w:val="20"/>
        </w:rPr>
        <w:t xml:space="preserve"> and 20</w:t>
      </w:r>
      <w:r w:rsidR="006A357D" w:rsidRPr="76BE792E">
        <w:rPr>
          <w:sz w:val="20"/>
        </w:rPr>
        <w:t>2</w:t>
      </w:r>
      <w:r w:rsidR="000E3513" w:rsidRPr="76BE792E">
        <w:rPr>
          <w:sz w:val="20"/>
        </w:rPr>
        <w:t>1</w:t>
      </w:r>
      <w:r w:rsidRPr="76BE792E">
        <w:rPr>
          <w:sz w:val="20"/>
        </w:rPr>
        <w:t>.</w:t>
      </w:r>
      <w:r w:rsidR="00952FC7" w:rsidRPr="76BE792E">
        <w:rPr>
          <w:sz w:val="20"/>
        </w:rPr>
        <w:t xml:space="preserve"> </w:t>
      </w:r>
      <w:r w:rsidRPr="76BE792E">
        <w:rPr>
          <w:sz w:val="20"/>
        </w:rPr>
        <w:t>Similarly, age</w:t>
      </w:r>
      <w:r w:rsidR="00243E9C" w:rsidRPr="76BE792E">
        <w:rPr>
          <w:sz w:val="20"/>
        </w:rPr>
        <w:t>-</w:t>
      </w:r>
      <w:r w:rsidRPr="76BE792E">
        <w:rPr>
          <w:sz w:val="20"/>
        </w:rPr>
        <w:t xml:space="preserve">standardised rates for liver cancer were </w:t>
      </w:r>
      <w:r w:rsidR="006A357D" w:rsidRPr="76BE792E">
        <w:rPr>
          <w:sz w:val="20"/>
        </w:rPr>
        <w:t xml:space="preserve">also </w:t>
      </w:r>
      <w:r w:rsidRPr="76BE792E">
        <w:rPr>
          <w:sz w:val="20"/>
        </w:rPr>
        <w:t xml:space="preserve">generally higher in </w:t>
      </w:r>
      <w:r w:rsidR="00236B3E" w:rsidRPr="76BE792E">
        <w:rPr>
          <w:sz w:val="20"/>
        </w:rPr>
        <w:t>m</w:t>
      </w:r>
      <w:r w:rsidRPr="76BE792E">
        <w:rPr>
          <w:sz w:val="20"/>
        </w:rPr>
        <w:t>ajor cities</w:t>
      </w:r>
      <w:r w:rsidR="003F1C3D" w:rsidRPr="76BE792E">
        <w:rPr>
          <w:sz w:val="20"/>
        </w:rPr>
        <w:t xml:space="preserve"> (</w:t>
      </w:r>
      <w:r w:rsidR="00261D7C" w:rsidRPr="76BE792E">
        <w:rPr>
          <w:sz w:val="20"/>
        </w:rPr>
        <w:t>8.</w:t>
      </w:r>
      <w:r w:rsidR="00E9122F" w:rsidRPr="76BE792E">
        <w:rPr>
          <w:sz w:val="20"/>
        </w:rPr>
        <w:t>7</w:t>
      </w:r>
      <w:r w:rsidR="003F1C3D" w:rsidRPr="76BE792E">
        <w:rPr>
          <w:sz w:val="20"/>
        </w:rPr>
        <w:t xml:space="preserve"> per 100,000 population in 201</w:t>
      </w:r>
      <w:r w:rsidR="00261D7C" w:rsidRPr="76BE792E">
        <w:rPr>
          <w:sz w:val="20"/>
        </w:rPr>
        <w:t>4</w:t>
      </w:r>
      <w:r w:rsidR="003F1C3D" w:rsidRPr="76BE792E">
        <w:rPr>
          <w:sz w:val="20"/>
        </w:rPr>
        <w:t xml:space="preserve">, </w:t>
      </w:r>
      <w:r w:rsidR="00261D7C" w:rsidRPr="76BE792E">
        <w:rPr>
          <w:sz w:val="20"/>
        </w:rPr>
        <w:t>fall</w:t>
      </w:r>
      <w:r w:rsidR="003F1C3D" w:rsidRPr="76BE792E">
        <w:rPr>
          <w:sz w:val="20"/>
        </w:rPr>
        <w:t xml:space="preserve">ing to </w:t>
      </w:r>
      <w:r w:rsidR="00261D7C" w:rsidRPr="76BE792E">
        <w:rPr>
          <w:sz w:val="20"/>
        </w:rPr>
        <w:t>7.</w:t>
      </w:r>
      <w:r w:rsidR="000E3513" w:rsidRPr="76BE792E">
        <w:rPr>
          <w:sz w:val="20"/>
        </w:rPr>
        <w:t>8</w:t>
      </w:r>
      <w:r w:rsidR="003F1C3D" w:rsidRPr="76BE792E">
        <w:rPr>
          <w:sz w:val="20"/>
        </w:rPr>
        <w:t xml:space="preserve"> per 100,000 in 20</w:t>
      </w:r>
      <w:r w:rsidR="00E9122F" w:rsidRPr="76BE792E">
        <w:rPr>
          <w:sz w:val="20"/>
        </w:rPr>
        <w:t>2</w:t>
      </w:r>
      <w:r w:rsidR="000E3513" w:rsidRPr="76BE792E">
        <w:rPr>
          <w:sz w:val="20"/>
        </w:rPr>
        <w:t>1</w:t>
      </w:r>
      <w:r w:rsidR="003F1C3D" w:rsidRPr="76BE792E">
        <w:rPr>
          <w:sz w:val="20"/>
        </w:rPr>
        <w:t xml:space="preserve">) compared with areas outside </w:t>
      </w:r>
      <w:r w:rsidR="003F1C3D" w:rsidRPr="76BE792E">
        <w:rPr>
          <w:sz w:val="20"/>
        </w:rPr>
        <w:t>major cities (Figure 1.8).</w:t>
      </w:r>
      <w:r w:rsidR="00952FC7" w:rsidRPr="76BE792E">
        <w:rPr>
          <w:sz w:val="20"/>
        </w:rPr>
        <w:t xml:space="preserve"> </w:t>
      </w:r>
      <w:r w:rsidR="003F1C3D" w:rsidRPr="76BE792E">
        <w:rPr>
          <w:sz w:val="20"/>
        </w:rPr>
        <w:t xml:space="preserve">This </w:t>
      </w:r>
      <w:r w:rsidR="00261D7C" w:rsidRPr="76BE792E">
        <w:rPr>
          <w:sz w:val="20"/>
        </w:rPr>
        <w:t>trend</w:t>
      </w:r>
      <w:r w:rsidR="003F1C3D" w:rsidRPr="76BE792E">
        <w:rPr>
          <w:sz w:val="20"/>
        </w:rPr>
        <w:t xml:space="preserve"> may be related to increases in migration to Victoria</w:t>
      </w:r>
      <w:r w:rsidR="00E7091B" w:rsidRPr="76BE792E">
        <w:rPr>
          <w:sz w:val="20"/>
        </w:rPr>
        <w:t>n metropolitan areas</w:t>
      </w:r>
      <w:r w:rsidR="003F1C3D" w:rsidRPr="76BE792E">
        <w:rPr>
          <w:sz w:val="20"/>
        </w:rPr>
        <w:t xml:space="preserve"> from hepatitis B and C endemic areas such as the Asia-Pacific region and sub-Saharan Africa</w:t>
      </w:r>
      <w:r w:rsidR="003F1C3D" w:rsidRPr="76BE792E">
        <w:rPr>
          <w:rStyle w:val="FootnoteReference"/>
          <w:rFonts w:cs="Arial"/>
          <w:sz w:val="20"/>
          <w:lang w:eastAsia="en-AU"/>
        </w:rPr>
        <w:footnoteReference w:id="48"/>
      </w:r>
      <w:r w:rsidR="00984212" w:rsidRPr="76BE792E">
        <w:rPr>
          <w:sz w:val="20"/>
        </w:rPr>
        <w:t xml:space="preserve"> </w:t>
      </w:r>
      <w:r w:rsidR="00A81A71" w:rsidRPr="76BE792E">
        <w:rPr>
          <w:sz w:val="20"/>
        </w:rPr>
        <w:t>before</w:t>
      </w:r>
      <w:r w:rsidR="00984212" w:rsidRPr="76BE792E">
        <w:rPr>
          <w:sz w:val="20"/>
        </w:rPr>
        <w:t xml:space="preserve"> the COVID</w:t>
      </w:r>
      <w:r w:rsidR="00A81A71" w:rsidRPr="76BE792E">
        <w:rPr>
          <w:sz w:val="20"/>
        </w:rPr>
        <w:t>-19</w:t>
      </w:r>
      <w:r w:rsidR="00984212" w:rsidRPr="76BE792E">
        <w:rPr>
          <w:sz w:val="20"/>
        </w:rPr>
        <w:t xml:space="preserve"> pandemic.</w:t>
      </w:r>
      <w:r w:rsidR="00952FC7" w:rsidRPr="76BE792E">
        <w:rPr>
          <w:sz w:val="20"/>
        </w:rPr>
        <w:t xml:space="preserve"> </w:t>
      </w:r>
      <w:r w:rsidR="00705C66" w:rsidRPr="76BE792E">
        <w:rPr>
          <w:sz w:val="20"/>
        </w:rPr>
        <w:t>For example, age</w:t>
      </w:r>
      <w:r w:rsidR="002A0ED1" w:rsidRPr="76BE792E">
        <w:rPr>
          <w:sz w:val="20"/>
        </w:rPr>
        <w:t>-</w:t>
      </w:r>
      <w:r w:rsidR="00705C66" w:rsidRPr="76BE792E">
        <w:rPr>
          <w:sz w:val="20"/>
        </w:rPr>
        <w:t xml:space="preserve">standardised incidence rates of liver cancer in Australian-born Victorians compared </w:t>
      </w:r>
      <w:r w:rsidR="002769E7" w:rsidRPr="76BE792E">
        <w:rPr>
          <w:sz w:val="20"/>
        </w:rPr>
        <w:t xml:space="preserve">with </w:t>
      </w:r>
      <w:r w:rsidR="00705C66" w:rsidRPr="76BE792E">
        <w:rPr>
          <w:sz w:val="20"/>
        </w:rPr>
        <w:t xml:space="preserve">other major migrant groups over the five-year period 2016 to 2020 was higher in males and females born in the South-East Asia region compared </w:t>
      </w:r>
      <w:r w:rsidR="002769E7" w:rsidRPr="76BE792E">
        <w:rPr>
          <w:sz w:val="20"/>
        </w:rPr>
        <w:t xml:space="preserve">with </w:t>
      </w:r>
      <w:r w:rsidR="00705C66" w:rsidRPr="76BE792E">
        <w:rPr>
          <w:sz w:val="20"/>
        </w:rPr>
        <w:t xml:space="preserve">people born in the Southern and Central Asia </w:t>
      </w:r>
      <w:r w:rsidR="00790BC5" w:rsidRPr="76BE792E">
        <w:rPr>
          <w:sz w:val="20"/>
        </w:rPr>
        <w:t xml:space="preserve">and African </w:t>
      </w:r>
      <w:r w:rsidR="00705C66" w:rsidRPr="76BE792E">
        <w:rPr>
          <w:sz w:val="20"/>
        </w:rPr>
        <w:t>region</w:t>
      </w:r>
      <w:r w:rsidR="00790BC5" w:rsidRPr="76BE792E">
        <w:rPr>
          <w:sz w:val="20"/>
        </w:rPr>
        <w:t>s</w:t>
      </w:r>
      <w:r w:rsidR="00705C66" w:rsidRPr="76BE792E">
        <w:rPr>
          <w:sz w:val="20"/>
        </w:rPr>
        <w:t>.</w:t>
      </w:r>
      <w:r w:rsidR="00790BC5">
        <w:rPr>
          <w:rStyle w:val="FootnoteReference"/>
          <w:rFonts w:cs="Arial"/>
          <w:lang w:eastAsia="en-AU"/>
        </w:rPr>
        <w:footnoteReference w:id="49"/>
      </w:r>
    </w:p>
    <w:p w14:paraId="3899B034" w14:textId="74F762DE" w:rsidR="004E15D3" w:rsidRPr="00434CF1" w:rsidRDefault="00294AD4" w:rsidP="00A621BE">
      <w:pPr>
        <w:pStyle w:val="Body"/>
        <w:rPr>
          <w:sz w:val="20"/>
        </w:rPr>
      </w:pPr>
      <w:r w:rsidRPr="00434CF1">
        <w:rPr>
          <w:sz w:val="20"/>
        </w:rPr>
        <w:t>Figure 1.8.1 shows variation between all the Victorian ICSs</w:t>
      </w:r>
      <w:r w:rsidR="00361A81" w:rsidRPr="00434CF1">
        <w:rPr>
          <w:sz w:val="20"/>
        </w:rPr>
        <w:t>,</w:t>
      </w:r>
      <w:r w:rsidRPr="00434CF1">
        <w:rPr>
          <w:sz w:val="20"/>
        </w:rPr>
        <w:t xml:space="preserve"> although the low numbers may account for the wide confidence </w:t>
      </w:r>
      <w:r w:rsidR="00587037" w:rsidRPr="00434CF1">
        <w:rPr>
          <w:sz w:val="20"/>
        </w:rPr>
        <w:t>intervals,</w:t>
      </w:r>
      <w:r w:rsidRPr="00434CF1">
        <w:rPr>
          <w:sz w:val="20"/>
        </w:rPr>
        <w:t xml:space="preserve"> so they should be interpreted with caution.</w:t>
      </w:r>
    </w:p>
    <w:p w14:paraId="69C2F435" w14:textId="14A51460" w:rsidR="000F22EF" w:rsidRPr="00434CF1" w:rsidRDefault="00251E7C" w:rsidP="00136651">
      <w:pPr>
        <w:pStyle w:val="Body"/>
        <w:rPr>
          <w:color w:val="000000" w:themeColor="text1"/>
          <w:sz w:val="20"/>
        </w:rPr>
      </w:pPr>
      <w:r w:rsidRPr="00434CF1">
        <w:rPr>
          <w:sz w:val="20"/>
        </w:rPr>
        <w:t>The spatial variation of incidence rate</w:t>
      </w:r>
      <w:r w:rsidR="006877B6" w:rsidRPr="00434CF1">
        <w:rPr>
          <w:sz w:val="20"/>
        </w:rPr>
        <w:t>s</w:t>
      </w:r>
      <w:r w:rsidRPr="00434CF1">
        <w:rPr>
          <w:sz w:val="20"/>
        </w:rPr>
        <w:t xml:space="preserve"> of liver cancer by LGA are </w:t>
      </w:r>
      <w:r w:rsidR="000D405B" w:rsidRPr="00434CF1">
        <w:rPr>
          <w:sz w:val="20"/>
        </w:rPr>
        <w:t>presented</w:t>
      </w:r>
      <w:r w:rsidRPr="00434CF1">
        <w:rPr>
          <w:sz w:val="20"/>
        </w:rPr>
        <w:t xml:space="preserve"> in Figure 1.8.2</w:t>
      </w:r>
      <w:r w:rsidR="00A81A71" w:rsidRPr="00434CF1">
        <w:rPr>
          <w:sz w:val="20"/>
        </w:rPr>
        <w:t>,</w:t>
      </w:r>
      <w:r w:rsidR="000D405B" w:rsidRPr="00434CF1">
        <w:rPr>
          <w:sz w:val="20"/>
        </w:rPr>
        <w:t xml:space="preserve"> show</w:t>
      </w:r>
      <w:r w:rsidR="00A81A71" w:rsidRPr="00434CF1">
        <w:rPr>
          <w:sz w:val="20"/>
        </w:rPr>
        <w:t>ing</w:t>
      </w:r>
      <w:r w:rsidR="000D405B" w:rsidRPr="00434CF1">
        <w:rPr>
          <w:sz w:val="20"/>
        </w:rPr>
        <w:t xml:space="preserve"> overall higher rates in greater metropolitan Melbourne compared </w:t>
      </w:r>
      <w:r w:rsidR="002769E7" w:rsidRPr="00434CF1">
        <w:rPr>
          <w:sz w:val="20"/>
        </w:rPr>
        <w:t xml:space="preserve">with </w:t>
      </w:r>
      <w:r w:rsidR="000D405B" w:rsidRPr="00434CF1">
        <w:rPr>
          <w:sz w:val="20"/>
        </w:rPr>
        <w:t>rural Victoria</w:t>
      </w:r>
      <w:r w:rsidR="006877B6" w:rsidRPr="00434CF1">
        <w:rPr>
          <w:sz w:val="20"/>
        </w:rPr>
        <w:t xml:space="preserve">. </w:t>
      </w:r>
      <w:r w:rsidR="001B0702" w:rsidRPr="00434CF1">
        <w:rPr>
          <w:sz w:val="20"/>
        </w:rPr>
        <w:t>In 2014, 46.8</w:t>
      </w:r>
      <w:r w:rsidR="0054537F">
        <w:rPr>
          <w:sz w:val="20"/>
        </w:rPr>
        <w:t>%</w:t>
      </w:r>
      <w:r w:rsidR="006877B6" w:rsidRPr="00434CF1">
        <w:rPr>
          <w:sz w:val="20"/>
        </w:rPr>
        <w:t xml:space="preserve"> of the 79 LGAs had </w:t>
      </w:r>
      <w:r w:rsidR="00AA07B2" w:rsidRPr="00434CF1">
        <w:rPr>
          <w:sz w:val="20"/>
        </w:rPr>
        <w:t xml:space="preserve">equal to or </w:t>
      </w:r>
      <w:r w:rsidR="006877B6" w:rsidRPr="00434CF1">
        <w:rPr>
          <w:sz w:val="20"/>
        </w:rPr>
        <w:t>higher incidence rates of liver cancer than the overall rate (</w:t>
      </w:r>
      <w:r w:rsidR="00A36CE7" w:rsidRPr="00434CF1">
        <w:rPr>
          <w:sz w:val="20"/>
        </w:rPr>
        <w:t>8.3</w:t>
      </w:r>
      <w:r w:rsidR="006877B6" w:rsidRPr="00434CF1">
        <w:rPr>
          <w:sz w:val="20"/>
        </w:rPr>
        <w:t xml:space="preserve"> per 100,000 population).</w:t>
      </w:r>
      <w:r w:rsidRPr="00434CF1">
        <w:rPr>
          <w:sz w:val="20"/>
        </w:rPr>
        <w:t xml:space="preserve"> </w:t>
      </w:r>
      <w:r w:rsidR="00AC2482" w:rsidRPr="00434CF1">
        <w:rPr>
          <w:sz w:val="20"/>
        </w:rPr>
        <w:t>Wangaratta</w:t>
      </w:r>
      <w:r w:rsidR="006877B6" w:rsidRPr="00434CF1">
        <w:rPr>
          <w:sz w:val="20"/>
        </w:rPr>
        <w:t xml:space="preserve"> Rural City LGA reported the highest incidence rate (</w:t>
      </w:r>
      <w:r w:rsidR="00AC2482" w:rsidRPr="00434CF1">
        <w:rPr>
          <w:sz w:val="20"/>
        </w:rPr>
        <w:t>18</w:t>
      </w:r>
      <w:r w:rsidR="00B4418C" w:rsidRPr="00434CF1">
        <w:rPr>
          <w:sz w:val="20"/>
        </w:rPr>
        <w:t>.1</w:t>
      </w:r>
      <w:r w:rsidR="006877B6" w:rsidRPr="00434CF1">
        <w:rPr>
          <w:sz w:val="20"/>
        </w:rPr>
        <w:t xml:space="preserve"> per 100,000 population) and Cardin</w:t>
      </w:r>
      <w:r w:rsidR="00AA07B2" w:rsidRPr="00434CF1">
        <w:rPr>
          <w:sz w:val="20"/>
        </w:rPr>
        <w:t>i</w:t>
      </w:r>
      <w:r w:rsidR="006877B6" w:rsidRPr="00434CF1">
        <w:rPr>
          <w:sz w:val="20"/>
        </w:rPr>
        <w:t>a Shire LGA the lowest incidence rate (</w:t>
      </w:r>
      <w:r w:rsidR="00B4418C" w:rsidRPr="00434CF1">
        <w:rPr>
          <w:sz w:val="20"/>
        </w:rPr>
        <w:t>1.2</w:t>
      </w:r>
      <w:r w:rsidR="006877B6" w:rsidRPr="00434CF1">
        <w:rPr>
          <w:sz w:val="20"/>
        </w:rPr>
        <w:t xml:space="preserve"> per 100,000 population) in 201</w:t>
      </w:r>
      <w:r w:rsidR="00AC2482" w:rsidRPr="00434CF1">
        <w:rPr>
          <w:sz w:val="20"/>
        </w:rPr>
        <w:t>4</w:t>
      </w:r>
      <w:r w:rsidR="00C33CEE" w:rsidRPr="00434CF1">
        <w:rPr>
          <w:sz w:val="20"/>
        </w:rPr>
        <w:t xml:space="preserve"> (</w:t>
      </w:r>
      <w:r w:rsidR="000D405B" w:rsidRPr="00434CF1">
        <w:rPr>
          <w:sz w:val="20"/>
        </w:rPr>
        <w:t>Table 1.</w:t>
      </w:r>
      <w:r w:rsidR="00246BC0" w:rsidRPr="00434CF1">
        <w:rPr>
          <w:sz w:val="20"/>
        </w:rPr>
        <w:t>8</w:t>
      </w:r>
      <w:r w:rsidR="000D405B" w:rsidRPr="00434CF1">
        <w:rPr>
          <w:sz w:val="20"/>
        </w:rPr>
        <w:t>b, Appendix 2)</w:t>
      </w:r>
      <w:r w:rsidR="00C33CEE" w:rsidRPr="00434CF1">
        <w:rPr>
          <w:sz w:val="20"/>
        </w:rPr>
        <w:t>.</w:t>
      </w:r>
      <w:r w:rsidR="00952FC7" w:rsidRPr="00434CF1">
        <w:rPr>
          <w:sz w:val="20"/>
        </w:rPr>
        <w:t xml:space="preserve"> </w:t>
      </w:r>
      <w:r w:rsidR="00C33CEE" w:rsidRPr="00434CF1">
        <w:rPr>
          <w:sz w:val="20"/>
        </w:rPr>
        <w:t xml:space="preserve">However, </w:t>
      </w:r>
      <w:r w:rsidR="00A81A71" w:rsidRPr="00434CF1">
        <w:rPr>
          <w:sz w:val="20"/>
        </w:rPr>
        <w:t>seven</w:t>
      </w:r>
      <w:r w:rsidR="00C33CEE" w:rsidRPr="00434CF1">
        <w:rPr>
          <w:sz w:val="20"/>
        </w:rPr>
        <w:t xml:space="preserve"> LGAs reported </w:t>
      </w:r>
      <w:r w:rsidR="00082929" w:rsidRPr="00434CF1">
        <w:rPr>
          <w:sz w:val="20"/>
        </w:rPr>
        <w:t>zero</w:t>
      </w:r>
      <w:r w:rsidR="00C33CEE" w:rsidRPr="00434CF1">
        <w:rPr>
          <w:sz w:val="20"/>
        </w:rPr>
        <w:t xml:space="preserve"> incidence rates in 201</w:t>
      </w:r>
      <w:r w:rsidR="00AC2482" w:rsidRPr="00434CF1">
        <w:rPr>
          <w:sz w:val="20"/>
        </w:rPr>
        <w:t>4</w:t>
      </w:r>
      <w:r w:rsidR="00C33CEE" w:rsidRPr="00434CF1">
        <w:rPr>
          <w:sz w:val="20"/>
        </w:rPr>
        <w:t>. By comparison, 4</w:t>
      </w:r>
      <w:r w:rsidR="001238F1" w:rsidRPr="00434CF1">
        <w:rPr>
          <w:sz w:val="20"/>
        </w:rPr>
        <w:t>1.8</w:t>
      </w:r>
      <w:r w:rsidR="0054537F">
        <w:rPr>
          <w:sz w:val="20"/>
        </w:rPr>
        <w:t>%</w:t>
      </w:r>
      <w:r w:rsidR="00C33CEE" w:rsidRPr="00434CF1">
        <w:rPr>
          <w:sz w:val="20"/>
        </w:rPr>
        <w:t xml:space="preserve"> </w:t>
      </w:r>
      <w:r w:rsidR="00C33CEE" w:rsidRPr="00434CF1">
        <w:rPr>
          <w:color w:val="000000" w:themeColor="text1"/>
          <w:sz w:val="20"/>
        </w:rPr>
        <w:t>of the 79 LGAs had high</w:t>
      </w:r>
      <w:r w:rsidR="00B55FF0" w:rsidRPr="00434CF1">
        <w:rPr>
          <w:color w:val="000000" w:themeColor="text1"/>
          <w:sz w:val="20"/>
        </w:rPr>
        <w:t>er</w:t>
      </w:r>
      <w:r w:rsidR="00C33CEE" w:rsidRPr="00434CF1">
        <w:rPr>
          <w:color w:val="000000" w:themeColor="text1"/>
          <w:sz w:val="20"/>
        </w:rPr>
        <w:t xml:space="preserve"> incidence rates </w:t>
      </w:r>
      <w:r w:rsidR="00CB5383" w:rsidRPr="00434CF1">
        <w:rPr>
          <w:color w:val="000000" w:themeColor="text1"/>
          <w:sz w:val="20"/>
        </w:rPr>
        <w:t xml:space="preserve">of liver </w:t>
      </w:r>
      <w:r w:rsidR="00C33CEE" w:rsidRPr="00434CF1">
        <w:rPr>
          <w:color w:val="000000" w:themeColor="text1"/>
          <w:sz w:val="20"/>
        </w:rPr>
        <w:t>cancer than the overall rate (7.</w:t>
      </w:r>
      <w:r w:rsidR="00141D7D" w:rsidRPr="00434CF1">
        <w:rPr>
          <w:color w:val="000000" w:themeColor="text1"/>
          <w:sz w:val="20"/>
        </w:rPr>
        <w:t>8</w:t>
      </w:r>
      <w:r w:rsidR="00C33CEE" w:rsidRPr="00434CF1">
        <w:rPr>
          <w:color w:val="000000" w:themeColor="text1"/>
          <w:sz w:val="20"/>
        </w:rPr>
        <w:t xml:space="preserve"> per 100,000 population) for Victoria in 20</w:t>
      </w:r>
      <w:r w:rsidR="00141D7D" w:rsidRPr="00434CF1">
        <w:rPr>
          <w:color w:val="000000" w:themeColor="text1"/>
          <w:sz w:val="20"/>
        </w:rPr>
        <w:t>2</w:t>
      </w:r>
      <w:r w:rsidR="001238F1" w:rsidRPr="00434CF1">
        <w:rPr>
          <w:color w:val="000000" w:themeColor="text1"/>
          <w:sz w:val="20"/>
        </w:rPr>
        <w:t>1</w:t>
      </w:r>
      <w:r w:rsidR="00C33CEE" w:rsidRPr="00434CF1">
        <w:rPr>
          <w:color w:val="000000" w:themeColor="text1"/>
          <w:sz w:val="20"/>
        </w:rPr>
        <w:t>.</w:t>
      </w:r>
      <w:r w:rsidR="00952FC7" w:rsidRPr="00434CF1">
        <w:rPr>
          <w:color w:val="000000" w:themeColor="text1"/>
          <w:sz w:val="20"/>
        </w:rPr>
        <w:t xml:space="preserve"> </w:t>
      </w:r>
      <w:r w:rsidR="001238F1" w:rsidRPr="00434CF1">
        <w:rPr>
          <w:color w:val="000000" w:themeColor="text1"/>
          <w:sz w:val="20"/>
        </w:rPr>
        <w:t xml:space="preserve">Ararat Rural City </w:t>
      </w:r>
      <w:r w:rsidR="00C11FF5" w:rsidRPr="00434CF1">
        <w:rPr>
          <w:color w:val="000000" w:themeColor="text1"/>
          <w:sz w:val="20"/>
        </w:rPr>
        <w:t>LGA reported the highest incidence rate (</w:t>
      </w:r>
      <w:r w:rsidR="001238F1" w:rsidRPr="00434CF1">
        <w:rPr>
          <w:color w:val="000000" w:themeColor="text1"/>
          <w:sz w:val="20"/>
        </w:rPr>
        <w:t>18.5</w:t>
      </w:r>
      <w:r w:rsidR="00C11FF5" w:rsidRPr="00434CF1">
        <w:rPr>
          <w:color w:val="000000" w:themeColor="text1"/>
          <w:sz w:val="20"/>
        </w:rPr>
        <w:t xml:space="preserve"> per 100,000 population) and </w:t>
      </w:r>
      <w:r w:rsidR="001238F1" w:rsidRPr="00434CF1">
        <w:rPr>
          <w:color w:val="000000" w:themeColor="text1"/>
          <w:sz w:val="20"/>
        </w:rPr>
        <w:t xml:space="preserve">Moorabool Shire </w:t>
      </w:r>
      <w:r w:rsidR="00545870" w:rsidRPr="00434CF1">
        <w:rPr>
          <w:color w:val="000000" w:themeColor="text1"/>
          <w:sz w:val="20"/>
        </w:rPr>
        <w:t>LGA the lowest (</w:t>
      </w:r>
      <w:r w:rsidR="001238F1" w:rsidRPr="00434CF1">
        <w:rPr>
          <w:color w:val="000000" w:themeColor="text1"/>
          <w:sz w:val="20"/>
        </w:rPr>
        <w:t>1.8</w:t>
      </w:r>
      <w:r w:rsidR="00545870" w:rsidRPr="00434CF1">
        <w:rPr>
          <w:color w:val="000000" w:themeColor="text1"/>
          <w:sz w:val="20"/>
        </w:rPr>
        <w:t xml:space="preserve"> per 100,000 population) in 20</w:t>
      </w:r>
      <w:r w:rsidR="00A36CE7" w:rsidRPr="00434CF1">
        <w:rPr>
          <w:color w:val="000000" w:themeColor="text1"/>
          <w:sz w:val="20"/>
        </w:rPr>
        <w:t>2</w:t>
      </w:r>
      <w:r w:rsidR="001238F1" w:rsidRPr="00434CF1">
        <w:rPr>
          <w:color w:val="000000" w:themeColor="text1"/>
          <w:sz w:val="20"/>
        </w:rPr>
        <w:t>1</w:t>
      </w:r>
      <w:r w:rsidR="00082929" w:rsidRPr="00434CF1">
        <w:rPr>
          <w:color w:val="000000" w:themeColor="text1"/>
          <w:sz w:val="20"/>
        </w:rPr>
        <w:t xml:space="preserve"> (</w:t>
      </w:r>
      <w:r w:rsidR="000D405B" w:rsidRPr="00434CF1">
        <w:rPr>
          <w:color w:val="000000" w:themeColor="text1"/>
          <w:sz w:val="20"/>
        </w:rPr>
        <w:t>Table 1.</w:t>
      </w:r>
      <w:r w:rsidR="00246BC0" w:rsidRPr="00434CF1">
        <w:rPr>
          <w:color w:val="000000" w:themeColor="text1"/>
          <w:sz w:val="20"/>
        </w:rPr>
        <w:t>8</w:t>
      </w:r>
      <w:r w:rsidR="000D405B" w:rsidRPr="00434CF1">
        <w:rPr>
          <w:color w:val="000000" w:themeColor="text1"/>
          <w:sz w:val="20"/>
        </w:rPr>
        <w:t>d, Appendix 2</w:t>
      </w:r>
      <w:r w:rsidR="00082929" w:rsidRPr="00434CF1">
        <w:rPr>
          <w:color w:val="000000" w:themeColor="text1"/>
          <w:sz w:val="20"/>
        </w:rPr>
        <w:t xml:space="preserve">). </w:t>
      </w:r>
      <w:r w:rsidR="00A36CE7" w:rsidRPr="00434CF1">
        <w:rPr>
          <w:color w:val="000000" w:themeColor="text1"/>
          <w:sz w:val="20"/>
        </w:rPr>
        <w:t>Furthermore</w:t>
      </w:r>
      <w:r w:rsidR="00082929" w:rsidRPr="00434CF1">
        <w:rPr>
          <w:color w:val="000000" w:themeColor="text1"/>
          <w:sz w:val="20"/>
        </w:rPr>
        <w:t xml:space="preserve">, there were </w:t>
      </w:r>
      <w:r w:rsidR="001238F1" w:rsidRPr="00434CF1">
        <w:rPr>
          <w:color w:val="000000" w:themeColor="text1"/>
          <w:sz w:val="20"/>
        </w:rPr>
        <w:t>six</w:t>
      </w:r>
      <w:r w:rsidR="00082929" w:rsidRPr="00434CF1">
        <w:rPr>
          <w:color w:val="000000" w:themeColor="text1"/>
          <w:sz w:val="20"/>
        </w:rPr>
        <w:t xml:space="preserve"> LGAs </w:t>
      </w:r>
      <w:r w:rsidR="00A10CD1" w:rsidRPr="00434CF1">
        <w:rPr>
          <w:color w:val="000000" w:themeColor="text1"/>
          <w:sz w:val="20"/>
        </w:rPr>
        <w:t xml:space="preserve">that </w:t>
      </w:r>
      <w:r w:rsidR="00082929" w:rsidRPr="00434CF1">
        <w:rPr>
          <w:color w:val="000000" w:themeColor="text1"/>
          <w:sz w:val="20"/>
        </w:rPr>
        <w:t>reported zero incidence rates for 20</w:t>
      </w:r>
      <w:r w:rsidR="00DB5C79" w:rsidRPr="00434CF1">
        <w:rPr>
          <w:color w:val="000000" w:themeColor="text1"/>
          <w:sz w:val="20"/>
        </w:rPr>
        <w:t>2</w:t>
      </w:r>
      <w:r w:rsidR="001238F1" w:rsidRPr="00434CF1">
        <w:rPr>
          <w:color w:val="000000" w:themeColor="text1"/>
          <w:sz w:val="20"/>
        </w:rPr>
        <w:t>1</w:t>
      </w:r>
      <w:r w:rsidR="00082929" w:rsidRPr="00434CF1">
        <w:rPr>
          <w:color w:val="000000" w:themeColor="text1"/>
          <w:sz w:val="20"/>
        </w:rPr>
        <w:t>.</w:t>
      </w:r>
      <w:r w:rsidR="00545870" w:rsidRPr="00434CF1">
        <w:rPr>
          <w:color w:val="000000" w:themeColor="text1"/>
          <w:sz w:val="20"/>
        </w:rPr>
        <w:t xml:space="preserve"> </w:t>
      </w:r>
      <w:r w:rsidR="00C33CEE" w:rsidRPr="00434CF1">
        <w:rPr>
          <w:color w:val="000000" w:themeColor="text1"/>
          <w:sz w:val="20"/>
        </w:rPr>
        <w:t>Overall, most of the 79 LGAs reported very little variation in the incidence rate dur</w:t>
      </w:r>
      <w:r w:rsidR="00222435" w:rsidRPr="00434CF1">
        <w:rPr>
          <w:color w:val="000000" w:themeColor="text1"/>
          <w:sz w:val="20"/>
        </w:rPr>
        <w:t>ing the reporting period</w:t>
      </w:r>
      <w:r w:rsidR="00A81A71" w:rsidRPr="00434CF1">
        <w:rPr>
          <w:color w:val="000000" w:themeColor="text1"/>
          <w:sz w:val="20"/>
        </w:rPr>
        <w:t>; this was</w:t>
      </w:r>
      <w:r w:rsidR="00222435" w:rsidRPr="00434CF1">
        <w:rPr>
          <w:color w:val="000000" w:themeColor="text1"/>
          <w:sz w:val="20"/>
        </w:rPr>
        <w:t xml:space="preserve"> likely</w:t>
      </w:r>
      <w:r w:rsidR="00C33CEE" w:rsidRPr="00434CF1">
        <w:rPr>
          <w:color w:val="000000" w:themeColor="text1"/>
          <w:sz w:val="20"/>
        </w:rPr>
        <w:t xml:space="preserve"> </w:t>
      </w:r>
      <w:r w:rsidR="00DB5C79" w:rsidRPr="00434CF1">
        <w:rPr>
          <w:color w:val="000000" w:themeColor="text1"/>
          <w:sz w:val="20"/>
        </w:rPr>
        <w:t xml:space="preserve">due </w:t>
      </w:r>
      <w:r w:rsidR="00C33CEE" w:rsidRPr="00434CF1">
        <w:rPr>
          <w:color w:val="000000" w:themeColor="text1"/>
          <w:sz w:val="20"/>
        </w:rPr>
        <w:t xml:space="preserve">to the low number of cases. </w:t>
      </w:r>
    </w:p>
    <w:p w14:paraId="60836B5C" w14:textId="77777777" w:rsidR="006153D8" w:rsidRDefault="006153D8" w:rsidP="0012302B">
      <w:pPr>
        <w:pStyle w:val="Body"/>
        <w:rPr>
          <w:rStyle w:val="BodyChar"/>
          <w:sz w:val="20"/>
        </w:rPr>
        <w:sectPr w:rsidR="006153D8" w:rsidSect="00136651">
          <w:type w:val="continuous"/>
          <w:pgSz w:w="11906" w:h="16838"/>
          <w:pgMar w:top="1411" w:right="1133" w:bottom="1138" w:left="1276" w:header="454" w:footer="510" w:gutter="0"/>
          <w:cols w:num="2" w:space="425"/>
          <w:docGrid w:linePitch="360"/>
        </w:sectPr>
      </w:pPr>
    </w:p>
    <w:p w14:paraId="572AFDB4" w14:textId="77777777" w:rsidR="00136651" w:rsidRDefault="00136651">
      <w:pPr>
        <w:rPr>
          <w:rStyle w:val="BodyChar"/>
          <w:sz w:val="20"/>
        </w:rPr>
      </w:pPr>
      <w:r>
        <w:rPr>
          <w:rStyle w:val="BodyChar"/>
          <w:sz w:val="20"/>
        </w:rPr>
        <w:br w:type="page"/>
      </w:r>
    </w:p>
    <w:p w14:paraId="1432CB64" w14:textId="1ACA589B" w:rsidR="006624DA" w:rsidRPr="00F86311" w:rsidRDefault="00136D74" w:rsidP="0012302B">
      <w:pPr>
        <w:pStyle w:val="Body"/>
        <w:rPr>
          <w:rFonts w:cs="Arial"/>
        </w:rPr>
      </w:pPr>
      <w:r w:rsidRPr="00434CF1">
        <w:rPr>
          <w:rStyle w:val="BodyChar"/>
          <w:sz w:val="20"/>
        </w:rPr>
        <w:lastRenderedPageBreak/>
        <w:t>No target has been set for this measure</w:t>
      </w:r>
      <w:r w:rsidR="00B40166" w:rsidRPr="00434CF1">
        <w:rPr>
          <w:rStyle w:val="BodyChar"/>
          <w:sz w:val="20"/>
        </w:rPr>
        <w:t>;</w:t>
      </w:r>
      <w:r w:rsidR="00E640C6" w:rsidRPr="00434CF1">
        <w:rPr>
          <w:rStyle w:val="BodyChar"/>
          <w:sz w:val="20"/>
        </w:rPr>
        <w:t xml:space="preserve"> however</w:t>
      </w:r>
      <w:r w:rsidR="00B40166" w:rsidRPr="00434CF1">
        <w:rPr>
          <w:rStyle w:val="BodyChar"/>
          <w:sz w:val="20"/>
        </w:rPr>
        <w:t>,</w:t>
      </w:r>
      <w:r w:rsidR="00E640C6" w:rsidRPr="00434CF1">
        <w:rPr>
          <w:rStyle w:val="BodyChar"/>
          <w:sz w:val="20"/>
        </w:rPr>
        <w:t xml:space="preserve"> the higher incidence rates in Aboriginal and Torres Strait Islander</w:t>
      </w:r>
      <w:r w:rsidR="00236B3E" w:rsidRPr="00434CF1">
        <w:rPr>
          <w:rStyle w:val="BodyChar"/>
          <w:sz w:val="20"/>
        </w:rPr>
        <w:t xml:space="preserve"> Victorians</w:t>
      </w:r>
      <w:r w:rsidR="00E640C6" w:rsidRPr="00434CF1">
        <w:rPr>
          <w:rStyle w:val="BodyChar"/>
          <w:sz w:val="20"/>
        </w:rPr>
        <w:t xml:space="preserve"> suggests that this subpopulation is </w:t>
      </w:r>
      <w:r w:rsidR="00CC7FBA" w:rsidRPr="00434CF1">
        <w:rPr>
          <w:rStyle w:val="BodyChar"/>
          <w:sz w:val="20"/>
        </w:rPr>
        <w:t xml:space="preserve">still </w:t>
      </w:r>
      <w:r w:rsidR="00E640C6" w:rsidRPr="00434CF1">
        <w:rPr>
          <w:rStyle w:val="BodyChar"/>
          <w:sz w:val="20"/>
        </w:rPr>
        <w:t>a major group among which hepatitis B is endemic and hepatitis C is disproportionately common</w:t>
      </w:r>
      <w:r w:rsidR="0027160E" w:rsidRPr="00434CF1">
        <w:rPr>
          <w:rStyle w:val="BodyChar"/>
          <w:sz w:val="20"/>
        </w:rPr>
        <w:t xml:space="preserve"> </w:t>
      </w:r>
      <w:r w:rsidR="00903EBD" w:rsidRPr="00434CF1">
        <w:rPr>
          <w:rStyle w:val="BodyChar"/>
          <w:sz w:val="20"/>
        </w:rPr>
        <w:t>–</w:t>
      </w:r>
      <w:r w:rsidR="00E640C6" w:rsidRPr="00434CF1">
        <w:rPr>
          <w:rStyle w:val="BodyChar"/>
          <w:sz w:val="20"/>
        </w:rPr>
        <w:t xml:space="preserve"> </w:t>
      </w:r>
      <w:r w:rsidR="0027160E" w:rsidRPr="00434CF1">
        <w:rPr>
          <w:rStyle w:val="BodyChar"/>
          <w:sz w:val="20"/>
        </w:rPr>
        <w:t xml:space="preserve">both chronic </w:t>
      </w:r>
      <w:r w:rsidR="00A10CD1" w:rsidRPr="00434CF1">
        <w:rPr>
          <w:rStyle w:val="BodyChar"/>
          <w:sz w:val="20"/>
        </w:rPr>
        <w:t>hepatitis B and C,</w:t>
      </w:r>
      <w:r w:rsidR="0027160E" w:rsidRPr="00434CF1">
        <w:rPr>
          <w:rStyle w:val="BodyChar"/>
          <w:sz w:val="20"/>
        </w:rPr>
        <w:t xml:space="preserve"> if left untreated</w:t>
      </w:r>
      <w:r w:rsidR="00A10CD1" w:rsidRPr="00434CF1">
        <w:rPr>
          <w:rStyle w:val="BodyChar"/>
          <w:sz w:val="20"/>
        </w:rPr>
        <w:t>,</w:t>
      </w:r>
      <w:r w:rsidR="0027160E" w:rsidRPr="00434CF1">
        <w:rPr>
          <w:rStyle w:val="BodyChar"/>
          <w:sz w:val="20"/>
        </w:rPr>
        <w:t xml:space="preserve"> are a leading cause of </w:t>
      </w:r>
      <w:r w:rsidR="00E640C6" w:rsidRPr="00434CF1">
        <w:rPr>
          <w:rStyle w:val="BodyChar"/>
          <w:sz w:val="20"/>
        </w:rPr>
        <w:t>liver cancer.</w:t>
      </w:r>
      <w:r w:rsidR="0027160E" w:rsidRPr="00434CF1">
        <w:rPr>
          <w:rStyle w:val="BodyChar"/>
          <w:sz w:val="20"/>
        </w:rPr>
        <w:t xml:space="preserve"> The Victorian</w:t>
      </w:r>
      <w:r w:rsidR="00041570" w:rsidRPr="00434CF1">
        <w:rPr>
          <w:sz w:val="20"/>
        </w:rPr>
        <w:t xml:space="preserve"> hepatitis B and C plans</w:t>
      </w:r>
      <w:r w:rsidR="00A81A71" w:rsidRPr="00434CF1">
        <w:rPr>
          <w:sz w:val="20"/>
        </w:rPr>
        <w:t xml:space="preserve"> for</w:t>
      </w:r>
      <w:r w:rsidR="00041570" w:rsidRPr="00434CF1">
        <w:rPr>
          <w:sz w:val="20"/>
        </w:rPr>
        <w:t xml:space="preserve"> 2022</w:t>
      </w:r>
      <w:r w:rsidR="00A81A71" w:rsidRPr="00434CF1">
        <w:rPr>
          <w:sz w:val="20"/>
        </w:rPr>
        <w:t>–</w:t>
      </w:r>
      <w:r w:rsidR="00041570" w:rsidRPr="00434CF1">
        <w:rPr>
          <w:sz w:val="20"/>
        </w:rPr>
        <w:t>30 continue to</w:t>
      </w:r>
      <w:r w:rsidR="00041570" w:rsidRPr="00434CF1">
        <w:rPr>
          <w:rStyle w:val="BodyChar"/>
          <w:sz w:val="20"/>
        </w:rPr>
        <w:t xml:space="preserve"> </w:t>
      </w:r>
      <w:r w:rsidR="0027160E" w:rsidRPr="00434CF1">
        <w:rPr>
          <w:rStyle w:val="BodyChar"/>
          <w:sz w:val="20"/>
        </w:rPr>
        <w:t xml:space="preserve">address the significant </w:t>
      </w:r>
      <w:r w:rsidR="0027160E" w:rsidRPr="001F727B">
        <w:rPr>
          <w:rStyle w:val="BodyChar"/>
          <w:rFonts w:cs="Arial"/>
          <w:sz w:val="20"/>
        </w:rPr>
        <w:t>public health burden from hepatitis B and hepatitis C (viral hepatitis)</w:t>
      </w:r>
      <w:r w:rsidR="001E6097" w:rsidRPr="001F727B">
        <w:rPr>
          <w:rStyle w:val="BodyChar"/>
          <w:rFonts w:cs="Arial"/>
          <w:sz w:val="20"/>
        </w:rPr>
        <w:t xml:space="preserve"> including at</w:t>
      </w:r>
      <w:r w:rsidR="00A81A71" w:rsidRPr="001F727B">
        <w:rPr>
          <w:rStyle w:val="BodyChar"/>
          <w:rFonts w:cs="Arial"/>
          <w:sz w:val="20"/>
        </w:rPr>
        <w:t>-</w:t>
      </w:r>
      <w:r w:rsidR="001E6097" w:rsidRPr="001F727B">
        <w:rPr>
          <w:rStyle w:val="BodyChar"/>
          <w:rFonts w:cs="Arial"/>
          <w:sz w:val="20"/>
        </w:rPr>
        <w:t>risk population groups</w:t>
      </w:r>
      <w:r w:rsidR="0027160E" w:rsidRPr="001F727B">
        <w:rPr>
          <w:rFonts w:cs="Arial"/>
          <w:sz w:val="20"/>
        </w:rPr>
        <w:t>.</w:t>
      </w:r>
      <w:r w:rsidR="001F727B" w:rsidRPr="001F727B">
        <w:rPr>
          <w:rFonts w:cs="Arial"/>
          <w:sz w:val="20"/>
        </w:rPr>
        <w:t xml:space="preserve"> Other risk factors for liver cancer include metabolic and alcohol relate</w:t>
      </w:r>
      <w:r w:rsidR="00395AA3">
        <w:rPr>
          <w:rFonts w:cs="Arial"/>
          <w:sz w:val="20"/>
        </w:rPr>
        <w:t>d</w:t>
      </w:r>
      <w:r w:rsidR="001F727B" w:rsidRPr="001F727B">
        <w:rPr>
          <w:rFonts w:cs="Arial"/>
          <w:sz w:val="20"/>
        </w:rPr>
        <w:t xml:space="preserve"> causes, especially growing obesity rates</w:t>
      </w:r>
      <w:r w:rsidR="00395AA3">
        <w:rPr>
          <w:rFonts w:cs="Arial"/>
          <w:sz w:val="20"/>
        </w:rPr>
        <w:t xml:space="preserve"> </w:t>
      </w:r>
      <w:r w:rsidR="001F727B" w:rsidRPr="001F727B">
        <w:rPr>
          <w:rFonts w:cs="Arial"/>
          <w:sz w:val="20"/>
        </w:rPr>
        <w:t>with</w:t>
      </w:r>
      <w:r w:rsidR="00395AA3">
        <w:rPr>
          <w:rFonts w:cs="Arial"/>
          <w:sz w:val="20"/>
        </w:rPr>
        <w:t xml:space="preserve"> increases in</w:t>
      </w:r>
      <w:r w:rsidR="001F727B" w:rsidRPr="001F727B">
        <w:rPr>
          <w:rFonts w:cs="Arial"/>
          <w:sz w:val="20"/>
        </w:rPr>
        <w:t xml:space="preserve"> metabolic-associated fatty liver disease that leads to a pathway of fibrosis, cirrhosis and </w:t>
      </w:r>
      <w:r w:rsidR="001F727B" w:rsidRPr="001F727B">
        <w:rPr>
          <w:rFonts w:cs="Arial"/>
          <w:color w:val="111111"/>
          <w:sz w:val="20"/>
          <w:shd w:val="clear" w:color="auto" w:fill="FFFFFF"/>
        </w:rPr>
        <w:t>hepatocellular carcinoma.</w:t>
      </w:r>
      <w:r w:rsidR="00136651" w:rsidRPr="001E6097">
        <w:rPr>
          <w:rFonts w:cs="Arial"/>
        </w:rPr>
        <w:t xml:space="preserve"> </w:t>
      </w:r>
      <w:r w:rsidR="00BC2194" w:rsidRPr="001E6097">
        <w:rPr>
          <w:rFonts w:cs="Arial"/>
        </w:rPr>
        <w:br w:type="page"/>
      </w:r>
      <w:r w:rsidR="006624DA" w:rsidRPr="000F22EF">
        <w:rPr>
          <w:rStyle w:val="Heading2Char"/>
        </w:rPr>
        <w:lastRenderedPageBreak/>
        <w:t xml:space="preserve">Key result: </w:t>
      </w:r>
      <w:r w:rsidR="001936B4" w:rsidRPr="000F22EF">
        <w:rPr>
          <w:rStyle w:val="Heading2Char"/>
        </w:rPr>
        <w:t xml:space="preserve">Decrease </w:t>
      </w:r>
      <w:r w:rsidR="006624DA" w:rsidRPr="000F22EF">
        <w:rPr>
          <w:rStyle w:val="Heading2Char"/>
        </w:rPr>
        <w:t>deaths due to cancer</w:t>
      </w:r>
    </w:p>
    <w:p w14:paraId="7BB17445" w14:textId="582B112F" w:rsidR="00BC2194" w:rsidRPr="000144FD" w:rsidRDefault="006624DA" w:rsidP="00A451D4">
      <w:pPr>
        <w:pStyle w:val="Heading3"/>
        <w:rPr>
          <w:b/>
          <w:bCs w:val="0"/>
        </w:rPr>
      </w:pPr>
      <w:bookmarkStart w:id="211" w:name="_Measure_2.1_–"/>
      <w:bookmarkStart w:id="212" w:name="_Toc19008025"/>
      <w:bookmarkEnd w:id="211"/>
      <w:r w:rsidRPr="000144FD">
        <w:rPr>
          <w:b/>
          <w:bCs w:val="0"/>
        </w:rPr>
        <w:t>Measure 2.1 – Death rate due to cancer</w:t>
      </w:r>
      <w:bookmarkEnd w:id="212"/>
    </w:p>
    <w:p w14:paraId="785CAEB9" w14:textId="575F4DE9" w:rsidR="00455234" w:rsidRPr="00BF58E3" w:rsidRDefault="003B5A76" w:rsidP="00DF6BF5">
      <w:pPr>
        <w:pStyle w:val="Figurecaption"/>
        <w:rPr>
          <w:sz w:val="20"/>
          <w:lang w:val="en"/>
        </w:rPr>
      </w:pPr>
      <w:bookmarkStart w:id="213" w:name="_Toc19008026"/>
      <w:bookmarkStart w:id="214" w:name="_Toc19008280"/>
      <w:bookmarkStart w:id="215" w:name="_Toc19008427"/>
      <w:bookmarkStart w:id="216" w:name="_Toc19008574"/>
      <w:bookmarkStart w:id="217" w:name="_Toc132553005"/>
      <w:bookmarkStart w:id="218" w:name="_Toc140827612"/>
      <w:r w:rsidRPr="00BF58E3">
        <w:rPr>
          <w:sz w:val="20"/>
          <w:lang w:val="en"/>
        </w:rPr>
        <w:t>Figure 2.1</w:t>
      </w:r>
      <w:r w:rsidR="003B391F" w:rsidRPr="00BF58E3">
        <w:rPr>
          <w:sz w:val="20"/>
          <w:lang w:val="en"/>
        </w:rPr>
        <w:t>:</w:t>
      </w:r>
      <w:r w:rsidRPr="00BF58E3">
        <w:rPr>
          <w:sz w:val="20"/>
          <w:lang w:val="en"/>
        </w:rPr>
        <w:t xml:space="preserve"> </w:t>
      </w:r>
      <w:r w:rsidR="002840C5" w:rsidRPr="00BF58E3">
        <w:rPr>
          <w:sz w:val="20"/>
          <w:lang w:val="en"/>
        </w:rPr>
        <w:t xml:space="preserve">Global </w:t>
      </w:r>
      <w:r w:rsidR="0000669D" w:rsidRPr="00BF58E3">
        <w:rPr>
          <w:sz w:val="20"/>
          <w:lang w:val="en"/>
        </w:rPr>
        <w:t>c</w:t>
      </w:r>
      <w:r w:rsidRPr="00BF58E3">
        <w:rPr>
          <w:sz w:val="20"/>
          <w:lang w:val="en"/>
        </w:rPr>
        <w:t>ancer death rate</w:t>
      </w:r>
      <w:r w:rsidR="0000669D" w:rsidRPr="00BF58E3">
        <w:rPr>
          <w:sz w:val="20"/>
          <w:lang w:val="en"/>
        </w:rPr>
        <w:t xml:space="preserve"> from all cancers </w:t>
      </w:r>
      <w:r w:rsidR="00A77C5A" w:rsidRPr="00BF58E3">
        <w:rPr>
          <w:sz w:val="20"/>
          <w:lang w:val="en"/>
        </w:rPr>
        <w:t xml:space="preserve">combined </w:t>
      </w:r>
      <w:r w:rsidR="0000669D" w:rsidRPr="00BF58E3">
        <w:rPr>
          <w:sz w:val="20"/>
          <w:lang w:val="en"/>
        </w:rPr>
        <w:t>per 100,000 population</w:t>
      </w:r>
      <w:r w:rsidRPr="00BF58E3">
        <w:rPr>
          <w:sz w:val="20"/>
          <w:lang w:val="en"/>
        </w:rPr>
        <w:t xml:space="preserve"> for </w:t>
      </w:r>
      <w:r w:rsidR="0000669D" w:rsidRPr="00BF58E3">
        <w:rPr>
          <w:sz w:val="20"/>
          <w:lang w:val="en"/>
        </w:rPr>
        <w:t>b</w:t>
      </w:r>
      <w:r w:rsidRPr="00BF58E3">
        <w:rPr>
          <w:sz w:val="20"/>
          <w:lang w:val="en"/>
        </w:rPr>
        <w:t xml:space="preserve">oth </w:t>
      </w:r>
      <w:r w:rsidR="0000669D" w:rsidRPr="00BF58E3">
        <w:rPr>
          <w:sz w:val="20"/>
          <w:lang w:val="en"/>
        </w:rPr>
        <w:t>s</w:t>
      </w:r>
      <w:r w:rsidRPr="00BF58E3">
        <w:rPr>
          <w:sz w:val="20"/>
          <w:lang w:val="en"/>
        </w:rPr>
        <w:t>exes</w:t>
      </w:r>
      <w:r w:rsidR="0000669D" w:rsidRPr="00BF58E3">
        <w:rPr>
          <w:sz w:val="20"/>
          <w:lang w:val="en"/>
        </w:rPr>
        <w:t>, 201</w:t>
      </w:r>
      <w:r w:rsidR="001D3250" w:rsidRPr="00BF58E3">
        <w:rPr>
          <w:sz w:val="20"/>
          <w:lang w:val="en"/>
        </w:rPr>
        <w:t>9</w:t>
      </w:r>
      <w:bookmarkEnd w:id="213"/>
      <w:bookmarkEnd w:id="214"/>
      <w:bookmarkEnd w:id="215"/>
      <w:bookmarkEnd w:id="216"/>
      <w:bookmarkEnd w:id="217"/>
      <w:bookmarkEnd w:id="218"/>
    </w:p>
    <w:p w14:paraId="1E5468EC" w14:textId="153234B7" w:rsidR="00853773" w:rsidRPr="00853773" w:rsidRDefault="00853773" w:rsidP="00E87AAA">
      <w:pPr>
        <w:pStyle w:val="Body"/>
        <w:rPr>
          <w:lang w:val="en"/>
        </w:rPr>
      </w:pPr>
      <w:r>
        <w:rPr>
          <w:noProof/>
          <w:lang w:val="en"/>
        </w:rPr>
        <w:drawing>
          <wp:inline distT="0" distB="0" distL="0" distR="0" wp14:anchorId="421D0DEC" wp14:editId="263A8DCE">
            <wp:extent cx="5905500" cy="3362432"/>
            <wp:effectExtent l="0" t="0" r="0" b="9525"/>
            <wp:docPr id="67" name="Picture 67" descr="This figure shows a map of the global cancer death rate (ranging from 0 to 500 plus) from all cancers combined for both sexes in 2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his figure shows a map of the global cancer death rate (ranging from 0 to 500 plus) from all cancers combined for both sexes in 2019.  "/>
                    <pic:cNvPicPr/>
                  </pic:nvPicPr>
                  <pic:blipFill>
                    <a:blip r:embed="rId56"/>
                    <a:stretch>
                      <a:fillRect/>
                    </a:stretch>
                  </pic:blipFill>
                  <pic:spPr>
                    <a:xfrm>
                      <a:off x="0" y="0"/>
                      <a:ext cx="5972641" cy="3400660"/>
                    </a:xfrm>
                    <a:prstGeom prst="rect">
                      <a:avLst/>
                    </a:prstGeom>
                  </pic:spPr>
                </pic:pic>
              </a:graphicData>
            </a:graphic>
          </wp:inline>
        </w:drawing>
      </w:r>
    </w:p>
    <w:p w14:paraId="59239EB0" w14:textId="0900E99E" w:rsidR="001D3250" w:rsidRPr="00BF58E3" w:rsidRDefault="000D0262" w:rsidP="00E87AAA">
      <w:pPr>
        <w:pStyle w:val="Body"/>
        <w:rPr>
          <w:i/>
          <w:iCs/>
          <w:sz w:val="18"/>
          <w:szCs w:val="18"/>
          <w:lang w:val="en"/>
        </w:rPr>
      </w:pPr>
      <w:r w:rsidRPr="00BF58E3">
        <w:rPr>
          <w:i/>
          <w:iCs/>
          <w:sz w:val="18"/>
          <w:szCs w:val="18"/>
          <w:lang w:val="en"/>
        </w:rPr>
        <w:t>Source:</w:t>
      </w:r>
      <w:r w:rsidR="00873AED" w:rsidRPr="00BF58E3">
        <w:rPr>
          <w:i/>
          <w:iCs/>
          <w:sz w:val="18"/>
          <w:szCs w:val="18"/>
          <w:lang w:val="en"/>
        </w:rPr>
        <w:t xml:space="preserve"> </w:t>
      </w:r>
      <w:r w:rsidR="007F527A" w:rsidRPr="00BF58E3">
        <w:rPr>
          <w:i/>
          <w:iCs/>
          <w:sz w:val="18"/>
          <w:szCs w:val="18"/>
          <w:lang w:val="en"/>
        </w:rPr>
        <w:t xml:space="preserve">Institute for Health Metrics and Evaluation, Global Burden of Disease (2019). </w:t>
      </w:r>
      <w:r w:rsidR="00873AED" w:rsidRPr="00BF58E3">
        <w:rPr>
          <w:i/>
          <w:iCs/>
          <w:sz w:val="18"/>
          <w:szCs w:val="18"/>
          <w:lang w:val="en"/>
        </w:rPr>
        <w:t xml:space="preserve">Retrieved from: </w:t>
      </w:r>
      <w:r w:rsidR="007F527A" w:rsidRPr="00BF58E3">
        <w:rPr>
          <w:i/>
          <w:iCs/>
          <w:sz w:val="18"/>
          <w:szCs w:val="18"/>
          <w:lang w:val="en"/>
        </w:rPr>
        <w:t xml:space="preserve">https://ourworldindata.org/cancer#deaths-from-cancer </w:t>
      </w:r>
      <w:r w:rsidR="00873AED" w:rsidRPr="00BF58E3">
        <w:rPr>
          <w:i/>
          <w:iCs/>
          <w:sz w:val="18"/>
          <w:szCs w:val="18"/>
          <w:lang w:val="en"/>
        </w:rPr>
        <w:t>[Online Resource]</w:t>
      </w:r>
    </w:p>
    <w:p w14:paraId="5973A208" w14:textId="0BE66A8C" w:rsidR="007F527A" w:rsidRPr="00BF58E3" w:rsidRDefault="007F527A" w:rsidP="00E87AAA">
      <w:pPr>
        <w:pStyle w:val="Body"/>
        <w:rPr>
          <w:i/>
          <w:iCs/>
          <w:sz w:val="18"/>
          <w:szCs w:val="18"/>
        </w:rPr>
      </w:pPr>
      <w:r w:rsidRPr="00BF58E3">
        <w:rPr>
          <w:i/>
          <w:iCs/>
          <w:sz w:val="18"/>
          <w:szCs w:val="18"/>
        </w:rPr>
        <w:t>Note: To allow comparisons between countries and over time this metric is age-standardised.</w:t>
      </w:r>
    </w:p>
    <w:p w14:paraId="6D7FC511" w14:textId="72F621A9" w:rsidR="0070501D" w:rsidRDefault="00182E9B" w:rsidP="00956CC3">
      <w:pPr>
        <w:pStyle w:val="Figurecaption"/>
        <w:rPr>
          <w:sz w:val="20"/>
        </w:rPr>
      </w:pPr>
      <w:bookmarkStart w:id="219" w:name="_Toc19008027"/>
      <w:bookmarkStart w:id="220" w:name="_Toc19008281"/>
      <w:bookmarkStart w:id="221" w:name="_Toc19008428"/>
      <w:bookmarkStart w:id="222" w:name="_Toc19008575"/>
      <w:bookmarkStart w:id="223" w:name="_Toc132553006"/>
      <w:bookmarkStart w:id="224" w:name="_Toc140827613"/>
      <w:r w:rsidRPr="00BF58E3">
        <w:rPr>
          <w:sz w:val="20"/>
        </w:rPr>
        <w:t>Figure 2.1.1</w:t>
      </w:r>
      <w:r w:rsidR="003B391F" w:rsidRPr="00BF58E3">
        <w:rPr>
          <w:sz w:val="20"/>
        </w:rPr>
        <w:t>:</w:t>
      </w:r>
      <w:r w:rsidRPr="00BF58E3">
        <w:rPr>
          <w:sz w:val="20"/>
        </w:rPr>
        <w:t xml:space="preserve"> Victorian death rate for all cancers combined</w:t>
      </w:r>
      <w:r w:rsidR="00A10CD1" w:rsidRPr="00BF58E3">
        <w:rPr>
          <w:sz w:val="20"/>
        </w:rPr>
        <w:t>,</w:t>
      </w:r>
      <w:r w:rsidRPr="00BF58E3">
        <w:rPr>
          <w:sz w:val="20"/>
        </w:rPr>
        <w:t xml:space="preserve"> by </w:t>
      </w:r>
      <w:r w:rsidR="00266EC2" w:rsidRPr="00BF58E3">
        <w:rPr>
          <w:sz w:val="20"/>
        </w:rPr>
        <w:t xml:space="preserve">sex and </w:t>
      </w:r>
      <w:r w:rsidRPr="00BF58E3">
        <w:rPr>
          <w:sz w:val="20"/>
        </w:rPr>
        <w:t>year, 201</w:t>
      </w:r>
      <w:r w:rsidR="00184925" w:rsidRPr="00BF58E3">
        <w:rPr>
          <w:sz w:val="20"/>
        </w:rPr>
        <w:t>0</w:t>
      </w:r>
      <w:r w:rsidR="00BB150E" w:rsidRPr="00BF58E3">
        <w:rPr>
          <w:sz w:val="20"/>
        </w:rPr>
        <w:t>–</w:t>
      </w:r>
      <w:r w:rsidRPr="00BF58E3">
        <w:rPr>
          <w:sz w:val="20"/>
        </w:rPr>
        <w:t>20</w:t>
      </w:r>
      <w:bookmarkEnd w:id="219"/>
      <w:bookmarkEnd w:id="220"/>
      <w:bookmarkEnd w:id="221"/>
      <w:bookmarkEnd w:id="222"/>
      <w:r w:rsidR="002D6EAD" w:rsidRPr="00BF58E3">
        <w:rPr>
          <w:sz w:val="20"/>
        </w:rPr>
        <w:t>2</w:t>
      </w:r>
      <w:r w:rsidR="0070501D" w:rsidRPr="00BF58E3">
        <w:rPr>
          <w:sz w:val="20"/>
        </w:rPr>
        <w:t>1</w:t>
      </w:r>
      <w:bookmarkEnd w:id="223"/>
      <w:bookmarkEnd w:id="224"/>
    </w:p>
    <w:p w14:paraId="475DA513" w14:textId="4943A98B" w:rsidR="00182E9B" w:rsidRDefault="00DD1715" w:rsidP="00DD1715">
      <w:pPr>
        <w:pStyle w:val="DHHSbody"/>
      </w:pPr>
      <w:r w:rsidRPr="00DD1715">
        <w:rPr>
          <w:noProof/>
        </w:rPr>
        <w:drawing>
          <wp:inline distT="0" distB="0" distL="0" distR="0" wp14:anchorId="27810EA1" wp14:editId="57476B24">
            <wp:extent cx="5967963" cy="3141553"/>
            <wp:effectExtent l="0" t="0" r="0" b="1905"/>
            <wp:docPr id="1110204998" name="Picture 1110204998" descr="This figure presents data via a bar graph of the Victorian death rate for all cancers combined by sex and year, 2010 to 2021.  The data set is available under 'Measure 2.1 – Death rate due to cancer' in a separate volume, the Victorian cancer plan monitoring and evaluation framework: baseline report: Appendix 2: Datasets available on Cancer care 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4998" name="Picture 1110204998" descr="This figure presents data via a bar graph of the Victorian death rate for all cancers combined by sex and year, 2010 to 2021.  The data set is available under 'Measure 2.1 – Death rate due to cancer' in a separate volume, the Victorian cancer plan monitoring and evaluation framework: baseline report: Appendix 2: Datasets available on Cancer care https://www.health.vic.gov.au/health-strategies/cancer-care&gt;."/>
                    <pic:cNvPicPr/>
                  </pic:nvPicPr>
                  <pic:blipFill>
                    <a:blip r:embed="rId57"/>
                    <a:stretch>
                      <a:fillRect/>
                    </a:stretch>
                  </pic:blipFill>
                  <pic:spPr>
                    <a:xfrm>
                      <a:off x="0" y="0"/>
                      <a:ext cx="5993050" cy="3154759"/>
                    </a:xfrm>
                    <a:prstGeom prst="rect">
                      <a:avLst/>
                    </a:prstGeom>
                  </pic:spPr>
                </pic:pic>
              </a:graphicData>
            </a:graphic>
          </wp:inline>
        </w:drawing>
      </w:r>
    </w:p>
    <w:p w14:paraId="1E4DC17B" w14:textId="01B7DC07" w:rsidR="00DF6BF5" w:rsidRPr="00BF58E3" w:rsidRDefault="00496989" w:rsidP="00E87AAA">
      <w:pPr>
        <w:pStyle w:val="Body"/>
        <w:rPr>
          <w:i/>
          <w:iCs/>
          <w:noProof/>
          <w:sz w:val="18"/>
          <w:szCs w:val="18"/>
        </w:rPr>
      </w:pPr>
      <w:r w:rsidRPr="00BF58E3">
        <w:rPr>
          <w:i/>
          <w:iCs/>
          <w:noProof/>
          <w:sz w:val="18"/>
          <w:szCs w:val="18"/>
        </w:rPr>
        <w:t xml:space="preserve">Note: </w:t>
      </w:r>
      <w:r w:rsidR="0010332B" w:rsidRPr="00BF58E3">
        <w:rPr>
          <w:i/>
          <w:iCs/>
          <w:noProof/>
          <w:sz w:val="18"/>
          <w:szCs w:val="18"/>
        </w:rPr>
        <w:t>D</w:t>
      </w:r>
      <w:r w:rsidRPr="00BF58E3">
        <w:rPr>
          <w:i/>
          <w:iCs/>
          <w:noProof/>
          <w:sz w:val="18"/>
          <w:szCs w:val="18"/>
        </w:rPr>
        <w:t>irect age-standardised rate per 100,000 popula</w:t>
      </w:r>
      <w:r w:rsidR="00FA343A" w:rsidRPr="00BF58E3">
        <w:rPr>
          <w:i/>
          <w:iCs/>
          <w:noProof/>
          <w:sz w:val="18"/>
          <w:szCs w:val="18"/>
        </w:rPr>
        <w:t>ti</w:t>
      </w:r>
      <w:r w:rsidRPr="00BF58E3">
        <w:rPr>
          <w:i/>
          <w:iCs/>
          <w:noProof/>
          <w:sz w:val="18"/>
          <w:szCs w:val="18"/>
        </w:rPr>
        <w:t>on, standardised to the 2001 population of Australia</w:t>
      </w:r>
      <w:r w:rsidR="000E2D70" w:rsidRPr="00BF58E3">
        <w:rPr>
          <w:i/>
          <w:iCs/>
          <w:noProof/>
          <w:sz w:val="18"/>
          <w:szCs w:val="18"/>
        </w:rPr>
        <w:t>.</w:t>
      </w:r>
    </w:p>
    <w:p w14:paraId="25E44FED" w14:textId="3DCF5CE3" w:rsidR="00986443" w:rsidRPr="00BF58E3" w:rsidRDefault="004A50CC" w:rsidP="00612F1E">
      <w:pPr>
        <w:pStyle w:val="Tablecaption"/>
        <w:ind w:hanging="284"/>
        <w:rPr>
          <w:sz w:val="20"/>
        </w:rPr>
      </w:pPr>
      <w:bookmarkStart w:id="225" w:name="_Toc18908719"/>
      <w:bookmarkStart w:id="226" w:name="_Toc132491516"/>
      <w:bookmarkStart w:id="227" w:name="_Toc140834907"/>
      <w:r w:rsidRPr="00BF58E3">
        <w:rPr>
          <w:sz w:val="20"/>
        </w:rPr>
        <w:lastRenderedPageBreak/>
        <w:t>Table 2.1</w:t>
      </w:r>
      <w:r w:rsidR="001F7E28" w:rsidRPr="00BF58E3">
        <w:rPr>
          <w:sz w:val="20"/>
        </w:rPr>
        <w:t>:</w:t>
      </w:r>
      <w:r w:rsidRPr="00BF58E3">
        <w:rPr>
          <w:sz w:val="20"/>
        </w:rPr>
        <w:t xml:space="preserve"> Victorian death rate for all cancers combined</w:t>
      </w:r>
      <w:r w:rsidR="000E2D70" w:rsidRPr="00BF58E3">
        <w:rPr>
          <w:sz w:val="20"/>
        </w:rPr>
        <w:t>,</w:t>
      </w:r>
      <w:r w:rsidRPr="00BF58E3">
        <w:rPr>
          <w:sz w:val="20"/>
        </w:rPr>
        <w:t xml:space="preserve"> by sex and year, 201</w:t>
      </w:r>
      <w:r w:rsidR="00DF2A3F" w:rsidRPr="00BF58E3">
        <w:rPr>
          <w:sz w:val="20"/>
        </w:rPr>
        <w:t>0</w:t>
      </w:r>
      <w:r w:rsidR="00BB150E" w:rsidRPr="00BF58E3">
        <w:rPr>
          <w:sz w:val="20"/>
        </w:rPr>
        <w:t>–</w:t>
      </w:r>
      <w:r w:rsidRPr="00BF58E3">
        <w:rPr>
          <w:sz w:val="20"/>
        </w:rPr>
        <w:t>20</w:t>
      </w:r>
      <w:r w:rsidR="00022269" w:rsidRPr="00BF58E3">
        <w:rPr>
          <w:sz w:val="20"/>
        </w:rPr>
        <w:t>2</w:t>
      </w:r>
      <w:bookmarkEnd w:id="225"/>
      <w:r w:rsidR="00370DE4" w:rsidRPr="00BF58E3">
        <w:rPr>
          <w:sz w:val="20"/>
        </w:rPr>
        <w:t>1</w:t>
      </w:r>
      <w:bookmarkEnd w:id="226"/>
      <w:bookmarkEnd w:id="227"/>
    </w:p>
    <w:tbl>
      <w:tblPr>
        <w:tblW w:w="9992" w:type="dxa"/>
        <w:tblInd w:w="-260" w:type="dxa"/>
        <w:tblBorders>
          <w:bottom w:val="single" w:sz="4" w:space="0" w:color="C00000"/>
          <w:insideH w:val="single" w:sz="4" w:space="0" w:color="C00000"/>
        </w:tblBorders>
        <w:shd w:val="clear" w:color="auto" w:fill="EDCDCF"/>
        <w:tblLook w:val="04A0" w:firstRow="1" w:lastRow="0" w:firstColumn="1" w:lastColumn="0" w:noHBand="0" w:noVBand="1"/>
      </w:tblPr>
      <w:tblGrid>
        <w:gridCol w:w="716"/>
        <w:gridCol w:w="773"/>
        <w:gridCol w:w="773"/>
        <w:gridCol w:w="773"/>
        <w:gridCol w:w="773"/>
        <w:gridCol w:w="773"/>
        <w:gridCol w:w="773"/>
        <w:gridCol w:w="773"/>
        <w:gridCol w:w="773"/>
        <w:gridCol w:w="773"/>
        <w:gridCol w:w="773"/>
        <w:gridCol w:w="773"/>
        <w:gridCol w:w="773"/>
      </w:tblGrid>
      <w:tr w:rsidR="0065371B" w:rsidRPr="00325D71" w14:paraId="3457A832" w14:textId="26724496" w:rsidTr="0065371B">
        <w:trPr>
          <w:trHeight w:val="318"/>
        </w:trPr>
        <w:tc>
          <w:tcPr>
            <w:tcW w:w="716" w:type="dxa"/>
            <w:shd w:val="clear" w:color="auto" w:fill="EDCDCF"/>
          </w:tcPr>
          <w:p w14:paraId="0BC6CCA3" w14:textId="5EAE9341" w:rsidR="004C6E0B" w:rsidRPr="006C5F60" w:rsidRDefault="004C6E0B" w:rsidP="004C6E0B">
            <w:pPr>
              <w:pStyle w:val="Tablecolhead"/>
              <w:rPr>
                <w:rFonts w:cs="Arial"/>
                <w:sz w:val="12"/>
                <w:szCs w:val="12"/>
              </w:rPr>
            </w:pPr>
            <w:r w:rsidRPr="006C5F60">
              <w:rPr>
                <w:rFonts w:cs="Arial"/>
                <w:sz w:val="12"/>
                <w:szCs w:val="12"/>
              </w:rPr>
              <w:t>Sex</w:t>
            </w:r>
          </w:p>
        </w:tc>
        <w:tc>
          <w:tcPr>
            <w:tcW w:w="773" w:type="dxa"/>
            <w:shd w:val="clear" w:color="auto" w:fill="EDCDCF"/>
          </w:tcPr>
          <w:p w14:paraId="686A90EE" w14:textId="64B31898" w:rsidR="004C6E0B" w:rsidRPr="006C5F60" w:rsidRDefault="004C6E0B" w:rsidP="004C6E0B">
            <w:pPr>
              <w:pStyle w:val="Tablecolhead"/>
              <w:rPr>
                <w:rFonts w:cs="Arial"/>
                <w:sz w:val="12"/>
                <w:szCs w:val="12"/>
              </w:rPr>
            </w:pPr>
            <w:r w:rsidRPr="006C5F60">
              <w:rPr>
                <w:rFonts w:cs="Arial"/>
                <w:sz w:val="12"/>
                <w:szCs w:val="12"/>
              </w:rPr>
              <w:t>2010</w:t>
            </w:r>
          </w:p>
        </w:tc>
        <w:tc>
          <w:tcPr>
            <w:tcW w:w="773" w:type="dxa"/>
            <w:shd w:val="clear" w:color="auto" w:fill="EDCDCF"/>
          </w:tcPr>
          <w:p w14:paraId="64A52FA7" w14:textId="3C717A38" w:rsidR="004C6E0B" w:rsidRPr="006C5F60" w:rsidRDefault="004C6E0B" w:rsidP="004C6E0B">
            <w:pPr>
              <w:pStyle w:val="Tablecolhead"/>
              <w:rPr>
                <w:rFonts w:cs="Arial"/>
                <w:sz w:val="12"/>
                <w:szCs w:val="12"/>
              </w:rPr>
            </w:pPr>
            <w:r w:rsidRPr="006C5F60">
              <w:rPr>
                <w:rFonts w:cs="Arial"/>
                <w:sz w:val="12"/>
                <w:szCs w:val="12"/>
              </w:rPr>
              <w:t>2011</w:t>
            </w:r>
          </w:p>
        </w:tc>
        <w:tc>
          <w:tcPr>
            <w:tcW w:w="773" w:type="dxa"/>
            <w:shd w:val="clear" w:color="auto" w:fill="EDCDCF"/>
          </w:tcPr>
          <w:p w14:paraId="3021FA7A" w14:textId="77777777" w:rsidR="004C6E0B" w:rsidRPr="006C5F60" w:rsidRDefault="004C6E0B" w:rsidP="004C6E0B">
            <w:pPr>
              <w:pStyle w:val="Tablecolhead"/>
              <w:rPr>
                <w:rFonts w:cs="Arial"/>
                <w:sz w:val="12"/>
                <w:szCs w:val="12"/>
              </w:rPr>
            </w:pPr>
            <w:r w:rsidRPr="006C5F60">
              <w:rPr>
                <w:rFonts w:cs="Arial"/>
                <w:sz w:val="12"/>
                <w:szCs w:val="12"/>
              </w:rPr>
              <w:t>2012</w:t>
            </w:r>
          </w:p>
        </w:tc>
        <w:tc>
          <w:tcPr>
            <w:tcW w:w="773" w:type="dxa"/>
            <w:shd w:val="clear" w:color="auto" w:fill="EDCDCF"/>
          </w:tcPr>
          <w:p w14:paraId="2292E7E0" w14:textId="77777777" w:rsidR="004C6E0B" w:rsidRPr="006C5F60" w:rsidRDefault="004C6E0B" w:rsidP="004C6E0B">
            <w:pPr>
              <w:pStyle w:val="Tablecolhead"/>
              <w:rPr>
                <w:rFonts w:cs="Arial"/>
                <w:sz w:val="12"/>
                <w:szCs w:val="12"/>
              </w:rPr>
            </w:pPr>
            <w:r w:rsidRPr="006C5F60">
              <w:rPr>
                <w:rFonts w:cs="Arial"/>
                <w:sz w:val="12"/>
                <w:szCs w:val="12"/>
              </w:rPr>
              <w:t>2013</w:t>
            </w:r>
          </w:p>
        </w:tc>
        <w:tc>
          <w:tcPr>
            <w:tcW w:w="773" w:type="dxa"/>
            <w:shd w:val="clear" w:color="auto" w:fill="EDCDCF"/>
          </w:tcPr>
          <w:p w14:paraId="78D62FC6" w14:textId="77777777" w:rsidR="004C6E0B" w:rsidRPr="006C5F60" w:rsidRDefault="004C6E0B" w:rsidP="004C6E0B">
            <w:pPr>
              <w:pStyle w:val="Tablecolhead"/>
              <w:rPr>
                <w:rFonts w:cs="Arial"/>
                <w:sz w:val="12"/>
                <w:szCs w:val="12"/>
              </w:rPr>
            </w:pPr>
            <w:r w:rsidRPr="006C5F60">
              <w:rPr>
                <w:rFonts w:cs="Arial"/>
                <w:sz w:val="12"/>
                <w:szCs w:val="12"/>
              </w:rPr>
              <w:t>2014</w:t>
            </w:r>
          </w:p>
        </w:tc>
        <w:tc>
          <w:tcPr>
            <w:tcW w:w="773" w:type="dxa"/>
            <w:shd w:val="clear" w:color="auto" w:fill="EDCDCF"/>
          </w:tcPr>
          <w:p w14:paraId="4BF3AFFF" w14:textId="77777777" w:rsidR="004C6E0B" w:rsidRPr="006C5F60" w:rsidRDefault="004C6E0B" w:rsidP="004C6E0B">
            <w:pPr>
              <w:pStyle w:val="Tablecolhead"/>
              <w:rPr>
                <w:rFonts w:cs="Arial"/>
                <w:sz w:val="12"/>
                <w:szCs w:val="12"/>
              </w:rPr>
            </w:pPr>
            <w:r w:rsidRPr="006C5F60">
              <w:rPr>
                <w:rFonts w:cs="Arial"/>
                <w:sz w:val="12"/>
                <w:szCs w:val="12"/>
              </w:rPr>
              <w:t>2015</w:t>
            </w:r>
          </w:p>
        </w:tc>
        <w:tc>
          <w:tcPr>
            <w:tcW w:w="773" w:type="dxa"/>
            <w:shd w:val="clear" w:color="auto" w:fill="EDCDCF"/>
          </w:tcPr>
          <w:p w14:paraId="5EB3A738" w14:textId="77777777" w:rsidR="004C6E0B" w:rsidRPr="006C5F60" w:rsidRDefault="004C6E0B" w:rsidP="004C6E0B">
            <w:pPr>
              <w:pStyle w:val="Tablecolhead"/>
              <w:rPr>
                <w:rFonts w:cs="Arial"/>
                <w:sz w:val="12"/>
                <w:szCs w:val="12"/>
              </w:rPr>
            </w:pPr>
            <w:r w:rsidRPr="006C5F60">
              <w:rPr>
                <w:rFonts w:cs="Arial"/>
                <w:sz w:val="12"/>
                <w:szCs w:val="12"/>
              </w:rPr>
              <w:t>2016</w:t>
            </w:r>
          </w:p>
        </w:tc>
        <w:tc>
          <w:tcPr>
            <w:tcW w:w="773" w:type="dxa"/>
            <w:shd w:val="clear" w:color="auto" w:fill="EDCDCF"/>
          </w:tcPr>
          <w:p w14:paraId="2D230A87" w14:textId="24894CF3" w:rsidR="004C6E0B" w:rsidRPr="006C5F60" w:rsidRDefault="004C6E0B" w:rsidP="004C6E0B">
            <w:pPr>
              <w:pStyle w:val="Tablecolhead"/>
              <w:rPr>
                <w:rFonts w:cs="Arial"/>
                <w:sz w:val="12"/>
                <w:szCs w:val="12"/>
              </w:rPr>
            </w:pPr>
            <w:r w:rsidRPr="006C5F60">
              <w:rPr>
                <w:rFonts w:cs="Arial"/>
                <w:sz w:val="12"/>
                <w:szCs w:val="12"/>
              </w:rPr>
              <w:t>2017</w:t>
            </w:r>
          </w:p>
        </w:tc>
        <w:tc>
          <w:tcPr>
            <w:tcW w:w="773" w:type="dxa"/>
            <w:shd w:val="clear" w:color="auto" w:fill="EDCDCF"/>
          </w:tcPr>
          <w:p w14:paraId="1D2E2F2E" w14:textId="4283BBA3" w:rsidR="004C6E0B" w:rsidRPr="006C5F60" w:rsidRDefault="004C6E0B" w:rsidP="004C6E0B">
            <w:pPr>
              <w:pStyle w:val="Tablecolhead"/>
              <w:rPr>
                <w:rFonts w:cs="Arial"/>
                <w:sz w:val="12"/>
                <w:szCs w:val="12"/>
              </w:rPr>
            </w:pPr>
            <w:r w:rsidRPr="006C5F60">
              <w:rPr>
                <w:rFonts w:cs="Arial"/>
                <w:sz w:val="12"/>
                <w:szCs w:val="12"/>
              </w:rPr>
              <w:t>2018</w:t>
            </w:r>
          </w:p>
        </w:tc>
        <w:tc>
          <w:tcPr>
            <w:tcW w:w="773" w:type="dxa"/>
            <w:shd w:val="clear" w:color="auto" w:fill="EDCDCF"/>
          </w:tcPr>
          <w:p w14:paraId="24816A19" w14:textId="207BB8B4" w:rsidR="004C6E0B" w:rsidRPr="006C5F60" w:rsidRDefault="004C6E0B" w:rsidP="004C6E0B">
            <w:pPr>
              <w:pStyle w:val="Tablecolhead"/>
              <w:rPr>
                <w:rFonts w:cs="Arial"/>
                <w:sz w:val="12"/>
                <w:szCs w:val="12"/>
              </w:rPr>
            </w:pPr>
            <w:r w:rsidRPr="006C5F60">
              <w:rPr>
                <w:rFonts w:cs="Arial"/>
                <w:sz w:val="12"/>
                <w:szCs w:val="12"/>
              </w:rPr>
              <w:t>2019</w:t>
            </w:r>
          </w:p>
        </w:tc>
        <w:tc>
          <w:tcPr>
            <w:tcW w:w="773" w:type="dxa"/>
            <w:shd w:val="clear" w:color="auto" w:fill="EDCDCF"/>
          </w:tcPr>
          <w:p w14:paraId="7F90E3E2" w14:textId="238FFA47" w:rsidR="004C6E0B" w:rsidRPr="006C5F60" w:rsidRDefault="004C6E0B" w:rsidP="004C6E0B">
            <w:pPr>
              <w:pStyle w:val="Tablecolhead"/>
              <w:rPr>
                <w:rFonts w:cs="Arial"/>
                <w:sz w:val="12"/>
                <w:szCs w:val="12"/>
              </w:rPr>
            </w:pPr>
            <w:r w:rsidRPr="006C5F60">
              <w:rPr>
                <w:rFonts w:cs="Arial"/>
                <w:sz w:val="12"/>
                <w:szCs w:val="12"/>
              </w:rPr>
              <w:t>2020</w:t>
            </w:r>
          </w:p>
        </w:tc>
        <w:tc>
          <w:tcPr>
            <w:tcW w:w="773" w:type="dxa"/>
            <w:shd w:val="clear" w:color="auto" w:fill="EDCDCF"/>
          </w:tcPr>
          <w:p w14:paraId="08BDEA5D" w14:textId="6F475F30" w:rsidR="004C6E0B" w:rsidRPr="006C5F60" w:rsidRDefault="004C6E0B" w:rsidP="004C6E0B">
            <w:pPr>
              <w:pStyle w:val="Tablecolhead"/>
              <w:rPr>
                <w:rFonts w:cs="Arial"/>
                <w:sz w:val="12"/>
                <w:szCs w:val="12"/>
              </w:rPr>
            </w:pPr>
            <w:r w:rsidRPr="006C5F60">
              <w:rPr>
                <w:rFonts w:cs="Arial"/>
                <w:sz w:val="12"/>
                <w:szCs w:val="12"/>
              </w:rPr>
              <w:t>2021</w:t>
            </w:r>
          </w:p>
        </w:tc>
      </w:tr>
      <w:tr w:rsidR="00325D71" w:rsidRPr="00325D71" w14:paraId="22BF8D9C" w14:textId="78D4AA47" w:rsidTr="0065371B">
        <w:trPr>
          <w:trHeight w:val="405"/>
        </w:trPr>
        <w:tc>
          <w:tcPr>
            <w:tcW w:w="716" w:type="dxa"/>
            <w:shd w:val="clear" w:color="auto" w:fill="auto"/>
            <w:vAlign w:val="center"/>
          </w:tcPr>
          <w:p w14:paraId="21DC6720" w14:textId="77777777" w:rsidR="00415BAF" w:rsidRPr="006C5F60" w:rsidRDefault="00415BAF" w:rsidP="00415BAF">
            <w:pPr>
              <w:pStyle w:val="Tabletext"/>
              <w:rPr>
                <w:rFonts w:cs="Arial"/>
                <w:sz w:val="12"/>
                <w:szCs w:val="12"/>
              </w:rPr>
            </w:pPr>
            <w:r w:rsidRPr="006C5F60">
              <w:rPr>
                <w:rFonts w:cs="Arial"/>
                <w:sz w:val="12"/>
                <w:szCs w:val="12"/>
              </w:rPr>
              <w:t>Males (ASR)</w:t>
            </w:r>
          </w:p>
        </w:tc>
        <w:tc>
          <w:tcPr>
            <w:tcW w:w="773" w:type="dxa"/>
            <w:shd w:val="clear" w:color="auto" w:fill="auto"/>
            <w:vAlign w:val="center"/>
          </w:tcPr>
          <w:p w14:paraId="4AC397AF" w14:textId="4263610D" w:rsidR="00415BAF" w:rsidRPr="006C5F60" w:rsidRDefault="00415BAF" w:rsidP="00415BAF">
            <w:pPr>
              <w:pStyle w:val="Tabletext"/>
              <w:rPr>
                <w:rFonts w:cs="Arial"/>
                <w:sz w:val="12"/>
                <w:szCs w:val="12"/>
              </w:rPr>
            </w:pPr>
            <w:r w:rsidRPr="006C5F60">
              <w:rPr>
                <w:rFonts w:cs="Arial"/>
                <w:sz w:val="12"/>
                <w:szCs w:val="12"/>
              </w:rPr>
              <w:t>221</w:t>
            </w:r>
          </w:p>
        </w:tc>
        <w:tc>
          <w:tcPr>
            <w:tcW w:w="773" w:type="dxa"/>
            <w:shd w:val="clear" w:color="auto" w:fill="auto"/>
            <w:vAlign w:val="center"/>
          </w:tcPr>
          <w:p w14:paraId="1F6CEBC0" w14:textId="7CD0E91D" w:rsidR="00415BAF" w:rsidRPr="006C5F60" w:rsidRDefault="00415BAF" w:rsidP="00415BAF">
            <w:pPr>
              <w:pStyle w:val="Tabletext"/>
              <w:rPr>
                <w:rFonts w:cs="Arial"/>
                <w:sz w:val="12"/>
                <w:szCs w:val="12"/>
              </w:rPr>
            </w:pPr>
            <w:r w:rsidRPr="006C5F60">
              <w:rPr>
                <w:rFonts w:cs="Arial"/>
                <w:sz w:val="12"/>
                <w:szCs w:val="12"/>
              </w:rPr>
              <w:t>213</w:t>
            </w:r>
          </w:p>
        </w:tc>
        <w:tc>
          <w:tcPr>
            <w:tcW w:w="773" w:type="dxa"/>
            <w:shd w:val="clear" w:color="auto" w:fill="auto"/>
            <w:vAlign w:val="center"/>
          </w:tcPr>
          <w:p w14:paraId="309CF646" w14:textId="191922B3" w:rsidR="00415BAF" w:rsidRPr="006C5F60" w:rsidRDefault="00415BAF" w:rsidP="00415BAF">
            <w:pPr>
              <w:pStyle w:val="Tabletext"/>
              <w:rPr>
                <w:rFonts w:cs="Arial"/>
                <w:sz w:val="12"/>
                <w:szCs w:val="12"/>
              </w:rPr>
            </w:pPr>
            <w:r w:rsidRPr="006C5F60">
              <w:rPr>
                <w:rFonts w:cs="Arial"/>
                <w:sz w:val="12"/>
                <w:szCs w:val="12"/>
              </w:rPr>
              <w:t>206</w:t>
            </w:r>
          </w:p>
        </w:tc>
        <w:tc>
          <w:tcPr>
            <w:tcW w:w="773" w:type="dxa"/>
            <w:shd w:val="clear" w:color="auto" w:fill="auto"/>
            <w:vAlign w:val="center"/>
          </w:tcPr>
          <w:p w14:paraId="10A0A6E3" w14:textId="71862BCD" w:rsidR="00415BAF" w:rsidRPr="006C5F60" w:rsidRDefault="00415BAF" w:rsidP="00415BAF">
            <w:pPr>
              <w:pStyle w:val="Tabletext"/>
              <w:rPr>
                <w:rFonts w:cs="Arial"/>
                <w:sz w:val="12"/>
                <w:szCs w:val="12"/>
              </w:rPr>
            </w:pPr>
            <w:r w:rsidRPr="006C5F60">
              <w:rPr>
                <w:rFonts w:cs="Arial"/>
                <w:sz w:val="12"/>
                <w:szCs w:val="12"/>
              </w:rPr>
              <w:t>205</w:t>
            </w:r>
          </w:p>
        </w:tc>
        <w:tc>
          <w:tcPr>
            <w:tcW w:w="773" w:type="dxa"/>
            <w:shd w:val="clear" w:color="auto" w:fill="auto"/>
            <w:vAlign w:val="center"/>
          </w:tcPr>
          <w:p w14:paraId="7E2F0291" w14:textId="7118AC73" w:rsidR="00415BAF" w:rsidRPr="006C5F60" w:rsidRDefault="00415BAF" w:rsidP="00415BAF">
            <w:pPr>
              <w:pStyle w:val="Tabletext"/>
              <w:rPr>
                <w:rFonts w:cs="Arial"/>
                <w:sz w:val="12"/>
                <w:szCs w:val="12"/>
              </w:rPr>
            </w:pPr>
            <w:r w:rsidRPr="006C5F60">
              <w:rPr>
                <w:rFonts w:cs="Arial"/>
                <w:sz w:val="12"/>
                <w:szCs w:val="12"/>
              </w:rPr>
              <w:t>191</w:t>
            </w:r>
          </w:p>
        </w:tc>
        <w:tc>
          <w:tcPr>
            <w:tcW w:w="773" w:type="dxa"/>
            <w:shd w:val="clear" w:color="auto" w:fill="auto"/>
            <w:vAlign w:val="center"/>
          </w:tcPr>
          <w:p w14:paraId="6C82660A" w14:textId="0E304415" w:rsidR="00415BAF" w:rsidRPr="006C5F60" w:rsidRDefault="00415BAF" w:rsidP="00415BAF">
            <w:pPr>
              <w:pStyle w:val="Tabletext"/>
              <w:rPr>
                <w:rFonts w:cs="Arial"/>
                <w:sz w:val="12"/>
                <w:szCs w:val="12"/>
              </w:rPr>
            </w:pPr>
            <w:r w:rsidRPr="006C5F60">
              <w:rPr>
                <w:rFonts w:cs="Arial"/>
                <w:sz w:val="12"/>
                <w:szCs w:val="12"/>
              </w:rPr>
              <w:t>195</w:t>
            </w:r>
          </w:p>
        </w:tc>
        <w:tc>
          <w:tcPr>
            <w:tcW w:w="773" w:type="dxa"/>
            <w:shd w:val="clear" w:color="auto" w:fill="auto"/>
            <w:vAlign w:val="center"/>
          </w:tcPr>
          <w:p w14:paraId="61918717" w14:textId="24C2DC4F" w:rsidR="00415BAF" w:rsidRPr="006C5F60" w:rsidRDefault="00415BAF" w:rsidP="00415BAF">
            <w:pPr>
              <w:pStyle w:val="Tabletext"/>
              <w:rPr>
                <w:rFonts w:cs="Arial"/>
                <w:sz w:val="12"/>
                <w:szCs w:val="12"/>
              </w:rPr>
            </w:pPr>
            <w:r w:rsidRPr="006C5F60">
              <w:rPr>
                <w:rFonts w:cs="Arial"/>
                <w:sz w:val="12"/>
                <w:szCs w:val="12"/>
              </w:rPr>
              <w:t>189</w:t>
            </w:r>
          </w:p>
        </w:tc>
        <w:tc>
          <w:tcPr>
            <w:tcW w:w="773" w:type="dxa"/>
            <w:shd w:val="clear" w:color="auto" w:fill="auto"/>
            <w:vAlign w:val="center"/>
          </w:tcPr>
          <w:p w14:paraId="26F86821" w14:textId="45A30BFC" w:rsidR="00415BAF" w:rsidRPr="006C5F60" w:rsidRDefault="00415BAF" w:rsidP="00415BAF">
            <w:pPr>
              <w:pStyle w:val="Tabletext"/>
              <w:rPr>
                <w:rFonts w:cs="Arial"/>
                <w:sz w:val="12"/>
                <w:szCs w:val="12"/>
              </w:rPr>
            </w:pPr>
            <w:r w:rsidRPr="006C5F60">
              <w:rPr>
                <w:rFonts w:cs="Arial"/>
                <w:sz w:val="12"/>
                <w:szCs w:val="12"/>
              </w:rPr>
              <w:t>178</w:t>
            </w:r>
          </w:p>
        </w:tc>
        <w:tc>
          <w:tcPr>
            <w:tcW w:w="773" w:type="dxa"/>
            <w:vAlign w:val="center"/>
          </w:tcPr>
          <w:p w14:paraId="6D929847" w14:textId="14548AE9" w:rsidR="00415BAF" w:rsidRPr="006C5F60" w:rsidRDefault="00415BAF" w:rsidP="00415BAF">
            <w:pPr>
              <w:pStyle w:val="Tabletext"/>
              <w:rPr>
                <w:rFonts w:cs="Arial"/>
                <w:sz w:val="12"/>
                <w:szCs w:val="12"/>
              </w:rPr>
            </w:pPr>
            <w:r w:rsidRPr="006C5F60">
              <w:rPr>
                <w:rFonts w:cs="Arial"/>
                <w:sz w:val="12"/>
                <w:szCs w:val="12"/>
              </w:rPr>
              <w:t>175</w:t>
            </w:r>
          </w:p>
        </w:tc>
        <w:tc>
          <w:tcPr>
            <w:tcW w:w="773" w:type="dxa"/>
            <w:vAlign w:val="center"/>
          </w:tcPr>
          <w:p w14:paraId="2CB7BA2F" w14:textId="7EF0C1D7" w:rsidR="00415BAF" w:rsidRPr="006C5F60" w:rsidRDefault="00415BAF" w:rsidP="00415BAF">
            <w:pPr>
              <w:pStyle w:val="Tabletext"/>
              <w:rPr>
                <w:rFonts w:cs="Arial"/>
                <w:sz w:val="12"/>
                <w:szCs w:val="12"/>
              </w:rPr>
            </w:pPr>
            <w:r w:rsidRPr="006C5F60">
              <w:rPr>
                <w:rFonts w:cs="Arial"/>
                <w:sz w:val="12"/>
                <w:szCs w:val="12"/>
              </w:rPr>
              <w:t>178</w:t>
            </w:r>
          </w:p>
        </w:tc>
        <w:tc>
          <w:tcPr>
            <w:tcW w:w="773" w:type="dxa"/>
            <w:vAlign w:val="center"/>
          </w:tcPr>
          <w:p w14:paraId="6FA8696B" w14:textId="35D5194D" w:rsidR="00415BAF" w:rsidRPr="006C5F60" w:rsidRDefault="00415BAF" w:rsidP="00415BAF">
            <w:pPr>
              <w:pStyle w:val="Tabletext"/>
              <w:rPr>
                <w:rFonts w:cs="Arial"/>
                <w:sz w:val="12"/>
                <w:szCs w:val="12"/>
              </w:rPr>
            </w:pPr>
            <w:r w:rsidRPr="006C5F60">
              <w:rPr>
                <w:rFonts w:cs="Arial"/>
                <w:sz w:val="12"/>
                <w:szCs w:val="12"/>
              </w:rPr>
              <w:t>168</w:t>
            </w:r>
          </w:p>
        </w:tc>
        <w:tc>
          <w:tcPr>
            <w:tcW w:w="773" w:type="dxa"/>
            <w:vAlign w:val="center"/>
          </w:tcPr>
          <w:p w14:paraId="1195645A" w14:textId="1C8C9F71" w:rsidR="00415BAF" w:rsidRPr="006C5F60" w:rsidRDefault="00415BAF" w:rsidP="00415BAF">
            <w:pPr>
              <w:pStyle w:val="Tabletext"/>
              <w:rPr>
                <w:rFonts w:cs="Arial"/>
                <w:sz w:val="12"/>
                <w:szCs w:val="12"/>
              </w:rPr>
            </w:pPr>
            <w:r w:rsidRPr="006C5F60">
              <w:rPr>
                <w:rFonts w:cs="Arial"/>
                <w:sz w:val="12"/>
                <w:szCs w:val="12"/>
              </w:rPr>
              <w:t>167</w:t>
            </w:r>
          </w:p>
        </w:tc>
      </w:tr>
      <w:tr w:rsidR="00325D71" w:rsidRPr="00325D71" w14:paraId="762ECA46" w14:textId="2B377C3B" w:rsidTr="0065371B">
        <w:trPr>
          <w:trHeight w:val="405"/>
        </w:trPr>
        <w:tc>
          <w:tcPr>
            <w:tcW w:w="716" w:type="dxa"/>
            <w:shd w:val="clear" w:color="auto" w:fill="auto"/>
            <w:vAlign w:val="center"/>
          </w:tcPr>
          <w:p w14:paraId="7D5CB4AC" w14:textId="72B89E3B" w:rsidR="00415BAF" w:rsidRPr="006C5F60" w:rsidRDefault="00415BAF" w:rsidP="00415BAF">
            <w:pPr>
              <w:pStyle w:val="Tabletext"/>
              <w:rPr>
                <w:rFonts w:cs="Arial"/>
                <w:sz w:val="12"/>
                <w:szCs w:val="12"/>
              </w:rPr>
            </w:pPr>
            <w:r w:rsidRPr="006C5F60">
              <w:rPr>
                <w:rFonts w:cs="Arial"/>
                <w:sz w:val="12"/>
                <w:szCs w:val="12"/>
              </w:rPr>
              <w:t>(95% CI)</w:t>
            </w:r>
          </w:p>
        </w:tc>
        <w:tc>
          <w:tcPr>
            <w:tcW w:w="773" w:type="dxa"/>
            <w:shd w:val="clear" w:color="auto" w:fill="auto"/>
            <w:vAlign w:val="center"/>
          </w:tcPr>
          <w:p w14:paraId="06FF57C3" w14:textId="05380476" w:rsidR="00415BAF" w:rsidRPr="006C5F60" w:rsidRDefault="00415BAF" w:rsidP="00415BAF">
            <w:pPr>
              <w:pStyle w:val="Tabletext"/>
              <w:rPr>
                <w:rFonts w:cs="Arial"/>
                <w:sz w:val="12"/>
                <w:szCs w:val="12"/>
              </w:rPr>
            </w:pPr>
            <w:r w:rsidRPr="006C5F60">
              <w:rPr>
                <w:rFonts w:cs="Arial"/>
                <w:sz w:val="12"/>
                <w:szCs w:val="12"/>
              </w:rPr>
              <w:t>(215–226)</w:t>
            </w:r>
          </w:p>
        </w:tc>
        <w:tc>
          <w:tcPr>
            <w:tcW w:w="773" w:type="dxa"/>
            <w:shd w:val="clear" w:color="auto" w:fill="auto"/>
            <w:vAlign w:val="center"/>
          </w:tcPr>
          <w:p w14:paraId="688C2511" w14:textId="4A4D921D" w:rsidR="00415BAF" w:rsidRPr="006C5F60" w:rsidRDefault="00415BAF" w:rsidP="00415BAF">
            <w:pPr>
              <w:pStyle w:val="Tabletext"/>
              <w:rPr>
                <w:rFonts w:cs="Arial"/>
                <w:sz w:val="12"/>
                <w:szCs w:val="12"/>
              </w:rPr>
            </w:pPr>
            <w:r w:rsidRPr="006C5F60">
              <w:rPr>
                <w:rFonts w:cs="Arial"/>
                <w:sz w:val="12"/>
                <w:szCs w:val="12"/>
              </w:rPr>
              <w:t>(207–218)</w:t>
            </w:r>
          </w:p>
        </w:tc>
        <w:tc>
          <w:tcPr>
            <w:tcW w:w="773" w:type="dxa"/>
            <w:shd w:val="clear" w:color="auto" w:fill="auto"/>
            <w:vAlign w:val="center"/>
          </w:tcPr>
          <w:p w14:paraId="6376DD4F" w14:textId="11B765C1" w:rsidR="00415BAF" w:rsidRPr="006C5F60" w:rsidRDefault="00415BAF" w:rsidP="00415BAF">
            <w:pPr>
              <w:pStyle w:val="Tabletext"/>
              <w:rPr>
                <w:rFonts w:cs="Arial"/>
                <w:sz w:val="12"/>
                <w:szCs w:val="12"/>
              </w:rPr>
            </w:pPr>
            <w:r w:rsidRPr="006C5F60">
              <w:rPr>
                <w:rFonts w:cs="Arial"/>
                <w:sz w:val="12"/>
                <w:szCs w:val="12"/>
              </w:rPr>
              <w:t>(201–212)</w:t>
            </w:r>
          </w:p>
        </w:tc>
        <w:tc>
          <w:tcPr>
            <w:tcW w:w="773" w:type="dxa"/>
            <w:shd w:val="clear" w:color="auto" w:fill="auto"/>
            <w:vAlign w:val="center"/>
          </w:tcPr>
          <w:p w14:paraId="6214FB43" w14:textId="16AECC1E" w:rsidR="00415BAF" w:rsidRPr="006C5F60" w:rsidRDefault="00415BAF" w:rsidP="00415BAF">
            <w:pPr>
              <w:pStyle w:val="Tabletext"/>
              <w:rPr>
                <w:rFonts w:cs="Arial"/>
                <w:sz w:val="12"/>
                <w:szCs w:val="12"/>
              </w:rPr>
            </w:pPr>
            <w:r w:rsidRPr="006C5F60">
              <w:rPr>
                <w:rFonts w:cs="Arial"/>
                <w:sz w:val="12"/>
                <w:szCs w:val="12"/>
              </w:rPr>
              <w:t>(200–211)</w:t>
            </w:r>
          </w:p>
        </w:tc>
        <w:tc>
          <w:tcPr>
            <w:tcW w:w="773" w:type="dxa"/>
            <w:shd w:val="clear" w:color="auto" w:fill="auto"/>
            <w:vAlign w:val="center"/>
          </w:tcPr>
          <w:p w14:paraId="59F811D4" w14:textId="495C2927" w:rsidR="00415BAF" w:rsidRPr="006C5F60" w:rsidRDefault="00415BAF" w:rsidP="00415BAF">
            <w:pPr>
              <w:pStyle w:val="Tabletext"/>
              <w:rPr>
                <w:rFonts w:cs="Arial"/>
                <w:sz w:val="12"/>
                <w:szCs w:val="12"/>
              </w:rPr>
            </w:pPr>
            <w:r w:rsidRPr="006C5F60">
              <w:rPr>
                <w:rFonts w:cs="Arial"/>
                <w:sz w:val="12"/>
                <w:szCs w:val="12"/>
              </w:rPr>
              <w:t>(186–196)</w:t>
            </w:r>
          </w:p>
        </w:tc>
        <w:tc>
          <w:tcPr>
            <w:tcW w:w="773" w:type="dxa"/>
            <w:shd w:val="clear" w:color="auto" w:fill="auto"/>
            <w:vAlign w:val="center"/>
          </w:tcPr>
          <w:p w14:paraId="1CD0DFB7" w14:textId="65C088BF" w:rsidR="00415BAF" w:rsidRPr="006C5F60" w:rsidRDefault="00415BAF" w:rsidP="00415BAF">
            <w:pPr>
              <w:pStyle w:val="Tabletext"/>
              <w:rPr>
                <w:rFonts w:cs="Arial"/>
                <w:sz w:val="12"/>
                <w:szCs w:val="12"/>
              </w:rPr>
            </w:pPr>
            <w:r w:rsidRPr="006C5F60">
              <w:rPr>
                <w:rFonts w:cs="Arial"/>
                <w:sz w:val="12"/>
                <w:szCs w:val="12"/>
              </w:rPr>
              <w:t>(190–200)</w:t>
            </w:r>
          </w:p>
        </w:tc>
        <w:tc>
          <w:tcPr>
            <w:tcW w:w="773" w:type="dxa"/>
            <w:shd w:val="clear" w:color="auto" w:fill="auto"/>
            <w:vAlign w:val="center"/>
          </w:tcPr>
          <w:p w14:paraId="14231FF6" w14:textId="1AF4AC24" w:rsidR="00415BAF" w:rsidRPr="006C5F60" w:rsidRDefault="00415BAF" w:rsidP="00415BAF">
            <w:pPr>
              <w:pStyle w:val="Tabletext"/>
              <w:rPr>
                <w:rFonts w:cs="Arial"/>
                <w:sz w:val="12"/>
                <w:szCs w:val="12"/>
              </w:rPr>
            </w:pPr>
            <w:r w:rsidRPr="006C5F60">
              <w:rPr>
                <w:rFonts w:cs="Arial"/>
                <w:sz w:val="12"/>
                <w:szCs w:val="12"/>
              </w:rPr>
              <w:t>(184–194)</w:t>
            </w:r>
          </w:p>
        </w:tc>
        <w:tc>
          <w:tcPr>
            <w:tcW w:w="773" w:type="dxa"/>
            <w:shd w:val="clear" w:color="auto" w:fill="auto"/>
            <w:vAlign w:val="center"/>
          </w:tcPr>
          <w:p w14:paraId="3904549D" w14:textId="7F7F57D1" w:rsidR="00415BAF" w:rsidRPr="006C5F60" w:rsidRDefault="00415BAF" w:rsidP="00415BAF">
            <w:pPr>
              <w:pStyle w:val="Tabletext"/>
              <w:rPr>
                <w:rFonts w:cs="Arial"/>
                <w:sz w:val="12"/>
                <w:szCs w:val="12"/>
              </w:rPr>
            </w:pPr>
            <w:r w:rsidRPr="006C5F60">
              <w:rPr>
                <w:rFonts w:cs="Arial"/>
                <w:sz w:val="12"/>
                <w:szCs w:val="12"/>
              </w:rPr>
              <w:t>(174–183)</w:t>
            </w:r>
          </w:p>
        </w:tc>
        <w:tc>
          <w:tcPr>
            <w:tcW w:w="773" w:type="dxa"/>
            <w:vAlign w:val="center"/>
          </w:tcPr>
          <w:p w14:paraId="1E49E306" w14:textId="7B688FAC" w:rsidR="00415BAF" w:rsidRPr="006C5F60" w:rsidRDefault="00415BAF" w:rsidP="00415BAF">
            <w:pPr>
              <w:pStyle w:val="Tabletext"/>
              <w:rPr>
                <w:rFonts w:cs="Arial"/>
                <w:sz w:val="12"/>
                <w:szCs w:val="12"/>
              </w:rPr>
            </w:pPr>
            <w:r w:rsidRPr="006C5F60">
              <w:rPr>
                <w:rFonts w:cs="Arial"/>
                <w:sz w:val="12"/>
                <w:szCs w:val="12"/>
              </w:rPr>
              <w:t>(171–180)</w:t>
            </w:r>
          </w:p>
        </w:tc>
        <w:tc>
          <w:tcPr>
            <w:tcW w:w="773" w:type="dxa"/>
            <w:vAlign w:val="center"/>
          </w:tcPr>
          <w:p w14:paraId="66EC9931" w14:textId="5A65099F" w:rsidR="00415BAF" w:rsidRPr="006C5F60" w:rsidRDefault="00415BAF" w:rsidP="00415BAF">
            <w:pPr>
              <w:pStyle w:val="Tabletext"/>
              <w:rPr>
                <w:rFonts w:cs="Arial"/>
                <w:sz w:val="12"/>
                <w:szCs w:val="12"/>
              </w:rPr>
            </w:pPr>
            <w:r w:rsidRPr="006C5F60">
              <w:rPr>
                <w:rFonts w:cs="Arial"/>
                <w:sz w:val="12"/>
                <w:szCs w:val="12"/>
              </w:rPr>
              <w:t>(173–182)</w:t>
            </w:r>
          </w:p>
        </w:tc>
        <w:tc>
          <w:tcPr>
            <w:tcW w:w="773" w:type="dxa"/>
            <w:vAlign w:val="center"/>
          </w:tcPr>
          <w:p w14:paraId="1B8EE234" w14:textId="6D060AAF" w:rsidR="00415BAF" w:rsidRPr="006C5F60" w:rsidRDefault="00415BAF" w:rsidP="00415BAF">
            <w:pPr>
              <w:pStyle w:val="Tabletext"/>
              <w:rPr>
                <w:rFonts w:cs="Arial"/>
                <w:sz w:val="12"/>
                <w:szCs w:val="12"/>
              </w:rPr>
            </w:pPr>
            <w:r w:rsidRPr="006C5F60">
              <w:rPr>
                <w:rFonts w:cs="Arial"/>
                <w:sz w:val="12"/>
                <w:szCs w:val="12"/>
              </w:rPr>
              <w:t>(164–172)</w:t>
            </w:r>
          </w:p>
        </w:tc>
        <w:tc>
          <w:tcPr>
            <w:tcW w:w="773" w:type="dxa"/>
            <w:vAlign w:val="center"/>
          </w:tcPr>
          <w:p w14:paraId="0AA5AB5E" w14:textId="3915AE32" w:rsidR="00415BAF" w:rsidRPr="006C5F60" w:rsidRDefault="00415BAF" w:rsidP="00415BAF">
            <w:pPr>
              <w:pStyle w:val="Tabletext"/>
              <w:rPr>
                <w:rFonts w:cs="Arial"/>
                <w:sz w:val="12"/>
                <w:szCs w:val="12"/>
              </w:rPr>
            </w:pPr>
            <w:r w:rsidRPr="006C5F60">
              <w:rPr>
                <w:rFonts w:cs="Arial"/>
                <w:sz w:val="12"/>
                <w:szCs w:val="12"/>
              </w:rPr>
              <w:t>(163–172)</w:t>
            </w:r>
          </w:p>
        </w:tc>
      </w:tr>
      <w:tr w:rsidR="00325D71" w:rsidRPr="00325D71" w14:paraId="324817BC" w14:textId="10ABF703" w:rsidTr="0065371B">
        <w:trPr>
          <w:trHeight w:val="307"/>
        </w:trPr>
        <w:tc>
          <w:tcPr>
            <w:tcW w:w="716" w:type="dxa"/>
            <w:shd w:val="clear" w:color="auto" w:fill="auto"/>
            <w:vAlign w:val="center"/>
          </w:tcPr>
          <w:p w14:paraId="29A8686C" w14:textId="77777777" w:rsidR="00415BAF" w:rsidRPr="006C5F60" w:rsidRDefault="00415BAF" w:rsidP="00415BAF">
            <w:pPr>
              <w:pStyle w:val="Tabletext"/>
              <w:rPr>
                <w:rFonts w:cs="Arial"/>
                <w:sz w:val="12"/>
                <w:szCs w:val="12"/>
              </w:rPr>
            </w:pPr>
            <w:r w:rsidRPr="006C5F60">
              <w:rPr>
                <w:rFonts w:cs="Arial"/>
                <w:sz w:val="12"/>
                <w:szCs w:val="12"/>
              </w:rPr>
              <w:t>Females (ASR)</w:t>
            </w:r>
          </w:p>
        </w:tc>
        <w:tc>
          <w:tcPr>
            <w:tcW w:w="773" w:type="dxa"/>
            <w:shd w:val="clear" w:color="auto" w:fill="auto"/>
            <w:vAlign w:val="center"/>
          </w:tcPr>
          <w:p w14:paraId="1E9BCE62" w14:textId="0B8FB16F" w:rsidR="00415BAF" w:rsidRPr="006C5F60" w:rsidRDefault="00415BAF" w:rsidP="00415BAF">
            <w:pPr>
              <w:pStyle w:val="Tabletext"/>
              <w:rPr>
                <w:rFonts w:cs="Arial"/>
                <w:sz w:val="12"/>
                <w:szCs w:val="12"/>
              </w:rPr>
            </w:pPr>
            <w:r w:rsidRPr="006C5F60">
              <w:rPr>
                <w:rFonts w:cs="Arial"/>
                <w:sz w:val="12"/>
                <w:szCs w:val="12"/>
              </w:rPr>
              <w:t>138</w:t>
            </w:r>
          </w:p>
        </w:tc>
        <w:tc>
          <w:tcPr>
            <w:tcW w:w="773" w:type="dxa"/>
            <w:shd w:val="clear" w:color="auto" w:fill="auto"/>
            <w:vAlign w:val="center"/>
          </w:tcPr>
          <w:p w14:paraId="3CBACD67" w14:textId="06332F2A" w:rsidR="00415BAF" w:rsidRPr="006C5F60" w:rsidRDefault="00415BAF" w:rsidP="00415BAF">
            <w:pPr>
              <w:pStyle w:val="Tabletext"/>
              <w:rPr>
                <w:rFonts w:cs="Arial"/>
                <w:sz w:val="12"/>
                <w:szCs w:val="12"/>
              </w:rPr>
            </w:pPr>
            <w:r w:rsidRPr="006C5F60">
              <w:rPr>
                <w:rFonts w:cs="Arial"/>
                <w:sz w:val="12"/>
                <w:szCs w:val="12"/>
              </w:rPr>
              <w:t>137</w:t>
            </w:r>
          </w:p>
        </w:tc>
        <w:tc>
          <w:tcPr>
            <w:tcW w:w="773" w:type="dxa"/>
            <w:shd w:val="clear" w:color="auto" w:fill="auto"/>
            <w:vAlign w:val="center"/>
          </w:tcPr>
          <w:p w14:paraId="6566BDE9" w14:textId="540BF8C1" w:rsidR="00415BAF" w:rsidRPr="006C5F60" w:rsidRDefault="00415BAF" w:rsidP="00415BAF">
            <w:pPr>
              <w:pStyle w:val="Tabletext"/>
              <w:rPr>
                <w:rFonts w:cs="Arial"/>
                <w:sz w:val="12"/>
                <w:szCs w:val="12"/>
              </w:rPr>
            </w:pPr>
            <w:r w:rsidRPr="006C5F60">
              <w:rPr>
                <w:rFonts w:cs="Arial"/>
                <w:sz w:val="12"/>
                <w:szCs w:val="12"/>
              </w:rPr>
              <w:t>134</w:t>
            </w:r>
          </w:p>
        </w:tc>
        <w:tc>
          <w:tcPr>
            <w:tcW w:w="773" w:type="dxa"/>
            <w:shd w:val="clear" w:color="auto" w:fill="auto"/>
            <w:vAlign w:val="center"/>
          </w:tcPr>
          <w:p w14:paraId="31907727" w14:textId="3D219194" w:rsidR="00415BAF" w:rsidRPr="006C5F60" w:rsidRDefault="00415BAF" w:rsidP="00415BAF">
            <w:pPr>
              <w:pStyle w:val="Tabletext"/>
              <w:rPr>
                <w:rFonts w:cs="Arial"/>
                <w:sz w:val="12"/>
                <w:szCs w:val="12"/>
              </w:rPr>
            </w:pPr>
            <w:r w:rsidRPr="006C5F60">
              <w:rPr>
                <w:rFonts w:cs="Arial"/>
                <w:sz w:val="12"/>
                <w:szCs w:val="12"/>
              </w:rPr>
              <w:t>132</w:t>
            </w:r>
          </w:p>
        </w:tc>
        <w:tc>
          <w:tcPr>
            <w:tcW w:w="773" w:type="dxa"/>
            <w:shd w:val="clear" w:color="auto" w:fill="auto"/>
            <w:vAlign w:val="center"/>
          </w:tcPr>
          <w:p w14:paraId="0E37CF0A" w14:textId="62C0E790" w:rsidR="00415BAF" w:rsidRPr="006C5F60" w:rsidRDefault="00415BAF" w:rsidP="00415BAF">
            <w:pPr>
              <w:pStyle w:val="Tabletext"/>
              <w:rPr>
                <w:rFonts w:cs="Arial"/>
                <w:sz w:val="12"/>
                <w:szCs w:val="12"/>
              </w:rPr>
            </w:pPr>
            <w:r w:rsidRPr="006C5F60">
              <w:rPr>
                <w:rFonts w:cs="Arial"/>
                <w:sz w:val="12"/>
                <w:szCs w:val="12"/>
              </w:rPr>
              <w:t>128</w:t>
            </w:r>
          </w:p>
        </w:tc>
        <w:tc>
          <w:tcPr>
            <w:tcW w:w="773" w:type="dxa"/>
            <w:shd w:val="clear" w:color="auto" w:fill="auto"/>
            <w:vAlign w:val="center"/>
          </w:tcPr>
          <w:p w14:paraId="0E0E6B22" w14:textId="51DC543D" w:rsidR="00415BAF" w:rsidRPr="006C5F60" w:rsidRDefault="00415BAF" w:rsidP="00415BAF">
            <w:pPr>
              <w:pStyle w:val="Tabletext"/>
              <w:rPr>
                <w:rFonts w:cs="Arial"/>
                <w:sz w:val="12"/>
                <w:szCs w:val="12"/>
              </w:rPr>
            </w:pPr>
            <w:r w:rsidRPr="006C5F60">
              <w:rPr>
                <w:rFonts w:cs="Arial"/>
                <w:sz w:val="12"/>
                <w:szCs w:val="12"/>
              </w:rPr>
              <w:t>129</w:t>
            </w:r>
          </w:p>
        </w:tc>
        <w:tc>
          <w:tcPr>
            <w:tcW w:w="773" w:type="dxa"/>
            <w:shd w:val="clear" w:color="auto" w:fill="auto"/>
            <w:vAlign w:val="center"/>
          </w:tcPr>
          <w:p w14:paraId="5A30A92D" w14:textId="52117FA7" w:rsidR="00415BAF" w:rsidRPr="006C5F60" w:rsidRDefault="00415BAF" w:rsidP="00415BAF">
            <w:pPr>
              <w:pStyle w:val="Tabletext"/>
              <w:rPr>
                <w:rFonts w:cs="Arial"/>
                <w:sz w:val="12"/>
                <w:szCs w:val="12"/>
              </w:rPr>
            </w:pPr>
            <w:r w:rsidRPr="006C5F60">
              <w:rPr>
                <w:rFonts w:cs="Arial"/>
                <w:sz w:val="12"/>
                <w:szCs w:val="12"/>
              </w:rPr>
              <w:t>129</w:t>
            </w:r>
          </w:p>
        </w:tc>
        <w:tc>
          <w:tcPr>
            <w:tcW w:w="773" w:type="dxa"/>
            <w:shd w:val="clear" w:color="auto" w:fill="auto"/>
            <w:vAlign w:val="center"/>
          </w:tcPr>
          <w:p w14:paraId="17D71B89" w14:textId="3DA08454" w:rsidR="00415BAF" w:rsidRPr="006C5F60" w:rsidRDefault="00415BAF" w:rsidP="00415BAF">
            <w:pPr>
              <w:pStyle w:val="Tabletext"/>
              <w:rPr>
                <w:rFonts w:cs="Arial"/>
                <w:sz w:val="12"/>
                <w:szCs w:val="12"/>
              </w:rPr>
            </w:pPr>
            <w:r w:rsidRPr="006C5F60">
              <w:rPr>
                <w:rFonts w:cs="Arial"/>
                <w:sz w:val="12"/>
                <w:szCs w:val="12"/>
              </w:rPr>
              <w:t>123</w:t>
            </w:r>
          </w:p>
        </w:tc>
        <w:tc>
          <w:tcPr>
            <w:tcW w:w="773" w:type="dxa"/>
            <w:vAlign w:val="center"/>
          </w:tcPr>
          <w:p w14:paraId="2A37F739" w14:textId="1BA19B27" w:rsidR="00415BAF" w:rsidRPr="006C5F60" w:rsidRDefault="00415BAF" w:rsidP="00415BAF">
            <w:pPr>
              <w:pStyle w:val="Tabletext"/>
              <w:rPr>
                <w:rFonts w:cs="Arial"/>
                <w:sz w:val="12"/>
                <w:szCs w:val="12"/>
              </w:rPr>
            </w:pPr>
            <w:r w:rsidRPr="006C5F60">
              <w:rPr>
                <w:rFonts w:cs="Arial"/>
                <w:sz w:val="12"/>
                <w:szCs w:val="12"/>
              </w:rPr>
              <w:t>121</w:t>
            </w:r>
          </w:p>
        </w:tc>
        <w:tc>
          <w:tcPr>
            <w:tcW w:w="773" w:type="dxa"/>
            <w:vAlign w:val="center"/>
          </w:tcPr>
          <w:p w14:paraId="19D57590" w14:textId="3853ED6F" w:rsidR="00415BAF" w:rsidRPr="006C5F60" w:rsidRDefault="00415BAF" w:rsidP="00415BAF">
            <w:pPr>
              <w:pStyle w:val="Tabletext"/>
              <w:rPr>
                <w:rFonts w:cs="Arial"/>
                <w:sz w:val="12"/>
                <w:szCs w:val="12"/>
              </w:rPr>
            </w:pPr>
            <w:r w:rsidRPr="006C5F60">
              <w:rPr>
                <w:rFonts w:cs="Arial"/>
                <w:sz w:val="12"/>
                <w:szCs w:val="12"/>
              </w:rPr>
              <w:t>117</w:t>
            </w:r>
          </w:p>
        </w:tc>
        <w:tc>
          <w:tcPr>
            <w:tcW w:w="773" w:type="dxa"/>
            <w:vAlign w:val="center"/>
          </w:tcPr>
          <w:p w14:paraId="3CEDA16E" w14:textId="5FFF0279" w:rsidR="00415BAF" w:rsidRPr="006C5F60" w:rsidRDefault="00415BAF" w:rsidP="00415BAF">
            <w:pPr>
              <w:pStyle w:val="Tabletext"/>
              <w:rPr>
                <w:rFonts w:cs="Arial"/>
                <w:sz w:val="12"/>
                <w:szCs w:val="12"/>
              </w:rPr>
            </w:pPr>
            <w:r w:rsidRPr="006C5F60">
              <w:rPr>
                <w:rFonts w:cs="Arial"/>
                <w:sz w:val="12"/>
                <w:szCs w:val="12"/>
              </w:rPr>
              <w:t>115</w:t>
            </w:r>
          </w:p>
        </w:tc>
        <w:tc>
          <w:tcPr>
            <w:tcW w:w="773" w:type="dxa"/>
            <w:vAlign w:val="center"/>
          </w:tcPr>
          <w:p w14:paraId="302FFAF8" w14:textId="6EC6993B" w:rsidR="00415BAF" w:rsidRPr="006C5F60" w:rsidRDefault="00415BAF" w:rsidP="00415BAF">
            <w:pPr>
              <w:pStyle w:val="Tabletext"/>
              <w:rPr>
                <w:rFonts w:cs="Arial"/>
                <w:sz w:val="12"/>
                <w:szCs w:val="12"/>
              </w:rPr>
            </w:pPr>
            <w:r w:rsidRPr="006C5F60">
              <w:rPr>
                <w:rFonts w:cs="Arial"/>
                <w:sz w:val="12"/>
                <w:szCs w:val="12"/>
              </w:rPr>
              <w:t>115</w:t>
            </w:r>
          </w:p>
        </w:tc>
      </w:tr>
      <w:tr w:rsidR="00325D71" w:rsidRPr="00325D71" w14:paraId="3A3BC42F" w14:textId="3BBBBD82" w:rsidTr="0065371B">
        <w:trPr>
          <w:trHeight w:val="307"/>
        </w:trPr>
        <w:tc>
          <w:tcPr>
            <w:tcW w:w="716" w:type="dxa"/>
            <w:shd w:val="clear" w:color="auto" w:fill="auto"/>
            <w:vAlign w:val="center"/>
          </w:tcPr>
          <w:p w14:paraId="7A6C0DD7" w14:textId="15973C22" w:rsidR="00415BAF" w:rsidRPr="006C5F60" w:rsidRDefault="00415BAF" w:rsidP="00415BAF">
            <w:pPr>
              <w:pStyle w:val="Tabletext"/>
              <w:rPr>
                <w:rFonts w:cs="Arial"/>
                <w:sz w:val="12"/>
                <w:szCs w:val="12"/>
              </w:rPr>
            </w:pPr>
            <w:r w:rsidRPr="006C5F60">
              <w:rPr>
                <w:rFonts w:cs="Arial"/>
                <w:sz w:val="12"/>
                <w:szCs w:val="12"/>
              </w:rPr>
              <w:t>(95% CI)</w:t>
            </w:r>
          </w:p>
        </w:tc>
        <w:tc>
          <w:tcPr>
            <w:tcW w:w="773" w:type="dxa"/>
            <w:shd w:val="clear" w:color="auto" w:fill="auto"/>
            <w:vAlign w:val="center"/>
          </w:tcPr>
          <w:p w14:paraId="47AF13F6" w14:textId="4A69673A" w:rsidR="00415BAF" w:rsidRPr="006C5F60" w:rsidRDefault="00415BAF" w:rsidP="00415BAF">
            <w:pPr>
              <w:pStyle w:val="Tabletext"/>
              <w:rPr>
                <w:rFonts w:cs="Arial"/>
                <w:sz w:val="12"/>
                <w:szCs w:val="12"/>
              </w:rPr>
            </w:pPr>
            <w:r w:rsidRPr="006C5F60">
              <w:rPr>
                <w:rFonts w:cs="Arial"/>
                <w:sz w:val="12"/>
                <w:szCs w:val="12"/>
              </w:rPr>
              <w:t>(134–142)</w:t>
            </w:r>
          </w:p>
        </w:tc>
        <w:tc>
          <w:tcPr>
            <w:tcW w:w="773" w:type="dxa"/>
            <w:shd w:val="clear" w:color="auto" w:fill="auto"/>
            <w:vAlign w:val="center"/>
          </w:tcPr>
          <w:p w14:paraId="1E5BEEB0" w14:textId="7249D552" w:rsidR="00415BAF" w:rsidRPr="006C5F60" w:rsidRDefault="00415BAF" w:rsidP="00415BAF">
            <w:pPr>
              <w:pStyle w:val="Tabletext"/>
              <w:rPr>
                <w:rFonts w:cs="Arial"/>
                <w:sz w:val="12"/>
                <w:szCs w:val="12"/>
              </w:rPr>
            </w:pPr>
            <w:r w:rsidRPr="006C5F60">
              <w:rPr>
                <w:rFonts w:cs="Arial"/>
                <w:sz w:val="12"/>
                <w:szCs w:val="12"/>
              </w:rPr>
              <w:t>(133–141)</w:t>
            </w:r>
          </w:p>
        </w:tc>
        <w:tc>
          <w:tcPr>
            <w:tcW w:w="773" w:type="dxa"/>
            <w:shd w:val="clear" w:color="auto" w:fill="auto"/>
            <w:vAlign w:val="center"/>
          </w:tcPr>
          <w:p w14:paraId="47E099E6" w14:textId="1A6F90F5" w:rsidR="00415BAF" w:rsidRPr="006C5F60" w:rsidRDefault="00415BAF" w:rsidP="00415BAF">
            <w:pPr>
              <w:pStyle w:val="Tabletext"/>
              <w:rPr>
                <w:rFonts w:cs="Arial"/>
                <w:sz w:val="12"/>
                <w:szCs w:val="12"/>
              </w:rPr>
            </w:pPr>
            <w:r w:rsidRPr="006C5F60">
              <w:rPr>
                <w:rFonts w:cs="Arial"/>
                <w:sz w:val="12"/>
                <w:szCs w:val="12"/>
              </w:rPr>
              <w:t>(130–138)</w:t>
            </w:r>
          </w:p>
        </w:tc>
        <w:tc>
          <w:tcPr>
            <w:tcW w:w="773" w:type="dxa"/>
            <w:shd w:val="clear" w:color="auto" w:fill="auto"/>
            <w:vAlign w:val="center"/>
          </w:tcPr>
          <w:p w14:paraId="0E7CDCBB" w14:textId="32932B02" w:rsidR="00415BAF" w:rsidRPr="006C5F60" w:rsidRDefault="00415BAF" w:rsidP="00415BAF">
            <w:pPr>
              <w:pStyle w:val="Tabletext"/>
              <w:rPr>
                <w:rFonts w:cs="Arial"/>
                <w:sz w:val="12"/>
                <w:szCs w:val="12"/>
              </w:rPr>
            </w:pPr>
            <w:r w:rsidRPr="006C5F60">
              <w:rPr>
                <w:rFonts w:cs="Arial"/>
                <w:sz w:val="12"/>
                <w:szCs w:val="12"/>
              </w:rPr>
              <w:t>(129–136)</w:t>
            </w:r>
          </w:p>
        </w:tc>
        <w:tc>
          <w:tcPr>
            <w:tcW w:w="773" w:type="dxa"/>
            <w:shd w:val="clear" w:color="auto" w:fill="auto"/>
            <w:vAlign w:val="center"/>
          </w:tcPr>
          <w:p w14:paraId="672CB30B" w14:textId="47F35450" w:rsidR="00415BAF" w:rsidRPr="006C5F60" w:rsidRDefault="00415BAF" w:rsidP="00415BAF">
            <w:pPr>
              <w:pStyle w:val="Tabletext"/>
              <w:rPr>
                <w:rFonts w:cs="Arial"/>
                <w:sz w:val="12"/>
                <w:szCs w:val="12"/>
              </w:rPr>
            </w:pPr>
            <w:r w:rsidRPr="006C5F60">
              <w:rPr>
                <w:rFonts w:cs="Arial"/>
                <w:sz w:val="12"/>
                <w:szCs w:val="12"/>
              </w:rPr>
              <w:t>(124–132)</w:t>
            </w:r>
          </w:p>
        </w:tc>
        <w:tc>
          <w:tcPr>
            <w:tcW w:w="773" w:type="dxa"/>
            <w:shd w:val="clear" w:color="auto" w:fill="auto"/>
            <w:vAlign w:val="center"/>
          </w:tcPr>
          <w:p w14:paraId="38DDA748" w14:textId="51C2EB8B" w:rsidR="00415BAF" w:rsidRPr="006C5F60" w:rsidRDefault="00415BAF" w:rsidP="00415BAF">
            <w:pPr>
              <w:pStyle w:val="Tabletext"/>
              <w:rPr>
                <w:rFonts w:cs="Arial"/>
                <w:sz w:val="12"/>
                <w:szCs w:val="12"/>
              </w:rPr>
            </w:pPr>
            <w:r w:rsidRPr="006C5F60">
              <w:rPr>
                <w:rFonts w:cs="Arial"/>
                <w:sz w:val="12"/>
                <w:szCs w:val="12"/>
              </w:rPr>
              <w:t>(125–133)</w:t>
            </w:r>
          </w:p>
        </w:tc>
        <w:tc>
          <w:tcPr>
            <w:tcW w:w="773" w:type="dxa"/>
            <w:shd w:val="clear" w:color="auto" w:fill="auto"/>
            <w:vAlign w:val="center"/>
          </w:tcPr>
          <w:p w14:paraId="2A67396B" w14:textId="2A6A91EA" w:rsidR="00415BAF" w:rsidRPr="006C5F60" w:rsidRDefault="00415BAF" w:rsidP="00415BAF">
            <w:pPr>
              <w:pStyle w:val="Tabletext"/>
              <w:rPr>
                <w:rFonts w:cs="Arial"/>
                <w:sz w:val="12"/>
                <w:szCs w:val="12"/>
              </w:rPr>
            </w:pPr>
            <w:r w:rsidRPr="006C5F60">
              <w:rPr>
                <w:rFonts w:cs="Arial"/>
                <w:sz w:val="12"/>
                <w:szCs w:val="12"/>
              </w:rPr>
              <w:t>(126–133)</w:t>
            </w:r>
          </w:p>
        </w:tc>
        <w:tc>
          <w:tcPr>
            <w:tcW w:w="773" w:type="dxa"/>
            <w:shd w:val="clear" w:color="auto" w:fill="auto"/>
            <w:vAlign w:val="center"/>
          </w:tcPr>
          <w:p w14:paraId="424DB594" w14:textId="31D96C73" w:rsidR="00415BAF" w:rsidRPr="006C5F60" w:rsidRDefault="00415BAF" w:rsidP="00415BAF">
            <w:pPr>
              <w:pStyle w:val="Tabletext"/>
              <w:rPr>
                <w:rFonts w:cs="Arial"/>
                <w:sz w:val="12"/>
                <w:szCs w:val="12"/>
              </w:rPr>
            </w:pPr>
            <w:r w:rsidRPr="006C5F60">
              <w:rPr>
                <w:rFonts w:cs="Arial"/>
                <w:sz w:val="12"/>
                <w:szCs w:val="12"/>
              </w:rPr>
              <w:t>(119–126)</w:t>
            </w:r>
          </w:p>
        </w:tc>
        <w:tc>
          <w:tcPr>
            <w:tcW w:w="773" w:type="dxa"/>
            <w:vAlign w:val="center"/>
          </w:tcPr>
          <w:p w14:paraId="5E7E35DE" w14:textId="5124226D" w:rsidR="00415BAF" w:rsidRPr="006C5F60" w:rsidRDefault="00415BAF" w:rsidP="00415BAF">
            <w:pPr>
              <w:pStyle w:val="Tabletext"/>
              <w:rPr>
                <w:rFonts w:cs="Arial"/>
                <w:sz w:val="12"/>
                <w:szCs w:val="12"/>
              </w:rPr>
            </w:pPr>
            <w:r w:rsidRPr="006C5F60">
              <w:rPr>
                <w:rFonts w:cs="Arial"/>
                <w:sz w:val="12"/>
                <w:szCs w:val="12"/>
              </w:rPr>
              <w:t>(117–124)</w:t>
            </w:r>
          </w:p>
        </w:tc>
        <w:tc>
          <w:tcPr>
            <w:tcW w:w="773" w:type="dxa"/>
            <w:vAlign w:val="center"/>
          </w:tcPr>
          <w:p w14:paraId="3C6FAD86" w14:textId="5C918EAF" w:rsidR="00415BAF" w:rsidRPr="006C5F60" w:rsidRDefault="00415BAF" w:rsidP="00415BAF">
            <w:pPr>
              <w:pStyle w:val="Tabletext"/>
              <w:rPr>
                <w:rFonts w:cs="Arial"/>
                <w:sz w:val="12"/>
                <w:szCs w:val="12"/>
              </w:rPr>
            </w:pPr>
            <w:r w:rsidRPr="006C5F60">
              <w:rPr>
                <w:rFonts w:cs="Arial"/>
                <w:sz w:val="12"/>
                <w:szCs w:val="12"/>
              </w:rPr>
              <w:t>(114–120)</w:t>
            </w:r>
          </w:p>
        </w:tc>
        <w:tc>
          <w:tcPr>
            <w:tcW w:w="773" w:type="dxa"/>
            <w:vAlign w:val="center"/>
          </w:tcPr>
          <w:p w14:paraId="33694516" w14:textId="3C79662A" w:rsidR="00415BAF" w:rsidRPr="006C5F60" w:rsidRDefault="00415BAF" w:rsidP="00415BAF">
            <w:pPr>
              <w:pStyle w:val="Tabletext"/>
              <w:rPr>
                <w:rFonts w:cs="Arial"/>
                <w:sz w:val="12"/>
                <w:szCs w:val="12"/>
              </w:rPr>
            </w:pPr>
            <w:r w:rsidRPr="006C5F60">
              <w:rPr>
                <w:rFonts w:cs="Arial"/>
                <w:sz w:val="12"/>
                <w:szCs w:val="12"/>
              </w:rPr>
              <w:t>(112</w:t>
            </w:r>
            <w:r w:rsidR="00246747" w:rsidRPr="006C5F60">
              <w:rPr>
                <w:rFonts w:cs="Arial"/>
                <w:sz w:val="12"/>
                <w:szCs w:val="12"/>
              </w:rPr>
              <w:t>–</w:t>
            </w:r>
            <w:r w:rsidRPr="006C5F60">
              <w:rPr>
                <w:rFonts w:cs="Arial"/>
                <w:sz w:val="12"/>
                <w:szCs w:val="12"/>
              </w:rPr>
              <w:t>119)</w:t>
            </w:r>
          </w:p>
        </w:tc>
        <w:tc>
          <w:tcPr>
            <w:tcW w:w="773" w:type="dxa"/>
            <w:vAlign w:val="center"/>
          </w:tcPr>
          <w:p w14:paraId="2C61EDA8" w14:textId="185120AB" w:rsidR="00415BAF" w:rsidRPr="006C5F60" w:rsidRDefault="00415BAF" w:rsidP="00415BAF">
            <w:pPr>
              <w:pStyle w:val="Tabletext"/>
              <w:rPr>
                <w:rFonts w:cs="Arial"/>
                <w:sz w:val="12"/>
                <w:szCs w:val="12"/>
              </w:rPr>
            </w:pPr>
            <w:r w:rsidRPr="006C5F60">
              <w:rPr>
                <w:rFonts w:cs="Arial"/>
                <w:sz w:val="12"/>
                <w:szCs w:val="12"/>
              </w:rPr>
              <w:t>(112</w:t>
            </w:r>
            <w:r w:rsidR="00246747" w:rsidRPr="006C5F60">
              <w:rPr>
                <w:rFonts w:cs="Arial"/>
                <w:sz w:val="12"/>
                <w:szCs w:val="12"/>
              </w:rPr>
              <w:t>–</w:t>
            </w:r>
            <w:r w:rsidRPr="006C5F60">
              <w:rPr>
                <w:rFonts w:cs="Arial"/>
                <w:sz w:val="12"/>
                <w:szCs w:val="12"/>
              </w:rPr>
              <w:t>118)</w:t>
            </w:r>
          </w:p>
        </w:tc>
      </w:tr>
      <w:tr w:rsidR="00325D71" w:rsidRPr="00325D71" w14:paraId="5EE18303" w14:textId="43E7202C" w:rsidTr="0065371B">
        <w:trPr>
          <w:trHeight w:val="307"/>
        </w:trPr>
        <w:tc>
          <w:tcPr>
            <w:tcW w:w="716" w:type="dxa"/>
            <w:shd w:val="clear" w:color="auto" w:fill="auto"/>
            <w:vAlign w:val="center"/>
          </w:tcPr>
          <w:p w14:paraId="12C34D48" w14:textId="6F608647" w:rsidR="00AA5AC6" w:rsidRPr="006C5F60" w:rsidRDefault="00AA5AC6" w:rsidP="00AA5AC6">
            <w:pPr>
              <w:pStyle w:val="Tabletext"/>
              <w:rPr>
                <w:rFonts w:cs="Arial"/>
                <w:sz w:val="12"/>
                <w:szCs w:val="12"/>
              </w:rPr>
            </w:pPr>
            <w:r w:rsidRPr="006C5F60">
              <w:rPr>
                <w:rFonts w:cs="Arial"/>
                <w:sz w:val="12"/>
                <w:szCs w:val="12"/>
              </w:rPr>
              <w:t>Persons (ASR)</w:t>
            </w:r>
          </w:p>
        </w:tc>
        <w:tc>
          <w:tcPr>
            <w:tcW w:w="773" w:type="dxa"/>
            <w:shd w:val="clear" w:color="auto" w:fill="auto"/>
            <w:vAlign w:val="center"/>
          </w:tcPr>
          <w:p w14:paraId="141E852E" w14:textId="3B237F21" w:rsidR="00AA5AC6" w:rsidRPr="006C5F60" w:rsidRDefault="00AA5AC6" w:rsidP="00AA5AC6">
            <w:pPr>
              <w:pStyle w:val="Tabletext"/>
              <w:rPr>
                <w:rFonts w:cs="Arial"/>
                <w:sz w:val="12"/>
                <w:szCs w:val="12"/>
              </w:rPr>
            </w:pPr>
            <w:r w:rsidRPr="006C5F60">
              <w:rPr>
                <w:rFonts w:cs="Arial"/>
                <w:sz w:val="12"/>
                <w:szCs w:val="12"/>
              </w:rPr>
              <w:t>173</w:t>
            </w:r>
          </w:p>
        </w:tc>
        <w:tc>
          <w:tcPr>
            <w:tcW w:w="773" w:type="dxa"/>
            <w:shd w:val="clear" w:color="auto" w:fill="auto"/>
            <w:vAlign w:val="center"/>
          </w:tcPr>
          <w:p w14:paraId="69788FA8" w14:textId="33C22DFA" w:rsidR="00AA5AC6" w:rsidRPr="006C5F60" w:rsidRDefault="00AA5AC6" w:rsidP="00AA5AC6">
            <w:pPr>
              <w:pStyle w:val="Tabletext"/>
              <w:rPr>
                <w:rFonts w:cs="Arial"/>
                <w:sz w:val="12"/>
                <w:szCs w:val="12"/>
              </w:rPr>
            </w:pPr>
            <w:r w:rsidRPr="006C5F60">
              <w:rPr>
                <w:rFonts w:cs="Arial"/>
                <w:sz w:val="12"/>
                <w:szCs w:val="12"/>
              </w:rPr>
              <w:t>170</w:t>
            </w:r>
          </w:p>
        </w:tc>
        <w:tc>
          <w:tcPr>
            <w:tcW w:w="773" w:type="dxa"/>
            <w:shd w:val="clear" w:color="auto" w:fill="auto"/>
            <w:vAlign w:val="center"/>
          </w:tcPr>
          <w:p w14:paraId="512C0B54" w14:textId="5B103F70" w:rsidR="00AA5AC6" w:rsidRPr="006C5F60" w:rsidRDefault="00AA5AC6" w:rsidP="00AA5AC6">
            <w:pPr>
              <w:pStyle w:val="Tabletext"/>
              <w:rPr>
                <w:rFonts w:cs="Arial"/>
                <w:sz w:val="12"/>
                <w:szCs w:val="12"/>
              </w:rPr>
            </w:pPr>
            <w:r w:rsidRPr="006C5F60">
              <w:rPr>
                <w:rFonts w:cs="Arial"/>
                <w:sz w:val="12"/>
                <w:szCs w:val="12"/>
              </w:rPr>
              <w:t>165</w:t>
            </w:r>
          </w:p>
        </w:tc>
        <w:tc>
          <w:tcPr>
            <w:tcW w:w="773" w:type="dxa"/>
            <w:shd w:val="clear" w:color="auto" w:fill="auto"/>
            <w:vAlign w:val="center"/>
          </w:tcPr>
          <w:p w14:paraId="21BB738E" w14:textId="4BDAA1CC" w:rsidR="00AA5AC6" w:rsidRPr="006C5F60" w:rsidRDefault="00AA5AC6" w:rsidP="00AA5AC6">
            <w:pPr>
              <w:pStyle w:val="Tabletext"/>
              <w:rPr>
                <w:rFonts w:cs="Arial"/>
                <w:sz w:val="12"/>
                <w:szCs w:val="12"/>
              </w:rPr>
            </w:pPr>
            <w:r w:rsidRPr="006C5F60">
              <w:rPr>
                <w:rFonts w:cs="Arial"/>
                <w:sz w:val="12"/>
                <w:szCs w:val="12"/>
              </w:rPr>
              <w:t>164</w:t>
            </w:r>
          </w:p>
        </w:tc>
        <w:tc>
          <w:tcPr>
            <w:tcW w:w="773" w:type="dxa"/>
            <w:shd w:val="clear" w:color="auto" w:fill="auto"/>
            <w:vAlign w:val="center"/>
          </w:tcPr>
          <w:p w14:paraId="2F4CC07D" w14:textId="59A6B91A" w:rsidR="00AA5AC6" w:rsidRPr="006C5F60" w:rsidRDefault="00AA5AC6" w:rsidP="00AA5AC6">
            <w:pPr>
              <w:pStyle w:val="Tabletext"/>
              <w:rPr>
                <w:rFonts w:cs="Arial"/>
                <w:sz w:val="12"/>
                <w:szCs w:val="12"/>
              </w:rPr>
            </w:pPr>
            <w:r w:rsidRPr="006C5F60">
              <w:rPr>
                <w:rFonts w:cs="Arial"/>
                <w:sz w:val="12"/>
                <w:szCs w:val="12"/>
              </w:rPr>
              <w:t>156</w:t>
            </w:r>
          </w:p>
        </w:tc>
        <w:tc>
          <w:tcPr>
            <w:tcW w:w="773" w:type="dxa"/>
            <w:shd w:val="clear" w:color="auto" w:fill="auto"/>
            <w:vAlign w:val="center"/>
          </w:tcPr>
          <w:p w14:paraId="2E815434" w14:textId="74EA369B" w:rsidR="00AA5AC6" w:rsidRPr="006C5F60" w:rsidRDefault="00AA5AC6" w:rsidP="00AA5AC6">
            <w:pPr>
              <w:pStyle w:val="Tabletext"/>
              <w:rPr>
                <w:rFonts w:cs="Arial"/>
                <w:sz w:val="12"/>
                <w:szCs w:val="12"/>
              </w:rPr>
            </w:pPr>
            <w:r w:rsidRPr="006C5F60">
              <w:rPr>
                <w:rFonts w:cs="Arial"/>
                <w:sz w:val="12"/>
                <w:szCs w:val="12"/>
              </w:rPr>
              <w:t>157</w:t>
            </w:r>
          </w:p>
        </w:tc>
        <w:tc>
          <w:tcPr>
            <w:tcW w:w="773" w:type="dxa"/>
            <w:shd w:val="clear" w:color="auto" w:fill="auto"/>
            <w:vAlign w:val="center"/>
          </w:tcPr>
          <w:p w14:paraId="32880BBC" w14:textId="04DE6F74" w:rsidR="00AA5AC6" w:rsidRPr="006C5F60" w:rsidRDefault="00AA5AC6" w:rsidP="00AA5AC6">
            <w:pPr>
              <w:pStyle w:val="Tabletext"/>
              <w:rPr>
                <w:rFonts w:cs="Arial"/>
                <w:sz w:val="12"/>
                <w:szCs w:val="12"/>
              </w:rPr>
            </w:pPr>
            <w:r w:rsidRPr="006C5F60">
              <w:rPr>
                <w:rFonts w:cs="Arial"/>
                <w:sz w:val="12"/>
                <w:szCs w:val="12"/>
              </w:rPr>
              <w:t>155</w:t>
            </w:r>
          </w:p>
        </w:tc>
        <w:tc>
          <w:tcPr>
            <w:tcW w:w="773" w:type="dxa"/>
            <w:shd w:val="clear" w:color="auto" w:fill="auto"/>
            <w:vAlign w:val="center"/>
          </w:tcPr>
          <w:p w14:paraId="2836F1A8" w14:textId="765069C3" w:rsidR="00AA5AC6" w:rsidRPr="006C5F60" w:rsidRDefault="00AA5AC6" w:rsidP="00AA5AC6">
            <w:pPr>
              <w:pStyle w:val="Tabletext"/>
              <w:rPr>
                <w:rFonts w:cs="Arial"/>
                <w:sz w:val="12"/>
                <w:szCs w:val="12"/>
              </w:rPr>
            </w:pPr>
            <w:r w:rsidRPr="006C5F60">
              <w:rPr>
                <w:rFonts w:cs="Arial"/>
                <w:sz w:val="12"/>
                <w:szCs w:val="12"/>
              </w:rPr>
              <w:t>147</w:t>
            </w:r>
          </w:p>
        </w:tc>
        <w:tc>
          <w:tcPr>
            <w:tcW w:w="773" w:type="dxa"/>
            <w:vAlign w:val="center"/>
          </w:tcPr>
          <w:p w14:paraId="3DFFDF66" w14:textId="77C0287A" w:rsidR="00AA5AC6" w:rsidRPr="006C5F60" w:rsidRDefault="00AA5AC6" w:rsidP="00AA5AC6">
            <w:pPr>
              <w:pStyle w:val="Tabletext"/>
              <w:rPr>
                <w:rFonts w:cs="Arial"/>
                <w:sz w:val="12"/>
                <w:szCs w:val="12"/>
              </w:rPr>
            </w:pPr>
            <w:r w:rsidRPr="006C5F60">
              <w:rPr>
                <w:rFonts w:cs="Arial"/>
                <w:sz w:val="12"/>
                <w:szCs w:val="12"/>
              </w:rPr>
              <w:t>145</w:t>
            </w:r>
          </w:p>
        </w:tc>
        <w:tc>
          <w:tcPr>
            <w:tcW w:w="773" w:type="dxa"/>
            <w:vAlign w:val="center"/>
          </w:tcPr>
          <w:p w14:paraId="51EFF534" w14:textId="568AFD43" w:rsidR="00AA5AC6" w:rsidRPr="006C5F60" w:rsidRDefault="00AA5AC6" w:rsidP="00AA5AC6">
            <w:pPr>
              <w:pStyle w:val="Tabletext"/>
              <w:rPr>
                <w:rFonts w:cs="Arial"/>
                <w:sz w:val="12"/>
                <w:szCs w:val="12"/>
              </w:rPr>
            </w:pPr>
            <w:r w:rsidRPr="006C5F60">
              <w:rPr>
                <w:rFonts w:cs="Arial"/>
                <w:sz w:val="12"/>
                <w:szCs w:val="12"/>
              </w:rPr>
              <w:t>144</w:t>
            </w:r>
          </w:p>
        </w:tc>
        <w:tc>
          <w:tcPr>
            <w:tcW w:w="773" w:type="dxa"/>
            <w:vAlign w:val="center"/>
          </w:tcPr>
          <w:p w14:paraId="6679770A" w14:textId="1FA97AF4" w:rsidR="00AA5AC6" w:rsidRPr="006C5F60" w:rsidRDefault="00AA5AC6" w:rsidP="00AA5AC6">
            <w:pPr>
              <w:pStyle w:val="Tabletext"/>
              <w:rPr>
                <w:rFonts w:cs="Arial"/>
                <w:sz w:val="12"/>
                <w:szCs w:val="12"/>
              </w:rPr>
            </w:pPr>
            <w:r w:rsidRPr="006C5F60">
              <w:rPr>
                <w:rFonts w:cs="Arial"/>
                <w:sz w:val="12"/>
                <w:szCs w:val="12"/>
              </w:rPr>
              <w:t>139</w:t>
            </w:r>
          </w:p>
        </w:tc>
        <w:tc>
          <w:tcPr>
            <w:tcW w:w="773" w:type="dxa"/>
            <w:vAlign w:val="center"/>
          </w:tcPr>
          <w:p w14:paraId="14C9FF2B" w14:textId="74C5EDE8" w:rsidR="00AA5AC6" w:rsidRPr="006C5F60" w:rsidRDefault="00AA5AC6" w:rsidP="00AA5AC6">
            <w:pPr>
              <w:pStyle w:val="Tabletext"/>
              <w:rPr>
                <w:rFonts w:cs="Arial"/>
                <w:sz w:val="12"/>
                <w:szCs w:val="12"/>
              </w:rPr>
            </w:pPr>
            <w:r w:rsidRPr="006C5F60">
              <w:rPr>
                <w:rFonts w:cs="Arial"/>
                <w:sz w:val="12"/>
                <w:szCs w:val="12"/>
              </w:rPr>
              <w:t>138</w:t>
            </w:r>
          </w:p>
        </w:tc>
      </w:tr>
      <w:tr w:rsidR="00325D71" w:rsidRPr="00325D71" w14:paraId="2C317548" w14:textId="244EDD87" w:rsidTr="0065371B">
        <w:trPr>
          <w:trHeight w:val="307"/>
        </w:trPr>
        <w:tc>
          <w:tcPr>
            <w:tcW w:w="716" w:type="dxa"/>
            <w:shd w:val="clear" w:color="auto" w:fill="auto"/>
            <w:vAlign w:val="center"/>
          </w:tcPr>
          <w:p w14:paraId="58A8123C" w14:textId="76BCCE82" w:rsidR="00AA5AC6" w:rsidRPr="006C5F60" w:rsidRDefault="00AA5AC6" w:rsidP="00AA5AC6">
            <w:pPr>
              <w:pStyle w:val="Tabletext"/>
              <w:rPr>
                <w:rFonts w:cs="Arial"/>
                <w:sz w:val="12"/>
                <w:szCs w:val="12"/>
              </w:rPr>
            </w:pPr>
            <w:r w:rsidRPr="006C5F60">
              <w:rPr>
                <w:rFonts w:cs="Arial"/>
                <w:sz w:val="12"/>
                <w:szCs w:val="12"/>
              </w:rPr>
              <w:t>(95% CI)</w:t>
            </w:r>
          </w:p>
        </w:tc>
        <w:tc>
          <w:tcPr>
            <w:tcW w:w="773" w:type="dxa"/>
            <w:shd w:val="clear" w:color="auto" w:fill="auto"/>
            <w:vAlign w:val="center"/>
          </w:tcPr>
          <w:p w14:paraId="682ED083" w14:textId="734C83C7" w:rsidR="00AA5AC6" w:rsidRPr="006C5F60" w:rsidRDefault="00AA5AC6" w:rsidP="00AA5AC6">
            <w:pPr>
              <w:pStyle w:val="Tabletext"/>
              <w:rPr>
                <w:rFonts w:cs="Arial"/>
                <w:sz w:val="12"/>
                <w:szCs w:val="12"/>
              </w:rPr>
            </w:pPr>
            <w:r w:rsidRPr="006C5F60">
              <w:rPr>
                <w:rFonts w:cs="Arial"/>
                <w:sz w:val="12"/>
                <w:szCs w:val="12"/>
              </w:rPr>
              <w:t>(170–177)</w:t>
            </w:r>
          </w:p>
        </w:tc>
        <w:tc>
          <w:tcPr>
            <w:tcW w:w="773" w:type="dxa"/>
            <w:shd w:val="clear" w:color="auto" w:fill="auto"/>
            <w:vAlign w:val="center"/>
          </w:tcPr>
          <w:p w14:paraId="42D05CB1" w14:textId="30852711" w:rsidR="00AA5AC6" w:rsidRPr="006C5F60" w:rsidRDefault="00AA5AC6" w:rsidP="00AA5AC6">
            <w:pPr>
              <w:pStyle w:val="Tabletext"/>
              <w:rPr>
                <w:rFonts w:cs="Arial"/>
                <w:sz w:val="12"/>
                <w:szCs w:val="12"/>
              </w:rPr>
            </w:pPr>
            <w:r w:rsidRPr="006C5F60">
              <w:rPr>
                <w:rFonts w:cs="Arial"/>
                <w:sz w:val="12"/>
                <w:szCs w:val="12"/>
              </w:rPr>
              <w:t>(166–173)</w:t>
            </w:r>
          </w:p>
        </w:tc>
        <w:tc>
          <w:tcPr>
            <w:tcW w:w="773" w:type="dxa"/>
            <w:shd w:val="clear" w:color="auto" w:fill="auto"/>
            <w:vAlign w:val="center"/>
          </w:tcPr>
          <w:p w14:paraId="4E80C46C" w14:textId="02B9EF93" w:rsidR="00AA5AC6" w:rsidRPr="006C5F60" w:rsidRDefault="00AA5AC6" w:rsidP="00AA5AC6">
            <w:pPr>
              <w:pStyle w:val="Tabletext"/>
              <w:rPr>
                <w:rFonts w:cs="Arial"/>
                <w:sz w:val="12"/>
                <w:szCs w:val="12"/>
              </w:rPr>
            </w:pPr>
            <w:r w:rsidRPr="006C5F60">
              <w:rPr>
                <w:rFonts w:cs="Arial"/>
                <w:sz w:val="12"/>
                <w:szCs w:val="12"/>
              </w:rPr>
              <w:t>(162–169)</w:t>
            </w:r>
          </w:p>
        </w:tc>
        <w:tc>
          <w:tcPr>
            <w:tcW w:w="773" w:type="dxa"/>
            <w:shd w:val="clear" w:color="auto" w:fill="auto"/>
            <w:vAlign w:val="center"/>
          </w:tcPr>
          <w:p w14:paraId="3CFC4012" w14:textId="75B8F49F" w:rsidR="00AA5AC6" w:rsidRPr="006C5F60" w:rsidRDefault="00AA5AC6" w:rsidP="00AA5AC6">
            <w:pPr>
              <w:pStyle w:val="Tabletext"/>
              <w:rPr>
                <w:rFonts w:cs="Arial"/>
                <w:sz w:val="12"/>
                <w:szCs w:val="12"/>
              </w:rPr>
            </w:pPr>
            <w:r w:rsidRPr="006C5F60">
              <w:rPr>
                <w:rFonts w:cs="Arial"/>
                <w:sz w:val="12"/>
                <w:szCs w:val="12"/>
              </w:rPr>
              <w:t>(161–167)</w:t>
            </w:r>
          </w:p>
        </w:tc>
        <w:tc>
          <w:tcPr>
            <w:tcW w:w="773" w:type="dxa"/>
            <w:shd w:val="clear" w:color="auto" w:fill="auto"/>
            <w:vAlign w:val="center"/>
          </w:tcPr>
          <w:p w14:paraId="3432CE67" w14:textId="2ED9DFB4" w:rsidR="00AA5AC6" w:rsidRPr="006C5F60" w:rsidRDefault="00AA5AC6" w:rsidP="00AA5AC6">
            <w:pPr>
              <w:pStyle w:val="Tabletext"/>
              <w:rPr>
                <w:rFonts w:cs="Arial"/>
                <w:sz w:val="12"/>
                <w:szCs w:val="12"/>
              </w:rPr>
            </w:pPr>
            <w:r w:rsidRPr="006C5F60">
              <w:rPr>
                <w:rFonts w:cs="Arial"/>
                <w:sz w:val="12"/>
                <w:szCs w:val="12"/>
              </w:rPr>
              <w:t>(153–159)</w:t>
            </w:r>
          </w:p>
        </w:tc>
        <w:tc>
          <w:tcPr>
            <w:tcW w:w="773" w:type="dxa"/>
            <w:shd w:val="clear" w:color="auto" w:fill="auto"/>
            <w:vAlign w:val="center"/>
          </w:tcPr>
          <w:p w14:paraId="1C25136C" w14:textId="7F74FD28" w:rsidR="00AA5AC6" w:rsidRPr="006C5F60" w:rsidRDefault="00AA5AC6" w:rsidP="00AA5AC6">
            <w:pPr>
              <w:pStyle w:val="Tabletext"/>
              <w:rPr>
                <w:rFonts w:cs="Arial"/>
                <w:sz w:val="12"/>
                <w:szCs w:val="12"/>
              </w:rPr>
            </w:pPr>
            <w:r w:rsidRPr="006C5F60">
              <w:rPr>
                <w:rFonts w:cs="Arial"/>
                <w:sz w:val="12"/>
                <w:szCs w:val="12"/>
              </w:rPr>
              <w:t>(154–160)</w:t>
            </w:r>
          </w:p>
        </w:tc>
        <w:tc>
          <w:tcPr>
            <w:tcW w:w="773" w:type="dxa"/>
            <w:shd w:val="clear" w:color="auto" w:fill="auto"/>
            <w:vAlign w:val="center"/>
          </w:tcPr>
          <w:p w14:paraId="5566CD15" w14:textId="6D2BCFE3" w:rsidR="00AA5AC6" w:rsidRPr="006C5F60" w:rsidRDefault="00AA5AC6" w:rsidP="00AA5AC6">
            <w:pPr>
              <w:pStyle w:val="Tabletext"/>
              <w:rPr>
                <w:rFonts w:cs="Arial"/>
                <w:sz w:val="12"/>
                <w:szCs w:val="12"/>
              </w:rPr>
            </w:pPr>
            <w:r w:rsidRPr="006C5F60">
              <w:rPr>
                <w:rFonts w:cs="Arial"/>
                <w:sz w:val="12"/>
                <w:szCs w:val="12"/>
              </w:rPr>
              <w:t>(153–158)</w:t>
            </w:r>
          </w:p>
        </w:tc>
        <w:tc>
          <w:tcPr>
            <w:tcW w:w="773" w:type="dxa"/>
            <w:shd w:val="clear" w:color="auto" w:fill="auto"/>
            <w:vAlign w:val="center"/>
          </w:tcPr>
          <w:p w14:paraId="359EE7DA" w14:textId="1FC60338" w:rsidR="00AA5AC6" w:rsidRPr="006C5F60" w:rsidRDefault="00AA5AC6" w:rsidP="00AA5AC6">
            <w:pPr>
              <w:pStyle w:val="Tabletext"/>
              <w:rPr>
                <w:rFonts w:cs="Arial"/>
                <w:sz w:val="12"/>
                <w:szCs w:val="12"/>
              </w:rPr>
            </w:pPr>
            <w:r w:rsidRPr="006C5F60">
              <w:rPr>
                <w:rFonts w:cs="Arial"/>
                <w:sz w:val="12"/>
                <w:szCs w:val="12"/>
              </w:rPr>
              <w:t>(144–150)</w:t>
            </w:r>
          </w:p>
        </w:tc>
        <w:tc>
          <w:tcPr>
            <w:tcW w:w="773" w:type="dxa"/>
            <w:vAlign w:val="center"/>
          </w:tcPr>
          <w:p w14:paraId="18BD2B33" w14:textId="2BCE7811" w:rsidR="00AA5AC6" w:rsidRPr="006C5F60" w:rsidRDefault="00AA5AC6" w:rsidP="00AA5AC6">
            <w:pPr>
              <w:pStyle w:val="Tabletext"/>
              <w:rPr>
                <w:rFonts w:cs="Arial"/>
                <w:sz w:val="12"/>
                <w:szCs w:val="12"/>
              </w:rPr>
            </w:pPr>
            <w:r w:rsidRPr="006C5F60">
              <w:rPr>
                <w:rFonts w:cs="Arial"/>
                <w:sz w:val="12"/>
                <w:szCs w:val="12"/>
              </w:rPr>
              <w:t>(142–147)</w:t>
            </w:r>
          </w:p>
        </w:tc>
        <w:tc>
          <w:tcPr>
            <w:tcW w:w="773" w:type="dxa"/>
            <w:vAlign w:val="center"/>
          </w:tcPr>
          <w:p w14:paraId="4D03492E" w14:textId="1B43A795" w:rsidR="00AA5AC6" w:rsidRPr="006C5F60" w:rsidRDefault="00AA5AC6" w:rsidP="00AA5AC6">
            <w:pPr>
              <w:pStyle w:val="Tabletext"/>
              <w:rPr>
                <w:rFonts w:cs="Arial"/>
                <w:sz w:val="12"/>
                <w:szCs w:val="12"/>
              </w:rPr>
            </w:pPr>
            <w:r w:rsidRPr="006C5F60">
              <w:rPr>
                <w:rFonts w:cs="Arial"/>
                <w:sz w:val="12"/>
                <w:szCs w:val="12"/>
              </w:rPr>
              <w:t>(141–147)</w:t>
            </w:r>
          </w:p>
        </w:tc>
        <w:tc>
          <w:tcPr>
            <w:tcW w:w="773" w:type="dxa"/>
            <w:vAlign w:val="center"/>
          </w:tcPr>
          <w:p w14:paraId="7F8D6C0B" w14:textId="3C81C1F3" w:rsidR="00AA5AC6" w:rsidRPr="006C5F60" w:rsidRDefault="00AA5AC6" w:rsidP="00AA5AC6">
            <w:pPr>
              <w:pStyle w:val="Tabletext"/>
              <w:rPr>
                <w:rFonts w:cs="Arial"/>
                <w:sz w:val="12"/>
                <w:szCs w:val="12"/>
              </w:rPr>
            </w:pPr>
            <w:r w:rsidRPr="006C5F60">
              <w:rPr>
                <w:rFonts w:cs="Arial"/>
                <w:sz w:val="12"/>
                <w:szCs w:val="12"/>
              </w:rPr>
              <w:t>(136–141)</w:t>
            </w:r>
          </w:p>
        </w:tc>
        <w:tc>
          <w:tcPr>
            <w:tcW w:w="773" w:type="dxa"/>
            <w:vAlign w:val="center"/>
          </w:tcPr>
          <w:p w14:paraId="009553C5" w14:textId="7E6248CC" w:rsidR="00AA5AC6" w:rsidRPr="006C5F60" w:rsidRDefault="00AA5AC6" w:rsidP="00AA5AC6">
            <w:pPr>
              <w:pStyle w:val="Tabletext"/>
              <w:rPr>
                <w:rFonts w:cs="Arial"/>
                <w:sz w:val="12"/>
                <w:szCs w:val="12"/>
              </w:rPr>
            </w:pPr>
            <w:r w:rsidRPr="006C5F60">
              <w:rPr>
                <w:rFonts w:cs="Arial"/>
                <w:sz w:val="12"/>
                <w:szCs w:val="12"/>
              </w:rPr>
              <w:t>(136–141)</w:t>
            </w:r>
          </w:p>
        </w:tc>
      </w:tr>
    </w:tbl>
    <w:p w14:paraId="4E9F8723" w14:textId="03C3B291" w:rsidR="006E6C00" w:rsidRPr="00BF58E3" w:rsidRDefault="00BD7580" w:rsidP="00BD7580">
      <w:pPr>
        <w:pStyle w:val="Tablefigurenote"/>
        <w:rPr>
          <w:i/>
          <w:iCs/>
          <w:sz w:val="18"/>
          <w:szCs w:val="18"/>
        </w:rPr>
      </w:pPr>
      <w:r w:rsidRPr="00BF58E3">
        <w:rPr>
          <w:i/>
          <w:iCs/>
          <w:sz w:val="18"/>
          <w:szCs w:val="18"/>
        </w:rPr>
        <w:t>ASR = age-standardised rate</w:t>
      </w:r>
    </w:p>
    <w:p w14:paraId="5D61570A" w14:textId="4F53A556" w:rsidR="006E6C00" w:rsidRPr="00BF58E3" w:rsidRDefault="006E6C00" w:rsidP="00DF6BF5">
      <w:pPr>
        <w:pStyle w:val="Figurecaption"/>
        <w:rPr>
          <w:sz w:val="20"/>
        </w:rPr>
      </w:pPr>
      <w:bookmarkStart w:id="228" w:name="_Toc19008028"/>
      <w:bookmarkStart w:id="229" w:name="_Toc19008282"/>
      <w:bookmarkStart w:id="230" w:name="_Toc19008429"/>
      <w:bookmarkStart w:id="231" w:name="_Toc19008576"/>
      <w:bookmarkStart w:id="232" w:name="_Toc132553007"/>
      <w:bookmarkStart w:id="233" w:name="_Toc140827614"/>
      <w:bookmarkStart w:id="234" w:name="_Hlk117513252"/>
      <w:r w:rsidRPr="00BF58E3">
        <w:rPr>
          <w:sz w:val="20"/>
        </w:rPr>
        <w:t xml:space="preserve">Figure </w:t>
      </w:r>
      <w:r w:rsidR="009C627F" w:rsidRPr="00BF58E3">
        <w:rPr>
          <w:sz w:val="20"/>
        </w:rPr>
        <w:t>2.1.2</w:t>
      </w:r>
      <w:r w:rsidR="003B391F" w:rsidRPr="00BF58E3">
        <w:rPr>
          <w:sz w:val="20"/>
        </w:rPr>
        <w:t>:</w:t>
      </w:r>
      <w:r w:rsidR="009C627F" w:rsidRPr="00BF58E3">
        <w:rPr>
          <w:sz w:val="20"/>
        </w:rPr>
        <w:t xml:space="preserve"> </w:t>
      </w:r>
      <w:r w:rsidRPr="00BF58E3">
        <w:rPr>
          <w:sz w:val="20"/>
        </w:rPr>
        <w:t>Forest plots comparing the age-adjusted mortality</w:t>
      </w:r>
      <w:r w:rsidR="00266EC2" w:rsidRPr="00BF58E3">
        <w:rPr>
          <w:sz w:val="20"/>
        </w:rPr>
        <w:t xml:space="preserve"> (death)</w:t>
      </w:r>
      <w:r w:rsidRPr="00BF58E3">
        <w:rPr>
          <w:sz w:val="20"/>
        </w:rPr>
        <w:t xml:space="preserve"> rates (and 95% confidence intervals) for deaths by all cancers in the baseline year (2010) and the most recent year where mortality data is available (20</w:t>
      </w:r>
      <w:r w:rsidR="00DE4553" w:rsidRPr="00BF58E3">
        <w:rPr>
          <w:sz w:val="20"/>
        </w:rPr>
        <w:t>2</w:t>
      </w:r>
      <w:r w:rsidR="00D55B47" w:rsidRPr="00BF58E3">
        <w:rPr>
          <w:sz w:val="20"/>
        </w:rPr>
        <w:t>1</w:t>
      </w:r>
      <w:r w:rsidRPr="00BF58E3">
        <w:rPr>
          <w:sz w:val="20"/>
        </w:rPr>
        <w:t>), standardised to the 2001 Australian population</w:t>
      </w:r>
      <w:bookmarkEnd w:id="228"/>
      <w:bookmarkEnd w:id="229"/>
      <w:bookmarkEnd w:id="230"/>
      <w:bookmarkEnd w:id="231"/>
      <w:bookmarkEnd w:id="232"/>
      <w:bookmarkEnd w:id="233"/>
    </w:p>
    <w:p w14:paraId="11C1699C" w14:textId="6532B0B7" w:rsidR="00D55B47" w:rsidRPr="00D55B47" w:rsidRDefault="00D55B47" w:rsidP="00E87AAA">
      <w:pPr>
        <w:pStyle w:val="Body"/>
      </w:pPr>
      <w:r>
        <w:rPr>
          <w:noProof/>
        </w:rPr>
        <w:drawing>
          <wp:inline distT="0" distB="0" distL="0" distR="0" wp14:anchorId="64B24B26" wp14:editId="23CEC188">
            <wp:extent cx="5763491" cy="5719620"/>
            <wp:effectExtent l="0" t="0" r="8890" b="0"/>
            <wp:docPr id="25" name="Picture 25" descr="This figure shows a data summary of 'Measure 2.1 – Death rate due to cancer'. The data set is available under 'Measure 2.1 – Death rate due to cancer'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his figure shows a data summary of 'Measure 2.1 – Death rate due to cancer'. The data set is available under 'Measure 2.1 – Death rate due to cancer' in a separate volume, the Victorian cancer plan monitoring and evaluation framework: baseline report: Appendix 2: Datasets available on Cancer care &lt;https://www.health.vic.gov.au/health-strategies/cancer-care&gt;."/>
                    <pic:cNvPicPr/>
                  </pic:nvPicPr>
                  <pic:blipFill>
                    <a:blip r:embed="rId58"/>
                    <a:stretch>
                      <a:fillRect/>
                    </a:stretch>
                  </pic:blipFill>
                  <pic:spPr>
                    <a:xfrm>
                      <a:off x="0" y="0"/>
                      <a:ext cx="5806873" cy="5762672"/>
                    </a:xfrm>
                    <a:prstGeom prst="rect">
                      <a:avLst/>
                    </a:prstGeom>
                  </pic:spPr>
                </pic:pic>
              </a:graphicData>
            </a:graphic>
          </wp:inline>
        </w:drawing>
      </w:r>
    </w:p>
    <w:bookmarkEnd w:id="234"/>
    <w:p w14:paraId="7D313E39" w14:textId="67FFDBB6" w:rsidR="0020440A" w:rsidRPr="00F2771C" w:rsidRDefault="0020440A" w:rsidP="00E87AAA">
      <w:pPr>
        <w:pStyle w:val="Body"/>
        <w:rPr>
          <w:i/>
          <w:iCs/>
          <w:sz w:val="18"/>
          <w:szCs w:val="18"/>
        </w:rPr>
      </w:pPr>
      <w:r w:rsidRPr="00F2771C">
        <w:rPr>
          <w:i/>
          <w:iCs/>
          <w:sz w:val="18"/>
          <w:szCs w:val="18"/>
        </w:rPr>
        <w:t>Appendix 2 provides the dataset.</w:t>
      </w:r>
    </w:p>
    <w:p w14:paraId="72B6591D" w14:textId="6DC1A4EF" w:rsidR="001D3FC9" w:rsidRDefault="001D3FC9" w:rsidP="00165441">
      <w:pPr>
        <w:pStyle w:val="Figurecaption"/>
      </w:pPr>
      <w:bookmarkStart w:id="235" w:name="_Toc132553008"/>
      <w:bookmarkStart w:id="236" w:name="_Toc140827615"/>
      <w:r w:rsidRPr="0088715E">
        <w:lastRenderedPageBreak/>
        <w:t>Figure 2.1</w:t>
      </w:r>
      <w:r w:rsidR="006207F5" w:rsidRPr="0088715E">
        <w:t>.3</w:t>
      </w:r>
      <w:r w:rsidR="003B391F">
        <w:t>:</w:t>
      </w:r>
      <w:r w:rsidR="006207F5" w:rsidRPr="0088715E">
        <w:t xml:space="preserve"> </w:t>
      </w:r>
      <w:r w:rsidR="00165441" w:rsidRPr="0088715E">
        <w:t>Victorian d</w:t>
      </w:r>
      <w:r w:rsidR="006207F5" w:rsidRPr="0088715E">
        <w:t>eath rate for all cancers</w:t>
      </w:r>
      <w:r w:rsidR="00165441" w:rsidRPr="0088715E">
        <w:t xml:space="preserve"> combined, by L</w:t>
      </w:r>
      <w:r w:rsidR="00A6119B" w:rsidRPr="0088715E">
        <w:t>GA</w:t>
      </w:r>
      <w:r w:rsidR="00165441" w:rsidRPr="0088715E">
        <w:t>, 201</w:t>
      </w:r>
      <w:r w:rsidR="00DC3B85">
        <w:t>0</w:t>
      </w:r>
      <w:r w:rsidR="007C4649" w:rsidRPr="0088715E">
        <w:t>, 2017 and 202</w:t>
      </w:r>
      <w:r w:rsidR="0088715E" w:rsidRPr="0088715E">
        <w:t>1</w:t>
      </w:r>
      <w:bookmarkEnd w:id="235"/>
      <w:bookmarkEnd w:id="236"/>
    </w:p>
    <w:p w14:paraId="38E1518C" w14:textId="7443C046" w:rsidR="002B0E30" w:rsidRPr="002B0E30" w:rsidRDefault="002B0E30" w:rsidP="002B0E30">
      <w:pPr>
        <w:pStyle w:val="DHHSbody"/>
        <w:jc w:val="center"/>
      </w:pPr>
      <w:r w:rsidRPr="002B0E30">
        <w:rPr>
          <w:noProof/>
        </w:rPr>
        <w:drawing>
          <wp:inline distT="0" distB="0" distL="0" distR="0" wp14:anchorId="66343F0E" wp14:editId="46642849">
            <wp:extent cx="5040086" cy="8156660"/>
            <wp:effectExtent l="0" t="0" r="8255" b="0"/>
            <wp:docPr id="1110205000" name="Picture 1110205000" descr="This figure shows a map of Victoria showing the highest reported death rate for all cancers combined in 2010, 2017 and 2021. The data set is available under 'Measure 2.1 – Death rate due to cancer'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00" name="Picture 1110205000" descr="This figure shows a map of Victoria showing the highest reported death rate for all cancers combined in 2010, 2017 and 2021. The data set is available under 'Measure 2.1 – Death rate due to cancer' in a separate volume, the Victorian cancer plan monitoring and evaluation framework: baseline report: Appendix 2: Datasets available on Cancer care &lt;https://www.health.vic.gov.au/health-strategies/cancer-care&gt;."/>
                    <pic:cNvPicPr/>
                  </pic:nvPicPr>
                  <pic:blipFill>
                    <a:blip r:embed="rId59"/>
                    <a:stretch>
                      <a:fillRect/>
                    </a:stretch>
                  </pic:blipFill>
                  <pic:spPr>
                    <a:xfrm>
                      <a:off x="0" y="0"/>
                      <a:ext cx="5055879" cy="8182219"/>
                    </a:xfrm>
                    <a:prstGeom prst="rect">
                      <a:avLst/>
                    </a:prstGeom>
                  </pic:spPr>
                </pic:pic>
              </a:graphicData>
            </a:graphic>
          </wp:inline>
        </w:drawing>
      </w:r>
    </w:p>
    <w:p w14:paraId="2C1373DF" w14:textId="4F952A30" w:rsidR="002B0E30" w:rsidRPr="002B0E30" w:rsidRDefault="002B0E30" w:rsidP="002B0E30">
      <w:pPr>
        <w:pStyle w:val="DHHSbody"/>
        <w:jc w:val="center"/>
      </w:pPr>
    </w:p>
    <w:p w14:paraId="6ECC373E" w14:textId="0B6A61A6" w:rsidR="0088715E" w:rsidRPr="0088715E" w:rsidRDefault="008C2693" w:rsidP="008C2693">
      <w:pPr>
        <w:pStyle w:val="Body"/>
        <w:jc w:val="center"/>
      </w:pPr>
      <w:r>
        <w:rPr>
          <w:noProof/>
        </w:rPr>
        <mc:AlternateContent>
          <mc:Choice Requires="wps">
            <w:drawing>
              <wp:anchor distT="0" distB="0" distL="114300" distR="114300" simplePos="0" relativeHeight="252109824" behindDoc="0" locked="0" layoutInCell="1" allowOverlap="1" wp14:anchorId="14E51A4C" wp14:editId="0CC0B994">
                <wp:simplePos x="0" y="0"/>
                <wp:positionH relativeFrom="column">
                  <wp:posOffset>3310594</wp:posOffset>
                </wp:positionH>
                <wp:positionV relativeFrom="paragraph">
                  <wp:posOffset>6737823</wp:posOffset>
                </wp:positionV>
                <wp:extent cx="886932" cy="153286"/>
                <wp:effectExtent l="19050" t="57150" r="27940" b="37465"/>
                <wp:wrapNone/>
                <wp:docPr id="240" name="Straight Arrow Connector 240"/>
                <wp:cNvGraphicFramePr/>
                <a:graphic xmlns:a="http://schemas.openxmlformats.org/drawingml/2006/main">
                  <a:graphicData uri="http://schemas.microsoft.com/office/word/2010/wordprocessingShape">
                    <wps:wsp>
                      <wps:cNvCnPr/>
                      <wps:spPr>
                        <a:xfrm flipH="1" flipV="1">
                          <a:off x="0" y="0"/>
                          <a:ext cx="886932" cy="15328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57EFB31" id="_x0000_t32" coordsize="21600,21600" o:spt="32" o:oned="t" path="m,l21600,21600e" filled="f">
                <v:path arrowok="t" fillok="f" o:connecttype="none"/>
                <o:lock v:ext="edit" shapetype="t"/>
              </v:shapetype>
              <v:shape id="Straight Arrow Connector 240" o:spid="_x0000_s1026" type="#_x0000_t32" style="position:absolute;margin-left:260.7pt;margin-top:530.55pt;width:69.85pt;height:12.05pt;flip:x y;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" strokecolor="black [3213]" strokeweight="1pt">
                <v:stroke endarrow="block" joinstyle="miter"/>
              </v:shape>
            </w:pict>
          </mc:Fallback>
        </mc:AlternateContent>
      </w:r>
      <w:r>
        <w:rPr>
          <w:noProof/>
        </w:rPr>
        <mc:AlternateContent>
          <mc:Choice Requires="wps">
            <w:drawing>
              <wp:anchor distT="0" distB="0" distL="114300" distR="114300" simplePos="0" relativeHeight="252113920" behindDoc="0" locked="0" layoutInCell="1" allowOverlap="1" wp14:anchorId="280A8222" wp14:editId="6B681928">
                <wp:simplePos x="0" y="0"/>
                <wp:positionH relativeFrom="column">
                  <wp:posOffset>1061070</wp:posOffset>
                </wp:positionH>
                <wp:positionV relativeFrom="paragraph">
                  <wp:posOffset>6998053</wp:posOffset>
                </wp:positionV>
                <wp:extent cx="202019" cy="1275583"/>
                <wp:effectExtent l="0" t="38100" r="64770" b="20320"/>
                <wp:wrapNone/>
                <wp:docPr id="244" name="Straight Arrow Connector 244"/>
                <wp:cNvGraphicFramePr/>
                <a:graphic xmlns:a="http://schemas.openxmlformats.org/drawingml/2006/main">
                  <a:graphicData uri="http://schemas.microsoft.com/office/word/2010/wordprocessingShape">
                    <wps:wsp>
                      <wps:cNvCnPr/>
                      <wps:spPr>
                        <a:xfrm flipV="1">
                          <a:off x="0" y="0"/>
                          <a:ext cx="202019" cy="127558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0F56D8" id="Straight Arrow Connector 244" o:spid="_x0000_s1026" type="#_x0000_t32" style="position:absolute;margin-left:83.55pt;margin-top:551.05pt;width:15.9pt;height:100.45pt;flip:y;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" strokecolor="black [3213]" strokeweight="1pt">
                <v:stroke endarrow="block" joinstyle="miter"/>
              </v:shape>
            </w:pict>
          </mc:Fallback>
        </mc:AlternateContent>
      </w:r>
      <w:r>
        <w:rPr>
          <w:noProof/>
        </w:rPr>
        <mc:AlternateContent>
          <mc:Choice Requires="wps">
            <w:drawing>
              <wp:anchor distT="45720" distB="45720" distL="114300" distR="114300" simplePos="0" relativeHeight="252111872" behindDoc="0" locked="0" layoutInCell="1" allowOverlap="1" wp14:anchorId="0F25A0D9" wp14:editId="4C1B54CF">
                <wp:simplePos x="0" y="0"/>
                <wp:positionH relativeFrom="margin">
                  <wp:align>right</wp:align>
                </wp:positionH>
                <wp:positionV relativeFrom="paragraph">
                  <wp:posOffset>6639766</wp:posOffset>
                </wp:positionV>
                <wp:extent cx="1647825" cy="1404620"/>
                <wp:effectExtent l="0" t="0" r="9525" b="635"/>
                <wp:wrapNone/>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1404620"/>
                        </a:xfrm>
                        <a:prstGeom prst="rect">
                          <a:avLst/>
                        </a:prstGeom>
                        <a:solidFill>
                          <a:srgbClr val="FFFFFF"/>
                        </a:solidFill>
                        <a:ln w="9525">
                          <a:noFill/>
                          <a:miter lim="800000"/>
                          <a:headEnd/>
                          <a:tailEnd/>
                        </a:ln>
                      </wps:spPr>
                      <wps:txbx>
                        <w:txbxContent>
                          <w:p w14:paraId="43629E93" w14:textId="0ACB7FF2" w:rsidR="00E51B61" w:rsidRPr="00701170" w:rsidRDefault="00E51B61" w:rsidP="00E51B61">
                            <w:pPr>
                              <w:rPr>
                                <w:rFonts w:ascii="Arial" w:hAnsi="Arial" w:cs="Arial"/>
                                <w:sz w:val="18"/>
                                <w:szCs w:val="18"/>
                              </w:rPr>
                            </w:pPr>
                            <w:r>
                              <w:rPr>
                                <w:rFonts w:ascii="Arial" w:hAnsi="Arial" w:cs="Arial"/>
                                <w:sz w:val="18"/>
                                <w:szCs w:val="18"/>
                              </w:rPr>
                              <w:t>Queenscliffe Borough</w:t>
                            </w:r>
                            <w:r w:rsidRPr="00701170">
                              <w:rPr>
                                <w:rFonts w:ascii="Arial" w:hAnsi="Arial" w:cs="Arial"/>
                                <w:sz w:val="18"/>
                                <w:szCs w:val="18"/>
                              </w:rPr>
                              <w:t xml:space="preserve"> Council (lowest</w:t>
                            </w:r>
                            <w:r>
                              <w:rPr>
                                <w:rFonts w:ascii="Arial" w:hAnsi="Arial" w:cs="Arial"/>
                                <w:sz w:val="18"/>
                                <w:szCs w:val="18"/>
                              </w:rPr>
                              <w:t xml:space="preserve"> reported rate, 94 per 100,000 pop)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F25A0D9" id="_x0000_t202" coordsize="21600,21600" o:spt="202" path="m,l,21600r21600,l21600,xe">
                <v:stroke joinstyle="miter"/>
                <v:path gradientshapeok="t" o:connecttype="rect"/>
              </v:shapetype>
              <v:shape id="Text Box 2" o:spid="_x0000_s1026" type="#_x0000_t202" style="position:absolute;left:0;text-align:left;margin-left:78.55pt;margin-top:522.8pt;width:129.75pt;height:110.6pt;z-index:25211187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" stroked="f">
                <v:textbox style="mso-fit-shape-to-text:t">
                  <w:txbxContent>
                    <w:p w14:paraId="43629E93" w14:textId="0ACB7FF2" w:rsidR="00E51B61" w:rsidRPr="00701170" w:rsidRDefault="00E51B61" w:rsidP="00E51B61">
                      <w:pPr>
                        <w:rPr>
                          <w:rFonts w:ascii="Arial" w:hAnsi="Arial" w:cs="Arial"/>
                          <w:sz w:val="18"/>
                          <w:szCs w:val="18"/>
                        </w:rPr>
                      </w:pPr>
                      <w:r>
                        <w:rPr>
                          <w:rFonts w:ascii="Arial" w:hAnsi="Arial" w:cs="Arial"/>
                          <w:sz w:val="18"/>
                          <w:szCs w:val="18"/>
                        </w:rPr>
                        <w:t>Queenscliffe Borough</w:t>
                      </w:r>
                      <w:r w:rsidRPr="00701170">
                        <w:rPr>
                          <w:rFonts w:ascii="Arial" w:hAnsi="Arial" w:cs="Arial"/>
                          <w:sz w:val="18"/>
                          <w:szCs w:val="18"/>
                        </w:rPr>
                        <w:t xml:space="preserve"> Council (lowest</w:t>
                      </w:r>
                      <w:r>
                        <w:rPr>
                          <w:rFonts w:ascii="Arial" w:hAnsi="Arial" w:cs="Arial"/>
                          <w:sz w:val="18"/>
                          <w:szCs w:val="18"/>
                        </w:rPr>
                        <w:t xml:space="preserve"> reported rate, 94 per 100,000 pop)</w:t>
                      </w:r>
                    </w:p>
                  </w:txbxContent>
                </v:textbox>
                <w10:wrap anchorx="margin"/>
              </v:shape>
            </w:pict>
          </mc:Fallback>
        </mc:AlternateContent>
      </w:r>
      <w:r>
        <w:rPr>
          <w:noProof/>
        </w:rPr>
        <mc:AlternateContent>
          <mc:Choice Requires="wps">
            <w:drawing>
              <wp:anchor distT="0" distB="0" distL="114300" distR="114300" simplePos="0" relativeHeight="252105728" behindDoc="0" locked="0" layoutInCell="1" allowOverlap="1" wp14:anchorId="4AE136B7" wp14:editId="0E9B9BA4">
                <wp:simplePos x="0" y="0"/>
                <wp:positionH relativeFrom="column">
                  <wp:posOffset>1018540</wp:posOffset>
                </wp:positionH>
                <wp:positionV relativeFrom="paragraph">
                  <wp:posOffset>4201692</wp:posOffset>
                </wp:positionV>
                <wp:extent cx="77647" cy="1232874"/>
                <wp:effectExtent l="76200" t="38100" r="36830" b="24765"/>
                <wp:wrapNone/>
                <wp:docPr id="227" name="Straight Arrow Connector 227"/>
                <wp:cNvGraphicFramePr/>
                <a:graphic xmlns:a="http://schemas.openxmlformats.org/drawingml/2006/main">
                  <a:graphicData uri="http://schemas.microsoft.com/office/word/2010/wordprocessingShape">
                    <wps:wsp>
                      <wps:cNvCnPr/>
                      <wps:spPr>
                        <a:xfrm flipH="1" flipV="1">
                          <a:off x="0" y="0"/>
                          <a:ext cx="77647" cy="123287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EF84B2" id="Straight Arrow Connector 227" o:spid="_x0000_s1026" type="#_x0000_t32" style="position:absolute;margin-left:80.2pt;margin-top:330.85pt;width:6.1pt;height:97.1pt;flip:x y;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" strokecolor="black [3213]" strokeweight="1pt">
                <v:stroke endarrow="block" joinstyle="miter"/>
              </v:shape>
            </w:pict>
          </mc:Fallback>
        </mc:AlternateContent>
      </w:r>
      <w:r>
        <w:rPr>
          <w:noProof/>
        </w:rPr>
        <mc:AlternateContent>
          <mc:Choice Requires="wps">
            <w:drawing>
              <wp:anchor distT="45720" distB="45720" distL="114300" distR="114300" simplePos="0" relativeHeight="252103680" behindDoc="0" locked="0" layoutInCell="1" allowOverlap="1" wp14:anchorId="6BFD04F0" wp14:editId="014DDCB6">
                <wp:simplePos x="0" y="0"/>
                <wp:positionH relativeFrom="margin">
                  <wp:align>right</wp:align>
                </wp:positionH>
                <wp:positionV relativeFrom="paragraph">
                  <wp:posOffset>4461170</wp:posOffset>
                </wp:positionV>
                <wp:extent cx="1628775" cy="1404620"/>
                <wp:effectExtent l="0" t="0" r="9525" b="63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404620"/>
                        </a:xfrm>
                        <a:prstGeom prst="rect">
                          <a:avLst/>
                        </a:prstGeom>
                        <a:solidFill>
                          <a:srgbClr val="FFFFFF"/>
                        </a:solidFill>
                        <a:ln w="9525">
                          <a:noFill/>
                          <a:miter lim="800000"/>
                          <a:headEnd/>
                          <a:tailEnd/>
                        </a:ln>
                      </wps:spPr>
                      <wps:txbx>
                        <w:txbxContent>
                          <w:p w14:paraId="0A3A0680" w14:textId="7B8C4549" w:rsidR="00E51B61" w:rsidRPr="00701170" w:rsidRDefault="00E51B61" w:rsidP="00E51B61">
                            <w:pPr>
                              <w:rPr>
                                <w:rFonts w:ascii="Arial" w:hAnsi="Arial" w:cs="Arial"/>
                                <w:sz w:val="18"/>
                                <w:szCs w:val="18"/>
                              </w:rPr>
                            </w:pPr>
                            <w:r>
                              <w:rPr>
                                <w:rFonts w:ascii="Arial" w:hAnsi="Arial" w:cs="Arial"/>
                                <w:sz w:val="18"/>
                                <w:szCs w:val="18"/>
                              </w:rPr>
                              <w:t>Queenscliffe Borough</w:t>
                            </w:r>
                            <w:r w:rsidRPr="00701170">
                              <w:rPr>
                                <w:rFonts w:ascii="Arial" w:hAnsi="Arial" w:cs="Arial"/>
                                <w:sz w:val="18"/>
                                <w:szCs w:val="18"/>
                              </w:rPr>
                              <w:t xml:space="preserve"> Council (lowest</w:t>
                            </w:r>
                            <w:r>
                              <w:rPr>
                                <w:rFonts w:ascii="Arial" w:hAnsi="Arial" w:cs="Arial"/>
                                <w:sz w:val="18"/>
                                <w:szCs w:val="18"/>
                              </w:rPr>
                              <w:t xml:space="preserve"> reported rate, 61 per 100,000 pop)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FD04F0" id="_x0000_s1027" type="#_x0000_t202" style="position:absolute;left:0;text-align:left;margin-left:77.05pt;margin-top:351.25pt;width:128.25pt;height:110.6pt;z-index:25210368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" stroked="f">
                <v:textbox style="mso-fit-shape-to-text:t">
                  <w:txbxContent>
                    <w:p w14:paraId="0A3A0680" w14:textId="7B8C4549" w:rsidR="00E51B61" w:rsidRPr="00701170" w:rsidRDefault="00E51B61" w:rsidP="00E51B61">
                      <w:pPr>
                        <w:rPr>
                          <w:rFonts w:ascii="Arial" w:hAnsi="Arial" w:cs="Arial"/>
                          <w:sz w:val="18"/>
                          <w:szCs w:val="18"/>
                        </w:rPr>
                      </w:pPr>
                      <w:r>
                        <w:rPr>
                          <w:rFonts w:ascii="Arial" w:hAnsi="Arial" w:cs="Arial"/>
                          <w:sz w:val="18"/>
                          <w:szCs w:val="18"/>
                        </w:rPr>
                        <w:t>Queenscliffe Borough</w:t>
                      </w:r>
                      <w:r w:rsidRPr="00701170">
                        <w:rPr>
                          <w:rFonts w:ascii="Arial" w:hAnsi="Arial" w:cs="Arial"/>
                          <w:sz w:val="18"/>
                          <w:szCs w:val="18"/>
                        </w:rPr>
                        <w:t xml:space="preserve"> Council (lowest</w:t>
                      </w:r>
                      <w:r>
                        <w:rPr>
                          <w:rFonts w:ascii="Arial" w:hAnsi="Arial" w:cs="Arial"/>
                          <w:sz w:val="18"/>
                          <w:szCs w:val="18"/>
                        </w:rPr>
                        <w:t xml:space="preserve"> reported rate, 61 per 100,000 pop)</w:t>
                      </w:r>
                    </w:p>
                  </w:txbxContent>
                </v:textbox>
                <w10:wrap anchorx="margin"/>
              </v:shape>
            </w:pict>
          </mc:Fallback>
        </mc:AlternateContent>
      </w:r>
      <w:r>
        <w:rPr>
          <w:noProof/>
        </w:rPr>
        <mc:AlternateContent>
          <mc:Choice Requires="wps">
            <w:drawing>
              <wp:anchor distT="0" distB="0" distL="114300" distR="114300" simplePos="0" relativeHeight="252101632" behindDoc="0" locked="0" layoutInCell="1" allowOverlap="1" wp14:anchorId="701480DB" wp14:editId="6DE70174">
                <wp:simplePos x="0" y="0"/>
                <wp:positionH relativeFrom="column">
                  <wp:posOffset>3366710</wp:posOffset>
                </wp:positionH>
                <wp:positionV relativeFrom="paragraph">
                  <wp:posOffset>3841410</wp:posOffset>
                </wp:positionV>
                <wp:extent cx="1057275" cy="571500"/>
                <wp:effectExtent l="38100" t="38100" r="28575" b="19050"/>
                <wp:wrapNone/>
                <wp:docPr id="23" name="Straight Arrow Connector 23"/>
                <wp:cNvGraphicFramePr/>
                <a:graphic xmlns:a="http://schemas.openxmlformats.org/drawingml/2006/main">
                  <a:graphicData uri="http://schemas.microsoft.com/office/word/2010/wordprocessingShape">
                    <wps:wsp>
                      <wps:cNvCnPr/>
                      <wps:spPr>
                        <a:xfrm flipH="1" flipV="1">
                          <a:off x="0" y="0"/>
                          <a:ext cx="1057275" cy="5715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BDEEA3" id="Straight Arrow Connector 23" o:spid="_x0000_s1026" type="#_x0000_t32" style="position:absolute;margin-left:265.1pt;margin-top:302.45pt;width:83.25pt;height:45pt;flip:x y;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" strokecolor="black [3213]" strokeweight="1pt">
                <v:stroke endarrow="block" joinstyle="miter"/>
              </v:shape>
            </w:pict>
          </mc:Fallback>
        </mc:AlternateContent>
      </w:r>
      <w:r>
        <w:rPr>
          <w:noProof/>
        </w:rPr>
        <mc:AlternateContent>
          <mc:Choice Requires="wps">
            <w:drawing>
              <wp:anchor distT="0" distB="0" distL="114300" distR="114300" simplePos="0" relativeHeight="252093440" behindDoc="0" locked="0" layoutInCell="1" allowOverlap="1" wp14:anchorId="3D3C63D0" wp14:editId="5B51732C">
                <wp:simplePos x="0" y="0"/>
                <wp:positionH relativeFrom="column">
                  <wp:posOffset>1188661</wp:posOffset>
                </wp:positionH>
                <wp:positionV relativeFrom="paragraph">
                  <wp:posOffset>1958221</wp:posOffset>
                </wp:positionV>
                <wp:extent cx="170121" cy="577244"/>
                <wp:effectExtent l="0" t="38100" r="59055" b="13335"/>
                <wp:wrapNone/>
                <wp:docPr id="17" name="Straight Arrow Connector 17"/>
                <wp:cNvGraphicFramePr/>
                <a:graphic xmlns:a="http://schemas.openxmlformats.org/drawingml/2006/main">
                  <a:graphicData uri="http://schemas.microsoft.com/office/word/2010/wordprocessingShape">
                    <wps:wsp>
                      <wps:cNvCnPr/>
                      <wps:spPr>
                        <a:xfrm flipV="1">
                          <a:off x="0" y="0"/>
                          <a:ext cx="170121" cy="57724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BF0565" id="Straight Arrow Connector 17" o:spid="_x0000_s1026" type="#_x0000_t32" style="position:absolute;margin-left:93.6pt;margin-top:154.2pt;width:13.4pt;height:45.45pt;flip:y;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" strokecolor="black [3213]" strokeweight="1pt">
                <v:stroke endarrow="block" joinstyle="miter"/>
              </v:shape>
            </w:pict>
          </mc:Fallback>
        </mc:AlternateContent>
      </w:r>
      <w:r>
        <w:rPr>
          <w:noProof/>
        </w:rPr>
        <mc:AlternateContent>
          <mc:Choice Requires="wps">
            <w:drawing>
              <wp:anchor distT="0" distB="0" distL="114300" distR="114300" simplePos="0" relativeHeight="252099584" behindDoc="0" locked="0" layoutInCell="1" allowOverlap="1" wp14:anchorId="32E52E0C" wp14:editId="327C34BC">
                <wp:simplePos x="0" y="0"/>
                <wp:positionH relativeFrom="column">
                  <wp:posOffset>2654064</wp:posOffset>
                </wp:positionH>
                <wp:positionV relativeFrom="paragraph">
                  <wp:posOffset>1782607</wp:posOffset>
                </wp:positionV>
                <wp:extent cx="1056300" cy="487500"/>
                <wp:effectExtent l="38100" t="38100" r="29845" b="27305"/>
                <wp:wrapNone/>
                <wp:docPr id="21" name="Straight Arrow Connector 21"/>
                <wp:cNvGraphicFramePr/>
                <a:graphic xmlns:a="http://schemas.openxmlformats.org/drawingml/2006/main">
                  <a:graphicData uri="http://schemas.microsoft.com/office/word/2010/wordprocessingShape">
                    <wps:wsp>
                      <wps:cNvCnPr/>
                      <wps:spPr>
                        <a:xfrm flipH="1" flipV="1">
                          <a:off x="0" y="0"/>
                          <a:ext cx="1056300" cy="4875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B1E9D7" id="Straight Arrow Connector 21" o:spid="_x0000_s1026" type="#_x0000_t32" style="position:absolute;margin-left:209pt;margin-top:140.35pt;width:83.15pt;height:38.4pt;flip:x y;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" strokecolor="black [3213]" strokeweight="1pt">
                <v:stroke endarrow="block" joinstyle="miter"/>
              </v:shape>
            </w:pict>
          </mc:Fallback>
        </mc:AlternateContent>
      </w:r>
      <w:r w:rsidR="00D80F92">
        <w:rPr>
          <w:noProof/>
        </w:rPr>
        <mc:AlternateContent>
          <mc:Choice Requires="wps">
            <w:drawing>
              <wp:anchor distT="45720" distB="45720" distL="114300" distR="114300" simplePos="0" relativeHeight="252107776" behindDoc="0" locked="0" layoutInCell="1" allowOverlap="1" wp14:anchorId="552D2E66" wp14:editId="67A164A1">
                <wp:simplePos x="0" y="0"/>
                <wp:positionH relativeFrom="page">
                  <wp:posOffset>1257300</wp:posOffset>
                </wp:positionH>
                <wp:positionV relativeFrom="paragraph">
                  <wp:posOffset>5464868</wp:posOffset>
                </wp:positionV>
                <wp:extent cx="2015490" cy="1404620"/>
                <wp:effectExtent l="0" t="0" r="3810" b="0"/>
                <wp:wrapNone/>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5490" cy="1404620"/>
                        </a:xfrm>
                        <a:prstGeom prst="rect">
                          <a:avLst/>
                        </a:prstGeom>
                        <a:solidFill>
                          <a:srgbClr val="FFFFFF"/>
                        </a:solidFill>
                        <a:ln w="9525">
                          <a:noFill/>
                          <a:miter lim="800000"/>
                          <a:headEnd/>
                          <a:tailEnd/>
                        </a:ln>
                      </wps:spPr>
                      <wps:txbx>
                        <w:txbxContent>
                          <w:p w14:paraId="1F134EA2" w14:textId="70F5D3A0" w:rsidR="00E51B61" w:rsidRPr="00701170" w:rsidRDefault="00E51B61" w:rsidP="00E51B61">
                            <w:pPr>
                              <w:rPr>
                                <w:rFonts w:ascii="Arial" w:hAnsi="Arial" w:cs="Arial"/>
                                <w:sz w:val="18"/>
                                <w:szCs w:val="18"/>
                              </w:rPr>
                            </w:pPr>
                            <w:r>
                              <w:rPr>
                                <w:rFonts w:ascii="Arial" w:hAnsi="Arial" w:cs="Arial"/>
                                <w:sz w:val="18"/>
                                <w:szCs w:val="18"/>
                              </w:rPr>
                              <w:t>Hindmarsh Shire</w:t>
                            </w:r>
                            <w:r w:rsidRPr="00701170">
                              <w:rPr>
                                <w:rFonts w:ascii="Arial" w:hAnsi="Arial" w:cs="Arial"/>
                                <w:sz w:val="18"/>
                                <w:szCs w:val="18"/>
                              </w:rPr>
                              <w:t xml:space="preserve"> Council (</w:t>
                            </w:r>
                            <w:r>
                              <w:rPr>
                                <w:rFonts w:ascii="Arial" w:hAnsi="Arial" w:cs="Arial"/>
                                <w:sz w:val="18"/>
                                <w:szCs w:val="18"/>
                              </w:rPr>
                              <w:t>high</w:t>
                            </w:r>
                            <w:r w:rsidRPr="00701170">
                              <w:rPr>
                                <w:rFonts w:ascii="Arial" w:hAnsi="Arial" w:cs="Arial"/>
                                <w:sz w:val="18"/>
                                <w:szCs w:val="18"/>
                              </w:rPr>
                              <w:t>est</w:t>
                            </w:r>
                            <w:r>
                              <w:rPr>
                                <w:rFonts w:ascii="Arial" w:hAnsi="Arial" w:cs="Arial"/>
                                <w:sz w:val="18"/>
                                <w:szCs w:val="18"/>
                              </w:rPr>
                              <w:t xml:space="preserve"> reported rate, 264 per 100,000 pop)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2D2E66" id="_x0000_s1028" type="#_x0000_t202" style="position:absolute;left:0;text-align:left;margin-left:99pt;margin-top:430.3pt;width:158.7pt;height:110.6pt;z-index:25210777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" stroked="f">
                <v:textbox style="mso-fit-shape-to-text:t">
                  <w:txbxContent>
                    <w:p w14:paraId="1F134EA2" w14:textId="70F5D3A0" w:rsidR="00E51B61" w:rsidRPr="00701170" w:rsidRDefault="00E51B61" w:rsidP="00E51B61">
                      <w:pPr>
                        <w:rPr>
                          <w:rFonts w:ascii="Arial" w:hAnsi="Arial" w:cs="Arial"/>
                          <w:sz w:val="18"/>
                          <w:szCs w:val="18"/>
                        </w:rPr>
                      </w:pPr>
                      <w:r>
                        <w:rPr>
                          <w:rFonts w:ascii="Arial" w:hAnsi="Arial" w:cs="Arial"/>
                          <w:sz w:val="18"/>
                          <w:szCs w:val="18"/>
                        </w:rPr>
                        <w:t>Hindmarsh Shire</w:t>
                      </w:r>
                      <w:r w:rsidRPr="00701170">
                        <w:rPr>
                          <w:rFonts w:ascii="Arial" w:hAnsi="Arial" w:cs="Arial"/>
                          <w:sz w:val="18"/>
                          <w:szCs w:val="18"/>
                        </w:rPr>
                        <w:t xml:space="preserve"> Council (</w:t>
                      </w:r>
                      <w:r>
                        <w:rPr>
                          <w:rFonts w:ascii="Arial" w:hAnsi="Arial" w:cs="Arial"/>
                          <w:sz w:val="18"/>
                          <w:szCs w:val="18"/>
                        </w:rPr>
                        <w:t>high</w:t>
                      </w:r>
                      <w:r w:rsidRPr="00701170">
                        <w:rPr>
                          <w:rFonts w:ascii="Arial" w:hAnsi="Arial" w:cs="Arial"/>
                          <w:sz w:val="18"/>
                          <w:szCs w:val="18"/>
                        </w:rPr>
                        <w:t>est</w:t>
                      </w:r>
                      <w:r>
                        <w:rPr>
                          <w:rFonts w:ascii="Arial" w:hAnsi="Arial" w:cs="Arial"/>
                          <w:sz w:val="18"/>
                          <w:szCs w:val="18"/>
                        </w:rPr>
                        <w:t xml:space="preserve"> reported rate, 264 per 100,000 pop)</w:t>
                      </w:r>
                    </w:p>
                  </w:txbxContent>
                </v:textbox>
                <w10:wrap anchorx="page"/>
              </v:shape>
            </w:pict>
          </mc:Fallback>
        </mc:AlternateContent>
      </w:r>
      <w:r w:rsidR="00DF2F9D">
        <w:rPr>
          <w:noProof/>
        </w:rPr>
        <mc:AlternateContent>
          <mc:Choice Requires="wps">
            <w:drawing>
              <wp:anchor distT="45720" distB="45720" distL="114300" distR="114300" simplePos="0" relativeHeight="252115968" behindDoc="0" locked="0" layoutInCell="1" allowOverlap="1" wp14:anchorId="3BC12558" wp14:editId="5132629E">
                <wp:simplePos x="0" y="0"/>
                <wp:positionH relativeFrom="page">
                  <wp:posOffset>1323340</wp:posOffset>
                </wp:positionH>
                <wp:positionV relativeFrom="paragraph">
                  <wp:posOffset>8274050</wp:posOffset>
                </wp:positionV>
                <wp:extent cx="1415415" cy="1404620"/>
                <wp:effectExtent l="0" t="0" r="0" b="2540"/>
                <wp:wrapNone/>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1404620"/>
                        </a:xfrm>
                        <a:prstGeom prst="rect">
                          <a:avLst/>
                        </a:prstGeom>
                        <a:solidFill>
                          <a:srgbClr val="FFFFFF"/>
                        </a:solidFill>
                        <a:ln w="9525">
                          <a:noFill/>
                          <a:miter lim="800000"/>
                          <a:headEnd/>
                          <a:tailEnd/>
                        </a:ln>
                      </wps:spPr>
                      <wps:txbx>
                        <w:txbxContent>
                          <w:p w14:paraId="105215F4" w14:textId="0BCD52D9" w:rsidR="00A728A0" w:rsidRPr="00701170" w:rsidRDefault="00A728A0" w:rsidP="00A728A0">
                            <w:pPr>
                              <w:rPr>
                                <w:rFonts w:ascii="Arial" w:hAnsi="Arial" w:cs="Arial"/>
                                <w:sz w:val="18"/>
                                <w:szCs w:val="18"/>
                              </w:rPr>
                            </w:pPr>
                            <w:r>
                              <w:rPr>
                                <w:rFonts w:ascii="Arial" w:hAnsi="Arial" w:cs="Arial"/>
                                <w:sz w:val="18"/>
                                <w:szCs w:val="18"/>
                              </w:rPr>
                              <w:t>Yarriambiack Shire</w:t>
                            </w:r>
                            <w:r w:rsidRPr="00701170">
                              <w:rPr>
                                <w:rFonts w:ascii="Arial" w:hAnsi="Arial" w:cs="Arial"/>
                                <w:sz w:val="18"/>
                                <w:szCs w:val="18"/>
                              </w:rPr>
                              <w:t xml:space="preserve"> Council (</w:t>
                            </w:r>
                            <w:r>
                              <w:rPr>
                                <w:rFonts w:ascii="Arial" w:hAnsi="Arial" w:cs="Arial"/>
                                <w:sz w:val="18"/>
                                <w:szCs w:val="18"/>
                              </w:rPr>
                              <w:t>high</w:t>
                            </w:r>
                            <w:r w:rsidRPr="00701170">
                              <w:rPr>
                                <w:rFonts w:ascii="Arial" w:hAnsi="Arial" w:cs="Arial"/>
                                <w:sz w:val="18"/>
                                <w:szCs w:val="18"/>
                              </w:rPr>
                              <w:t>est</w:t>
                            </w:r>
                            <w:r>
                              <w:rPr>
                                <w:rFonts w:ascii="Arial" w:hAnsi="Arial" w:cs="Arial"/>
                                <w:sz w:val="18"/>
                                <w:szCs w:val="18"/>
                              </w:rPr>
                              <w:t xml:space="preserve"> reported rate, 264 per 100,000 pop)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C12558" id="_x0000_s1029" type="#_x0000_t202" style="position:absolute;left:0;text-align:left;margin-left:104.2pt;margin-top:651.5pt;width:111.45pt;height:110.6pt;z-index:25211596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" stroked="f">
                <v:textbox style="mso-fit-shape-to-text:t">
                  <w:txbxContent>
                    <w:p w14:paraId="105215F4" w14:textId="0BCD52D9" w:rsidR="00A728A0" w:rsidRPr="00701170" w:rsidRDefault="00A728A0" w:rsidP="00A728A0">
                      <w:pPr>
                        <w:rPr>
                          <w:rFonts w:ascii="Arial" w:hAnsi="Arial" w:cs="Arial"/>
                          <w:sz w:val="18"/>
                          <w:szCs w:val="18"/>
                        </w:rPr>
                      </w:pPr>
                      <w:r>
                        <w:rPr>
                          <w:rFonts w:ascii="Arial" w:hAnsi="Arial" w:cs="Arial"/>
                          <w:sz w:val="18"/>
                          <w:szCs w:val="18"/>
                        </w:rPr>
                        <w:t>Yarriambiack Shire</w:t>
                      </w:r>
                      <w:r w:rsidRPr="00701170">
                        <w:rPr>
                          <w:rFonts w:ascii="Arial" w:hAnsi="Arial" w:cs="Arial"/>
                          <w:sz w:val="18"/>
                          <w:szCs w:val="18"/>
                        </w:rPr>
                        <w:t xml:space="preserve"> Council (</w:t>
                      </w:r>
                      <w:r>
                        <w:rPr>
                          <w:rFonts w:ascii="Arial" w:hAnsi="Arial" w:cs="Arial"/>
                          <w:sz w:val="18"/>
                          <w:szCs w:val="18"/>
                        </w:rPr>
                        <w:t>high</w:t>
                      </w:r>
                      <w:r w:rsidRPr="00701170">
                        <w:rPr>
                          <w:rFonts w:ascii="Arial" w:hAnsi="Arial" w:cs="Arial"/>
                          <w:sz w:val="18"/>
                          <w:szCs w:val="18"/>
                        </w:rPr>
                        <w:t>est</w:t>
                      </w:r>
                      <w:r>
                        <w:rPr>
                          <w:rFonts w:ascii="Arial" w:hAnsi="Arial" w:cs="Arial"/>
                          <w:sz w:val="18"/>
                          <w:szCs w:val="18"/>
                        </w:rPr>
                        <w:t xml:space="preserve"> reported rate, 264 per 100,000 pop)</w:t>
                      </w:r>
                    </w:p>
                  </w:txbxContent>
                </v:textbox>
                <w10:wrap anchorx="page"/>
              </v:shape>
            </w:pict>
          </mc:Fallback>
        </mc:AlternateContent>
      </w:r>
      <w:r w:rsidR="00DF2F9D">
        <w:rPr>
          <w:noProof/>
        </w:rPr>
        <mc:AlternateContent>
          <mc:Choice Requires="wps">
            <w:drawing>
              <wp:anchor distT="45720" distB="45720" distL="114300" distR="114300" simplePos="0" relativeHeight="252097536" behindDoc="0" locked="0" layoutInCell="1" allowOverlap="1" wp14:anchorId="2CDBC6AF" wp14:editId="61CECD42">
                <wp:simplePos x="0" y="0"/>
                <wp:positionH relativeFrom="margin">
                  <wp:posOffset>180974</wp:posOffset>
                </wp:positionH>
                <wp:positionV relativeFrom="paragraph">
                  <wp:posOffset>2559050</wp:posOffset>
                </wp:positionV>
                <wp:extent cx="2028825" cy="1404620"/>
                <wp:effectExtent l="0" t="0" r="9525"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1404620"/>
                        </a:xfrm>
                        <a:prstGeom prst="rect">
                          <a:avLst/>
                        </a:prstGeom>
                        <a:solidFill>
                          <a:srgbClr val="FFFFFF"/>
                        </a:solidFill>
                        <a:ln w="9525">
                          <a:noFill/>
                          <a:miter lim="800000"/>
                          <a:headEnd/>
                          <a:tailEnd/>
                        </a:ln>
                      </wps:spPr>
                      <wps:txbx>
                        <w:txbxContent>
                          <w:p w14:paraId="1E1313A8" w14:textId="2F68542F" w:rsidR="00701170" w:rsidRPr="00701170" w:rsidRDefault="00701170" w:rsidP="00701170">
                            <w:pPr>
                              <w:rPr>
                                <w:rFonts w:ascii="Arial" w:hAnsi="Arial" w:cs="Arial"/>
                                <w:sz w:val="18"/>
                                <w:szCs w:val="18"/>
                              </w:rPr>
                            </w:pPr>
                            <w:r>
                              <w:rPr>
                                <w:rFonts w:ascii="Arial" w:hAnsi="Arial" w:cs="Arial"/>
                                <w:sz w:val="18"/>
                                <w:szCs w:val="18"/>
                              </w:rPr>
                              <w:t>Ararat Rural City</w:t>
                            </w:r>
                            <w:r w:rsidRPr="00701170">
                              <w:rPr>
                                <w:rFonts w:ascii="Arial" w:hAnsi="Arial" w:cs="Arial"/>
                                <w:sz w:val="18"/>
                                <w:szCs w:val="18"/>
                              </w:rPr>
                              <w:t xml:space="preserve"> Council (</w:t>
                            </w:r>
                            <w:r>
                              <w:rPr>
                                <w:rFonts w:ascii="Arial" w:hAnsi="Arial" w:cs="Arial"/>
                                <w:sz w:val="18"/>
                                <w:szCs w:val="18"/>
                              </w:rPr>
                              <w:t>high</w:t>
                            </w:r>
                            <w:r w:rsidRPr="00701170">
                              <w:rPr>
                                <w:rFonts w:ascii="Arial" w:hAnsi="Arial" w:cs="Arial"/>
                                <w:sz w:val="18"/>
                                <w:szCs w:val="18"/>
                              </w:rPr>
                              <w:t>est</w:t>
                            </w:r>
                            <w:r>
                              <w:rPr>
                                <w:rFonts w:ascii="Arial" w:hAnsi="Arial" w:cs="Arial"/>
                                <w:sz w:val="18"/>
                                <w:szCs w:val="18"/>
                              </w:rPr>
                              <w:t xml:space="preserve"> reported rate, 269 per 100,000 pop)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DBC6AF" id="_x0000_s1030" type="#_x0000_t202" style="position:absolute;left:0;text-align:left;margin-left:14.25pt;margin-top:201.5pt;width:159.75pt;height:110.6pt;z-index:2520975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" stroked="f">
                <v:textbox style="mso-fit-shape-to-text:t">
                  <w:txbxContent>
                    <w:p w14:paraId="1E1313A8" w14:textId="2F68542F" w:rsidR="00701170" w:rsidRPr="00701170" w:rsidRDefault="00701170" w:rsidP="00701170">
                      <w:pPr>
                        <w:rPr>
                          <w:rFonts w:ascii="Arial" w:hAnsi="Arial" w:cs="Arial"/>
                          <w:sz w:val="18"/>
                          <w:szCs w:val="18"/>
                        </w:rPr>
                      </w:pPr>
                      <w:r>
                        <w:rPr>
                          <w:rFonts w:ascii="Arial" w:hAnsi="Arial" w:cs="Arial"/>
                          <w:sz w:val="18"/>
                          <w:szCs w:val="18"/>
                        </w:rPr>
                        <w:t>Ararat Rural City</w:t>
                      </w:r>
                      <w:r w:rsidRPr="00701170">
                        <w:rPr>
                          <w:rFonts w:ascii="Arial" w:hAnsi="Arial" w:cs="Arial"/>
                          <w:sz w:val="18"/>
                          <w:szCs w:val="18"/>
                        </w:rPr>
                        <w:t xml:space="preserve"> Council (</w:t>
                      </w:r>
                      <w:r>
                        <w:rPr>
                          <w:rFonts w:ascii="Arial" w:hAnsi="Arial" w:cs="Arial"/>
                          <w:sz w:val="18"/>
                          <w:szCs w:val="18"/>
                        </w:rPr>
                        <w:t>high</w:t>
                      </w:r>
                      <w:r w:rsidRPr="00701170">
                        <w:rPr>
                          <w:rFonts w:ascii="Arial" w:hAnsi="Arial" w:cs="Arial"/>
                          <w:sz w:val="18"/>
                          <w:szCs w:val="18"/>
                        </w:rPr>
                        <w:t>est</w:t>
                      </w:r>
                      <w:r>
                        <w:rPr>
                          <w:rFonts w:ascii="Arial" w:hAnsi="Arial" w:cs="Arial"/>
                          <w:sz w:val="18"/>
                          <w:szCs w:val="18"/>
                        </w:rPr>
                        <w:t xml:space="preserve"> reported rate, 269 per 100,000 pop)</w:t>
                      </w:r>
                    </w:p>
                  </w:txbxContent>
                </v:textbox>
                <w10:wrap anchorx="margin"/>
              </v:shape>
            </w:pict>
          </mc:Fallback>
        </mc:AlternateContent>
      </w:r>
      <w:r w:rsidR="00DF2F9D">
        <w:rPr>
          <w:noProof/>
        </w:rPr>
        <mc:AlternateContent>
          <mc:Choice Requires="wps">
            <w:drawing>
              <wp:anchor distT="45720" distB="45720" distL="114300" distR="114300" simplePos="0" relativeHeight="252095488" behindDoc="0" locked="0" layoutInCell="1" allowOverlap="1" wp14:anchorId="4DBB96F0" wp14:editId="7A196ED6">
                <wp:simplePos x="0" y="0"/>
                <wp:positionH relativeFrom="column">
                  <wp:posOffset>3857625</wp:posOffset>
                </wp:positionH>
                <wp:positionV relativeFrom="paragraph">
                  <wp:posOffset>2368550</wp:posOffset>
                </wp:positionV>
                <wp:extent cx="1552575" cy="1404620"/>
                <wp:effectExtent l="0" t="0" r="9525" b="63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1404620"/>
                        </a:xfrm>
                        <a:prstGeom prst="rect">
                          <a:avLst/>
                        </a:prstGeom>
                        <a:solidFill>
                          <a:srgbClr val="FFFFFF"/>
                        </a:solidFill>
                        <a:ln w="9525">
                          <a:noFill/>
                          <a:miter lim="800000"/>
                          <a:headEnd/>
                          <a:tailEnd/>
                        </a:ln>
                      </wps:spPr>
                      <wps:txbx>
                        <w:txbxContent>
                          <w:p w14:paraId="36E2705A" w14:textId="2E7B5613" w:rsidR="00701170" w:rsidRPr="00701170" w:rsidRDefault="00701170">
                            <w:pPr>
                              <w:rPr>
                                <w:rFonts w:ascii="Arial" w:hAnsi="Arial" w:cs="Arial"/>
                                <w:sz w:val="18"/>
                                <w:szCs w:val="18"/>
                              </w:rPr>
                            </w:pPr>
                            <w:r w:rsidRPr="00701170">
                              <w:rPr>
                                <w:rFonts w:ascii="Arial" w:hAnsi="Arial" w:cs="Arial"/>
                                <w:sz w:val="18"/>
                                <w:szCs w:val="18"/>
                              </w:rPr>
                              <w:t>Mansfield Shire Council (lowest</w:t>
                            </w:r>
                            <w:r>
                              <w:rPr>
                                <w:rFonts w:ascii="Arial" w:hAnsi="Arial" w:cs="Arial"/>
                                <w:sz w:val="18"/>
                                <w:szCs w:val="18"/>
                              </w:rPr>
                              <w:t xml:space="preserve"> reported rate, 105 per 100,000 pop)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BB96F0" id="_x0000_s1031" type="#_x0000_t202" style="position:absolute;left:0;text-align:left;margin-left:303.75pt;margin-top:186.5pt;width:122.25pt;height:110.6pt;z-index:252095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" stroked="f">
                <v:textbox style="mso-fit-shape-to-text:t">
                  <w:txbxContent>
                    <w:p w14:paraId="36E2705A" w14:textId="2E7B5613" w:rsidR="00701170" w:rsidRPr="00701170" w:rsidRDefault="00701170">
                      <w:pPr>
                        <w:rPr>
                          <w:rFonts w:ascii="Arial" w:hAnsi="Arial" w:cs="Arial"/>
                          <w:sz w:val="18"/>
                          <w:szCs w:val="18"/>
                        </w:rPr>
                      </w:pPr>
                      <w:r w:rsidRPr="00701170">
                        <w:rPr>
                          <w:rFonts w:ascii="Arial" w:hAnsi="Arial" w:cs="Arial"/>
                          <w:sz w:val="18"/>
                          <w:szCs w:val="18"/>
                        </w:rPr>
                        <w:t>Mansfield Shire Council (lowest</w:t>
                      </w:r>
                      <w:r>
                        <w:rPr>
                          <w:rFonts w:ascii="Arial" w:hAnsi="Arial" w:cs="Arial"/>
                          <w:sz w:val="18"/>
                          <w:szCs w:val="18"/>
                        </w:rPr>
                        <w:t xml:space="preserve"> reported rate, 105 per 100,000 pop)</w:t>
                      </w:r>
                    </w:p>
                  </w:txbxContent>
                </v:textbox>
              </v:shape>
            </w:pict>
          </mc:Fallback>
        </mc:AlternateContent>
      </w:r>
    </w:p>
    <w:p w14:paraId="58396C37" w14:textId="0B30CAB7" w:rsidR="00EB5685" w:rsidRDefault="00EB5685" w:rsidP="00EB5685">
      <w:pPr>
        <w:pStyle w:val="Figurecaption"/>
      </w:pPr>
      <w:bookmarkStart w:id="237" w:name="_Toc132553009"/>
      <w:bookmarkStart w:id="238" w:name="_Toc140827616"/>
      <w:r w:rsidRPr="00A07B3D">
        <w:lastRenderedPageBreak/>
        <w:t>Figure 2.1.</w:t>
      </w:r>
      <w:r w:rsidR="003B6EE6" w:rsidRPr="00A07B3D">
        <w:t>4</w:t>
      </w:r>
      <w:r w:rsidR="003B391F">
        <w:t>:</w:t>
      </w:r>
      <w:r w:rsidRPr="00A07B3D">
        <w:t xml:space="preserve"> Victorian death rate for all cancers combined, by ICS by year, 2010</w:t>
      </w:r>
      <w:r w:rsidRPr="00A07B3D">
        <w:rPr>
          <w:lang w:eastAsia="en-AU"/>
        </w:rPr>
        <w:t>–</w:t>
      </w:r>
      <w:r w:rsidRPr="00A07B3D">
        <w:t>20</w:t>
      </w:r>
      <w:r w:rsidR="003A2562" w:rsidRPr="00A07B3D">
        <w:t>2</w:t>
      </w:r>
      <w:r w:rsidR="00A07B3D" w:rsidRPr="00A07B3D">
        <w:t>1</w:t>
      </w:r>
      <w:bookmarkEnd w:id="237"/>
      <w:bookmarkEnd w:id="238"/>
    </w:p>
    <w:p w14:paraId="421FB380" w14:textId="22872305" w:rsidR="00A07B3D" w:rsidRPr="00A07B3D" w:rsidRDefault="002B0E30" w:rsidP="002B0E30">
      <w:pPr>
        <w:pStyle w:val="DHHSbody"/>
      </w:pPr>
      <w:r w:rsidRPr="002B0E30">
        <w:rPr>
          <w:noProof/>
        </w:rPr>
        <w:drawing>
          <wp:inline distT="0" distB="0" distL="0" distR="0" wp14:anchorId="275D96BB" wp14:editId="431E9F99">
            <wp:extent cx="5660181" cy="3712028"/>
            <wp:effectExtent l="0" t="0" r="0" b="3175"/>
            <wp:docPr id="1110205001" name="Picture 1110205001" descr="This figure shows a data summary of 'Measure 2.1 – Death rate due to cancer' by way of Integrated Cancer Service for the years 2010 to 2021. The data set is available under 'Measure 2.1 – Death rate due to cancer'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01" name="Picture 1110205001" descr="This figure shows a data summary of 'Measure 2.1 – Death rate due to cancer' by way of Integrated Cancer Service for the years 2010 to 2021. The data set is available under 'Measure 2.1 – Death rate due to cancer' in a separate volume, the Victorian cancer plan monitoring and evaluation framework: baseline report: Appendix 2: Datasets available on Cancer care &lt;https://www.health.vic.gov.au/health-strategies/cancer-care&gt;."/>
                    <pic:cNvPicPr/>
                  </pic:nvPicPr>
                  <pic:blipFill>
                    <a:blip r:embed="rId60"/>
                    <a:stretch>
                      <a:fillRect/>
                    </a:stretch>
                  </pic:blipFill>
                  <pic:spPr>
                    <a:xfrm>
                      <a:off x="0" y="0"/>
                      <a:ext cx="5673644" cy="3720857"/>
                    </a:xfrm>
                    <a:prstGeom prst="rect">
                      <a:avLst/>
                    </a:prstGeom>
                  </pic:spPr>
                </pic:pic>
              </a:graphicData>
            </a:graphic>
          </wp:inline>
        </w:drawing>
      </w:r>
    </w:p>
    <w:p w14:paraId="27AD7A0D" w14:textId="7B07E1F9" w:rsidR="00266EC2" w:rsidRPr="00265845" w:rsidRDefault="00665D4B" w:rsidP="0012302B">
      <w:pPr>
        <w:pStyle w:val="Heading4"/>
      </w:pPr>
      <w:r w:rsidRPr="00265845">
        <w:t>Measure assessment</w:t>
      </w:r>
    </w:p>
    <w:p w14:paraId="405F8DF1" w14:textId="3D4499B6" w:rsidR="00122CE4" w:rsidRPr="00E659D1" w:rsidRDefault="00122CE4" w:rsidP="00606436">
      <w:pPr>
        <w:pStyle w:val="Body"/>
        <w:rPr>
          <w:color w:val="00B050"/>
        </w:rPr>
      </w:pPr>
      <w:r w:rsidRPr="009F01B1">
        <w:t xml:space="preserve">Traffic light rating: </w:t>
      </w:r>
      <w:r w:rsidR="00266EC2" w:rsidRPr="00D207B2">
        <w:rPr>
          <w:b/>
          <w:color w:val="007B4B"/>
        </w:rPr>
        <w:t>Green</w:t>
      </w:r>
      <w:r w:rsidR="00061321">
        <w:rPr>
          <w:b/>
        </w:rPr>
        <w:t xml:space="preserve"> </w:t>
      </w:r>
      <w:r w:rsidR="00061321" w:rsidRPr="00061321">
        <w:t>(satisfactory result)</w:t>
      </w:r>
    </w:p>
    <w:p w14:paraId="266C32DC" w14:textId="0BC9B808" w:rsidR="006E6C00" w:rsidRPr="00F11FA2" w:rsidRDefault="00122CE4" w:rsidP="00606436">
      <w:pPr>
        <w:pStyle w:val="Body"/>
      </w:pPr>
      <w:r w:rsidRPr="00C15AE4">
        <w:t xml:space="preserve">Overall trend: </w:t>
      </w:r>
      <w:r w:rsidR="00456BDC">
        <w:t>Moving in the right direction</w:t>
      </w:r>
    </w:p>
    <w:p w14:paraId="1E68A21A" w14:textId="22479D31" w:rsidR="005E206C" w:rsidRPr="00F11FA2" w:rsidRDefault="00122CE4" w:rsidP="00606436">
      <w:pPr>
        <w:pStyle w:val="Body"/>
      </w:pPr>
      <w:r w:rsidRPr="00F11FA2">
        <w:t xml:space="preserve">Commentary: </w:t>
      </w:r>
      <w:r w:rsidR="00AE4D81" w:rsidRPr="00F11FA2">
        <w:t>Cancer remains a</w:t>
      </w:r>
      <w:r w:rsidR="00094A7D" w:rsidRPr="00F11FA2">
        <w:t>mong the</w:t>
      </w:r>
      <w:r w:rsidR="00AE4D81" w:rsidRPr="00F11FA2">
        <w:t xml:space="preserve"> leading cause</w:t>
      </w:r>
      <w:r w:rsidR="00094A7D" w:rsidRPr="00F11FA2">
        <w:t>s</w:t>
      </w:r>
      <w:r w:rsidR="00AE4D81" w:rsidRPr="00F11FA2">
        <w:t xml:space="preserve"> of death worldwide. </w:t>
      </w:r>
      <w:r w:rsidR="009A5095" w:rsidRPr="00F11FA2">
        <w:t>Figure 2.1 presents the distribution of all-cancer death rates in 201</w:t>
      </w:r>
      <w:r w:rsidR="00873AED">
        <w:t>9</w:t>
      </w:r>
      <w:r w:rsidR="009A5095" w:rsidRPr="00F11FA2">
        <w:t xml:space="preserve"> according to world area for both sexes combined.</w:t>
      </w:r>
      <w:r w:rsidR="00952FC7">
        <w:t xml:space="preserve"> </w:t>
      </w:r>
      <w:r w:rsidR="009A5095" w:rsidRPr="00F11FA2">
        <w:t xml:space="preserve">On average, higher income countries tended to fall towards the upper range for death rates; across North America, </w:t>
      </w:r>
      <w:r w:rsidR="00E533A3" w:rsidRPr="00F11FA2">
        <w:t>Europe</w:t>
      </w:r>
      <w:r w:rsidR="009A5095" w:rsidRPr="00F11FA2">
        <w:t xml:space="preserve"> and Australasia (including Australia), rates in 201</w:t>
      </w:r>
      <w:r w:rsidR="001712A7">
        <w:t>9</w:t>
      </w:r>
      <w:r w:rsidR="009A5095" w:rsidRPr="00F11FA2">
        <w:t xml:space="preserve"> </w:t>
      </w:r>
      <w:r w:rsidR="001712A7">
        <w:t xml:space="preserve">for most countries ranged from 50 </w:t>
      </w:r>
      <w:r w:rsidR="009A5095" w:rsidRPr="00F11FA2">
        <w:t xml:space="preserve">to 150 </w:t>
      </w:r>
      <w:r w:rsidR="001712A7">
        <w:t xml:space="preserve">deaths </w:t>
      </w:r>
      <w:r w:rsidR="009A5095" w:rsidRPr="00F11FA2">
        <w:t>per 100,000 population</w:t>
      </w:r>
      <w:r w:rsidR="00BB150E">
        <w:t>.</w:t>
      </w:r>
      <w:r w:rsidR="00B23841">
        <w:rPr>
          <w:rStyle w:val="FootnoteReference"/>
          <w:rFonts w:cs="Arial"/>
        </w:rPr>
        <w:footnoteReference w:id="50"/>
      </w:r>
    </w:p>
    <w:p w14:paraId="3A3AD604" w14:textId="7A7661C9" w:rsidR="0014722B" w:rsidRDefault="00F11FA2" w:rsidP="00E87AAA">
      <w:pPr>
        <w:pStyle w:val="Body"/>
      </w:pPr>
      <w:r w:rsidRPr="00F11FA2">
        <w:t>Cancer is a leading cause of disease burden in Victoria</w:t>
      </w:r>
      <w:r w:rsidR="009F39A3">
        <w:t xml:space="preserve"> (and is broadly similar to </w:t>
      </w:r>
      <w:r w:rsidR="0014722B">
        <w:t xml:space="preserve">other Australian </w:t>
      </w:r>
      <w:r w:rsidR="002A6F3D">
        <w:t>s</w:t>
      </w:r>
      <w:r w:rsidR="0014722B">
        <w:t xml:space="preserve">tates and </w:t>
      </w:r>
      <w:r w:rsidR="002A6F3D">
        <w:t>t</w:t>
      </w:r>
      <w:r w:rsidR="0014722B">
        <w:t xml:space="preserve">erritories), </w:t>
      </w:r>
      <w:r w:rsidRPr="00F11FA2">
        <w:t>with almost 11,</w:t>
      </w:r>
      <w:r w:rsidR="00265845">
        <w:t>581</w:t>
      </w:r>
      <w:r w:rsidRPr="00F11FA2">
        <w:t xml:space="preserve"> cancer</w:t>
      </w:r>
      <w:r w:rsidR="00CE3112">
        <w:t>-</w:t>
      </w:r>
      <w:r w:rsidRPr="00F11FA2">
        <w:t>related deaths in 20</w:t>
      </w:r>
      <w:r w:rsidR="001712A7">
        <w:t>2</w:t>
      </w:r>
      <w:r w:rsidR="00265845">
        <w:t>1</w:t>
      </w:r>
      <w:r w:rsidRPr="00F11FA2">
        <w:t>.</w:t>
      </w:r>
      <w:r w:rsidRPr="00F11FA2">
        <w:rPr>
          <w:rStyle w:val="FootnoteReference"/>
          <w:rFonts w:cs="Arial"/>
          <w:lang w:eastAsia="en-AU"/>
        </w:rPr>
        <w:footnoteReference w:id="51"/>
      </w:r>
      <w:r w:rsidRPr="00F11FA2">
        <w:t xml:space="preserve"> </w:t>
      </w:r>
      <w:r w:rsidR="00A24D88">
        <w:t xml:space="preserve">Between </w:t>
      </w:r>
      <w:r w:rsidR="00094A7D" w:rsidRPr="00F11FA2">
        <w:t xml:space="preserve">2010 </w:t>
      </w:r>
      <w:r w:rsidR="00A24D88">
        <w:t>and</w:t>
      </w:r>
      <w:r w:rsidR="00094A7D" w:rsidRPr="00F11FA2">
        <w:t xml:space="preserve"> 20</w:t>
      </w:r>
      <w:r w:rsidR="00265845">
        <w:t>2</w:t>
      </w:r>
      <w:r w:rsidR="00A22E92">
        <w:t>1</w:t>
      </w:r>
      <w:r w:rsidR="00094A7D" w:rsidRPr="00F11FA2">
        <w:t>, the age-standardised death rate for all cancer</w:t>
      </w:r>
      <w:r w:rsidR="00143B38">
        <w:t>s</w:t>
      </w:r>
      <w:r w:rsidR="00094A7D" w:rsidRPr="00F11FA2">
        <w:t xml:space="preserve"> combined </w:t>
      </w:r>
      <w:r w:rsidR="004B506E" w:rsidRPr="00F11FA2">
        <w:t>decreased from 17</w:t>
      </w:r>
      <w:r w:rsidR="00AA0147">
        <w:t>3</w:t>
      </w:r>
      <w:r w:rsidR="004B506E" w:rsidRPr="00F11FA2">
        <w:t xml:space="preserve"> </w:t>
      </w:r>
      <w:r w:rsidR="00B536F0" w:rsidRPr="00F11FA2">
        <w:t xml:space="preserve">(2010) </w:t>
      </w:r>
      <w:r w:rsidR="004B506E" w:rsidRPr="00F11FA2">
        <w:t>to 1</w:t>
      </w:r>
      <w:r w:rsidR="00AA0147">
        <w:t>3</w:t>
      </w:r>
      <w:r w:rsidR="00A22E92">
        <w:t>8</w:t>
      </w:r>
      <w:r w:rsidR="00B536F0" w:rsidRPr="00F11FA2">
        <w:t xml:space="preserve"> (20</w:t>
      </w:r>
      <w:r w:rsidR="00AA0147">
        <w:t>2</w:t>
      </w:r>
      <w:r w:rsidR="00A22E92">
        <w:t>1</w:t>
      </w:r>
      <w:r w:rsidR="00B536F0" w:rsidRPr="00F11FA2">
        <w:t>)</w:t>
      </w:r>
      <w:r w:rsidR="004B506E" w:rsidRPr="00F11FA2">
        <w:t xml:space="preserve"> per 100,000 population. This pattern was slightly more pronounced in males than females (</w:t>
      </w:r>
      <w:r w:rsidR="00706F7D">
        <w:t>Tabl</w:t>
      </w:r>
      <w:r w:rsidR="004B506E" w:rsidRPr="00F11FA2">
        <w:t>e 2.1)</w:t>
      </w:r>
      <w:r w:rsidR="00840FDE" w:rsidRPr="00F11FA2">
        <w:t xml:space="preserve">. </w:t>
      </w:r>
      <w:r w:rsidR="0014722B">
        <w:rPr>
          <w:lang w:eastAsia="en-AU"/>
        </w:rPr>
        <w:t>The decline reflects earlier detection of cancers through screening, reductions in tobacco use (especially in males) and improvements in treatment.</w:t>
      </w:r>
      <w:r w:rsidR="0014722B">
        <w:rPr>
          <w:rStyle w:val="FootnoteReference"/>
          <w:lang w:eastAsia="en-AU"/>
        </w:rPr>
        <w:footnoteReference w:id="52"/>
      </w:r>
      <w:r w:rsidR="00952FC7">
        <w:rPr>
          <w:lang w:eastAsia="en-AU"/>
        </w:rPr>
        <w:t xml:space="preserve"> </w:t>
      </w:r>
      <w:r w:rsidR="0014722B">
        <w:rPr>
          <w:lang w:eastAsia="en-AU"/>
        </w:rPr>
        <w:t xml:space="preserve">However, by 2032, it is projected that deaths from cancers will increase to </w:t>
      </w:r>
      <w:r w:rsidR="00CE3112">
        <w:rPr>
          <w:lang w:eastAsia="en-AU"/>
        </w:rPr>
        <w:t xml:space="preserve">more than </w:t>
      </w:r>
      <w:r w:rsidR="0014722B">
        <w:rPr>
          <w:lang w:eastAsia="en-AU"/>
        </w:rPr>
        <w:t>13,000 per year.</w:t>
      </w:r>
      <w:r w:rsidR="00952FC7">
        <w:rPr>
          <w:lang w:eastAsia="en-AU"/>
        </w:rPr>
        <w:t xml:space="preserve"> </w:t>
      </w:r>
      <w:r w:rsidR="0014722B">
        <w:rPr>
          <w:lang w:eastAsia="en-AU"/>
        </w:rPr>
        <w:t xml:space="preserve">These increases are largely attributable to the growth and ageing of the Victorian population. This </w:t>
      </w:r>
      <w:r w:rsidR="00C954B9">
        <w:rPr>
          <w:lang w:eastAsia="en-AU"/>
        </w:rPr>
        <w:t>is due to</w:t>
      </w:r>
      <w:r w:rsidR="0014722B">
        <w:rPr>
          <w:lang w:eastAsia="en-AU"/>
        </w:rPr>
        <w:t xml:space="preserve"> cancer being strongly related to age, with less tha</w:t>
      </w:r>
      <w:r w:rsidR="00501099">
        <w:rPr>
          <w:lang w:eastAsia="en-AU"/>
        </w:rPr>
        <w:t>n</w:t>
      </w:r>
      <w:r w:rsidR="0014722B">
        <w:rPr>
          <w:lang w:eastAsia="en-AU"/>
        </w:rPr>
        <w:t xml:space="preserve"> </w:t>
      </w:r>
      <w:r w:rsidR="00143B38">
        <w:rPr>
          <w:lang w:eastAsia="en-AU"/>
        </w:rPr>
        <w:t>1</w:t>
      </w:r>
      <w:r w:rsidR="0054537F">
        <w:rPr>
          <w:lang w:eastAsia="en-AU"/>
        </w:rPr>
        <w:t>%</w:t>
      </w:r>
      <w:r w:rsidR="0014722B">
        <w:rPr>
          <w:lang w:eastAsia="en-AU"/>
        </w:rPr>
        <w:t xml:space="preserve"> of tumours occurring before age 20 compared </w:t>
      </w:r>
      <w:r w:rsidR="001B50BF">
        <w:rPr>
          <w:lang w:eastAsia="en-AU"/>
        </w:rPr>
        <w:t xml:space="preserve">with </w:t>
      </w:r>
      <w:r w:rsidR="0014722B">
        <w:rPr>
          <w:lang w:eastAsia="en-AU"/>
        </w:rPr>
        <w:t>6</w:t>
      </w:r>
      <w:r w:rsidR="003E0542">
        <w:rPr>
          <w:lang w:eastAsia="en-AU"/>
        </w:rPr>
        <w:t>0</w:t>
      </w:r>
      <w:r w:rsidR="0054537F">
        <w:rPr>
          <w:lang w:eastAsia="en-AU"/>
        </w:rPr>
        <w:t>%</w:t>
      </w:r>
      <w:r w:rsidR="0014722B">
        <w:rPr>
          <w:lang w:eastAsia="en-AU"/>
        </w:rPr>
        <w:t xml:space="preserve"> occurring in </w:t>
      </w:r>
      <w:r w:rsidR="00DC7655">
        <w:rPr>
          <w:lang w:eastAsia="en-AU"/>
        </w:rPr>
        <w:t>people</w:t>
      </w:r>
      <w:r w:rsidR="0014722B">
        <w:rPr>
          <w:lang w:eastAsia="en-AU"/>
        </w:rPr>
        <w:t xml:space="preserve"> older than 65 years.</w:t>
      </w:r>
      <w:r w:rsidR="0014722B">
        <w:rPr>
          <w:rStyle w:val="FootnoteReference"/>
          <w:lang w:eastAsia="en-AU"/>
        </w:rPr>
        <w:footnoteReference w:id="53"/>
      </w:r>
    </w:p>
    <w:p w14:paraId="69F178B4" w14:textId="3F022081" w:rsidR="00094A7D" w:rsidRPr="005E206C" w:rsidRDefault="00840FDE" w:rsidP="00E87AAA">
      <w:pPr>
        <w:pStyle w:val="Body"/>
        <w:rPr>
          <w:lang w:val="en"/>
        </w:rPr>
      </w:pPr>
      <w:r w:rsidRPr="00265845">
        <w:t>By comparison, the age</w:t>
      </w:r>
      <w:r w:rsidR="00CE3112" w:rsidRPr="00265845">
        <w:t>-</w:t>
      </w:r>
      <w:r w:rsidRPr="00265845">
        <w:t xml:space="preserve">standardised death rate </w:t>
      </w:r>
      <w:r w:rsidR="00BF6D8E" w:rsidRPr="00265845">
        <w:t xml:space="preserve">for all cancers combined </w:t>
      </w:r>
      <w:r w:rsidRPr="00265845">
        <w:t>in this period (2010</w:t>
      </w:r>
      <w:r w:rsidR="00BB150E" w:rsidRPr="00265845">
        <w:t>–</w:t>
      </w:r>
      <w:r w:rsidRPr="00265845">
        <w:t>20</w:t>
      </w:r>
      <w:r w:rsidR="00E36777" w:rsidRPr="00265845">
        <w:t>2</w:t>
      </w:r>
      <w:r w:rsidR="008745D7">
        <w:t>1</w:t>
      </w:r>
      <w:r w:rsidRPr="00265845">
        <w:t>)</w:t>
      </w:r>
      <w:r w:rsidR="00BF6D8E" w:rsidRPr="00265845">
        <w:t xml:space="preserve"> was higher among </w:t>
      </w:r>
      <w:r w:rsidR="007C10D4" w:rsidRPr="00265845">
        <w:t>Victorians</w:t>
      </w:r>
      <w:r w:rsidR="00BF6D8E" w:rsidRPr="00265845">
        <w:t xml:space="preserve"> living in </w:t>
      </w:r>
      <w:r w:rsidR="00840304" w:rsidRPr="00265845">
        <w:rPr>
          <w:lang w:val="en"/>
        </w:rPr>
        <w:t>i</w:t>
      </w:r>
      <w:r w:rsidR="00BF6D8E" w:rsidRPr="00265845">
        <w:rPr>
          <w:lang w:val="en"/>
        </w:rPr>
        <w:t xml:space="preserve">nner </w:t>
      </w:r>
      <w:r w:rsidR="00840304" w:rsidRPr="00265845">
        <w:rPr>
          <w:lang w:val="en"/>
        </w:rPr>
        <w:t>r</w:t>
      </w:r>
      <w:r w:rsidR="00BF6D8E" w:rsidRPr="00265845">
        <w:rPr>
          <w:lang w:val="en"/>
        </w:rPr>
        <w:t xml:space="preserve">egional, </w:t>
      </w:r>
      <w:r w:rsidR="00840304" w:rsidRPr="00265845">
        <w:rPr>
          <w:lang w:val="en"/>
        </w:rPr>
        <w:t>o</w:t>
      </w:r>
      <w:r w:rsidR="00BF6D8E" w:rsidRPr="00265845">
        <w:rPr>
          <w:lang w:val="en"/>
        </w:rPr>
        <w:t xml:space="preserve">uter </w:t>
      </w:r>
      <w:r w:rsidR="00840304" w:rsidRPr="00265845">
        <w:rPr>
          <w:lang w:val="en"/>
        </w:rPr>
        <w:t>r</w:t>
      </w:r>
      <w:r w:rsidR="00BF6D8E" w:rsidRPr="00265845">
        <w:rPr>
          <w:lang w:val="en"/>
        </w:rPr>
        <w:t>egional</w:t>
      </w:r>
      <w:r w:rsidR="00CE3112" w:rsidRPr="00265845">
        <w:rPr>
          <w:lang w:val="en"/>
        </w:rPr>
        <w:t xml:space="preserve"> and</w:t>
      </w:r>
      <w:r w:rsidR="00BF6D8E" w:rsidRPr="00265845">
        <w:rPr>
          <w:lang w:val="en"/>
        </w:rPr>
        <w:t xml:space="preserve"> </w:t>
      </w:r>
      <w:r w:rsidR="00840304" w:rsidRPr="00265845">
        <w:rPr>
          <w:lang w:val="en"/>
        </w:rPr>
        <w:t>r</w:t>
      </w:r>
      <w:r w:rsidR="00BF6D8E" w:rsidRPr="00265845">
        <w:rPr>
          <w:lang w:val="en"/>
        </w:rPr>
        <w:t>emote areas</w:t>
      </w:r>
      <w:r w:rsidR="004B4666" w:rsidRPr="00265845">
        <w:rPr>
          <w:lang w:val="en"/>
        </w:rPr>
        <w:t xml:space="preserve"> and rural </w:t>
      </w:r>
      <w:r w:rsidR="00143B38">
        <w:rPr>
          <w:lang w:val="en"/>
        </w:rPr>
        <w:t>LGAs</w:t>
      </w:r>
      <w:r w:rsidR="004B4666" w:rsidRPr="00265845">
        <w:rPr>
          <w:lang w:val="en"/>
        </w:rPr>
        <w:t xml:space="preserve"> (Figure 2.1.3</w:t>
      </w:r>
      <w:r w:rsidR="003F6028">
        <w:rPr>
          <w:lang w:val="en"/>
        </w:rPr>
        <w:t>; Tables 2.1.1c to e</w:t>
      </w:r>
      <w:r w:rsidR="004B4666" w:rsidRPr="00265845">
        <w:rPr>
          <w:lang w:val="en"/>
        </w:rPr>
        <w:t>)</w:t>
      </w:r>
      <w:r w:rsidR="00BF6D8E" w:rsidRPr="00265845">
        <w:rPr>
          <w:lang w:val="en"/>
        </w:rPr>
        <w:t xml:space="preserve"> when compared </w:t>
      </w:r>
      <w:r w:rsidR="001B50BF" w:rsidRPr="00265845">
        <w:rPr>
          <w:lang w:val="en"/>
        </w:rPr>
        <w:t xml:space="preserve">with people </w:t>
      </w:r>
      <w:r w:rsidR="00BF6D8E" w:rsidRPr="00265845">
        <w:rPr>
          <w:lang w:val="en"/>
        </w:rPr>
        <w:t xml:space="preserve">living in </w:t>
      </w:r>
      <w:r w:rsidR="00840304" w:rsidRPr="00265845">
        <w:rPr>
          <w:lang w:val="en"/>
        </w:rPr>
        <w:t>m</w:t>
      </w:r>
      <w:r w:rsidR="00BF6D8E" w:rsidRPr="00265845">
        <w:rPr>
          <w:lang w:val="en"/>
        </w:rPr>
        <w:t xml:space="preserve">ajor </w:t>
      </w:r>
      <w:r w:rsidR="00840304" w:rsidRPr="00265845">
        <w:rPr>
          <w:lang w:val="en"/>
        </w:rPr>
        <w:t>c</w:t>
      </w:r>
      <w:r w:rsidR="00BF6D8E" w:rsidRPr="00265845">
        <w:rPr>
          <w:lang w:val="en"/>
        </w:rPr>
        <w:t>ities</w:t>
      </w:r>
      <w:r w:rsidR="00CE3112" w:rsidRPr="00265845">
        <w:rPr>
          <w:lang w:val="en"/>
        </w:rPr>
        <w:t>,</w:t>
      </w:r>
      <w:r w:rsidR="00E56E02" w:rsidRPr="00265845">
        <w:rPr>
          <w:lang w:val="en"/>
        </w:rPr>
        <w:t xml:space="preserve"> although </w:t>
      </w:r>
      <w:r w:rsidR="00AC3C58" w:rsidRPr="00265845">
        <w:rPr>
          <w:lang w:val="en"/>
        </w:rPr>
        <w:lastRenderedPageBreak/>
        <w:t>this</w:t>
      </w:r>
      <w:r w:rsidR="00E56E02" w:rsidRPr="00265845">
        <w:rPr>
          <w:lang w:val="en"/>
        </w:rPr>
        <w:t xml:space="preserve"> is declining</w:t>
      </w:r>
      <w:r w:rsidR="00B536F0" w:rsidRPr="00265845">
        <w:rPr>
          <w:lang w:val="en"/>
        </w:rPr>
        <w:t>.</w:t>
      </w:r>
      <w:r w:rsidR="00952FC7">
        <w:rPr>
          <w:lang w:val="en"/>
        </w:rPr>
        <w:t xml:space="preserve"> </w:t>
      </w:r>
      <w:r w:rsidR="00EA79EE" w:rsidRPr="005E206C">
        <w:rPr>
          <w:lang w:val="en"/>
        </w:rPr>
        <w:t xml:space="preserve">A similar disparity was </w:t>
      </w:r>
      <w:r w:rsidR="00AC3C58" w:rsidRPr="005E206C">
        <w:rPr>
          <w:lang w:val="en"/>
        </w:rPr>
        <w:t>observed</w:t>
      </w:r>
      <w:r w:rsidR="00EA79EE" w:rsidRPr="005E206C">
        <w:rPr>
          <w:lang w:val="en"/>
        </w:rPr>
        <w:t xml:space="preserve"> among Victorians living in the lowest SES areas (SES 1). Here the age-standardised </w:t>
      </w:r>
      <w:r w:rsidR="005D70A1" w:rsidRPr="005E206C">
        <w:rPr>
          <w:lang w:val="en"/>
        </w:rPr>
        <w:t>death</w:t>
      </w:r>
      <w:r w:rsidR="00EA79EE" w:rsidRPr="005E206C">
        <w:rPr>
          <w:lang w:val="en"/>
        </w:rPr>
        <w:t xml:space="preserve"> rate for all cancers combined was highest (1</w:t>
      </w:r>
      <w:r w:rsidR="001908B7" w:rsidRPr="005E206C">
        <w:rPr>
          <w:lang w:val="en"/>
        </w:rPr>
        <w:t>9</w:t>
      </w:r>
      <w:r w:rsidR="00E36777">
        <w:rPr>
          <w:lang w:val="en"/>
        </w:rPr>
        <w:t>4</w:t>
      </w:r>
      <w:r w:rsidR="00EA79EE" w:rsidRPr="005E206C">
        <w:rPr>
          <w:lang w:val="en"/>
        </w:rPr>
        <w:t xml:space="preserve"> per 100,000 p</w:t>
      </w:r>
      <w:r w:rsidR="001908B7" w:rsidRPr="005E206C">
        <w:rPr>
          <w:lang w:val="en"/>
        </w:rPr>
        <w:t>opulation in 2010</w:t>
      </w:r>
      <w:r w:rsidR="00E36777">
        <w:rPr>
          <w:lang w:val="en"/>
        </w:rPr>
        <w:t>,</w:t>
      </w:r>
      <w:r w:rsidR="001908B7" w:rsidRPr="005E206C">
        <w:rPr>
          <w:lang w:val="en"/>
        </w:rPr>
        <w:t xml:space="preserve"> 1</w:t>
      </w:r>
      <w:r w:rsidR="008745D7">
        <w:rPr>
          <w:lang w:val="en"/>
        </w:rPr>
        <w:t>80</w:t>
      </w:r>
      <w:r w:rsidR="001908B7" w:rsidRPr="005E206C">
        <w:rPr>
          <w:lang w:val="en"/>
        </w:rPr>
        <w:t xml:space="preserve"> per 100,000 population in 2017</w:t>
      </w:r>
      <w:r w:rsidR="00E36777">
        <w:rPr>
          <w:lang w:val="en"/>
        </w:rPr>
        <w:t xml:space="preserve"> and </w:t>
      </w:r>
      <w:r w:rsidR="00E36777" w:rsidRPr="005E206C">
        <w:rPr>
          <w:lang w:val="en"/>
        </w:rPr>
        <w:t>1</w:t>
      </w:r>
      <w:r w:rsidR="00E36777">
        <w:rPr>
          <w:lang w:val="en"/>
        </w:rPr>
        <w:t>6</w:t>
      </w:r>
      <w:r w:rsidR="008745D7">
        <w:rPr>
          <w:lang w:val="en"/>
        </w:rPr>
        <w:t>9</w:t>
      </w:r>
      <w:r w:rsidR="00E36777" w:rsidRPr="005E206C">
        <w:rPr>
          <w:lang w:val="en"/>
        </w:rPr>
        <w:t xml:space="preserve"> per 100,000 population in 20</w:t>
      </w:r>
      <w:r w:rsidR="00E36777">
        <w:rPr>
          <w:lang w:val="en"/>
        </w:rPr>
        <w:t>2</w:t>
      </w:r>
      <w:r w:rsidR="008745D7">
        <w:rPr>
          <w:lang w:val="en"/>
        </w:rPr>
        <w:t>1</w:t>
      </w:r>
      <w:r w:rsidR="00EA79EE" w:rsidRPr="005E206C">
        <w:rPr>
          <w:lang w:val="en"/>
        </w:rPr>
        <w:t xml:space="preserve">) among </w:t>
      </w:r>
      <w:r w:rsidR="001908B7" w:rsidRPr="005E206C">
        <w:rPr>
          <w:lang w:val="en"/>
        </w:rPr>
        <w:t>Victorians</w:t>
      </w:r>
      <w:r w:rsidR="00EA79EE" w:rsidRPr="005E206C">
        <w:rPr>
          <w:lang w:val="en"/>
        </w:rPr>
        <w:t xml:space="preserve"> living in the lowest SES areas (SES 1) and lowest (1</w:t>
      </w:r>
      <w:r w:rsidR="00D93F31" w:rsidRPr="005E206C">
        <w:rPr>
          <w:lang w:val="en"/>
        </w:rPr>
        <w:t>4</w:t>
      </w:r>
      <w:r w:rsidR="00E36777">
        <w:rPr>
          <w:lang w:val="en"/>
        </w:rPr>
        <w:t>4</w:t>
      </w:r>
      <w:r w:rsidR="00EA79EE" w:rsidRPr="005E206C">
        <w:rPr>
          <w:lang w:val="en"/>
        </w:rPr>
        <w:t xml:space="preserve"> per 100,000 p</w:t>
      </w:r>
      <w:r w:rsidR="00E83387" w:rsidRPr="005E206C">
        <w:rPr>
          <w:lang w:val="en"/>
        </w:rPr>
        <w:t>opulation in 2010</w:t>
      </w:r>
      <w:r w:rsidR="00E36777">
        <w:rPr>
          <w:lang w:val="en"/>
        </w:rPr>
        <w:t>,</w:t>
      </w:r>
      <w:r w:rsidR="00E83387" w:rsidRPr="005E206C">
        <w:rPr>
          <w:lang w:val="en"/>
        </w:rPr>
        <w:t xml:space="preserve"> </w:t>
      </w:r>
      <w:r w:rsidR="00D93F31" w:rsidRPr="005E206C">
        <w:rPr>
          <w:lang w:val="en"/>
        </w:rPr>
        <w:t>11</w:t>
      </w:r>
      <w:r w:rsidR="000C0DC1">
        <w:rPr>
          <w:lang w:val="en"/>
        </w:rPr>
        <w:t>8</w:t>
      </w:r>
      <w:r w:rsidR="00D93F31" w:rsidRPr="005E206C">
        <w:rPr>
          <w:lang w:val="en"/>
        </w:rPr>
        <w:t xml:space="preserve"> </w:t>
      </w:r>
      <w:r w:rsidR="00E83387" w:rsidRPr="005E206C">
        <w:rPr>
          <w:lang w:val="en"/>
        </w:rPr>
        <w:t>per 100,000 population in 2017</w:t>
      </w:r>
      <w:r w:rsidR="007C7815">
        <w:rPr>
          <w:lang w:val="en"/>
        </w:rPr>
        <w:t xml:space="preserve"> and </w:t>
      </w:r>
      <w:r w:rsidR="007C7815" w:rsidRPr="005E206C">
        <w:rPr>
          <w:lang w:val="en"/>
        </w:rPr>
        <w:t>1</w:t>
      </w:r>
      <w:r w:rsidR="000C0DC1">
        <w:rPr>
          <w:lang w:val="en"/>
        </w:rPr>
        <w:t>17</w:t>
      </w:r>
      <w:r w:rsidR="007C7815" w:rsidRPr="005E206C">
        <w:rPr>
          <w:lang w:val="en"/>
        </w:rPr>
        <w:t xml:space="preserve"> per 100,000 population in</w:t>
      </w:r>
      <w:r w:rsidR="007C7815">
        <w:rPr>
          <w:lang w:val="en"/>
        </w:rPr>
        <w:t xml:space="preserve"> 202</w:t>
      </w:r>
      <w:r w:rsidR="000C0DC1">
        <w:rPr>
          <w:lang w:val="en"/>
        </w:rPr>
        <w:t>1</w:t>
      </w:r>
      <w:r w:rsidR="00EA79EE" w:rsidRPr="005E206C">
        <w:rPr>
          <w:lang w:val="en"/>
        </w:rPr>
        <w:t xml:space="preserve">) among </w:t>
      </w:r>
      <w:r w:rsidR="001908B7" w:rsidRPr="005E206C">
        <w:rPr>
          <w:lang w:val="en"/>
        </w:rPr>
        <w:t>Victorians</w:t>
      </w:r>
      <w:r w:rsidR="00EA79EE" w:rsidRPr="005E206C">
        <w:rPr>
          <w:lang w:val="en"/>
        </w:rPr>
        <w:t xml:space="preserve"> living in the highest SES areas (SES 5)</w:t>
      </w:r>
      <w:r w:rsidR="002C0166" w:rsidRPr="005E206C">
        <w:rPr>
          <w:lang w:val="en"/>
        </w:rPr>
        <w:t xml:space="preserve"> (Figure 2.1.2)</w:t>
      </w:r>
      <w:r w:rsidR="00EA79EE" w:rsidRPr="005E206C">
        <w:rPr>
          <w:lang w:val="en"/>
        </w:rPr>
        <w:t>.</w:t>
      </w:r>
      <w:r w:rsidR="004B4666">
        <w:rPr>
          <w:lang w:val="en"/>
        </w:rPr>
        <w:t xml:space="preserve"> Figure 2.1.</w:t>
      </w:r>
      <w:r w:rsidR="003B6EE6">
        <w:rPr>
          <w:lang w:val="en"/>
        </w:rPr>
        <w:t>4</w:t>
      </w:r>
      <w:r w:rsidR="004B4666">
        <w:rPr>
          <w:lang w:val="en"/>
        </w:rPr>
        <w:t xml:space="preserve"> shows that the death rate </w:t>
      </w:r>
      <w:r w:rsidR="007C7815">
        <w:rPr>
          <w:lang w:val="en"/>
        </w:rPr>
        <w:t>trend</w:t>
      </w:r>
      <w:r w:rsidR="00143B38">
        <w:rPr>
          <w:lang w:val="en"/>
        </w:rPr>
        <w:t>ed</w:t>
      </w:r>
      <w:r w:rsidR="007C7815">
        <w:rPr>
          <w:lang w:val="en"/>
        </w:rPr>
        <w:t xml:space="preserve"> do</w:t>
      </w:r>
      <w:r w:rsidR="00B608AD">
        <w:rPr>
          <w:lang w:val="en"/>
        </w:rPr>
        <w:t>w</w:t>
      </w:r>
      <w:r w:rsidR="007C7815">
        <w:rPr>
          <w:lang w:val="en"/>
        </w:rPr>
        <w:t>nwards</w:t>
      </w:r>
      <w:r w:rsidR="004B4666">
        <w:rPr>
          <w:lang w:val="en"/>
        </w:rPr>
        <w:t xml:space="preserve"> for most ICSs between 2010 and 20</w:t>
      </w:r>
      <w:r w:rsidR="007C7815">
        <w:rPr>
          <w:lang w:val="en"/>
        </w:rPr>
        <w:t>2</w:t>
      </w:r>
      <w:r w:rsidR="000C0DC1">
        <w:rPr>
          <w:lang w:val="en"/>
        </w:rPr>
        <w:t>1 but the exception with SMICS show</w:t>
      </w:r>
      <w:r w:rsidR="00143B38">
        <w:rPr>
          <w:lang w:val="en"/>
        </w:rPr>
        <w:t>s</w:t>
      </w:r>
      <w:r w:rsidR="000C0DC1">
        <w:rPr>
          <w:lang w:val="en"/>
        </w:rPr>
        <w:t xml:space="preserve"> at increase in the death rate between 2020 and 2021 (Figure 2.1.4)</w:t>
      </w:r>
      <w:r w:rsidR="004B4666">
        <w:rPr>
          <w:lang w:val="en"/>
        </w:rPr>
        <w:t>.</w:t>
      </w:r>
    </w:p>
    <w:p w14:paraId="085A18DC" w14:textId="415A1107" w:rsidR="00B70780" w:rsidRPr="0011089F" w:rsidRDefault="004F538F" w:rsidP="00E87AAA">
      <w:pPr>
        <w:pStyle w:val="Body"/>
      </w:pPr>
      <w:r>
        <w:t>The age-standardised death rate was also significantly higher for Aboriginal</w:t>
      </w:r>
      <w:r w:rsidR="00236B3E">
        <w:t xml:space="preserve"> Victorians</w:t>
      </w:r>
      <w:r w:rsidR="00535358">
        <w:t xml:space="preserve"> than for non-Aboriginal Victorians</w:t>
      </w:r>
      <w:r w:rsidR="00CE3112">
        <w:t>,</w:t>
      </w:r>
      <w:r>
        <w:t xml:space="preserve"> </w:t>
      </w:r>
      <w:r w:rsidR="00535358">
        <w:t>having increased from 2</w:t>
      </w:r>
      <w:r w:rsidR="000C0DC1">
        <w:t>14</w:t>
      </w:r>
      <w:r w:rsidR="00535358">
        <w:t xml:space="preserve"> per 100,000 population in 2010 to </w:t>
      </w:r>
      <w:r w:rsidR="000C0DC1">
        <w:t>242</w:t>
      </w:r>
      <w:r w:rsidR="00535358">
        <w:t xml:space="preserve"> per 100,000 population</w:t>
      </w:r>
      <w:r w:rsidR="00501099">
        <w:t xml:space="preserve"> in 20</w:t>
      </w:r>
      <w:r w:rsidR="00B608AD">
        <w:t>2</w:t>
      </w:r>
      <w:r w:rsidR="000C0DC1">
        <w:t>1</w:t>
      </w:r>
      <w:r w:rsidR="00501099">
        <w:t>.</w:t>
      </w:r>
      <w:r w:rsidR="00952FC7">
        <w:t xml:space="preserve"> </w:t>
      </w:r>
      <w:r w:rsidR="00501099">
        <w:t>In addition</w:t>
      </w:r>
      <w:r w:rsidR="00DD17F9">
        <w:t>,</w:t>
      </w:r>
      <w:r w:rsidR="00501099">
        <w:t xml:space="preserve"> Aboriginal death rates were more than twice those for </w:t>
      </w:r>
      <w:r w:rsidR="00DD17F9">
        <w:t>Victorian</w:t>
      </w:r>
      <w:r w:rsidR="0019318B">
        <w:t>s</w:t>
      </w:r>
      <w:r w:rsidR="00DD17F9">
        <w:t xml:space="preserve"> of other descent between 201</w:t>
      </w:r>
      <w:r w:rsidR="00B608AD">
        <w:t>7</w:t>
      </w:r>
      <w:r w:rsidR="00DD17F9">
        <w:t xml:space="preserve"> and 20</w:t>
      </w:r>
      <w:r w:rsidR="00B608AD">
        <w:t>2</w:t>
      </w:r>
      <w:r w:rsidR="00953A03">
        <w:t>1</w:t>
      </w:r>
      <w:r w:rsidR="00DD17F9">
        <w:t xml:space="preserve"> (Figure 2.1.2). </w:t>
      </w:r>
      <w:r w:rsidR="00501099">
        <w:t>Although no target has been set for this measure</w:t>
      </w:r>
      <w:r w:rsidR="00CE3112">
        <w:t>,</w:t>
      </w:r>
      <w:r w:rsidR="00501099">
        <w:t xml:space="preserve"> the results show there are </w:t>
      </w:r>
      <w:r w:rsidR="00B74FB2">
        <w:t xml:space="preserve">some </w:t>
      </w:r>
      <w:r w:rsidR="00DD17F9">
        <w:t xml:space="preserve">Victorian populations </w:t>
      </w:r>
      <w:r w:rsidR="00B74FB2">
        <w:t xml:space="preserve">that </w:t>
      </w:r>
      <w:r w:rsidR="00B608AD">
        <w:t>continue to</w:t>
      </w:r>
      <w:r w:rsidR="00B74FB2">
        <w:t xml:space="preserve"> experienc</w:t>
      </w:r>
      <w:r w:rsidR="00B608AD">
        <w:t>e</w:t>
      </w:r>
      <w:r w:rsidR="00B74FB2">
        <w:t xml:space="preserve"> a greater burden of disease due to cancer.</w:t>
      </w:r>
      <w:r w:rsidR="00B70780">
        <w:br w:type="page"/>
      </w:r>
    </w:p>
    <w:p w14:paraId="179775F7" w14:textId="0C1B23CA" w:rsidR="006624DA" w:rsidRPr="000144FD" w:rsidRDefault="006624DA" w:rsidP="00A451D4">
      <w:pPr>
        <w:pStyle w:val="Heading3"/>
        <w:rPr>
          <w:b/>
          <w:bCs w:val="0"/>
        </w:rPr>
      </w:pPr>
      <w:bookmarkStart w:id="239" w:name="_Measure_2.2_–"/>
      <w:bookmarkStart w:id="240" w:name="_Toc19008029"/>
      <w:bookmarkEnd w:id="239"/>
      <w:r w:rsidRPr="76BE792E">
        <w:rPr>
          <w:b/>
        </w:rPr>
        <w:lastRenderedPageBreak/>
        <w:t>Measure 2.2 – Premature death</w:t>
      </w:r>
      <w:r w:rsidR="00BD05A9" w:rsidRPr="76BE792E">
        <w:rPr>
          <w:rStyle w:val="FootnoteReference"/>
          <w:b/>
        </w:rPr>
        <w:footnoteReference w:id="54"/>
      </w:r>
      <w:r w:rsidRPr="76BE792E">
        <w:rPr>
          <w:b/>
        </w:rPr>
        <w:t xml:space="preserve"> rate due to cancer</w:t>
      </w:r>
      <w:bookmarkEnd w:id="240"/>
    </w:p>
    <w:p w14:paraId="1C4B0E13" w14:textId="2C6AE49F" w:rsidR="00F50C5A" w:rsidRPr="00F2771C" w:rsidRDefault="00F50C5A" w:rsidP="00DF6BF5">
      <w:pPr>
        <w:pStyle w:val="Figurecaption"/>
        <w:rPr>
          <w:sz w:val="20"/>
        </w:rPr>
      </w:pPr>
      <w:bookmarkStart w:id="241" w:name="_Toc19008030"/>
      <w:bookmarkStart w:id="242" w:name="_Toc19008283"/>
      <w:bookmarkStart w:id="243" w:name="_Toc19008430"/>
      <w:bookmarkStart w:id="244" w:name="_Toc19008577"/>
      <w:bookmarkStart w:id="245" w:name="_Toc132553010"/>
      <w:bookmarkStart w:id="246" w:name="_Toc140827617"/>
      <w:r w:rsidRPr="76BE792E">
        <w:rPr>
          <w:sz w:val="20"/>
        </w:rPr>
        <w:t>Figure 2.2</w:t>
      </w:r>
      <w:r w:rsidR="003B391F" w:rsidRPr="76BE792E">
        <w:rPr>
          <w:sz w:val="20"/>
        </w:rPr>
        <w:t>:</w:t>
      </w:r>
      <w:r w:rsidRPr="76BE792E">
        <w:rPr>
          <w:sz w:val="20"/>
        </w:rPr>
        <w:t xml:space="preserve"> Glo</w:t>
      </w:r>
      <w:r w:rsidR="0063794D" w:rsidRPr="76BE792E">
        <w:rPr>
          <w:sz w:val="20"/>
        </w:rPr>
        <w:t xml:space="preserve">bal </w:t>
      </w:r>
      <w:r w:rsidRPr="76BE792E">
        <w:rPr>
          <w:sz w:val="20"/>
        </w:rPr>
        <w:t xml:space="preserve">map presenting national ranking of </w:t>
      </w:r>
      <w:r w:rsidR="00892063" w:rsidRPr="76BE792E">
        <w:rPr>
          <w:sz w:val="20"/>
        </w:rPr>
        <w:t>all cancers (combined)</w:t>
      </w:r>
      <w:r w:rsidRPr="76BE792E">
        <w:rPr>
          <w:sz w:val="20"/>
        </w:rPr>
        <w:t xml:space="preserve"> as a cause of </w:t>
      </w:r>
      <w:r w:rsidR="00693519" w:rsidRPr="76BE792E">
        <w:rPr>
          <w:sz w:val="20"/>
        </w:rPr>
        <w:t xml:space="preserve">premature </w:t>
      </w:r>
      <w:r w:rsidRPr="76BE792E">
        <w:rPr>
          <w:sz w:val="20"/>
        </w:rPr>
        <w:t xml:space="preserve">death </w:t>
      </w:r>
      <w:r w:rsidR="00DF2A3F" w:rsidRPr="76BE792E">
        <w:rPr>
          <w:sz w:val="20"/>
        </w:rPr>
        <w:t>(</w:t>
      </w:r>
      <w:r w:rsidRPr="76BE792E">
        <w:rPr>
          <w:sz w:val="20"/>
        </w:rPr>
        <w:t>below 70 years</w:t>
      </w:r>
      <w:r w:rsidR="00DF2A3F" w:rsidRPr="76BE792E">
        <w:rPr>
          <w:sz w:val="20"/>
        </w:rPr>
        <w:t>)</w:t>
      </w:r>
      <w:r w:rsidRPr="76BE792E">
        <w:rPr>
          <w:sz w:val="20"/>
        </w:rPr>
        <w:t xml:space="preserve"> in 201</w:t>
      </w:r>
      <w:r w:rsidR="00ED5ADA" w:rsidRPr="76BE792E">
        <w:rPr>
          <w:sz w:val="20"/>
        </w:rPr>
        <w:t>9</w:t>
      </w:r>
      <w:r w:rsidR="0063794D" w:rsidRPr="76BE792E">
        <w:rPr>
          <w:rStyle w:val="FootnoteReference"/>
          <w:b w:val="0"/>
          <w:sz w:val="20"/>
          <w:lang w:eastAsia="en-AU"/>
        </w:rPr>
        <w:footnoteReference w:id="55"/>
      </w:r>
      <w:bookmarkEnd w:id="241"/>
      <w:bookmarkEnd w:id="242"/>
      <w:bookmarkEnd w:id="243"/>
      <w:bookmarkEnd w:id="244"/>
      <w:bookmarkEnd w:id="245"/>
      <w:bookmarkEnd w:id="246"/>
    </w:p>
    <w:p w14:paraId="0213AD38" w14:textId="2DDF7E8A" w:rsidR="00034774" w:rsidRPr="006A7B45" w:rsidRDefault="00920B92" w:rsidP="00E87AAA">
      <w:pPr>
        <w:pStyle w:val="Body"/>
      </w:pPr>
      <w:r>
        <w:rPr>
          <w:noProof/>
        </w:rPr>
        <w:drawing>
          <wp:inline distT="0" distB="0" distL="0" distR="0" wp14:anchorId="643DFADC" wp14:editId="1EC9F6D8">
            <wp:extent cx="5754866" cy="2590800"/>
            <wp:effectExtent l="0" t="0" r="0" b="0"/>
            <wp:docPr id="65" name="Picture 65" descr="This figure shows a global map presenting a national ranking of all cancers combined as a cause of  premature death (below 70 years) in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his figure shows a global map presenting a national ranking of all cancers combined as a cause of  premature death (below 70 years) in 2019."/>
                    <pic:cNvPicPr/>
                  </pic:nvPicPr>
                  <pic:blipFill>
                    <a:blip r:embed="rId61"/>
                    <a:stretch>
                      <a:fillRect/>
                    </a:stretch>
                  </pic:blipFill>
                  <pic:spPr>
                    <a:xfrm>
                      <a:off x="0" y="0"/>
                      <a:ext cx="5763193" cy="2594549"/>
                    </a:xfrm>
                    <a:prstGeom prst="rect">
                      <a:avLst/>
                    </a:prstGeom>
                  </pic:spPr>
                </pic:pic>
              </a:graphicData>
            </a:graphic>
          </wp:inline>
        </w:drawing>
      </w:r>
    </w:p>
    <w:p w14:paraId="5AF6B910" w14:textId="17627432" w:rsidR="0063794D" w:rsidRPr="00F2771C" w:rsidRDefault="0063794D" w:rsidP="00652E25">
      <w:pPr>
        <w:pStyle w:val="Tablefigurenote"/>
        <w:rPr>
          <w:i/>
          <w:iCs/>
          <w:sz w:val="18"/>
          <w:szCs w:val="18"/>
        </w:rPr>
      </w:pPr>
      <w:r w:rsidRPr="76BE792E">
        <w:rPr>
          <w:i/>
          <w:iCs/>
          <w:sz w:val="18"/>
          <w:szCs w:val="18"/>
        </w:rPr>
        <w:t>Source: World Health Organization</w:t>
      </w:r>
      <w:r w:rsidR="0000761E" w:rsidRPr="76BE792E">
        <w:rPr>
          <w:rStyle w:val="FootnoteReference"/>
          <w:i/>
          <w:iCs/>
          <w:sz w:val="18"/>
          <w:szCs w:val="18"/>
        </w:rPr>
        <w:footnoteReference w:id="56"/>
      </w:r>
    </w:p>
    <w:p w14:paraId="0CEC5D3C" w14:textId="583EFD1D" w:rsidR="00EB35CB" w:rsidRDefault="005072B1" w:rsidP="001A17B2">
      <w:pPr>
        <w:pStyle w:val="Figurecaption"/>
        <w:rPr>
          <w:sz w:val="20"/>
        </w:rPr>
      </w:pPr>
      <w:bookmarkStart w:id="247" w:name="_Toc19008031"/>
      <w:bookmarkStart w:id="248" w:name="_Toc19008284"/>
      <w:bookmarkStart w:id="249" w:name="_Toc19008431"/>
      <w:bookmarkStart w:id="250" w:name="_Toc19008578"/>
      <w:bookmarkStart w:id="251" w:name="_Toc132553011"/>
      <w:bookmarkStart w:id="252" w:name="_Toc140827618"/>
      <w:r w:rsidRPr="00F2771C">
        <w:rPr>
          <w:sz w:val="20"/>
        </w:rPr>
        <w:t>Figure 2.2.1</w:t>
      </w:r>
      <w:r w:rsidR="003B391F" w:rsidRPr="00F2771C">
        <w:rPr>
          <w:sz w:val="20"/>
        </w:rPr>
        <w:t>:</w:t>
      </w:r>
      <w:r w:rsidRPr="00F2771C">
        <w:rPr>
          <w:sz w:val="20"/>
        </w:rPr>
        <w:t xml:space="preserve"> Victorian premature death rate for all cancers combined</w:t>
      </w:r>
      <w:r w:rsidR="00CE3112" w:rsidRPr="00F2771C">
        <w:rPr>
          <w:sz w:val="20"/>
        </w:rPr>
        <w:t>,</w:t>
      </w:r>
      <w:r w:rsidRPr="00F2771C">
        <w:rPr>
          <w:sz w:val="20"/>
        </w:rPr>
        <w:t xml:space="preserve"> by sex and year, 2010</w:t>
      </w:r>
      <w:r w:rsidR="00C17266" w:rsidRPr="00F2771C">
        <w:rPr>
          <w:sz w:val="20"/>
        </w:rPr>
        <w:t>–</w:t>
      </w:r>
      <w:r w:rsidRPr="00F2771C">
        <w:rPr>
          <w:sz w:val="20"/>
        </w:rPr>
        <w:t>20</w:t>
      </w:r>
      <w:bookmarkEnd w:id="247"/>
      <w:bookmarkEnd w:id="248"/>
      <w:bookmarkEnd w:id="249"/>
      <w:bookmarkEnd w:id="250"/>
      <w:r w:rsidR="00AE22CB" w:rsidRPr="00F2771C">
        <w:rPr>
          <w:sz w:val="20"/>
        </w:rPr>
        <w:t>2</w:t>
      </w:r>
      <w:r w:rsidR="00404BCA" w:rsidRPr="00F2771C">
        <w:rPr>
          <w:sz w:val="20"/>
        </w:rPr>
        <w:t>1</w:t>
      </w:r>
      <w:bookmarkEnd w:id="251"/>
      <w:bookmarkEnd w:id="252"/>
    </w:p>
    <w:p w14:paraId="03813381" w14:textId="62F7F769" w:rsidR="00170433" w:rsidRPr="00170433" w:rsidRDefault="00170433" w:rsidP="00170433">
      <w:pPr>
        <w:pStyle w:val="DHHSbody"/>
      </w:pPr>
      <w:r w:rsidRPr="00170433">
        <w:rPr>
          <w:noProof/>
        </w:rPr>
        <w:drawing>
          <wp:inline distT="0" distB="0" distL="0" distR="0" wp14:anchorId="5DDB56FA" wp14:editId="0BF23AC1">
            <wp:extent cx="5910943" cy="3478429"/>
            <wp:effectExtent l="0" t="0" r="0" b="8255"/>
            <wp:docPr id="1110205002" name="Picture 1110205002" descr="This figure presents data via a bar graph of the Victorian premature death rate for all cancers combined by sex and year, 2010 to 2021.  The data set is available under 'Measure 2.2 – Premature death rate due to cancer'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02" name="Picture 1110205002" descr="This figure presents data via a bar graph of the Victorian premature death rate for all cancers combined by sex and year, 2010 to 2021.  The data set is available under 'Measure 2.2 – Premature death rate due to cancer' in a separate volume, the Victorian cancer plan monitoring and evaluation framework: baseline report: Appendix 2: Datasets available on Cancer care &lt;https://www.health.vic.gov.au/health-strategies/cancer-care&gt;."/>
                    <pic:cNvPicPr/>
                  </pic:nvPicPr>
                  <pic:blipFill>
                    <a:blip r:embed="rId62"/>
                    <a:stretch>
                      <a:fillRect/>
                    </a:stretch>
                  </pic:blipFill>
                  <pic:spPr>
                    <a:xfrm>
                      <a:off x="0" y="0"/>
                      <a:ext cx="5945179" cy="3498576"/>
                    </a:xfrm>
                    <a:prstGeom prst="rect">
                      <a:avLst/>
                    </a:prstGeom>
                  </pic:spPr>
                </pic:pic>
              </a:graphicData>
            </a:graphic>
          </wp:inline>
        </w:drawing>
      </w:r>
    </w:p>
    <w:p w14:paraId="1683CD97" w14:textId="412F4C71" w:rsidR="00404BCA" w:rsidRPr="00404BCA" w:rsidRDefault="00404BCA" w:rsidP="00E87AAA">
      <w:pPr>
        <w:pStyle w:val="Body"/>
      </w:pPr>
    </w:p>
    <w:p w14:paraId="26EAD6BF" w14:textId="2168A04C" w:rsidR="00325D71" w:rsidRPr="00170433" w:rsidRDefault="005072B1" w:rsidP="00170433">
      <w:pPr>
        <w:pStyle w:val="Tablefigurenote"/>
        <w:rPr>
          <w:i/>
          <w:iCs/>
          <w:noProof/>
          <w:sz w:val="18"/>
          <w:szCs w:val="18"/>
        </w:rPr>
      </w:pPr>
      <w:r w:rsidRPr="00F2771C">
        <w:rPr>
          <w:i/>
          <w:iCs/>
          <w:noProof/>
          <w:sz w:val="18"/>
          <w:szCs w:val="18"/>
        </w:rPr>
        <w:t xml:space="preserve">Note: </w:t>
      </w:r>
      <w:r w:rsidR="0010332B" w:rsidRPr="00F2771C">
        <w:rPr>
          <w:i/>
          <w:iCs/>
          <w:noProof/>
          <w:sz w:val="18"/>
          <w:szCs w:val="18"/>
        </w:rPr>
        <w:t>D</w:t>
      </w:r>
      <w:r w:rsidRPr="00F2771C">
        <w:rPr>
          <w:i/>
          <w:iCs/>
          <w:noProof/>
          <w:sz w:val="18"/>
          <w:szCs w:val="18"/>
        </w:rPr>
        <w:t>irect age-standardised rate per 100,000 popula</w:t>
      </w:r>
      <w:r w:rsidR="00FD27AE" w:rsidRPr="00F2771C">
        <w:rPr>
          <w:i/>
          <w:iCs/>
          <w:noProof/>
          <w:sz w:val="18"/>
          <w:szCs w:val="18"/>
        </w:rPr>
        <w:t>ti</w:t>
      </w:r>
      <w:r w:rsidRPr="00F2771C">
        <w:rPr>
          <w:i/>
          <w:iCs/>
          <w:noProof/>
          <w:sz w:val="18"/>
          <w:szCs w:val="18"/>
        </w:rPr>
        <w:t>on, standardised to the 2001 population of Australia</w:t>
      </w:r>
      <w:r w:rsidR="007A02E1" w:rsidRPr="00F2771C">
        <w:rPr>
          <w:i/>
          <w:iCs/>
          <w:noProof/>
          <w:sz w:val="18"/>
          <w:szCs w:val="18"/>
        </w:rPr>
        <w:t>.</w:t>
      </w:r>
      <w:bookmarkStart w:id="253" w:name="_Toc18908720"/>
      <w:r w:rsidR="00325D71">
        <w:rPr>
          <w:noProof/>
        </w:rPr>
        <w:br w:type="page"/>
      </w:r>
    </w:p>
    <w:p w14:paraId="76B6A39B" w14:textId="4ACCB40B" w:rsidR="00EB35CB" w:rsidRPr="00F2771C" w:rsidRDefault="00DF2A3F" w:rsidP="002226C1">
      <w:pPr>
        <w:pStyle w:val="Tablecaption"/>
        <w:rPr>
          <w:sz w:val="20"/>
          <w:lang w:val="en"/>
        </w:rPr>
      </w:pPr>
      <w:bookmarkStart w:id="254" w:name="_Toc132491517"/>
      <w:bookmarkStart w:id="255" w:name="_Toc140834908"/>
      <w:r w:rsidRPr="00F2771C">
        <w:rPr>
          <w:noProof/>
          <w:sz w:val="20"/>
        </w:rPr>
        <w:lastRenderedPageBreak/>
        <w:t xml:space="preserve">Table </w:t>
      </w:r>
      <w:r w:rsidRPr="00F2771C">
        <w:rPr>
          <w:sz w:val="20"/>
        </w:rPr>
        <w:t>2.</w:t>
      </w:r>
      <w:r w:rsidR="00F018FC" w:rsidRPr="00F2771C">
        <w:rPr>
          <w:sz w:val="20"/>
        </w:rPr>
        <w:t>2</w:t>
      </w:r>
      <w:r w:rsidR="001F7E28" w:rsidRPr="00F2771C">
        <w:rPr>
          <w:sz w:val="20"/>
        </w:rPr>
        <w:t>:</w:t>
      </w:r>
      <w:r w:rsidRPr="00F2771C">
        <w:rPr>
          <w:sz w:val="20"/>
        </w:rPr>
        <w:t xml:space="preserve"> Victorian premature death rate for all cancers combined</w:t>
      </w:r>
      <w:r w:rsidR="00CE3112" w:rsidRPr="00F2771C">
        <w:rPr>
          <w:sz w:val="20"/>
        </w:rPr>
        <w:t>,</w:t>
      </w:r>
      <w:r w:rsidRPr="00F2771C">
        <w:rPr>
          <w:sz w:val="20"/>
        </w:rPr>
        <w:t xml:space="preserve"> by sex and year, 2010</w:t>
      </w:r>
      <w:r w:rsidR="00C17266" w:rsidRPr="00F2771C">
        <w:rPr>
          <w:sz w:val="20"/>
        </w:rPr>
        <w:t>–</w:t>
      </w:r>
      <w:r w:rsidRPr="00F2771C">
        <w:rPr>
          <w:sz w:val="20"/>
        </w:rPr>
        <w:t>20</w:t>
      </w:r>
      <w:bookmarkEnd w:id="253"/>
      <w:r w:rsidR="00FA7E9A" w:rsidRPr="00F2771C">
        <w:rPr>
          <w:sz w:val="20"/>
        </w:rPr>
        <w:t>2</w:t>
      </w:r>
      <w:r w:rsidR="00F018FC" w:rsidRPr="00F2771C">
        <w:rPr>
          <w:sz w:val="20"/>
        </w:rPr>
        <w:t>1</w:t>
      </w:r>
      <w:bookmarkEnd w:id="254"/>
      <w:bookmarkEnd w:id="255"/>
    </w:p>
    <w:tbl>
      <w:tblPr>
        <w:tblW w:w="9444" w:type="dxa"/>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725"/>
        <w:gridCol w:w="726"/>
        <w:gridCol w:w="727"/>
        <w:gridCol w:w="726"/>
        <w:gridCol w:w="727"/>
        <w:gridCol w:w="726"/>
        <w:gridCol w:w="727"/>
        <w:gridCol w:w="727"/>
        <w:gridCol w:w="726"/>
        <w:gridCol w:w="727"/>
        <w:gridCol w:w="726"/>
        <w:gridCol w:w="727"/>
        <w:gridCol w:w="727"/>
      </w:tblGrid>
      <w:tr w:rsidR="008435B2" w:rsidRPr="00325D71" w14:paraId="397FF1E6" w14:textId="17D71093" w:rsidTr="006D5B25">
        <w:trPr>
          <w:trHeight w:val="225"/>
        </w:trPr>
        <w:tc>
          <w:tcPr>
            <w:tcW w:w="725" w:type="dxa"/>
            <w:shd w:val="clear" w:color="auto" w:fill="EDCDCF"/>
          </w:tcPr>
          <w:p w14:paraId="399D3B21" w14:textId="3BFDCA79" w:rsidR="00F018FC" w:rsidRPr="006D5B25" w:rsidRDefault="00F018FC" w:rsidP="00CA2269">
            <w:pPr>
              <w:pStyle w:val="Tablecolhead"/>
              <w:rPr>
                <w:sz w:val="12"/>
                <w:szCs w:val="12"/>
              </w:rPr>
            </w:pPr>
            <w:bookmarkStart w:id="256" w:name="_Hlk126325330"/>
            <w:r w:rsidRPr="006D5B25">
              <w:rPr>
                <w:sz w:val="12"/>
                <w:szCs w:val="12"/>
              </w:rPr>
              <w:t>Sex</w:t>
            </w:r>
          </w:p>
        </w:tc>
        <w:tc>
          <w:tcPr>
            <w:tcW w:w="726" w:type="dxa"/>
            <w:shd w:val="clear" w:color="auto" w:fill="EDCDCF"/>
          </w:tcPr>
          <w:p w14:paraId="5FF225EC" w14:textId="77777777" w:rsidR="00F018FC" w:rsidRPr="006D5B25" w:rsidRDefault="00F018FC" w:rsidP="00CA2269">
            <w:pPr>
              <w:pStyle w:val="Tablecolhead"/>
              <w:rPr>
                <w:sz w:val="12"/>
                <w:szCs w:val="12"/>
              </w:rPr>
            </w:pPr>
            <w:r w:rsidRPr="006D5B25">
              <w:rPr>
                <w:sz w:val="12"/>
                <w:szCs w:val="12"/>
              </w:rPr>
              <w:t>2010</w:t>
            </w:r>
          </w:p>
        </w:tc>
        <w:tc>
          <w:tcPr>
            <w:tcW w:w="727" w:type="dxa"/>
            <w:shd w:val="clear" w:color="auto" w:fill="EDCDCF"/>
          </w:tcPr>
          <w:p w14:paraId="67A5ACC4" w14:textId="77777777" w:rsidR="00F018FC" w:rsidRPr="006D5B25" w:rsidRDefault="00F018FC" w:rsidP="00CA2269">
            <w:pPr>
              <w:pStyle w:val="Tablecolhead"/>
              <w:rPr>
                <w:sz w:val="12"/>
                <w:szCs w:val="12"/>
              </w:rPr>
            </w:pPr>
            <w:r w:rsidRPr="006D5B25">
              <w:rPr>
                <w:sz w:val="12"/>
                <w:szCs w:val="12"/>
              </w:rPr>
              <w:t>2011</w:t>
            </w:r>
          </w:p>
        </w:tc>
        <w:tc>
          <w:tcPr>
            <w:tcW w:w="726" w:type="dxa"/>
            <w:shd w:val="clear" w:color="auto" w:fill="EDCDCF"/>
          </w:tcPr>
          <w:p w14:paraId="59E1D9D5" w14:textId="77777777" w:rsidR="00F018FC" w:rsidRPr="006D5B25" w:rsidRDefault="00F018FC" w:rsidP="00CA2269">
            <w:pPr>
              <w:pStyle w:val="Tablecolhead"/>
              <w:rPr>
                <w:sz w:val="12"/>
                <w:szCs w:val="12"/>
              </w:rPr>
            </w:pPr>
            <w:r w:rsidRPr="006D5B25">
              <w:rPr>
                <w:sz w:val="12"/>
                <w:szCs w:val="12"/>
              </w:rPr>
              <w:t>2012</w:t>
            </w:r>
          </w:p>
        </w:tc>
        <w:tc>
          <w:tcPr>
            <w:tcW w:w="727" w:type="dxa"/>
            <w:shd w:val="clear" w:color="auto" w:fill="EDCDCF"/>
          </w:tcPr>
          <w:p w14:paraId="486E992B" w14:textId="77777777" w:rsidR="00F018FC" w:rsidRPr="006D5B25" w:rsidRDefault="00F018FC" w:rsidP="00CA2269">
            <w:pPr>
              <w:pStyle w:val="Tablecolhead"/>
              <w:rPr>
                <w:sz w:val="12"/>
                <w:szCs w:val="12"/>
              </w:rPr>
            </w:pPr>
            <w:r w:rsidRPr="006D5B25">
              <w:rPr>
                <w:sz w:val="12"/>
                <w:szCs w:val="12"/>
              </w:rPr>
              <w:t>2013</w:t>
            </w:r>
          </w:p>
        </w:tc>
        <w:tc>
          <w:tcPr>
            <w:tcW w:w="726" w:type="dxa"/>
            <w:shd w:val="clear" w:color="auto" w:fill="EDCDCF"/>
          </w:tcPr>
          <w:p w14:paraId="55F6E9D3" w14:textId="77777777" w:rsidR="00F018FC" w:rsidRPr="006D5B25" w:rsidRDefault="00F018FC" w:rsidP="00CA2269">
            <w:pPr>
              <w:pStyle w:val="Tablecolhead"/>
              <w:rPr>
                <w:sz w:val="12"/>
                <w:szCs w:val="12"/>
              </w:rPr>
            </w:pPr>
            <w:r w:rsidRPr="006D5B25">
              <w:rPr>
                <w:sz w:val="12"/>
                <w:szCs w:val="12"/>
              </w:rPr>
              <w:t>2014</w:t>
            </w:r>
          </w:p>
        </w:tc>
        <w:tc>
          <w:tcPr>
            <w:tcW w:w="727" w:type="dxa"/>
            <w:shd w:val="clear" w:color="auto" w:fill="EDCDCF"/>
          </w:tcPr>
          <w:p w14:paraId="7C75305F" w14:textId="77777777" w:rsidR="00F018FC" w:rsidRPr="006D5B25" w:rsidRDefault="00F018FC" w:rsidP="00CA2269">
            <w:pPr>
              <w:pStyle w:val="Tablecolhead"/>
              <w:rPr>
                <w:sz w:val="12"/>
                <w:szCs w:val="12"/>
              </w:rPr>
            </w:pPr>
            <w:r w:rsidRPr="006D5B25">
              <w:rPr>
                <w:sz w:val="12"/>
                <w:szCs w:val="12"/>
              </w:rPr>
              <w:t>2015</w:t>
            </w:r>
          </w:p>
        </w:tc>
        <w:tc>
          <w:tcPr>
            <w:tcW w:w="727" w:type="dxa"/>
            <w:shd w:val="clear" w:color="auto" w:fill="EDCDCF"/>
          </w:tcPr>
          <w:p w14:paraId="36CD9BDB" w14:textId="77777777" w:rsidR="00F018FC" w:rsidRPr="006D5B25" w:rsidRDefault="00F018FC" w:rsidP="00CA2269">
            <w:pPr>
              <w:pStyle w:val="Tablecolhead"/>
              <w:rPr>
                <w:sz w:val="12"/>
                <w:szCs w:val="12"/>
              </w:rPr>
            </w:pPr>
            <w:r w:rsidRPr="006D5B25">
              <w:rPr>
                <w:sz w:val="12"/>
                <w:szCs w:val="12"/>
              </w:rPr>
              <w:t>2016</w:t>
            </w:r>
          </w:p>
        </w:tc>
        <w:tc>
          <w:tcPr>
            <w:tcW w:w="726" w:type="dxa"/>
            <w:shd w:val="clear" w:color="auto" w:fill="EDCDCF"/>
          </w:tcPr>
          <w:p w14:paraId="08E0F767" w14:textId="77777777" w:rsidR="00F018FC" w:rsidRPr="006D5B25" w:rsidRDefault="00F018FC" w:rsidP="00CA2269">
            <w:pPr>
              <w:pStyle w:val="Tablecolhead"/>
              <w:rPr>
                <w:sz w:val="12"/>
                <w:szCs w:val="12"/>
              </w:rPr>
            </w:pPr>
            <w:r w:rsidRPr="006D5B25">
              <w:rPr>
                <w:sz w:val="12"/>
                <w:szCs w:val="12"/>
              </w:rPr>
              <w:t>2017</w:t>
            </w:r>
          </w:p>
        </w:tc>
        <w:tc>
          <w:tcPr>
            <w:tcW w:w="727" w:type="dxa"/>
            <w:shd w:val="clear" w:color="auto" w:fill="EDCDCF"/>
          </w:tcPr>
          <w:p w14:paraId="119AFAC2" w14:textId="53DBC728" w:rsidR="00F018FC" w:rsidRPr="006D5B25" w:rsidRDefault="00F018FC" w:rsidP="00CA2269">
            <w:pPr>
              <w:pStyle w:val="Tablecolhead"/>
              <w:rPr>
                <w:sz w:val="12"/>
                <w:szCs w:val="12"/>
              </w:rPr>
            </w:pPr>
            <w:r w:rsidRPr="006D5B25">
              <w:rPr>
                <w:sz w:val="12"/>
                <w:szCs w:val="12"/>
              </w:rPr>
              <w:t>2018</w:t>
            </w:r>
          </w:p>
        </w:tc>
        <w:tc>
          <w:tcPr>
            <w:tcW w:w="726" w:type="dxa"/>
            <w:shd w:val="clear" w:color="auto" w:fill="EDCDCF"/>
          </w:tcPr>
          <w:p w14:paraId="31506347" w14:textId="70DC9106" w:rsidR="00F018FC" w:rsidRPr="006D5B25" w:rsidRDefault="00F018FC" w:rsidP="00CA2269">
            <w:pPr>
              <w:pStyle w:val="Tablecolhead"/>
              <w:rPr>
                <w:sz w:val="12"/>
                <w:szCs w:val="12"/>
              </w:rPr>
            </w:pPr>
            <w:r w:rsidRPr="006D5B25">
              <w:rPr>
                <w:sz w:val="12"/>
                <w:szCs w:val="12"/>
              </w:rPr>
              <w:t>2019</w:t>
            </w:r>
          </w:p>
        </w:tc>
        <w:tc>
          <w:tcPr>
            <w:tcW w:w="727" w:type="dxa"/>
            <w:shd w:val="clear" w:color="auto" w:fill="EDCDCF"/>
          </w:tcPr>
          <w:p w14:paraId="32055EE8" w14:textId="0D804BD8" w:rsidR="00F018FC" w:rsidRPr="006D5B25" w:rsidRDefault="00F018FC" w:rsidP="00CA2269">
            <w:pPr>
              <w:pStyle w:val="Tablecolhead"/>
              <w:rPr>
                <w:sz w:val="12"/>
                <w:szCs w:val="12"/>
              </w:rPr>
            </w:pPr>
            <w:r w:rsidRPr="006D5B25">
              <w:rPr>
                <w:sz w:val="12"/>
                <w:szCs w:val="12"/>
              </w:rPr>
              <w:t>2020</w:t>
            </w:r>
          </w:p>
        </w:tc>
        <w:tc>
          <w:tcPr>
            <w:tcW w:w="727" w:type="dxa"/>
            <w:shd w:val="clear" w:color="auto" w:fill="EDCDCF"/>
          </w:tcPr>
          <w:p w14:paraId="30A39CB6" w14:textId="0A307C9A" w:rsidR="00F018FC" w:rsidRPr="006D5B25" w:rsidRDefault="00F018FC" w:rsidP="00CA2269">
            <w:pPr>
              <w:pStyle w:val="Tablecolhead"/>
              <w:rPr>
                <w:sz w:val="12"/>
                <w:szCs w:val="12"/>
              </w:rPr>
            </w:pPr>
            <w:r w:rsidRPr="006D5B25">
              <w:rPr>
                <w:sz w:val="12"/>
                <w:szCs w:val="12"/>
              </w:rPr>
              <w:t>2021</w:t>
            </w:r>
          </w:p>
        </w:tc>
      </w:tr>
      <w:tr w:rsidR="003F7331" w:rsidRPr="00325D71" w14:paraId="714F24DE" w14:textId="0FBFCCA2" w:rsidTr="006D5B25">
        <w:trPr>
          <w:trHeight w:val="287"/>
        </w:trPr>
        <w:tc>
          <w:tcPr>
            <w:tcW w:w="725" w:type="dxa"/>
            <w:shd w:val="clear" w:color="auto" w:fill="auto"/>
          </w:tcPr>
          <w:p w14:paraId="7C6FE954" w14:textId="77777777" w:rsidR="003F7331" w:rsidRPr="006D5B25" w:rsidRDefault="003F7331" w:rsidP="003F7331">
            <w:pPr>
              <w:pStyle w:val="Tabletext"/>
              <w:rPr>
                <w:sz w:val="12"/>
                <w:szCs w:val="12"/>
              </w:rPr>
            </w:pPr>
            <w:r w:rsidRPr="006D5B25">
              <w:rPr>
                <w:sz w:val="12"/>
                <w:szCs w:val="12"/>
              </w:rPr>
              <w:t>Males (ASR)</w:t>
            </w:r>
          </w:p>
        </w:tc>
        <w:tc>
          <w:tcPr>
            <w:tcW w:w="726" w:type="dxa"/>
            <w:shd w:val="clear" w:color="auto" w:fill="auto"/>
          </w:tcPr>
          <w:p w14:paraId="6C57477B" w14:textId="492AD20F" w:rsidR="003F7331" w:rsidRPr="006D5B25" w:rsidRDefault="003F7331" w:rsidP="003F7331">
            <w:pPr>
              <w:pStyle w:val="Tabletext"/>
              <w:rPr>
                <w:sz w:val="12"/>
                <w:szCs w:val="12"/>
              </w:rPr>
            </w:pPr>
            <w:r w:rsidRPr="006D5B25">
              <w:rPr>
                <w:sz w:val="12"/>
                <w:szCs w:val="12"/>
              </w:rPr>
              <w:t>106</w:t>
            </w:r>
          </w:p>
        </w:tc>
        <w:tc>
          <w:tcPr>
            <w:tcW w:w="727" w:type="dxa"/>
            <w:shd w:val="clear" w:color="auto" w:fill="auto"/>
          </w:tcPr>
          <w:p w14:paraId="6B5E1F36" w14:textId="6591FCC7" w:rsidR="003F7331" w:rsidRPr="006D5B25" w:rsidRDefault="003F7331" w:rsidP="003F7331">
            <w:pPr>
              <w:pStyle w:val="Tabletext"/>
              <w:rPr>
                <w:sz w:val="12"/>
                <w:szCs w:val="12"/>
              </w:rPr>
            </w:pPr>
            <w:r w:rsidRPr="006D5B25">
              <w:rPr>
                <w:sz w:val="12"/>
                <w:szCs w:val="12"/>
              </w:rPr>
              <w:t>102</w:t>
            </w:r>
          </w:p>
        </w:tc>
        <w:tc>
          <w:tcPr>
            <w:tcW w:w="726" w:type="dxa"/>
            <w:shd w:val="clear" w:color="auto" w:fill="auto"/>
          </w:tcPr>
          <w:p w14:paraId="14E03941" w14:textId="6BC65BA5" w:rsidR="003F7331" w:rsidRPr="006D5B25" w:rsidRDefault="003F7331" w:rsidP="003F7331">
            <w:pPr>
              <w:pStyle w:val="Tabletext"/>
              <w:rPr>
                <w:sz w:val="12"/>
                <w:szCs w:val="12"/>
              </w:rPr>
            </w:pPr>
            <w:r w:rsidRPr="006D5B25">
              <w:rPr>
                <w:sz w:val="12"/>
                <w:szCs w:val="12"/>
              </w:rPr>
              <w:t>97</w:t>
            </w:r>
          </w:p>
        </w:tc>
        <w:tc>
          <w:tcPr>
            <w:tcW w:w="727" w:type="dxa"/>
            <w:shd w:val="clear" w:color="auto" w:fill="auto"/>
          </w:tcPr>
          <w:p w14:paraId="790135F8" w14:textId="6FEEA993" w:rsidR="003F7331" w:rsidRPr="006D5B25" w:rsidRDefault="003F7331" w:rsidP="003F7331">
            <w:pPr>
              <w:pStyle w:val="Tabletext"/>
              <w:rPr>
                <w:sz w:val="12"/>
                <w:szCs w:val="12"/>
              </w:rPr>
            </w:pPr>
            <w:r w:rsidRPr="006D5B25">
              <w:rPr>
                <w:sz w:val="12"/>
                <w:szCs w:val="12"/>
              </w:rPr>
              <w:t>98</w:t>
            </w:r>
          </w:p>
        </w:tc>
        <w:tc>
          <w:tcPr>
            <w:tcW w:w="726" w:type="dxa"/>
            <w:shd w:val="clear" w:color="auto" w:fill="auto"/>
          </w:tcPr>
          <w:p w14:paraId="3E80769C" w14:textId="15F76305" w:rsidR="003F7331" w:rsidRPr="006D5B25" w:rsidRDefault="003F7331" w:rsidP="003F7331">
            <w:pPr>
              <w:pStyle w:val="Tabletext"/>
              <w:rPr>
                <w:sz w:val="12"/>
                <w:szCs w:val="12"/>
              </w:rPr>
            </w:pPr>
            <w:r w:rsidRPr="006D5B25">
              <w:rPr>
                <w:sz w:val="12"/>
                <w:szCs w:val="12"/>
              </w:rPr>
              <w:t>91</w:t>
            </w:r>
          </w:p>
        </w:tc>
        <w:tc>
          <w:tcPr>
            <w:tcW w:w="727" w:type="dxa"/>
            <w:shd w:val="clear" w:color="auto" w:fill="auto"/>
          </w:tcPr>
          <w:p w14:paraId="615320E7" w14:textId="43D7A883" w:rsidR="003F7331" w:rsidRPr="006D5B25" w:rsidRDefault="003F7331" w:rsidP="003F7331">
            <w:pPr>
              <w:pStyle w:val="Tabletext"/>
              <w:rPr>
                <w:sz w:val="12"/>
                <w:szCs w:val="12"/>
              </w:rPr>
            </w:pPr>
            <w:r w:rsidRPr="006D5B25">
              <w:rPr>
                <w:sz w:val="12"/>
                <w:szCs w:val="12"/>
              </w:rPr>
              <w:t>92</w:t>
            </w:r>
          </w:p>
        </w:tc>
        <w:tc>
          <w:tcPr>
            <w:tcW w:w="727" w:type="dxa"/>
            <w:shd w:val="clear" w:color="auto" w:fill="auto"/>
          </w:tcPr>
          <w:p w14:paraId="4D221CC7" w14:textId="6DB40B94" w:rsidR="003F7331" w:rsidRPr="006D5B25" w:rsidRDefault="003F7331" w:rsidP="003F7331">
            <w:pPr>
              <w:pStyle w:val="Tabletext"/>
              <w:rPr>
                <w:sz w:val="12"/>
                <w:szCs w:val="12"/>
              </w:rPr>
            </w:pPr>
            <w:r w:rsidRPr="006D5B25">
              <w:rPr>
                <w:sz w:val="12"/>
                <w:szCs w:val="12"/>
              </w:rPr>
              <w:t>89</w:t>
            </w:r>
          </w:p>
        </w:tc>
        <w:tc>
          <w:tcPr>
            <w:tcW w:w="726" w:type="dxa"/>
            <w:shd w:val="clear" w:color="auto" w:fill="auto"/>
          </w:tcPr>
          <w:p w14:paraId="30B6D67C" w14:textId="77DE0831" w:rsidR="003F7331" w:rsidRPr="006D5B25" w:rsidRDefault="003F7331" w:rsidP="003F7331">
            <w:pPr>
              <w:pStyle w:val="Tabletext"/>
              <w:rPr>
                <w:sz w:val="12"/>
                <w:szCs w:val="12"/>
              </w:rPr>
            </w:pPr>
            <w:r w:rsidRPr="006D5B25">
              <w:rPr>
                <w:sz w:val="12"/>
                <w:szCs w:val="12"/>
              </w:rPr>
              <w:t>85</w:t>
            </w:r>
          </w:p>
        </w:tc>
        <w:tc>
          <w:tcPr>
            <w:tcW w:w="727" w:type="dxa"/>
          </w:tcPr>
          <w:p w14:paraId="6F2A0554" w14:textId="767D4DDC" w:rsidR="003F7331" w:rsidRPr="006D5B25" w:rsidRDefault="003F7331" w:rsidP="003F7331">
            <w:pPr>
              <w:pStyle w:val="Tabletext"/>
              <w:rPr>
                <w:sz w:val="12"/>
                <w:szCs w:val="12"/>
              </w:rPr>
            </w:pPr>
            <w:r w:rsidRPr="006D5B25">
              <w:rPr>
                <w:sz w:val="12"/>
                <w:szCs w:val="12"/>
              </w:rPr>
              <w:t>82</w:t>
            </w:r>
          </w:p>
        </w:tc>
        <w:tc>
          <w:tcPr>
            <w:tcW w:w="726" w:type="dxa"/>
          </w:tcPr>
          <w:p w14:paraId="5914EEB3" w14:textId="7388972C" w:rsidR="003F7331" w:rsidRPr="006D5B25" w:rsidRDefault="003F7331" w:rsidP="003F7331">
            <w:pPr>
              <w:pStyle w:val="Tabletext"/>
              <w:rPr>
                <w:sz w:val="12"/>
                <w:szCs w:val="12"/>
              </w:rPr>
            </w:pPr>
            <w:r w:rsidRPr="006D5B25">
              <w:rPr>
                <w:sz w:val="12"/>
                <w:szCs w:val="12"/>
              </w:rPr>
              <w:t>84</w:t>
            </w:r>
          </w:p>
        </w:tc>
        <w:tc>
          <w:tcPr>
            <w:tcW w:w="727" w:type="dxa"/>
          </w:tcPr>
          <w:p w14:paraId="1F34E40C" w14:textId="0DBD0CAA" w:rsidR="003F7331" w:rsidRPr="006D5B25" w:rsidRDefault="003F7331" w:rsidP="003F7331">
            <w:pPr>
              <w:pStyle w:val="Tabletext"/>
              <w:rPr>
                <w:sz w:val="12"/>
                <w:szCs w:val="12"/>
              </w:rPr>
            </w:pPr>
            <w:r w:rsidRPr="006D5B25">
              <w:rPr>
                <w:sz w:val="12"/>
                <w:szCs w:val="12"/>
              </w:rPr>
              <w:t>78</w:t>
            </w:r>
          </w:p>
        </w:tc>
        <w:tc>
          <w:tcPr>
            <w:tcW w:w="727" w:type="dxa"/>
          </w:tcPr>
          <w:p w14:paraId="4C1A2683" w14:textId="1D7BD89C" w:rsidR="003F7331" w:rsidRPr="006D5B25" w:rsidRDefault="003F7331" w:rsidP="003F7331">
            <w:pPr>
              <w:pStyle w:val="Tabletext"/>
              <w:rPr>
                <w:sz w:val="12"/>
                <w:szCs w:val="12"/>
              </w:rPr>
            </w:pPr>
            <w:r w:rsidRPr="006D5B25">
              <w:rPr>
                <w:sz w:val="12"/>
                <w:szCs w:val="12"/>
              </w:rPr>
              <w:t>78</w:t>
            </w:r>
          </w:p>
        </w:tc>
      </w:tr>
      <w:tr w:rsidR="003F7331" w:rsidRPr="00325D71" w14:paraId="1F66DF16" w14:textId="22444A41" w:rsidTr="006D5B25">
        <w:trPr>
          <w:trHeight w:val="287"/>
        </w:trPr>
        <w:tc>
          <w:tcPr>
            <w:tcW w:w="725" w:type="dxa"/>
            <w:shd w:val="clear" w:color="auto" w:fill="auto"/>
          </w:tcPr>
          <w:p w14:paraId="04463FFB" w14:textId="77777777" w:rsidR="003F7331" w:rsidRPr="006D5B25" w:rsidRDefault="003F7331" w:rsidP="003F7331">
            <w:pPr>
              <w:pStyle w:val="Tabletext"/>
              <w:rPr>
                <w:sz w:val="12"/>
                <w:szCs w:val="12"/>
              </w:rPr>
            </w:pPr>
            <w:r w:rsidRPr="006D5B25">
              <w:rPr>
                <w:sz w:val="12"/>
                <w:szCs w:val="12"/>
              </w:rPr>
              <w:t>(95% CI)</w:t>
            </w:r>
          </w:p>
        </w:tc>
        <w:tc>
          <w:tcPr>
            <w:tcW w:w="726" w:type="dxa"/>
            <w:shd w:val="clear" w:color="auto" w:fill="auto"/>
          </w:tcPr>
          <w:p w14:paraId="16111FE2" w14:textId="0E7E7F87" w:rsidR="003F7331" w:rsidRPr="006D5B25" w:rsidRDefault="003F7331" w:rsidP="003F7331">
            <w:pPr>
              <w:pStyle w:val="Tabletext"/>
              <w:rPr>
                <w:sz w:val="12"/>
                <w:szCs w:val="12"/>
              </w:rPr>
            </w:pPr>
            <w:r w:rsidRPr="006D5B25">
              <w:rPr>
                <w:sz w:val="12"/>
                <w:szCs w:val="12"/>
              </w:rPr>
              <w:t>(102–110)</w:t>
            </w:r>
          </w:p>
        </w:tc>
        <w:tc>
          <w:tcPr>
            <w:tcW w:w="727" w:type="dxa"/>
            <w:shd w:val="clear" w:color="auto" w:fill="auto"/>
          </w:tcPr>
          <w:p w14:paraId="2A00CE36" w14:textId="428C72DD" w:rsidR="003F7331" w:rsidRPr="006D5B25" w:rsidRDefault="003F7331" w:rsidP="003F7331">
            <w:pPr>
              <w:pStyle w:val="Tabletext"/>
              <w:rPr>
                <w:sz w:val="12"/>
                <w:szCs w:val="12"/>
              </w:rPr>
            </w:pPr>
            <w:r w:rsidRPr="006D5B25">
              <w:rPr>
                <w:sz w:val="12"/>
                <w:szCs w:val="12"/>
              </w:rPr>
              <w:t>(99–106)</w:t>
            </w:r>
          </w:p>
        </w:tc>
        <w:tc>
          <w:tcPr>
            <w:tcW w:w="726" w:type="dxa"/>
            <w:shd w:val="clear" w:color="auto" w:fill="auto"/>
          </w:tcPr>
          <w:p w14:paraId="7BF3AE6D" w14:textId="47F4C047" w:rsidR="003F7331" w:rsidRPr="006D5B25" w:rsidRDefault="003F7331" w:rsidP="003F7331">
            <w:pPr>
              <w:pStyle w:val="Tabletext"/>
              <w:rPr>
                <w:sz w:val="12"/>
                <w:szCs w:val="12"/>
              </w:rPr>
            </w:pPr>
            <w:r w:rsidRPr="006D5B25">
              <w:rPr>
                <w:sz w:val="12"/>
                <w:szCs w:val="12"/>
              </w:rPr>
              <w:t>(93</w:t>
            </w:r>
            <w:r w:rsidR="00246747" w:rsidRPr="006D5B25">
              <w:rPr>
                <w:sz w:val="12"/>
                <w:szCs w:val="12"/>
              </w:rPr>
              <w:t>–</w:t>
            </w:r>
            <w:r w:rsidRPr="006D5B25">
              <w:rPr>
                <w:sz w:val="12"/>
                <w:szCs w:val="12"/>
              </w:rPr>
              <w:t>100)</w:t>
            </w:r>
          </w:p>
        </w:tc>
        <w:tc>
          <w:tcPr>
            <w:tcW w:w="727" w:type="dxa"/>
            <w:shd w:val="clear" w:color="auto" w:fill="auto"/>
          </w:tcPr>
          <w:p w14:paraId="4E77905F" w14:textId="7B5D52A4" w:rsidR="003F7331" w:rsidRPr="006D5B25" w:rsidRDefault="003F7331" w:rsidP="003F7331">
            <w:pPr>
              <w:pStyle w:val="Tabletext"/>
              <w:rPr>
                <w:sz w:val="12"/>
                <w:szCs w:val="12"/>
              </w:rPr>
            </w:pPr>
            <w:r w:rsidRPr="006D5B25">
              <w:rPr>
                <w:sz w:val="12"/>
                <w:szCs w:val="12"/>
              </w:rPr>
              <w:t>(95–102)</w:t>
            </w:r>
          </w:p>
        </w:tc>
        <w:tc>
          <w:tcPr>
            <w:tcW w:w="726" w:type="dxa"/>
            <w:shd w:val="clear" w:color="auto" w:fill="auto"/>
          </w:tcPr>
          <w:p w14:paraId="5BEA6141" w14:textId="725DCC8C" w:rsidR="003F7331" w:rsidRPr="006D5B25" w:rsidRDefault="003F7331" w:rsidP="003F7331">
            <w:pPr>
              <w:pStyle w:val="Tabletext"/>
              <w:rPr>
                <w:sz w:val="12"/>
                <w:szCs w:val="12"/>
              </w:rPr>
            </w:pPr>
            <w:r w:rsidRPr="006D5B25">
              <w:rPr>
                <w:sz w:val="12"/>
                <w:szCs w:val="12"/>
              </w:rPr>
              <w:t>(88–95)</w:t>
            </w:r>
          </w:p>
        </w:tc>
        <w:tc>
          <w:tcPr>
            <w:tcW w:w="727" w:type="dxa"/>
            <w:shd w:val="clear" w:color="auto" w:fill="auto"/>
          </w:tcPr>
          <w:p w14:paraId="49A1E529" w14:textId="7C640889" w:rsidR="003F7331" w:rsidRPr="006D5B25" w:rsidRDefault="003F7331" w:rsidP="003F7331">
            <w:pPr>
              <w:pStyle w:val="Tabletext"/>
              <w:rPr>
                <w:sz w:val="12"/>
                <w:szCs w:val="12"/>
              </w:rPr>
            </w:pPr>
            <w:r w:rsidRPr="006D5B25">
              <w:rPr>
                <w:sz w:val="12"/>
                <w:szCs w:val="12"/>
              </w:rPr>
              <w:t>(89–95)</w:t>
            </w:r>
          </w:p>
        </w:tc>
        <w:tc>
          <w:tcPr>
            <w:tcW w:w="727" w:type="dxa"/>
            <w:shd w:val="clear" w:color="auto" w:fill="auto"/>
          </w:tcPr>
          <w:p w14:paraId="62E13AF9" w14:textId="6F154699" w:rsidR="003F7331" w:rsidRPr="006D5B25" w:rsidRDefault="003F7331" w:rsidP="003F7331">
            <w:pPr>
              <w:pStyle w:val="Tabletext"/>
              <w:rPr>
                <w:sz w:val="12"/>
                <w:szCs w:val="12"/>
              </w:rPr>
            </w:pPr>
            <w:r w:rsidRPr="006D5B25">
              <w:rPr>
                <w:sz w:val="12"/>
                <w:szCs w:val="12"/>
              </w:rPr>
              <w:t>(86–92)</w:t>
            </w:r>
          </w:p>
        </w:tc>
        <w:tc>
          <w:tcPr>
            <w:tcW w:w="726" w:type="dxa"/>
            <w:shd w:val="clear" w:color="auto" w:fill="auto"/>
          </w:tcPr>
          <w:p w14:paraId="75A03D91" w14:textId="24E66D1E" w:rsidR="003F7331" w:rsidRPr="006D5B25" w:rsidRDefault="003F7331" w:rsidP="003F7331">
            <w:pPr>
              <w:pStyle w:val="Tabletext"/>
              <w:rPr>
                <w:sz w:val="12"/>
                <w:szCs w:val="12"/>
              </w:rPr>
            </w:pPr>
            <w:r w:rsidRPr="006D5B25">
              <w:rPr>
                <w:sz w:val="12"/>
                <w:szCs w:val="12"/>
              </w:rPr>
              <w:t>(82–88)</w:t>
            </w:r>
          </w:p>
        </w:tc>
        <w:tc>
          <w:tcPr>
            <w:tcW w:w="727" w:type="dxa"/>
          </w:tcPr>
          <w:p w14:paraId="46617268" w14:textId="582A5396" w:rsidR="003F7331" w:rsidRPr="006D5B25" w:rsidRDefault="003F7331" w:rsidP="003F7331">
            <w:pPr>
              <w:pStyle w:val="Tabletext"/>
              <w:rPr>
                <w:sz w:val="12"/>
                <w:szCs w:val="12"/>
              </w:rPr>
            </w:pPr>
            <w:r w:rsidRPr="006D5B25">
              <w:rPr>
                <w:sz w:val="12"/>
                <w:szCs w:val="12"/>
              </w:rPr>
              <w:t>(79–85)</w:t>
            </w:r>
          </w:p>
        </w:tc>
        <w:tc>
          <w:tcPr>
            <w:tcW w:w="726" w:type="dxa"/>
          </w:tcPr>
          <w:p w14:paraId="572143D5" w14:textId="64628F56" w:rsidR="003F7331" w:rsidRPr="006D5B25" w:rsidRDefault="003F7331" w:rsidP="003F7331">
            <w:pPr>
              <w:pStyle w:val="Tabletext"/>
              <w:rPr>
                <w:sz w:val="12"/>
                <w:szCs w:val="12"/>
              </w:rPr>
            </w:pPr>
            <w:r w:rsidRPr="006D5B25">
              <w:rPr>
                <w:sz w:val="12"/>
                <w:szCs w:val="12"/>
              </w:rPr>
              <w:t>(81–87)</w:t>
            </w:r>
          </w:p>
        </w:tc>
        <w:tc>
          <w:tcPr>
            <w:tcW w:w="727" w:type="dxa"/>
          </w:tcPr>
          <w:p w14:paraId="173B6BC9" w14:textId="236B3B40" w:rsidR="003F7331" w:rsidRPr="006D5B25" w:rsidRDefault="003F7331" w:rsidP="003F7331">
            <w:pPr>
              <w:pStyle w:val="Tabletext"/>
              <w:rPr>
                <w:sz w:val="12"/>
                <w:szCs w:val="12"/>
              </w:rPr>
            </w:pPr>
            <w:r w:rsidRPr="006D5B25">
              <w:rPr>
                <w:sz w:val="12"/>
                <w:szCs w:val="12"/>
              </w:rPr>
              <w:t>(75–81)</w:t>
            </w:r>
          </w:p>
        </w:tc>
        <w:tc>
          <w:tcPr>
            <w:tcW w:w="727" w:type="dxa"/>
          </w:tcPr>
          <w:p w14:paraId="30E17136" w14:textId="3331899A" w:rsidR="003F7331" w:rsidRPr="006D5B25" w:rsidRDefault="003F7331" w:rsidP="003F7331">
            <w:pPr>
              <w:pStyle w:val="Tabletext"/>
              <w:rPr>
                <w:sz w:val="12"/>
                <w:szCs w:val="12"/>
              </w:rPr>
            </w:pPr>
            <w:r w:rsidRPr="006D5B25">
              <w:rPr>
                <w:sz w:val="12"/>
                <w:szCs w:val="12"/>
              </w:rPr>
              <w:t>(75–81)</w:t>
            </w:r>
          </w:p>
        </w:tc>
      </w:tr>
      <w:tr w:rsidR="003F7331" w:rsidRPr="00325D71" w14:paraId="6A5B819B" w14:textId="53C0F70A" w:rsidTr="006D5B25">
        <w:trPr>
          <w:trHeight w:val="217"/>
        </w:trPr>
        <w:tc>
          <w:tcPr>
            <w:tcW w:w="725" w:type="dxa"/>
            <w:shd w:val="clear" w:color="auto" w:fill="auto"/>
          </w:tcPr>
          <w:p w14:paraId="488908C3" w14:textId="77777777" w:rsidR="003F7331" w:rsidRPr="006D5B25" w:rsidRDefault="003F7331" w:rsidP="003F7331">
            <w:pPr>
              <w:pStyle w:val="Tabletext"/>
              <w:rPr>
                <w:sz w:val="12"/>
                <w:szCs w:val="12"/>
              </w:rPr>
            </w:pPr>
            <w:r w:rsidRPr="006D5B25">
              <w:rPr>
                <w:sz w:val="12"/>
                <w:szCs w:val="12"/>
              </w:rPr>
              <w:t>Females (ASR)</w:t>
            </w:r>
          </w:p>
        </w:tc>
        <w:tc>
          <w:tcPr>
            <w:tcW w:w="726" w:type="dxa"/>
            <w:shd w:val="clear" w:color="auto" w:fill="auto"/>
          </w:tcPr>
          <w:p w14:paraId="4C21FC67" w14:textId="62FDE4C4" w:rsidR="003F7331" w:rsidRPr="006D5B25" w:rsidRDefault="003F7331" w:rsidP="003F7331">
            <w:pPr>
              <w:pStyle w:val="Tabletext"/>
              <w:rPr>
                <w:sz w:val="12"/>
                <w:szCs w:val="12"/>
              </w:rPr>
            </w:pPr>
            <w:r w:rsidRPr="006D5B25">
              <w:rPr>
                <w:sz w:val="12"/>
                <w:szCs w:val="12"/>
              </w:rPr>
              <w:t>78</w:t>
            </w:r>
          </w:p>
        </w:tc>
        <w:tc>
          <w:tcPr>
            <w:tcW w:w="727" w:type="dxa"/>
            <w:shd w:val="clear" w:color="auto" w:fill="auto"/>
          </w:tcPr>
          <w:p w14:paraId="4EDCD3E8" w14:textId="4C26CCBF" w:rsidR="003F7331" w:rsidRPr="006D5B25" w:rsidRDefault="003F7331" w:rsidP="003F7331">
            <w:pPr>
              <w:pStyle w:val="Tabletext"/>
              <w:rPr>
                <w:sz w:val="12"/>
                <w:szCs w:val="12"/>
              </w:rPr>
            </w:pPr>
            <w:r w:rsidRPr="006D5B25">
              <w:rPr>
                <w:sz w:val="12"/>
                <w:szCs w:val="12"/>
              </w:rPr>
              <w:t>78</w:t>
            </w:r>
          </w:p>
        </w:tc>
        <w:tc>
          <w:tcPr>
            <w:tcW w:w="726" w:type="dxa"/>
            <w:shd w:val="clear" w:color="auto" w:fill="auto"/>
          </w:tcPr>
          <w:p w14:paraId="08BA58FB" w14:textId="3ED2BCC4" w:rsidR="003F7331" w:rsidRPr="006D5B25" w:rsidRDefault="003F7331" w:rsidP="003F7331">
            <w:pPr>
              <w:pStyle w:val="Tabletext"/>
              <w:rPr>
                <w:sz w:val="12"/>
                <w:szCs w:val="12"/>
              </w:rPr>
            </w:pPr>
            <w:r w:rsidRPr="006D5B25">
              <w:rPr>
                <w:sz w:val="12"/>
                <w:szCs w:val="12"/>
              </w:rPr>
              <w:t>75</w:t>
            </w:r>
          </w:p>
        </w:tc>
        <w:tc>
          <w:tcPr>
            <w:tcW w:w="727" w:type="dxa"/>
            <w:shd w:val="clear" w:color="auto" w:fill="auto"/>
          </w:tcPr>
          <w:p w14:paraId="6FF445A9" w14:textId="2E21BA1E" w:rsidR="003F7331" w:rsidRPr="006D5B25" w:rsidRDefault="003F7331" w:rsidP="003F7331">
            <w:pPr>
              <w:pStyle w:val="Tabletext"/>
              <w:rPr>
                <w:sz w:val="12"/>
                <w:szCs w:val="12"/>
              </w:rPr>
            </w:pPr>
            <w:r w:rsidRPr="006D5B25">
              <w:rPr>
                <w:sz w:val="12"/>
                <w:szCs w:val="12"/>
              </w:rPr>
              <w:t>74</w:t>
            </w:r>
          </w:p>
        </w:tc>
        <w:tc>
          <w:tcPr>
            <w:tcW w:w="726" w:type="dxa"/>
            <w:shd w:val="clear" w:color="auto" w:fill="auto"/>
          </w:tcPr>
          <w:p w14:paraId="0921523E" w14:textId="495EF2FD" w:rsidR="003F7331" w:rsidRPr="006D5B25" w:rsidRDefault="003F7331" w:rsidP="003F7331">
            <w:pPr>
              <w:pStyle w:val="Tabletext"/>
              <w:rPr>
                <w:sz w:val="12"/>
                <w:szCs w:val="12"/>
              </w:rPr>
            </w:pPr>
            <w:r w:rsidRPr="006D5B25">
              <w:rPr>
                <w:sz w:val="12"/>
                <w:szCs w:val="12"/>
              </w:rPr>
              <w:t>72</w:t>
            </w:r>
          </w:p>
        </w:tc>
        <w:tc>
          <w:tcPr>
            <w:tcW w:w="727" w:type="dxa"/>
            <w:shd w:val="clear" w:color="auto" w:fill="auto"/>
          </w:tcPr>
          <w:p w14:paraId="5E5CD316" w14:textId="030BB836" w:rsidR="003F7331" w:rsidRPr="006D5B25" w:rsidRDefault="003F7331" w:rsidP="003F7331">
            <w:pPr>
              <w:pStyle w:val="Tabletext"/>
              <w:rPr>
                <w:sz w:val="12"/>
                <w:szCs w:val="12"/>
              </w:rPr>
            </w:pPr>
            <w:r w:rsidRPr="006D5B25">
              <w:rPr>
                <w:sz w:val="12"/>
                <w:szCs w:val="12"/>
              </w:rPr>
              <w:t>71</w:t>
            </w:r>
          </w:p>
        </w:tc>
        <w:tc>
          <w:tcPr>
            <w:tcW w:w="727" w:type="dxa"/>
            <w:shd w:val="clear" w:color="auto" w:fill="auto"/>
          </w:tcPr>
          <w:p w14:paraId="2A1AE689" w14:textId="567625DD" w:rsidR="003F7331" w:rsidRPr="006D5B25" w:rsidRDefault="003F7331" w:rsidP="003F7331">
            <w:pPr>
              <w:pStyle w:val="Tabletext"/>
              <w:rPr>
                <w:sz w:val="12"/>
                <w:szCs w:val="12"/>
              </w:rPr>
            </w:pPr>
            <w:r w:rsidRPr="006D5B25">
              <w:rPr>
                <w:sz w:val="12"/>
                <w:szCs w:val="12"/>
              </w:rPr>
              <w:t>73</w:t>
            </w:r>
          </w:p>
        </w:tc>
        <w:tc>
          <w:tcPr>
            <w:tcW w:w="726" w:type="dxa"/>
            <w:shd w:val="clear" w:color="auto" w:fill="auto"/>
          </w:tcPr>
          <w:p w14:paraId="650ACCB1" w14:textId="014BCF1A" w:rsidR="003F7331" w:rsidRPr="006D5B25" w:rsidRDefault="003F7331" w:rsidP="003F7331">
            <w:pPr>
              <w:pStyle w:val="Tabletext"/>
              <w:rPr>
                <w:sz w:val="12"/>
                <w:szCs w:val="12"/>
              </w:rPr>
            </w:pPr>
            <w:r w:rsidRPr="006D5B25">
              <w:rPr>
                <w:sz w:val="12"/>
                <w:szCs w:val="12"/>
              </w:rPr>
              <w:t>69</w:t>
            </w:r>
          </w:p>
        </w:tc>
        <w:tc>
          <w:tcPr>
            <w:tcW w:w="727" w:type="dxa"/>
          </w:tcPr>
          <w:p w14:paraId="715FBABF" w14:textId="337D79E7" w:rsidR="003F7331" w:rsidRPr="006D5B25" w:rsidRDefault="003F7331" w:rsidP="003F7331">
            <w:pPr>
              <w:pStyle w:val="Tabletext"/>
              <w:rPr>
                <w:sz w:val="12"/>
                <w:szCs w:val="12"/>
              </w:rPr>
            </w:pPr>
            <w:r w:rsidRPr="006D5B25">
              <w:rPr>
                <w:sz w:val="12"/>
                <w:szCs w:val="12"/>
              </w:rPr>
              <w:t>67</w:t>
            </w:r>
          </w:p>
        </w:tc>
        <w:tc>
          <w:tcPr>
            <w:tcW w:w="726" w:type="dxa"/>
          </w:tcPr>
          <w:p w14:paraId="145F1FB1" w14:textId="5B3EFEED" w:rsidR="003F7331" w:rsidRPr="006D5B25" w:rsidRDefault="003F7331" w:rsidP="003F7331">
            <w:pPr>
              <w:pStyle w:val="Tabletext"/>
              <w:rPr>
                <w:sz w:val="12"/>
                <w:szCs w:val="12"/>
              </w:rPr>
            </w:pPr>
            <w:r w:rsidRPr="006D5B25">
              <w:rPr>
                <w:sz w:val="12"/>
                <w:szCs w:val="12"/>
              </w:rPr>
              <w:t>63</w:t>
            </w:r>
          </w:p>
        </w:tc>
        <w:tc>
          <w:tcPr>
            <w:tcW w:w="727" w:type="dxa"/>
          </w:tcPr>
          <w:p w14:paraId="7F2944EE" w14:textId="54BC5B21" w:rsidR="003F7331" w:rsidRPr="006D5B25" w:rsidRDefault="003F7331" w:rsidP="003F7331">
            <w:pPr>
              <w:pStyle w:val="Tabletext"/>
              <w:rPr>
                <w:sz w:val="12"/>
                <w:szCs w:val="12"/>
              </w:rPr>
            </w:pPr>
            <w:r w:rsidRPr="006D5B25">
              <w:rPr>
                <w:sz w:val="12"/>
                <w:szCs w:val="12"/>
              </w:rPr>
              <w:t>62</w:t>
            </w:r>
          </w:p>
        </w:tc>
        <w:tc>
          <w:tcPr>
            <w:tcW w:w="727" w:type="dxa"/>
          </w:tcPr>
          <w:p w14:paraId="2CD20CFB" w14:textId="41E8116D" w:rsidR="003F7331" w:rsidRPr="006D5B25" w:rsidRDefault="003F7331" w:rsidP="003F7331">
            <w:pPr>
              <w:pStyle w:val="Tabletext"/>
              <w:rPr>
                <w:sz w:val="12"/>
                <w:szCs w:val="12"/>
              </w:rPr>
            </w:pPr>
            <w:r w:rsidRPr="006D5B25">
              <w:rPr>
                <w:sz w:val="12"/>
                <w:szCs w:val="12"/>
              </w:rPr>
              <w:t>62</w:t>
            </w:r>
          </w:p>
        </w:tc>
      </w:tr>
      <w:tr w:rsidR="003F7331" w:rsidRPr="00325D71" w14:paraId="7203C31F" w14:textId="1148C491" w:rsidTr="006D5B25">
        <w:trPr>
          <w:trHeight w:val="217"/>
        </w:trPr>
        <w:tc>
          <w:tcPr>
            <w:tcW w:w="725" w:type="dxa"/>
            <w:shd w:val="clear" w:color="auto" w:fill="auto"/>
          </w:tcPr>
          <w:p w14:paraId="5388194F" w14:textId="77777777" w:rsidR="003F7331" w:rsidRPr="006D5B25" w:rsidRDefault="003F7331" w:rsidP="003F7331">
            <w:pPr>
              <w:pStyle w:val="Tabletext"/>
              <w:rPr>
                <w:sz w:val="12"/>
                <w:szCs w:val="12"/>
              </w:rPr>
            </w:pPr>
            <w:r w:rsidRPr="006D5B25">
              <w:rPr>
                <w:sz w:val="12"/>
                <w:szCs w:val="12"/>
              </w:rPr>
              <w:t>(95% CI)</w:t>
            </w:r>
          </w:p>
        </w:tc>
        <w:tc>
          <w:tcPr>
            <w:tcW w:w="726" w:type="dxa"/>
            <w:shd w:val="clear" w:color="auto" w:fill="auto"/>
          </w:tcPr>
          <w:p w14:paraId="273FCB29" w14:textId="2E2E210A" w:rsidR="003F7331" w:rsidRPr="006D5B25" w:rsidRDefault="003F7331" w:rsidP="003F7331">
            <w:pPr>
              <w:pStyle w:val="Tabletext"/>
              <w:rPr>
                <w:sz w:val="12"/>
                <w:szCs w:val="12"/>
              </w:rPr>
            </w:pPr>
            <w:r w:rsidRPr="006D5B25">
              <w:rPr>
                <w:sz w:val="12"/>
                <w:szCs w:val="12"/>
              </w:rPr>
              <w:t>(75–81)</w:t>
            </w:r>
          </w:p>
        </w:tc>
        <w:tc>
          <w:tcPr>
            <w:tcW w:w="727" w:type="dxa"/>
            <w:shd w:val="clear" w:color="auto" w:fill="auto"/>
          </w:tcPr>
          <w:p w14:paraId="5561A71B" w14:textId="3CE6B5CA" w:rsidR="003F7331" w:rsidRPr="006D5B25" w:rsidRDefault="003F7331" w:rsidP="003F7331">
            <w:pPr>
              <w:pStyle w:val="Tabletext"/>
              <w:rPr>
                <w:sz w:val="12"/>
                <w:szCs w:val="12"/>
              </w:rPr>
            </w:pPr>
            <w:r w:rsidRPr="006D5B25">
              <w:rPr>
                <w:sz w:val="12"/>
                <w:szCs w:val="12"/>
              </w:rPr>
              <w:t>(75–82)</w:t>
            </w:r>
          </w:p>
        </w:tc>
        <w:tc>
          <w:tcPr>
            <w:tcW w:w="726" w:type="dxa"/>
            <w:shd w:val="clear" w:color="auto" w:fill="auto"/>
          </w:tcPr>
          <w:p w14:paraId="1E548E07" w14:textId="4AA5E9AF" w:rsidR="003F7331" w:rsidRPr="006D5B25" w:rsidRDefault="003F7331" w:rsidP="003F7331">
            <w:pPr>
              <w:pStyle w:val="Tabletext"/>
              <w:rPr>
                <w:sz w:val="12"/>
                <w:szCs w:val="12"/>
              </w:rPr>
            </w:pPr>
            <w:r w:rsidRPr="006D5B25">
              <w:rPr>
                <w:sz w:val="12"/>
                <w:szCs w:val="12"/>
              </w:rPr>
              <w:t>(72–78)</w:t>
            </w:r>
          </w:p>
        </w:tc>
        <w:tc>
          <w:tcPr>
            <w:tcW w:w="727" w:type="dxa"/>
            <w:shd w:val="clear" w:color="auto" w:fill="auto"/>
          </w:tcPr>
          <w:p w14:paraId="2CD96681" w14:textId="4D06A026" w:rsidR="003F7331" w:rsidRPr="006D5B25" w:rsidRDefault="003F7331" w:rsidP="003F7331">
            <w:pPr>
              <w:pStyle w:val="Tabletext"/>
              <w:rPr>
                <w:sz w:val="12"/>
                <w:szCs w:val="12"/>
              </w:rPr>
            </w:pPr>
            <w:r w:rsidRPr="006D5B25">
              <w:rPr>
                <w:sz w:val="12"/>
                <w:szCs w:val="12"/>
              </w:rPr>
              <w:t>(71–77)</w:t>
            </w:r>
          </w:p>
        </w:tc>
        <w:tc>
          <w:tcPr>
            <w:tcW w:w="726" w:type="dxa"/>
            <w:shd w:val="clear" w:color="auto" w:fill="auto"/>
          </w:tcPr>
          <w:p w14:paraId="2B3E330A" w14:textId="302B4355" w:rsidR="003F7331" w:rsidRPr="006D5B25" w:rsidRDefault="003F7331" w:rsidP="003F7331">
            <w:pPr>
              <w:pStyle w:val="Tabletext"/>
              <w:rPr>
                <w:sz w:val="12"/>
                <w:szCs w:val="12"/>
              </w:rPr>
            </w:pPr>
            <w:r w:rsidRPr="006D5B25">
              <w:rPr>
                <w:sz w:val="12"/>
                <w:szCs w:val="12"/>
              </w:rPr>
              <w:t>(69–75)</w:t>
            </w:r>
          </w:p>
        </w:tc>
        <w:tc>
          <w:tcPr>
            <w:tcW w:w="727" w:type="dxa"/>
            <w:shd w:val="clear" w:color="auto" w:fill="auto"/>
          </w:tcPr>
          <w:p w14:paraId="0C38C7C0" w14:textId="1CE41841" w:rsidR="003F7331" w:rsidRPr="006D5B25" w:rsidRDefault="003F7331" w:rsidP="003F7331">
            <w:pPr>
              <w:pStyle w:val="Tabletext"/>
              <w:rPr>
                <w:sz w:val="12"/>
                <w:szCs w:val="12"/>
              </w:rPr>
            </w:pPr>
            <w:r w:rsidRPr="006D5B25">
              <w:rPr>
                <w:sz w:val="12"/>
                <w:szCs w:val="12"/>
              </w:rPr>
              <w:t>(68–74)</w:t>
            </w:r>
          </w:p>
        </w:tc>
        <w:tc>
          <w:tcPr>
            <w:tcW w:w="727" w:type="dxa"/>
            <w:shd w:val="clear" w:color="auto" w:fill="auto"/>
          </w:tcPr>
          <w:p w14:paraId="7953BE4E" w14:textId="07C4FE7A" w:rsidR="003F7331" w:rsidRPr="006D5B25" w:rsidRDefault="003F7331" w:rsidP="003F7331">
            <w:pPr>
              <w:pStyle w:val="Tabletext"/>
              <w:rPr>
                <w:sz w:val="12"/>
                <w:szCs w:val="12"/>
              </w:rPr>
            </w:pPr>
            <w:r w:rsidRPr="006D5B25">
              <w:rPr>
                <w:sz w:val="12"/>
                <w:szCs w:val="12"/>
              </w:rPr>
              <w:t>(70–76)</w:t>
            </w:r>
          </w:p>
        </w:tc>
        <w:tc>
          <w:tcPr>
            <w:tcW w:w="726" w:type="dxa"/>
            <w:shd w:val="clear" w:color="auto" w:fill="auto"/>
          </w:tcPr>
          <w:p w14:paraId="1CB8A0F6" w14:textId="45619B14" w:rsidR="003F7331" w:rsidRPr="006D5B25" w:rsidRDefault="003F7331" w:rsidP="003F7331">
            <w:pPr>
              <w:pStyle w:val="Tabletext"/>
              <w:rPr>
                <w:sz w:val="12"/>
                <w:szCs w:val="12"/>
              </w:rPr>
            </w:pPr>
            <w:r w:rsidRPr="006D5B25">
              <w:rPr>
                <w:sz w:val="12"/>
                <w:szCs w:val="12"/>
              </w:rPr>
              <w:t>(67–72)</w:t>
            </w:r>
          </w:p>
        </w:tc>
        <w:tc>
          <w:tcPr>
            <w:tcW w:w="727" w:type="dxa"/>
          </w:tcPr>
          <w:p w14:paraId="1B717589" w14:textId="1B361165" w:rsidR="003F7331" w:rsidRPr="006D5B25" w:rsidRDefault="003F7331" w:rsidP="003F7331">
            <w:pPr>
              <w:pStyle w:val="Tabletext"/>
              <w:rPr>
                <w:sz w:val="12"/>
                <w:szCs w:val="12"/>
              </w:rPr>
            </w:pPr>
            <w:r w:rsidRPr="006D5B25">
              <w:rPr>
                <w:sz w:val="12"/>
                <w:szCs w:val="12"/>
              </w:rPr>
              <w:t>(65–70)</w:t>
            </w:r>
          </w:p>
        </w:tc>
        <w:tc>
          <w:tcPr>
            <w:tcW w:w="726" w:type="dxa"/>
          </w:tcPr>
          <w:p w14:paraId="24C32C58" w14:textId="0E222CB8" w:rsidR="003F7331" w:rsidRPr="006D5B25" w:rsidRDefault="003F7331" w:rsidP="003F7331">
            <w:pPr>
              <w:pStyle w:val="Tabletext"/>
              <w:rPr>
                <w:sz w:val="12"/>
                <w:szCs w:val="12"/>
              </w:rPr>
            </w:pPr>
            <w:r w:rsidRPr="006D5B25">
              <w:rPr>
                <w:sz w:val="12"/>
                <w:szCs w:val="12"/>
              </w:rPr>
              <w:t>(61–66)</w:t>
            </w:r>
          </w:p>
        </w:tc>
        <w:tc>
          <w:tcPr>
            <w:tcW w:w="727" w:type="dxa"/>
          </w:tcPr>
          <w:p w14:paraId="2AD9FEE1" w14:textId="0814A52D" w:rsidR="003F7331" w:rsidRPr="006D5B25" w:rsidRDefault="003F7331" w:rsidP="003F7331">
            <w:pPr>
              <w:pStyle w:val="Tabletext"/>
              <w:rPr>
                <w:sz w:val="12"/>
                <w:szCs w:val="12"/>
              </w:rPr>
            </w:pPr>
            <w:r w:rsidRPr="006D5B25">
              <w:rPr>
                <w:sz w:val="12"/>
                <w:szCs w:val="12"/>
              </w:rPr>
              <w:t>(60–65)</w:t>
            </w:r>
          </w:p>
        </w:tc>
        <w:tc>
          <w:tcPr>
            <w:tcW w:w="727" w:type="dxa"/>
          </w:tcPr>
          <w:p w14:paraId="2FA997D0" w14:textId="7EF1522B" w:rsidR="003F7331" w:rsidRPr="006D5B25" w:rsidRDefault="003F7331" w:rsidP="003F7331">
            <w:pPr>
              <w:pStyle w:val="Tabletext"/>
              <w:rPr>
                <w:sz w:val="12"/>
                <w:szCs w:val="12"/>
              </w:rPr>
            </w:pPr>
            <w:r w:rsidRPr="006D5B25">
              <w:rPr>
                <w:sz w:val="12"/>
                <w:szCs w:val="12"/>
              </w:rPr>
              <w:t>(60–65)</w:t>
            </w:r>
          </w:p>
        </w:tc>
      </w:tr>
      <w:tr w:rsidR="003F7331" w:rsidRPr="00325D71" w14:paraId="5F54BF6E" w14:textId="1831D5B1" w:rsidTr="006D5B25">
        <w:trPr>
          <w:trHeight w:val="217"/>
        </w:trPr>
        <w:tc>
          <w:tcPr>
            <w:tcW w:w="725" w:type="dxa"/>
            <w:shd w:val="clear" w:color="auto" w:fill="auto"/>
          </w:tcPr>
          <w:p w14:paraId="15618097" w14:textId="1E3230DD" w:rsidR="003F7331" w:rsidRPr="006D5B25" w:rsidRDefault="003F7331" w:rsidP="003F7331">
            <w:pPr>
              <w:pStyle w:val="Tabletext"/>
              <w:rPr>
                <w:sz w:val="12"/>
                <w:szCs w:val="12"/>
              </w:rPr>
            </w:pPr>
            <w:r w:rsidRPr="006D5B25">
              <w:rPr>
                <w:sz w:val="12"/>
                <w:szCs w:val="12"/>
              </w:rPr>
              <w:t>Persons (ASR)</w:t>
            </w:r>
          </w:p>
        </w:tc>
        <w:tc>
          <w:tcPr>
            <w:tcW w:w="726" w:type="dxa"/>
            <w:shd w:val="clear" w:color="auto" w:fill="auto"/>
          </w:tcPr>
          <w:p w14:paraId="588ECBF0" w14:textId="7C7FBB66" w:rsidR="003F7331" w:rsidRPr="006D5B25" w:rsidRDefault="003F7331" w:rsidP="003F7331">
            <w:pPr>
              <w:pStyle w:val="Tabletext"/>
              <w:rPr>
                <w:sz w:val="12"/>
                <w:szCs w:val="12"/>
              </w:rPr>
            </w:pPr>
            <w:r w:rsidRPr="006D5B25">
              <w:rPr>
                <w:sz w:val="12"/>
                <w:szCs w:val="12"/>
              </w:rPr>
              <w:t>92</w:t>
            </w:r>
          </w:p>
        </w:tc>
        <w:tc>
          <w:tcPr>
            <w:tcW w:w="727" w:type="dxa"/>
            <w:shd w:val="clear" w:color="auto" w:fill="auto"/>
          </w:tcPr>
          <w:p w14:paraId="7932A108" w14:textId="51CC47CF" w:rsidR="003F7331" w:rsidRPr="006D5B25" w:rsidRDefault="003F7331" w:rsidP="003F7331">
            <w:pPr>
              <w:pStyle w:val="Tabletext"/>
              <w:rPr>
                <w:sz w:val="12"/>
                <w:szCs w:val="12"/>
              </w:rPr>
            </w:pPr>
            <w:r w:rsidRPr="006D5B25">
              <w:rPr>
                <w:sz w:val="12"/>
                <w:szCs w:val="12"/>
              </w:rPr>
              <w:t>90</w:t>
            </w:r>
          </w:p>
        </w:tc>
        <w:tc>
          <w:tcPr>
            <w:tcW w:w="726" w:type="dxa"/>
            <w:shd w:val="clear" w:color="auto" w:fill="auto"/>
          </w:tcPr>
          <w:p w14:paraId="2658B0DC" w14:textId="3424BACB" w:rsidR="003F7331" w:rsidRPr="006D5B25" w:rsidRDefault="003F7331" w:rsidP="003F7331">
            <w:pPr>
              <w:pStyle w:val="Tabletext"/>
              <w:rPr>
                <w:sz w:val="12"/>
                <w:szCs w:val="12"/>
              </w:rPr>
            </w:pPr>
            <w:r w:rsidRPr="006D5B25">
              <w:rPr>
                <w:sz w:val="12"/>
                <w:szCs w:val="12"/>
              </w:rPr>
              <w:t>85</w:t>
            </w:r>
          </w:p>
        </w:tc>
        <w:tc>
          <w:tcPr>
            <w:tcW w:w="727" w:type="dxa"/>
            <w:shd w:val="clear" w:color="auto" w:fill="auto"/>
          </w:tcPr>
          <w:p w14:paraId="3385B2A0" w14:textId="6E8DB389" w:rsidR="003F7331" w:rsidRPr="006D5B25" w:rsidRDefault="003F7331" w:rsidP="003F7331">
            <w:pPr>
              <w:pStyle w:val="Tabletext"/>
              <w:rPr>
                <w:sz w:val="12"/>
                <w:szCs w:val="12"/>
              </w:rPr>
            </w:pPr>
            <w:r w:rsidRPr="006D5B25">
              <w:rPr>
                <w:sz w:val="12"/>
                <w:szCs w:val="12"/>
              </w:rPr>
              <w:t>86</w:t>
            </w:r>
          </w:p>
        </w:tc>
        <w:tc>
          <w:tcPr>
            <w:tcW w:w="726" w:type="dxa"/>
            <w:shd w:val="clear" w:color="auto" w:fill="auto"/>
          </w:tcPr>
          <w:p w14:paraId="2B2281A3" w14:textId="3B172D1D" w:rsidR="003F7331" w:rsidRPr="006D5B25" w:rsidRDefault="003F7331" w:rsidP="003F7331">
            <w:pPr>
              <w:pStyle w:val="Tabletext"/>
              <w:rPr>
                <w:sz w:val="12"/>
                <w:szCs w:val="12"/>
              </w:rPr>
            </w:pPr>
            <w:r w:rsidRPr="006D5B25">
              <w:rPr>
                <w:sz w:val="12"/>
                <w:szCs w:val="12"/>
              </w:rPr>
              <w:t>81</w:t>
            </w:r>
          </w:p>
        </w:tc>
        <w:tc>
          <w:tcPr>
            <w:tcW w:w="727" w:type="dxa"/>
            <w:shd w:val="clear" w:color="auto" w:fill="auto"/>
          </w:tcPr>
          <w:p w14:paraId="65D41810" w14:textId="0F29B884" w:rsidR="003F7331" w:rsidRPr="006D5B25" w:rsidRDefault="003F7331" w:rsidP="003F7331">
            <w:pPr>
              <w:pStyle w:val="Tabletext"/>
              <w:rPr>
                <w:sz w:val="12"/>
                <w:szCs w:val="12"/>
              </w:rPr>
            </w:pPr>
            <w:r w:rsidRPr="006D5B25">
              <w:rPr>
                <w:sz w:val="12"/>
                <w:szCs w:val="12"/>
              </w:rPr>
              <w:t>81</w:t>
            </w:r>
          </w:p>
        </w:tc>
        <w:tc>
          <w:tcPr>
            <w:tcW w:w="727" w:type="dxa"/>
            <w:shd w:val="clear" w:color="auto" w:fill="auto"/>
          </w:tcPr>
          <w:p w14:paraId="14AC1374" w14:textId="6668887F" w:rsidR="003F7331" w:rsidRPr="006D5B25" w:rsidRDefault="003F7331" w:rsidP="003F7331">
            <w:pPr>
              <w:pStyle w:val="Tabletext"/>
              <w:rPr>
                <w:sz w:val="12"/>
                <w:szCs w:val="12"/>
              </w:rPr>
            </w:pPr>
            <w:r w:rsidRPr="006D5B25">
              <w:rPr>
                <w:sz w:val="12"/>
                <w:szCs w:val="12"/>
              </w:rPr>
              <w:t>81</w:t>
            </w:r>
          </w:p>
        </w:tc>
        <w:tc>
          <w:tcPr>
            <w:tcW w:w="726" w:type="dxa"/>
            <w:shd w:val="clear" w:color="auto" w:fill="auto"/>
          </w:tcPr>
          <w:p w14:paraId="2873035D" w14:textId="60D52374" w:rsidR="003F7331" w:rsidRPr="006D5B25" w:rsidRDefault="003F7331" w:rsidP="003F7331">
            <w:pPr>
              <w:pStyle w:val="Tabletext"/>
              <w:rPr>
                <w:sz w:val="12"/>
                <w:szCs w:val="12"/>
              </w:rPr>
            </w:pPr>
            <w:r w:rsidRPr="006D5B25">
              <w:rPr>
                <w:sz w:val="12"/>
                <w:szCs w:val="12"/>
              </w:rPr>
              <w:t>77</w:t>
            </w:r>
          </w:p>
        </w:tc>
        <w:tc>
          <w:tcPr>
            <w:tcW w:w="727" w:type="dxa"/>
          </w:tcPr>
          <w:p w14:paraId="02491892" w14:textId="04FD8AD8" w:rsidR="003F7331" w:rsidRPr="006D5B25" w:rsidRDefault="003F7331" w:rsidP="003F7331">
            <w:pPr>
              <w:pStyle w:val="Tabletext"/>
              <w:rPr>
                <w:sz w:val="12"/>
                <w:szCs w:val="12"/>
              </w:rPr>
            </w:pPr>
            <w:r w:rsidRPr="006D5B25">
              <w:rPr>
                <w:sz w:val="12"/>
                <w:szCs w:val="12"/>
              </w:rPr>
              <w:t>74</w:t>
            </w:r>
          </w:p>
        </w:tc>
        <w:tc>
          <w:tcPr>
            <w:tcW w:w="726" w:type="dxa"/>
          </w:tcPr>
          <w:p w14:paraId="1993E92B" w14:textId="101216AF" w:rsidR="003F7331" w:rsidRPr="006D5B25" w:rsidRDefault="003F7331" w:rsidP="003F7331">
            <w:pPr>
              <w:pStyle w:val="Tabletext"/>
              <w:rPr>
                <w:sz w:val="12"/>
                <w:szCs w:val="12"/>
              </w:rPr>
            </w:pPr>
            <w:r w:rsidRPr="006D5B25">
              <w:rPr>
                <w:sz w:val="12"/>
                <w:szCs w:val="12"/>
              </w:rPr>
              <w:t>73</w:t>
            </w:r>
          </w:p>
        </w:tc>
        <w:tc>
          <w:tcPr>
            <w:tcW w:w="727" w:type="dxa"/>
          </w:tcPr>
          <w:p w14:paraId="7975B5D6" w14:textId="09713E05" w:rsidR="003F7331" w:rsidRPr="006D5B25" w:rsidRDefault="003F7331" w:rsidP="003F7331">
            <w:pPr>
              <w:pStyle w:val="Tabletext"/>
              <w:rPr>
                <w:sz w:val="12"/>
                <w:szCs w:val="12"/>
              </w:rPr>
            </w:pPr>
            <w:r w:rsidRPr="006D5B25">
              <w:rPr>
                <w:sz w:val="12"/>
                <w:szCs w:val="12"/>
              </w:rPr>
              <w:t>70</w:t>
            </w:r>
          </w:p>
        </w:tc>
        <w:tc>
          <w:tcPr>
            <w:tcW w:w="727" w:type="dxa"/>
          </w:tcPr>
          <w:p w14:paraId="4ADF9395" w14:textId="11C97BAA" w:rsidR="003F7331" w:rsidRPr="006D5B25" w:rsidRDefault="003F7331" w:rsidP="003F7331">
            <w:pPr>
              <w:pStyle w:val="Tabletext"/>
              <w:rPr>
                <w:sz w:val="12"/>
                <w:szCs w:val="12"/>
              </w:rPr>
            </w:pPr>
            <w:r w:rsidRPr="006D5B25">
              <w:rPr>
                <w:sz w:val="12"/>
                <w:szCs w:val="12"/>
              </w:rPr>
              <w:t>70</w:t>
            </w:r>
          </w:p>
        </w:tc>
      </w:tr>
      <w:tr w:rsidR="003F7331" w:rsidRPr="00325D71" w14:paraId="7768E725" w14:textId="7E2DA260" w:rsidTr="006D5B25">
        <w:trPr>
          <w:trHeight w:val="217"/>
        </w:trPr>
        <w:tc>
          <w:tcPr>
            <w:tcW w:w="725" w:type="dxa"/>
            <w:shd w:val="clear" w:color="auto" w:fill="auto"/>
          </w:tcPr>
          <w:p w14:paraId="5140C516" w14:textId="77777777" w:rsidR="003F7331" w:rsidRPr="006D5B25" w:rsidRDefault="003F7331" w:rsidP="003F7331">
            <w:pPr>
              <w:pStyle w:val="Tabletext"/>
              <w:rPr>
                <w:sz w:val="12"/>
                <w:szCs w:val="12"/>
              </w:rPr>
            </w:pPr>
            <w:r w:rsidRPr="006D5B25">
              <w:rPr>
                <w:sz w:val="12"/>
                <w:szCs w:val="12"/>
              </w:rPr>
              <w:t>(95% CI)</w:t>
            </w:r>
          </w:p>
        </w:tc>
        <w:tc>
          <w:tcPr>
            <w:tcW w:w="726" w:type="dxa"/>
            <w:shd w:val="clear" w:color="auto" w:fill="auto"/>
          </w:tcPr>
          <w:p w14:paraId="3CD5CCF0" w14:textId="226F4807" w:rsidR="003F7331" w:rsidRPr="006D5B25" w:rsidRDefault="003F7331" w:rsidP="003F7331">
            <w:pPr>
              <w:pStyle w:val="Tabletext"/>
              <w:rPr>
                <w:sz w:val="12"/>
                <w:szCs w:val="12"/>
              </w:rPr>
            </w:pPr>
            <w:r w:rsidRPr="006D5B25">
              <w:rPr>
                <w:sz w:val="12"/>
                <w:szCs w:val="12"/>
              </w:rPr>
              <w:t>(89–94)</w:t>
            </w:r>
          </w:p>
        </w:tc>
        <w:tc>
          <w:tcPr>
            <w:tcW w:w="727" w:type="dxa"/>
            <w:shd w:val="clear" w:color="auto" w:fill="auto"/>
          </w:tcPr>
          <w:p w14:paraId="7123D4E6" w14:textId="52F6DDD6" w:rsidR="003F7331" w:rsidRPr="006D5B25" w:rsidRDefault="003F7331" w:rsidP="003F7331">
            <w:pPr>
              <w:pStyle w:val="Tabletext"/>
              <w:rPr>
                <w:sz w:val="12"/>
                <w:szCs w:val="12"/>
              </w:rPr>
            </w:pPr>
            <w:r w:rsidRPr="006D5B25">
              <w:rPr>
                <w:sz w:val="12"/>
                <w:szCs w:val="12"/>
              </w:rPr>
              <w:t>(88–93)</w:t>
            </w:r>
          </w:p>
        </w:tc>
        <w:tc>
          <w:tcPr>
            <w:tcW w:w="726" w:type="dxa"/>
            <w:shd w:val="clear" w:color="auto" w:fill="auto"/>
          </w:tcPr>
          <w:p w14:paraId="06AB60DD" w14:textId="7E370D18" w:rsidR="003F7331" w:rsidRPr="006D5B25" w:rsidRDefault="003F7331" w:rsidP="003F7331">
            <w:pPr>
              <w:pStyle w:val="Tabletext"/>
              <w:rPr>
                <w:sz w:val="12"/>
                <w:szCs w:val="12"/>
              </w:rPr>
            </w:pPr>
            <w:r w:rsidRPr="006D5B25">
              <w:rPr>
                <w:sz w:val="12"/>
                <w:szCs w:val="12"/>
              </w:rPr>
              <w:t>(83–88)</w:t>
            </w:r>
          </w:p>
        </w:tc>
        <w:tc>
          <w:tcPr>
            <w:tcW w:w="727" w:type="dxa"/>
            <w:shd w:val="clear" w:color="auto" w:fill="auto"/>
          </w:tcPr>
          <w:p w14:paraId="77AFA193" w14:textId="2089ABA0" w:rsidR="003F7331" w:rsidRPr="006D5B25" w:rsidRDefault="003F7331" w:rsidP="003F7331">
            <w:pPr>
              <w:pStyle w:val="Tabletext"/>
              <w:rPr>
                <w:sz w:val="12"/>
                <w:szCs w:val="12"/>
              </w:rPr>
            </w:pPr>
            <w:r w:rsidRPr="006D5B25">
              <w:rPr>
                <w:sz w:val="12"/>
                <w:szCs w:val="12"/>
              </w:rPr>
              <w:t>(83–88)</w:t>
            </w:r>
          </w:p>
        </w:tc>
        <w:tc>
          <w:tcPr>
            <w:tcW w:w="726" w:type="dxa"/>
            <w:shd w:val="clear" w:color="auto" w:fill="auto"/>
          </w:tcPr>
          <w:p w14:paraId="27D67373" w14:textId="19936836" w:rsidR="003F7331" w:rsidRPr="006D5B25" w:rsidRDefault="003F7331" w:rsidP="003F7331">
            <w:pPr>
              <w:pStyle w:val="Tabletext"/>
              <w:rPr>
                <w:sz w:val="12"/>
                <w:szCs w:val="12"/>
              </w:rPr>
            </w:pPr>
            <w:r w:rsidRPr="006D5B25">
              <w:rPr>
                <w:sz w:val="12"/>
                <w:szCs w:val="12"/>
              </w:rPr>
              <w:t>(79–84)</w:t>
            </w:r>
          </w:p>
        </w:tc>
        <w:tc>
          <w:tcPr>
            <w:tcW w:w="727" w:type="dxa"/>
            <w:shd w:val="clear" w:color="auto" w:fill="auto"/>
          </w:tcPr>
          <w:p w14:paraId="6917BDBE" w14:textId="467D57D9" w:rsidR="003F7331" w:rsidRPr="006D5B25" w:rsidRDefault="003F7331" w:rsidP="003F7331">
            <w:pPr>
              <w:pStyle w:val="Tabletext"/>
              <w:rPr>
                <w:sz w:val="12"/>
                <w:szCs w:val="12"/>
              </w:rPr>
            </w:pPr>
            <w:r w:rsidRPr="006D5B25">
              <w:rPr>
                <w:sz w:val="12"/>
                <w:szCs w:val="12"/>
              </w:rPr>
              <w:t>(79–83)</w:t>
            </w:r>
          </w:p>
        </w:tc>
        <w:tc>
          <w:tcPr>
            <w:tcW w:w="727" w:type="dxa"/>
            <w:shd w:val="clear" w:color="auto" w:fill="auto"/>
          </w:tcPr>
          <w:p w14:paraId="4ED7205A" w14:textId="41B57ECE" w:rsidR="003F7331" w:rsidRPr="006D5B25" w:rsidRDefault="003F7331" w:rsidP="003F7331">
            <w:pPr>
              <w:pStyle w:val="Tabletext"/>
              <w:rPr>
                <w:sz w:val="12"/>
                <w:szCs w:val="12"/>
              </w:rPr>
            </w:pPr>
            <w:r w:rsidRPr="006D5B25">
              <w:rPr>
                <w:sz w:val="12"/>
                <w:szCs w:val="12"/>
              </w:rPr>
              <w:t>(78–83)</w:t>
            </w:r>
          </w:p>
        </w:tc>
        <w:tc>
          <w:tcPr>
            <w:tcW w:w="726" w:type="dxa"/>
            <w:shd w:val="clear" w:color="auto" w:fill="auto"/>
          </w:tcPr>
          <w:p w14:paraId="2E00FFFA" w14:textId="6427B277" w:rsidR="003F7331" w:rsidRPr="006D5B25" w:rsidRDefault="003F7331" w:rsidP="003F7331">
            <w:pPr>
              <w:pStyle w:val="Tabletext"/>
              <w:rPr>
                <w:sz w:val="12"/>
                <w:szCs w:val="12"/>
              </w:rPr>
            </w:pPr>
            <w:r w:rsidRPr="006D5B25">
              <w:rPr>
                <w:sz w:val="12"/>
                <w:szCs w:val="12"/>
              </w:rPr>
              <w:t>(75–79)</w:t>
            </w:r>
          </w:p>
        </w:tc>
        <w:tc>
          <w:tcPr>
            <w:tcW w:w="727" w:type="dxa"/>
          </w:tcPr>
          <w:p w14:paraId="402C3380" w14:textId="32AEA1E8" w:rsidR="003F7331" w:rsidRPr="006D5B25" w:rsidRDefault="003F7331" w:rsidP="003F7331">
            <w:pPr>
              <w:pStyle w:val="Tabletext"/>
              <w:rPr>
                <w:sz w:val="12"/>
                <w:szCs w:val="12"/>
              </w:rPr>
            </w:pPr>
            <w:r w:rsidRPr="006D5B25">
              <w:rPr>
                <w:sz w:val="12"/>
                <w:szCs w:val="12"/>
              </w:rPr>
              <w:t>(72–76)</w:t>
            </w:r>
          </w:p>
        </w:tc>
        <w:tc>
          <w:tcPr>
            <w:tcW w:w="726" w:type="dxa"/>
          </w:tcPr>
          <w:p w14:paraId="6805EE9D" w14:textId="24AC428C" w:rsidR="003F7331" w:rsidRPr="006D5B25" w:rsidRDefault="003F7331" w:rsidP="003F7331">
            <w:pPr>
              <w:pStyle w:val="Tabletext"/>
              <w:rPr>
                <w:sz w:val="12"/>
                <w:szCs w:val="12"/>
              </w:rPr>
            </w:pPr>
            <w:r w:rsidRPr="006D5B25">
              <w:rPr>
                <w:sz w:val="12"/>
                <w:szCs w:val="12"/>
              </w:rPr>
              <w:t>(71–75)</w:t>
            </w:r>
          </w:p>
        </w:tc>
        <w:tc>
          <w:tcPr>
            <w:tcW w:w="727" w:type="dxa"/>
          </w:tcPr>
          <w:p w14:paraId="4CD65E51" w14:textId="625D3897" w:rsidR="003F7331" w:rsidRPr="006D5B25" w:rsidRDefault="003F7331" w:rsidP="003F7331">
            <w:pPr>
              <w:pStyle w:val="Tabletext"/>
              <w:rPr>
                <w:sz w:val="12"/>
                <w:szCs w:val="12"/>
              </w:rPr>
            </w:pPr>
            <w:r w:rsidRPr="006D5B25">
              <w:rPr>
                <w:sz w:val="12"/>
                <w:szCs w:val="12"/>
              </w:rPr>
              <w:t>(68–72)</w:t>
            </w:r>
          </w:p>
        </w:tc>
        <w:tc>
          <w:tcPr>
            <w:tcW w:w="727" w:type="dxa"/>
          </w:tcPr>
          <w:p w14:paraId="37BB489E" w14:textId="4BC5B1FE" w:rsidR="003F7331" w:rsidRPr="006D5B25" w:rsidRDefault="003F7331" w:rsidP="003F7331">
            <w:pPr>
              <w:pStyle w:val="Tabletext"/>
              <w:rPr>
                <w:sz w:val="12"/>
                <w:szCs w:val="12"/>
              </w:rPr>
            </w:pPr>
            <w:r w:rsidRPr="006D5B25">
              <w:rPr>
                <w:sz w:val="12"/>
                <w:szCs w:val="12"/>
              </w:rPr>
              <w:t>(68–72)</w:t>
            </w:r>
          </w:p>
        </w:tc>
      </w:tr>
    </w:tbl>
    <w:bookmarkEnd w:id="256"/>
    <w:p w14:paraId="10FD3070" w14:textId="3E64160F" w:rsidR="00CE3112" w:rsidRPr="00EA25F7" w:rsidRDefault="00CE3112" w:rsidP="00EA25F7">
      <w:pPr>
        <w:pStyle w:val="Tablefigurenote"/>
      </w:pPr>
      <w:r>
        <w:t>ASR = age-standardised rate</w:t>
      </w:r>
    </w:p>
    <w:p w14:paraId="28E01F0C" w14:textId="0D85440A" w:rsidR="00EB35CB" w:rsidRPr="00F2771C" w:rsidRDefault="00EB35CB" w:rsidP="001A17B2">
      <w:pPr>
        <w:pStyle w:val="Figurecaption"/>
        <w:rPr>
          <w:noProof/>
          <w:sz w:val="20"/>
        </w:rPr>
      </w:pPr>
      <w:bookmarkStart w:id="257" w:name="_Toc19008032"/>
      <w:bookmarkStart w:id="258" w:name="_Toc19008285"/>
      <w:bookmarkStart w:id="259" w:name="_Toc19008432"/>
      <w:bookmarkStart w:id="260" w:name="_Toc19008579"/>
      <w:bookmarkStart w:id="261" w:name="_Toc132553012"/>
      <w:bookmarkStart w:id="262" w:name="_Toc140827619"/>
      <w:r w:rsidRPr="00F2771C">
        <w:rPr>
          <w:sz w:val="20"/>
        </w:rPr>
        <w:t xml:space="preserve">Figure </w:t>
      </w:r>
      <w:r w:rsidR="00F93393" w:rsidRPr="00F2771C">
        <w:rPr>
          <w:noProof/>
          <w:sz w:val="20"/>
        </w:rPr>
        <w:t>2</w:t>
      </w:r>
      <w:r w:rsidRPr="00F2771C">
        <w:rPr>
          <w:noProof/>
          <w:sz w:val="20"/>
        </w:rPr>
        <w:t>.2.</w:t>
      </w:r>
      <w:r w:rsidR="00F93393" w:rsidRPr="00F2771C">
        <w:rPr>
          <w:noProof/>
          <w:sz w:val="20"/>
        </w:rPr>
        <w:t>2</w:t>
      </w:r>
      <w:r w:rsidR="003B391F" w:rsidRPr="00F2771C">
        <w:rPr>
          <w:sz w:val="20"/>
        </w:rPr>
        <w:t>:</w:t>
      </w:r>
      <w:r w:rsidRPr="00F2771C">
        <w:rPr>
          <w:sz w:val="20"/>
        </w:rPr>
        <w:t xml:space="preserve"> Forest plots comparing the age-adjusted mortality</w:t>
      </w:r>
      <w:r w:rsidR="009755F5" w:rsidRPr="00F2771C">
        <w:rPr>
          <w:sz w:val="20"/>
        </w:rPr>
        <w:t xml:space="preserve"> (death)</w:t>
      </w:r>
      <w:r w:rsidRPr="00F2771C">
        <w:rPr>
          <w:sz w:val="20"/>
        </w:rPr>
        <w:t xml:space="preserve"> rates (and 95% confidence intervals)</w:t>
      </w:r>
      <w:r w:rsidRPr="00F2771C">
        <w:rPr>
          <w:noProof/>
          <w:sz w:val="20"/>
        </w:rPr>
        <w:t xml:space="preserve"> for </w:t>
      </w:r>
      <w:r w:rsidR="009755F5" w:rsidRPr="00F2771C">
        <w:rPr>
          <w:noProof/>
          <w:sz w:val="20"/>
        </w:rPr>
        <w:t xml:space="preserve">Victorian </w:t>
      </w:r>
      <w:r w:rsidR="00030441" w:rsidRPr="00F2771C">
        <w:rPr>
          <w:noProof/>
          <w:sz w:val="20"/>
        </w:rPr>
        <w:t xml:space="preserve">premature </w:t>
      </w:r>
      <w:r w:rsidRPr="00F2771C">
        <w:rPr>
          <w:noProof/>
          <w:sz w:val="20"/>
        </w:rPr>
        <w:t>deaths by all cancers in the baseline year (2010) and the most recent year where mortality data is available (20</w:t>
      </w:r>
      <w:r w:rsidR="00D8009C" w:rsidRPr="00F2771C">
        <w:rPr>
          <w:noProof/>
          <w:sz w:val="20"/>
        </w:rPr>
        <w:t>2</w:t>
      </w:r>
      <w:r w:rsidR="00285939" w:rsidRPr="00F2771C">
        <w:rPr>
          <w:noProof/>
          <w:sz w:val="20"/>
        </w:rPr>
        <w:t>1</w:t>
      </w:r>
      <w:r w:rsidRPr="00F2771C">
        <w:rPr>
          <w:noProof/>
          <w:sz w:val="20"/>
        </w:rPr>
        <w:t>), in those younger than 75 years of age at death, standardised to the 2001 Australian population</w:t>
      </w:r>
      <w:bookmarkEnd w:id="257"/>
      <w:bookmarkEnd w:id="258"/>
      <w:bookmarkEnd w:id="259"/>
      <w:bookmarkEnd w:id="260"/>
      <w:bookmarkEnd w:id="261"/>
      <w:bookmarkEnd w:id="262"/>
    </w:p>
    <w:p w14:paraId="6F3150DB" w14:textId="6776B8FA" w:rsidR="00285939" w:rsidRPr="00285939" w:rsidRDefault="002B2F7C" w:rsidP="00E87AAA">
      <w:pPr>
        <w:pStyle w:val="Body"/>
      </w:pPr>
      <w:r>
        <w:rPr>
          <w:noProof/>
        </w:rPr>
        <w:drawing>
          <wp:inline distT="0" distB="0" distL="0" distR="0" wp14:anchorId="50A349ED" wp14:editId="414A8ACF">
            <wp:extent cx="5971309" cy="5686961"/>
            <wp:effectExtent l="0" t="0" r="0" b="9525"/>
            <wp:docPr id="259" name="Picture 259" descr="This figure shows a data summary of 'Measure 2.2 – Premature death rate due to cancer'. The data set is available under 'Measure 2.2 – Premature death rate due to cancer'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This figure shows a data summary of 'Measure 2.2 – Premature death rate due to cancer'. The data set is available under 'Measure 2.2 – Premature death rate due to cancer' in a separate volume, the Victorian cancer plan monitoring and evaluation framework: baseline report: Appendix 2: Datasets available on Cancer care &lt;https://www.health.vic.gov.au/health-strategies/cancer-care&gt;."/>
                    <pic:cNvPicPr/>
                  </pic:nvPicPr>
                  <pic:blipFill>
                    <a:blip r:embed="rId63"/>
                    <a:stretch>
                      <a:fillRect/>
                    </a:stretch>
                  </pic:blipFill>
                  <pic:spPr>
                    <a:xfrm>
                      <a:off x="0" y="0"/>
                      <a:ext cx="6013842" cy="5727469"/>
                    </a:xfrm>
                    <a:prstGeom prst="rect">
                      <a:avLst/>
                    </a:prstGeom>
                  </pic:spPr>
                </pic:pic>
              </a:graphicData>
            </a:graphic>
          </wp:inline>
        </w:drawing>
      </w:r>
    </w:p>
    <w:p w14:paraId="31A58DE9" w14:textId="00B678E6" w:rsidR="0020440A" w:rsidRPr="00F2771C" w:rsidRDefault="0020440A" w:rsidP="0020440A">
      <w:pPr>
        <w:pStyle w:val="Tablefigurenote"/>
        <w:rPr>
          <w:i/>
          <w:iCs/>
          <w:sz w:val="18"/>
          <w:szCs w:val="18"/>
        </w:rPr>
      </w:pPr>
      <w:r w:rsidRPr="00F2771C">
        <w:rPr>
          <w:i/>
          <w:iCs/>
          <w:sz w:val="18"/>
          <w:szCs w:val="18"/>
        </w:rPr>
        <w:t>Appendix 2 provides the dataset.</w:t>
      </w:r>
    </w:p>
    <w:p w14:paraId="35D05718" w14:textId="66C4C3F2" w:rsidR="00B733CB" w:rsidRDefault="00B733CB" w:rsidP="00B733CB">
      <w:pPr>
        <w:pStyle w:val="Figurecaption"/>
        <w:rPr>
          <w:sz w:val="20"/>
        </w:rPr>
      </w:pPr>
      <w:bookmarkStart w:id="263" w:name="_Toc132553013"/>
      <w:bookmarkStart w:id="264" w:name="_Toc140827620"/>
      <w:r w:rsidRPr="00F2771C">
        <w:rPr>
          <w:sz w:val="20"/>
        </w:rPr>
        <w:lastRenderedPageBreak/>
        <w:t>Figure 2.2.3: Victorian premature death rate for all cancers combined, by L</w:t>
      </w:r>
      <w:r w:rsidR="00376BA9" w:rsidRPr="00F2771C">
        <w:rPr>
          <w:sz w:val="20"/>
        </w:rPr>
        <w:t>GA</w:t>
      </w:r>
      <w:r w:rsidRPr="00F2771C">
        <w:rPr>
          <w:sz w:val="20"/>
        </w:rPr>
        <w:t>, 2010</w:t>
      </w:r>
      <w:r w:rsidR="0014283C" w:rsidRPr="00F2771C">
        <w:rPr>
          <w:sz w:val="20"/>
        </w:rPr>
        <w:t>, 2017 and 202</w:t>
      </w:r>
      <w:r w:rsidR="005444D9" w:rsidRPr="00F2771C">
        <w:rPr>
          <w:sz w:val="20"/>
        </w:rPr>
        <w:t>1</w:t>
      </w:r>
      <w:bookmarkEnd w:id="263"/>
      <w:bookmarkEnd w:id="264"/>
    </w:p>
    <w:p w14:paraId="259DFFD8" w14:textId="5CFCC8DB" w:rsidR="00170433" w:rsidRPr="00170433" w:rsidRDefault="00170433" w:rsidP="00170433">
      <w:pPr>
        <w:pStyle w:val="DHHSbody"/>
        <w:jc w:val="center"/>
      </w:pPr>
      <w:r w:rsidRPr="00170433">
        <w:rPr>
          <w:noProof/>
        </w:rPr>
        <w:drawing>
          <wp:inline distT="0" distB="0" distL="0" distR="0" wp14:anchorId="68B263E1" wp14:editId="0225E105">
            <wp:extent cx="5360276" cy="8225740"/>
            <wp:effectExtent l="0" t="0" r="0" b="4445"/>
            <wp:docPr id="1110205003" name="Picture 1110205003" descr="This figure shows a map of Victoria showing the highest reported premature death rate for all cancers combined in 2010, 2017 and 2021. The data set is available under 'Measure 2.2 – Premature death rate due to cancer'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03" name="Picture 1110205003" descr="This figure shows a map of Victoria showing the highest reported premature death rate for all cancers combined in 2010, 2017 and 2021. The data set is available under 'Measure 2.2 – Premature death rate due to cancer' in a separate volume, the Victorian cancer plan monitoring and evaluation framework: baseline report: Appendix 2: Datasets available on Cancer care &lt;https://www.health.vic.gov.au/health-strategies/cancer-care&gt;."/>
                    <pic:cNvPicPr/>
                  </pic:nvPicPr>
                  <pic:blipFill>
                    <a:blip r:embed="rId64"/>
                    <a:stretch>
                      <a:fillRect/>
                    </a:stretch>
                  </pic:blipFill>
                  <pic:spPr>
                    <a:xfrm>
                      <a:off x="0" y="0"/>
                      <a:ext cx="5371851" cy="8243503"/>
                    </a:xfrm>
                    <a:prstGeom prst="rect">
                      <a:avLst/>
                    </a:prstGeom>
                  </pic:spPr>
                </pic:pic>
              </a:graphicData>
            </a:graphic>
          </wp:inline>
        </w:drawing>
      </w:r>
    </w:p>
    <w:p w14:paraId="5113C242" w14:textId="02363458" w:rsidR="005444D9" w:rsidRPr="005444D9" w:rsidRDefault="00AA5C66" w:rsidP="00D25284">
      <w:pPr>
        <w:pStyle w:val="Body"/>
        <w:jc w:val="center"/>
      </w:pPr>
      <w:r>
        <w:rPr>
          <w:noProof/>
        </w:rPr>
        <mc:AlternateContent>
          <mc:Choice Requires="wps">
            <w:drawing>
              <wp:anchor distT="0" distB="0" distL="114300" distR="114300" simplePos="0" relativeHeight="252140544" behindDoc="0" locked="0" layoutInCell="1" allowOverlap="1" wp14:anchorId="7999208A" wp14:editId="4446AF0B">
                <wp:simplePos x="0" y="0"/>
                <wp:positionH relativeFrom="column">
                  <wp:posOffset>696251</wp:posOffset>
                </wp:positionH>
                <wp:positionV relativeFrom="paragraph">
                  <wp:posOffset>7138325</wp:posOffset>
                </wp:positionV>
                <wp:extent cx="554637" cy="1137847"/>
                <wp:effectExtent l="0" t="38100" r="55245" b="24765"/>
                <wp:wrapNone/>
                <wp:docPr id="296" name="Straight Arrow Connector 296"/>
                <wp:cNvGraphicFramePr/>
                <a:graphic xmlns:a="http://schemas.openxmlformats.org/drawingml/2006/main">
                  <a:graphicData uri="http://schemas.microsoft.com/office/word/2010/wordprocessingShape">
                    <wps:wsp>
                      <wps:cNvCnPr/>
                      <wps:spPr>
                        <a:xfrm flipV="1">
                          <a:off x="0" y="0"/>
                          <a:ext cx="554637" cy="113784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A9A85E" id="Straight Arrow Connector 296" o:spid="_x0000_s1026" type="#_x0000_t32" style="position:absolute;margin-left:54.8pt;margin-top:562.05pt;width:43.65pt;height:89.6pt;flip:y;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" strokecolor="black [3213]" strokeweight="1pt">
                <v:stroke endarrow="block" joinstyle="miter"/>
              </v:shape>
            </w:pict>
          </mc:Fallback>
        </mc:AlternateContent>
      </w:r>
      <w:r>
        <w:rPr>
          <w:noProof/>
        </w:rPr>
        <mc:AlternateContent>
          <mc:Choice Requires="wps">
            <w:drawing>
              <wp:anchor distT="0" distB="0" distL="114300" distR="114300" simplePos="0" relativeHeight="252132352" behindDoc="0" locked="0" layoutInCell="1" allowOverlap="1" wp14:anchorId="0B400AAE" wp14:editId="25670F12">
                <wp:simplePos x="0" y="0"/>
                <wp:positionH relativeFrom="column">
                  <wp:posOffset>3386497</wp:posOffset>
                </wp:positionH>
                <wp:positionV relativeFrom="paragraph">
                  <wp:posOffset>6714490</wp:posOffset>
                </wp:positionV>
                <wp:extent cx="714375" cy="390525"/>
                <wp:effectExtent l="38100" t="38100" r="28575" b="28575"/>
                <wp:wrapNone/>
                <wp:docPr id="287" name="Straight Arrow Connector 287"/>
                <wp:cNvGraphicFramePr/>
                <a:graphic xmlns:a="http://schemas.openxmlformats.org/drawingml/2006/main">
                  <a:graphicData uri="http://schemas.microsoft.com/office/word/2010/wordprocessingShape">
                    <wps:wsp>
                      <wps:cNvCnPr/>
                      <wps:spPr>
                        <a:xfrm flipH="1" flipV="1">
                          <a:off x="0" y="0"/>
                          <a:ext cx="714375" cy="39052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0F793E" id="Straight Arrow Connector 287" o:spid="_x0000_s1026" type="#_x0000_t32" style="position:absolute;margin-left:266.65pt;margin-top:528.7pt;width:56.25pt;height:30.75pt;flip:x y;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" strokecolor="black [3213]" strokeweight="1pt">
                <v:stroke endarrow="block" joinstyle="miter"/>
              </v:shape>
            </w:pict>
          </mc:Fallback>
        </mc:AlternateContent>
      </w:r>
      <w:r>
        <w:rPr>
          <w:noProof/>
        </w:rPr>
        <mc:AlternateContent>
          <mc:Choice Requires="wps">
            <w:drawing>
              <wp:anchor distT="45720" distB="45720" distL="114300" distR="114300" simplePos="0" relativeHeight="252128256" behindDoc="0" locked="0" layoutInCell="1" allowOverlap="1" wp14:anchorId="7D9D4712" wp14:editId="445B6722">
                <wp:simplePos x="0" y="0"/>
                <wp:positionH relativeFrom="margin">
                  <wp:posOffset>3833662</wp:posOffset>
                </wp:positionH>
                <wp:positionV relativeFrom="paragraph">
                  <wp:posOffset>7056297</wp:posOffset>
                </wp:positionV>
                <wp:extent cx="1762125" cy="1404620"/>
                <wp:effectExtent l="0" t="0" r="9525" b="635"/>
                <wp:wrapNone/>
                <wp:docPr id="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1404620"/>
                        </a:xfrm>
                        <a:prstGeom prst="rect">
                          <a:avLst/>
                        </a:prstGeom>
                        <a:solidFill>
                          <a:srgbClr val="FFFFFF"/>
                        </a:solidFill>
                        <a:ln w="9525">
                          <a:noFill/>
                          <a:miter lim="800000"/>
                          <a:headEnd/>
                          <a:tailEnd/>
                        </a:ln>
                      </wps:spPr>
                      <wps:txbx>
                        <w:txbxContent>
                          <w:p w14:paraId="48B21340" w14:textId="543E4848" w:rsidR="00300363" w:rsidRPr="00701170" w:rsidRDefault="00300363" w:rsidP="00300363">
                            <w:pPr>
                              <w:rPr>
                                <w:rFonts w:ascii="Arial" w:hAnsi="Arial" w:cs="Arial"/>
                                <w:sz w:val="18"/>
                                <w:szCs w:val="18"/>
                              </w:rPr>
                            </w:pPr>
                            <w:r>
                              <w:rPr>
                                <w:rFonts w:ascii="Arial" w:hAnsi="Arial" w:cs="Arial"/>
                                <w:sz w:val="18"/>
                                <w:szCs w:val="18"/>
                              </w:rPr>
                              <w:t>Queenscliffe Borough</w:t>
                            </w:r>
                            <w:r w:rsidRPr="00701170">
                              <w:rPr>
                                <w:rFonts w:ascii="Arial" w:hAnsi="Arial" w:cs="Arial"/>
                                <w:sz w:val="18"/>
                                <w:szCs w:val="18"/>
                              </w:rPr>
                              <w:t xml:space="preserve"> Council (lowest</w:t>
                            </w:r>
                            <w:r>
                              <w:rPr>
                                <w:rFonts w:ascii="Arial" w:hAnsi="Arial" w:cs="Arial"/>
                                <w:sz w:val="18"/>
                                <w:szCs w:val="18"/>
                              </w:rPr>
                              <w:t xml:space="preserve"> reported rate, 30 per 100,000 pop)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9D4712" id="_x0000_s1032" type="#_x0000_t202" style="position:absolute;left:0;text-align:left;margin-left:301.85pt;margin-top:555.6pt;width:138.75pt;height:110.6pt;z-index:2521282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" stroked="f">
                <v:textbox style="mso-fit-shape-to-text:t">
                  <w:txbxContent>
                    <w:p w14:paraId="48B21340" w14:textId="543E4848" w:rsidR="00300363" w:rsidRPr="00701170" w:rsidRDefault="00300363" w:rsidP="00300363">
                      <w:pPr>
                        <w:rPr>
                          <w:rFonts w:ascii="Arial" w:hAnsi="Arial" w:cs="Arial"/>
                          <w:sz w:val="18"/>
                          <w:szCs w:val="18"/>
                        </w:rPr>
                      </w:pPr>
                      <w:r>
                        <w:rPr>
                          <w:rFonts w:ascii="Arial" w:hAnsi="Arial" w:cs="Arial"/>
                          <w:sz w:val="18"/>
                          <w:szCs w:val="18"/>
                        </w:rPr>
                        <w:t>Queenscliffe Borough</w:t>
                      </w:r>
                      <w:r w:rsidRPr="00701170">
                        <w:rPr>
                          <w:rFonts w:ascii="Arial" w:hAnsi="Arial" w:cs="Arial"/>
                          <w:sz w:val="18"/>
                          <w:szCs w:val="18"/>
                        </w:rPr>
                        <w:t xml:space="preserve"> Council (lowest</w:t>
                      </w:r>
                      <w:r>
                        <w:rPr>
                          <w:rFonts w:ascii="Arial" w:hAnsi="Arial" w:cs="Arial"/>
                          <w:sz w:val="18"/>
                          <w:szCs w:val="18"/>
                        </w:rPr>
                        <w:t xml:space="preserve"> reported rate, 30 per 100,000 pop)</w:t>
                      </w:r>
                    </w:p>
                  </w:txbxContent>
                </v:textbox>
                <w10:wrap anchorx="margin"/>
              </v:shape>
            </w:pict>
          </mc:Fallback>
        </mc:AlternateContent>
      </w:r>
      <w:r>
        <w:rPr>
          <w:noProof/>
        </w:rPr>
        <mc:AlternateContent>
          <mc:Choice Requires="wps">
            <w:drawing>
              <wp:anchor distT="0" distB="0" distL="114300" distR="114300" simplePos="0" relativeHeight="252136448" behindDoc="0" locked="0" layoutInCell="1" allowOverlap="1" wp14:anchorId="1A813329" wp14:editId="5849FBC7">
                <wp:simplePos x="0" y="0"/>
                <wp:positionH relativeFrom="column">
                  <wp:posOffset>778697</wp:posOffset>
                </wp:positionH>
                <wp:positionV relativeFrom="paragraph">
                  <wp:posOffset>4582504</wp:posOffset>
                </wp:positionV>
                <wp:extent cx="679815" cy="906280"/>
                <wp:effectExtent l="0" t="38100" r="63500" b="27305"/>
                <wp:wrapNone/>
                <wp:docPr id="291" name="Straight Arrow Connector 291"/>
                <wp:cNvGraphicFramePr/>
                <a:graphic xmlns:a="http://schemas.openxmlformats.org/drawingml/2006/main">
                  <a:graphicData uri="http://schemas.microsoft.com/office/word/2010/wordprocessingShape">
                    <wps:wsp>
                      <wps:cNvCnPr/>
                      <wps:spPr>
                        <a:xfrm flipV="1">
                          <a:off x="0" y="0"/>
                          <a:ext cx="679815" cy="90628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3C05CF" id="Straight Arrow Connector 291" o:spid="_x0000_s1026" type="#_x0000_t32" style="position:absolute;margin-left:61.3pt;margin-top:360.85pt;width:53.55pt;height:71.35pt;flip:y;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" strokecolor="black [3213]" strokeweight="1pt">
                <v:stroke endarrow="block" joinstyle="miter"/>
              </v:shape>
            </w:pict>
          </mc:Fallback>
        </mc:AlternateContent>
      </w:r>
      <w:r>
        <w:rPr>
          <w:noProof/>
        </w:rPr>
        <mc:AlternateContent>
          <mc:Choice Requires="wps">
            <w:drawing>
              <wp:anchor distT="45720" distB="45720" distL="114300" distR="114300" simplePos="0" relativeHeight="252134400" behindDoc="0" locked="0" layoutInCell="1" allowOverlap="1" wp14:anchorId="2E8A6325" wp14:editId="51B5762B">
                <wp:simplePos x="0" y="0"/>
                <wp:positionH relativeFrom="margin">
                  <wp:align>left</wp:align>
                </wp:positionH>
                <wp:positionV relativeFrom="paragraph">
                  <wp:posOffset>5505554</wp:posOffset>
                </wp:positionV>
                <wp:extent cx="1680210" cy="1404620"/>
                <wp:effectExtent l="0" t="0" r="0" b="635"/>
                <wp:wrapNone/>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0210" cy="1404620"/>
                        </a:xfrm>
                        <a:prstGeom prst="rect">
                          <a:avLst/>
                        </a:prstGeom>
                        <a:solidFill>
                          <a:srgbClr val="FFFFFF"/>
                        </a:solidFill>
                        <a:ln w="9525">
                          <a:noFill/>
                          <a:miter lim="800000"/>
                          <a:headEnd/>
                          <a:tailEnd/>
                        </a:ln>
                      </wps:spPr>
                      <wps:txbx>
                        <w:txbxContent>
                          <w:p w14:paraId="2AEAC816" w14:textId="1F4AA2F3" w:rsidR="009D0C43" w:rsidRPr="00701170" w:rsidRDefault="009D0C43" w:rsidP="009D0C43">
                            <w:pPr>
                              <w:rPr>
                                <w:rFonts w:ascii="Arial" w:hAnsi="Arial" w:cs="Arial"/>
                                <w:sz w:val="18"/>
                                <w:szCs w:val="18"/>
                              </w:rPr>
                            </w:pPr>
                            <w:r>
                              <w:rPr>
                                <w:rFonts w:ascii="Arial" w:hAnsi="Arial" w:cs="Arial"/>
                                <w:sz w:val="18"/>
                                <w:szCs w:val="18"/>
                              </w:rPr>
                              <w:t>Norther</w:t>
                            </w:r>
                            <w:r w:rsidR="00C23309">
                              <w:rPr>
                                <w:rFonts w:ascii="Arial" w:hAnsi="Arial" w:cs="Arial"/>
                                <w:sz w:val="18"/>
                                <w:szCs w:val="18"/>
                              </w:rPr>
                              <w:t>n</w:t>
                            </w:r>
                            <w:r>
                              <w:rPr>
                                <w:rFonts w:ascii="Arial" w:hAnsi="Arial" w:cs="Arial"/>
                                <w:sz w:val="18"/>
                                <w:szCs w:val="18"/>
                              </w:rPr>
                              <w:t xml:space="preserve"> Grampians Shire</w:t>
                            </w:r>
                            <w:r w:rsidRPr="00701170">
                              <w:rPr>
                                <w:rFonts w:ascii="Arial" w:hAnsi="Arial" w:cs="Arial"/>
                                <w:sz w:val="18"/>
                                <w:szCs w:val="18"/>
                              </w:rPr>
                              <w:t xml:space="preserve"> Council (</w:t>
                            </w:r>
                            <w:r>
                              <w:rPr>
                                <w:rFonts w:ascii="Arial" w:hAnsi="Arial" w:cs="Arial"/>
                                <w:sz w:val="18"/>
                                <w:szCs w:val="18"/>
                              </w:rPr>
                              <w:t>high</w:t>
                            </w:r>
                            <w:r w:rsidRPr="00701170">
                              <w:rPr>
                                <w:rFonts w:ascii="Arial" w:hAnsi="Arial" w:cs="Arial"/>
                                <w:sz w:val="18"/>
                                <w:szCs w:val="18"/>
                              </w:rPr>
                              <w:t>est</w:t>
                            </w:r>
                            <w:r>
                              <w:rPr>
                                <w:rFonts w:ascii="Arial" w:hAnsi="Arial" w:cs="Arial"/>
                                <w:sz w:val="18"/>
                                <w:szCs w:val="18"/>
                              </w:rPr>
                              <w:t xml:space="preserve"> reported rate, 165 per 100,000 pop)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8A6325" id="_x0000_s1033" type="#_x0000_t202" style="position:absolute;left:0;text-align:left;margin-left:0;margin-top:433.5pt;width:132.3pt;height:110.6pt;z-index:25213440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" stroked="f">
                <v:textbox style="mso-fit-shape-to-text:t">
                  <w:txbxContent>
                    <w:p w14:paraId="2AEAC816" w14:textId="1F4AA2F3" w:rsidR="009D0C43" w:rsidRPr="00701170" w:rsidRDefault="009D0C43" w:rsidP="009D0C43">
                      <w:pPr>
                        <w:rPr>
                          <w:rFonts w:ascii="Arial" w:hAnsi="Arial" w:cs="Arial"/>
                          <w:sz w:val="18"/>
                          <w:szCs w:val="18"/>
                        </w:rPr>
                      </w:pPr>
                      <w:r>
                        <w:rPr>
                          <w:rFonts w:ascii="Arial" w:hAnsi="Arial" w:cs="Arial"/>
                          <w:sz w:val="18"/>
                          <w:szCs w:val="18"/>
                        </w:rPr>
                        <w:t>Norther</w:t>
                      </w:r>
                      <w:r w:rsidR="00C23309">
                        <w:rPr>
                          <w:rFonts w:ascii="Arial" w:hAnsi="Arial" w:cs="Arial"/>
                          <w:sz w:val="18"/>
                          <w:szCs w:val="18"/>
                        </w:rPr>
                        <w:t>n</w:t>
                      </w:r>
                      <w:r>
                        <w:rPr>
                          <w:rFonts w:ascii="Arial" w:hAnsi="Arial" w:cs="Arial"/>
                          <w:sz w:val="18"/>
                          <w:szCs w:val="18"/>
                        </w:rPr>
                        <w:t xml:space="preserve"> Grampians Shire</w:t>
                      </w:r>
                      <w:r w:rsidRPr="00701170">
                        <w:rPr>
                          <w:rFonts w:ascii="Arial" w:hAnsi="Arial" w:cs="Arial"/>
                          <w:sz w:val="18"/>
                          <w:szCs w:val="18"/>
                        </w:rPr>
                        <w:t xml:space="preserve"> Council (</w:t>
                      </w:r>
                      <w:r>
                        <w:rPr>
                          <w:rFonts w:ascii="Arial" w:hAnsi="Arial" w:cs="Arial"/>
                          <w:sz w:val="18"/>
                          <w:szCs w:val="18"/>
                        </w:rPr>
                        <w:t>high</w:t>
                      </w:r>
                      <w:r w:rsidRPr="00701170">
                        <w:rPr>
                          <w:rFonts w:ascii="Arial" w:hAnsi="Arial" w:cs="Arial"/>
                          <w:sz w:val="18"/>
                          <w:szCs w:val="18"/>
                        </w:rPr>
                        <w:t>est</w:t>
                      </w:r>
                      <w:r>
                        <w:rPr>
                          <w:rFonts w:ascii="Arial" w:hAnsi="Arial" w:cs="Arial"/>
                          <w:sz w:val="18"/>
                          <w:szCs w:val="18"/>
                        </w:rPr>
                        <w:t xml:space="preserve"> reported rate, 165 per 100,000 pop)</w:t>
                      </w:r>
                    </w:p>
                  </w:txbxContent>
                </v:textbox>
                <w10:wrap anchorx="margin"/>
              </v:shape>
            </w:pict>
          </mc:Fallback>
        </mc:AlternateContent>
      </w:r>
      <w:r w:rsidR="00D25284">
        <w:rPr>
          <w:noProof/>
        </w:rPr>
        <mc:AlternateContent>
          <mc:Choice Requires="wps">
            <w:drawing>
              <wp:anchor distT="0" distB="0" distL="114300" distR="114300" simplePos="0" relativeHeight="252130304" behindDoc="0" locked="0" layoutInCell="1" allowOverlap="1" wp14:anchorId="23E778E5" wp14:editId="514C4F20">
                <wp:simplePos x="0" y="0"/>
                <wp:positionH relativeFrom="column">
                  <wp:posOffset>3368831</wp:posOffset>
                </wp:positionH>
                <wp:positionV relativeFrom="paragraph">
                  <wp:posOffset>3805920</wp:posOffset>
                </wp:positionV>
                <wp:extent cx="801872" cy="355305"/>
                <wp:effectExtent l="38100" t="38100" r="17780" b="26035"/>
                <wp:wrapNone/>
                <wp:docPr id="286" name="Straight Arrow Connector 286"/>
                <wp:cNvGraphicFramePr/>
                <a:graphic xmlns:a="http://schemas.openxmlformats.org/drawingml/2006/main">
                  <a:graphicData uri="http://schemas.microsoft.com/office/word/2010/wordprocessingShape">
                    <wps:wsp>
                      <wps:cNvCnPr/>
                      <wps:spPr>
                        <a:xfrm flipH="1" flipV="1">
                          <a:off x="0" y="0"/>
                          <a:ext cx="801872" cy="35530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9065C9" id="Straight Arrow Connector 286" o:spid="_x0000_s1026" type="#_x0000_t32" style="position:absolute;margin-left:265.25pt;margin-top:299.7pt;width:63.15pt;height:28pt;flip:x y;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" strokecolor="black [3213]" strokeweight="1pt">
                <v:stroke endarrow="block" joinstyle="miter"/>
              </v:shape>
            </w:pict>
          </mc:Fallback>
        </mc:AlternateContent>
      </w:r>
      <w:r w:rsidR="00D25284">
        <w:rPr>
          <w:noProof/>
        </w:rPr>
        <mc:AlternateContent>
          <mc:Choice Requires="wps">
            <w:drawing>
              <wp:anchor distT="45720" distB="45720" distL="114300" distR="114300" simplePos="0" relativeHeight="252118016" behindDoc="0" locked="0" layoutInCell="1" allowOverlap="1" wp14:anchorId="68462A76" wp14:editId="6B00E9B7">
                <wp:simplePos x="0" y="0"/>
                <wp:positionH relativeFrom="column">
                  <wp:posOffset>3916961</wp:posOffset>
                </wp:positionH>
                <wp:positionV relativeFrom="paragraph">
                  <wp:posOffset>2343879</wp:posOffset>
                </wp:positionV>
                <wp:extent cx="1695450" cy="1404620"/>
                <wp:effectExtent l="0" t="0" r="0" b="635"/>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404620"/>
                        </a:xfrm>
                        <a:prstGeom prst="rect">
                          <a:avLst/>
                        </a:prstGeom>
                        <a:solidFill>
                          <a:srgbClr val="FFFFFF"/>
                        </a:solidFill>
                        <a:ln w="9525">
                          <a:noFill/>
                          <a:miter lim="800000"/>
                          <a:headEnd/>
                          <a:tailEnd/>
                        </a:ln>
                      </wps:spPr>
                      <wps:txbx>
                        <w:txbxContent>
                          <w:p w14:paraId="3408C801" w14:textId="3478890F" w:rsidR="00300363" w:rsidRPr="00701170" w:rsidRDefault="00300363" w:rsidP="00300363">
                            <w:pPr>
                              <w:rPr>
                                <w:rFonts w:ascii="Arial" w:hAnsi="Arial" w:cs="Arial"/>
                                <w:sz w:val="18"/>
                                <w:szCs w:val="18"/>
                              </w:rPr>
                            </w:pPr>
                            <w:r w:rsidRPr="00701170">
                              <w:rPr>
                                <w:rFonts w:ascii="Arial" w:hAnsi="Arial" w:cs="Arial"/>
                                <w:sz w:val="18"/>
                                <w:szCs w:val="18"/>
                              </w:rPr>
                              <w:t>Mansfield Shire Council (lowest</w:t>
                            </w:r>
                            <w:r>
                              <w:rPr>
                                <w:rFonts w:ascii="Arial" w:hAnsi="Arial" w:cs="Arial"/>
                                <w:sz w:val="18"/>
                                <w:szCs w:val="18"/>
                              </w:rPr>
                              <w:t xml:space="preserve"> reported rate, 22 per 100,000 pop)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462A76" id="_x0000_s1034" type="#_x0000_t202" style="position:absolute;left:0;text-align:left;margin-left:308.4pt;margin-top:184.55pt;width:133.5pt;height:110.6pt;z-index:2521180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" stroked="f">
                <v:textbox style="mso-fit-shape-to-text:t">
                  <w:txbxContent>
                    <w:p w14:paraId="3408C801" w14:textId="3478890F" w:rsidR="00300363" w:rsidRPr="00701170" w:rsidRDefault="00300363" w:rsidP="00300363">
                      <w:pPr>
                        <w:rPr>
                          <w:rFonts w:ascii="Arial" w:hAnsi="Arial" w:cs="Arial"/>
                          <w:sz w:val="18"/>
                          <w:szCs w:val="18"/>
                        </w:rPr>
                      </w:pPr>
                      <w:r w:rsidRPr="00701170">
                        <w:rPr>
                          <w:rFonts w:ascii="Arial" w:hAnsi="Arial" w:cs="Arial"/>
                          <w:sz w:val="18"/>
                          <w:szCs w:val="18"/>
                        </w:rPr>
                        <w:t>Mansfield Shire Council (lowest</w:t>
                      </w:r>
                      <w:r>
                        <w:rPr>
                          <w:rFonts w:ascii="Arial" w:hAnsi="Arial" w:cs="Arial"/>
                          <w:sz w:val="18"/>
                          <w:szCs w:val="18"/>
                        </w:rPr>
                        <w:t xml:space="preserve"> reported rate, 22 per 100,000 pop)</w:t>
                      </w:r>
                    </w:p>
                  </w:txbxContent>
                </v:textbox>
              </v:shape>
            </w:pict>
          </mc:Fallback>
        </mc:AlternateContent>
      </w:r>
      <w:r w:rsidR="00D25284">
        <w:rPr>
          <w:noProof/>
        </w:rPr>
        <mc:AlternateContent>
          <mc:Choice Requires="wps">
            <w:drawing>
              <wp:anchor distT="45720" distB="45720" distL="114300" distR="114300" simplePos="0" relativeHeight="252126208" behindDoc="0" locked="0" layoutInCell="1" allowOverlap="1" wp14:anchorId="3933EF09" wp14:editId="7A38D283">
                <wp:simplePos x="0" y="0"/>
                <wp:positionH relativeFrom="margin">
                  <wp:align>right</wp:align>
                </wp:positionH>
                <wp:positionV relativeFrom="paragraph">
                  <wp:posOffset>4074205</wp:posOffset>
                </wp:positionV>
                <wp:extent cx="1733550" cy="1404620"/>
                <wp:effectExtent l="0" t="0" r="0" b="635"/>
                <wp:wrapNone/>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1404620"/>
                        </a:xfrm>
                        <a:prstGeom prst="rect">
                          <a:avLst/>
                        </a:prstGeom>
                        <a:solidFill>
                          <a:srgbClr val="FFFFFF"/>
                        </a:solidFill>
                        <a:ln w="9525">
                          <a:noFill/>
                          <a:miter lim="800000"/>
                          <a:headEnd/>
                          <a:tailEnd/>
                        </a:ln>
                      </wps:spPr>
                      <wps:txbx>
                        <w:txbxContent>
                          <w:p w14:paraId="082AEF6F" w14:textId="3654781B" w:rsidR="00300363" w:rsidRPr="00701170" w:rsidRDefault="00300363" w:rsidP="00300363">
                            <w:pPr>
                              <w:rPr>
                                <w:rFonts w:ascii="Arial" w:hAnsi="Arial" w:cs="Arial"/>
                                <w:sz w:val="18"/>
                                <w:szCs w:val="18"/>
                              </w:rPr>
                            </w:pPr>
                            <w:r>
                              <w:rPr>
                                <w:rFonts w:ascii="Arial" w:hAnsi="Arial" w:cs="Arial"/>
                                <w:sz w:val="18"/>
                                <w:szCs w:val="18"/>
                              </w:rPr>
                              <w:t>Queenscliffe Borough</w:t>
                            </w:r>
                            <w:r w:rsidRPr="00701170">
                              <w:rPr>
                                <w:rFonts w:ascii="Arial" w:hAnsi="Arial" w:cs="Arial"/>
                                <w:sz w:val="18"/>
                                <w:szCs w:val="18"/>
                              </w:rPr>
                              <w:t xml:space="preserve"> Council (lowest</w:t>
                            </w:r>
                            <w:r>
                              <w:rPr>
                                <w:rFonts w:ascii="Arial" w:hAnsi="Arial" w:cs="Arial"/>
                                <w:sz w:val="18"/>
                                <w:szCs w:val="18"/>
                              </w:rPr>
                              <w:t xml:space="preserve"> reported rate, 11 per 100,000 pop)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33EF09" id="_x0000_s1035" type="#_x0000_t202" style="position:absolute;left:0;text-align:left;margin-left:85.3pt;margin-top:320.8pt;width:136.5pt;height:110.6pt;z-index:25212620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" stroked="f">
                <v:textbox style="mso-fit-shape-to-text:t">
                  <w:txbxContent>
                    <w:p w14:paraId="082AEF6F" w14:textId="3654781B" w:rsidR="00300363" w:rsidRPr="00701170" w:rsidRDefault="00300363" w:rsidP="00300363">
                      <w:pPr>
                        <w:rPr>
                          <w:rFonts w:ascii="Arial" w:hAnsi="Arial" w:cs="Arial"/>
                          <w:sz w:val="18"/>
                          <w:szCs w:val="18"/>
                        </w:rPr>
                      </w:pPr>
                      <w:r>
                        <w:rPr>
                          <w:rFonts w:ascii="Arial" w:hAnsi="Arial" w:cs="Arial"/>
                          <w:sz w:val="18"/>
                          <w:szCs w:val="18"/>
                        </w:rPr>
                        <w:t>Queenscliffe Borough</w:t>
                      </w:r>
                      <w:r w:rsidRPr="00701170">
                        <w:rPr>
                          <w:rFonts w:ascii="Arial" w:hAnsi="Arial" w:cs="Arial"/>
                          <w:sz w:val="18"/>
                          <w:szCs w:val="18"/>
                        </w:rPr>
                        <w:t xml:space="preserve"> Council (lowest</w:t>
                      </w:r>
                      <w:r>
                        <w:rPr>
                          <w:rFonts w:ascii="Arial" w:hAnsi="Arial" w:cs="Arial"/>
                          <w:sz w:val="18"/>
                          <w:szCs w:val="18"/>
                        </w:rPr>
                        <w:t xml:space="preserve"> reported rate, 11 per 100,000 pop)</w:t>
                      </w:r>
                    </w:p>
                  </w:txbxContent>
                </v:textbox>
                <w10:wrap anchorx="margin"/>
              </v:shape>
            </w:pict>
          </mc:Fallback>
        </mc:AlternateContent>
      </w:r>
      <w:r w:rsidR="00D25284">
        <w:rPr>
          <w:noProof/>
        </w:rPr>
        <mc:AlternateContent>
          <mc:Choice Requires="wps">
            <w:drawing>
              <wp:anchor distT="0" distB="0" distL="114300" distR="114300" simplePos="0" relativeHeight="252120064" behindDoc="0" locked="0" layoutInCell="1" allowOverlap="1" wp14:anchorId="7AE94333" wp14:editId="56E43B34">
                <wp:simplePos x="0" y="0"/>
                <wp:positionH relativeFrom="column">
                  <wp:posOffset>2695826</wp:posOffset>
                </wp:positionH>
                <wp:positionV relativeFrom="paragraph">
                  <wp:posOffset>1846890</wp:posOffset>
                </wp:positionV>
                <wp:extent cx="1343025" cy="457200"/>
                <wp:effectExtent l="38100" t="38100" r="28575" b="19050"/>
                <wp:wrapNone/>
                <wp:docPr id="43" name="Straight Arrow Connector 43"/>
                <wp:cNvGraphicFramePr/>
                <a:graphic xmlns:a="http://schemas.openxmlformats.org/drawingml/2006/main">
                  <a:graphicData uri="http://schemas.microsoft.com/office/word/2010/wordprocessingShape">
                    <wps:wsp>
                      <wps:cNvCnPr/>
                      <wps:spPr>
                        <a:xfrm flipH="1" flipV="1">
                          <a:off x="0" y="0"/>
                          <a:ext cx="1343025" cy="4572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914EA4" id="Straight Arrow Connector 43" o:spid="_x0000_s1026" type="#_x0000_t32" style="position:absolute;margin-left:212.25pt;margin-top:145.4pt;width:105.75pt;height:36pt;flip:x y;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" strokecolor="black [3213]" strokeweight="1pt">
                <v:stroke endarrow="block" joinstyle="miter"/>
              </v:shape>
            </w:pict>
          </mc:Fallback>
        </mc:AlternateContent>
      </w:r>
      <w:r w:rsidR="00D25284">
        <w:rPr>
          <w:noProof/>
        </w:rPr>
        <mc:AlternateContent>
          <mc:Choice Requires="wps">
            <w:drawing>
              <wp:anchor distT="0" distB="0" distL="114300" distR="114300" simplePos="0" relativeHeight="252122112" behindDoc="0" locked="0" layoutInCell="1" allowOverlap="1" wp14:anchorId="429E29CB" wp14:editId="4C677E95">
                <wp:simplePos x="0" y="0"/>
                <wp:positionH relativeFrom="column">
                  <wp:posOffset>423117</wp:posOffset>
                </wp:positionH>
                <wp:positionV relativeFrom="paragraph">
                  <wp:posOffset>1899787</wp:posOffset>
                </wp:positionV>
                <wp:extent cx="985771" cy="536058"/>
                <wp:effectExtent l="0" t="38100" r="62230" b="35560"/>
                <wp:wrapNone/>
                <wp:docPr id="45" name="Straight Arrow Connector 45"/>
                <wp:cNvGraphicFramePr/>
                <a:graphic xmlns:a="http://schemas.openxmlformats.org/drawingml/2006/main">
                  <a:graphicData uri="http://schemas.microsoft.com/office/word/2010/wordprocessingShape">
                    <wps:wsp>
                      <wps:cNvCnPr/>
                      <wps:spPr>
                        <a:xfrm flipV="1">
                          <a:off x="0" y="0"/>
                          <a:ext cx="985771" cy="536058"/>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A85804" id="Straight Arrow Connector 45" o:spid="_x0000_s1026" type="#_x0000_t32" style="position:absolute;margin-left:33.3pt;margin-top:149.6pt;width:77.6pt;height:42.2pt;flip:y;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" strokecolor="black [3213]" strokeweight="1pt">
                <v:stroke endarrow="block" joinstyle="miter"/>
              </v:shape>
            </w:pict>
          </mc:Fallback>
        </mc:AlternateContent>
      </w:r>
      <w:r w:rsidR="00C23309">
        <w:rPr>
          <w:noProof/>
        </w:rPr>
        <mc:AlternateContent>
          <mc:Choice Requires="wps">
            <w:drawing>
              <wp:anchor distT="45720" distB="45720" distL="114300" distR="114300" simplePos="0" relativeHeight="252138496" behindDoc="0" locked="0" layoutInCell="1" allowOverlap="1" wp14:anchorId="3C3F800A" wp14:editId="7798E41C">
                <wp:simplePos x="0" y="0"/>
                <wp:positionH relativeFrom="margin">
                  <wp:align>left</wp:align>
                </wp:positionH>
                <wp:positionV relativeFrom="paragraph">
                  <wp:posOffset>8302625</wp:posOffset>
                </wp:positionV>
                <wp:extent cx="1228725" cy="1404620"/>
                <wp:effectExtent l="0" t="0" r="9525" b="254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1404620"/>
                        </a:xfrm>
                        <a:prstGeom prst="rect">
                          <a:avLst/>
                        </a:prstGeom>
                        <a:solidFill>
                          <a:srgbClr val="FFFFFF"/>
                        </a:solidFill>
                        <a:ln w="9525">
                          <a:noFill/>
                          <a:miter lim="800000"/>
                          <a:headEnd/>
                          <a:tailEnd/>
                        </a:ln>
                      </wps:spPr>
                      <wps:txbx>
                        <w:txbxContent>
                          <w:p w14:paraId="0F540ABF" w14:textId="55CF7BF1" w:rsidR="004E39D0" w:rsidRPr="00701170" w:rsidRDefault="004E39D0" w:rsidP="004E39D0">
                            <w:pPr>
                              <w:rPr>
                                <w:rFonts w:ascii="Arial" w:hAnsi="Arial" w:cs="Arial"/>
                                <w:sz w:val="18"/>
                                <w:szCs w:val="18"/>
                              </w:rPr>
                            </w:pPr>
                            <w:r>
                              <w:rPr>
                                <w:rFonts w:ascii="Arial" w:hAnsi="Arial" w:cs="Arial"/>
                                <w:sz w:val="18"/>
                                <w:szCs w:val="18"/>
                              </w:rPr>
                              <w:t>Yarriambiack Shire</w:t>
                            </w:r>
                            <w:r w:rsidRPr="00701170">
                              <w:rPr>
                                <w:rFonts w:ascii="Arial" w:hAnsi="Arial" w:cs="Arial"/>
                                <w:sz w:val="18"/>
                                <w:szCs w:val="18"/>
                              </w:rPr>
                              <w:t xml:space="preserve"> Council (</w:t>
                            </w:r>
                            <w:r>
                              <w:rPr>
                                <w:rFonts w:ascii="Arial" w:hAnsi="Arial" w:cs="Arial"/>
                                <w:sz w:val="18"/>
                                <w:szCs w:val="18"/>
                              </w:rPr>
                              <w:t>high</w:t>
                            </w:r>
                            <w:r w:rsidRPr="00701170">
                              <w:rPr>
                                <w:rFonts w:ascii="Arial" w:hAnsi="Arial" w:cs="Arial"/>
                                <w:sz w:val="18"/>
                                <w:szCs w:val="18"/>
                              </w:rPr>
                              <w:t>est</w:t>
                            </w:r>
                            <w:r>
                              <w:rPr>
                                <w:rFonts w:ascii="Arial" w:hAnsi="Arial" w:cs="Arial"/>
                                <w:sz w:val="18"/>
                                <w:szCs w:val="18"/>
                              </w:rPr>
                              <w:t xml:space="preserve"> reported rate, 203 per 100,000 pop)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3F800A" id="_x0000_s1036" type="#_x0000_t202" style="position:absolute;left:0;text-align:left;margin-left:0;margin-top:653.75pt;width:96.75pt;height:110.6pt;z-index:25213849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" stroked="f">
                <v:textbox style="mso-fit-shape-to-text:t">
                  <w:txbxContent>
                    <w:p w14:paraId="0F540ABF" w14:textId="55CF7BF1" w:rsidR="004E39D0" w:rsidRPr="00701170" w:rsidRDefault="004E39D0" w:rsidP="004E39D0">
                      <w:pPr>
                        <w:rPr>
                          <w:rFonts w:ascii="Arial" w:hAnsi="Arial" w:cs="Arial"/>
                          <w:sz w:val="18"/>
                          <w:szCs w:val="18"/>
                        </w:rPr>
                      </w:pPr>
                      <w:r>
                        <w:rPr>
                          <w:rFonts w:ascii="Arial" w:hAnsi="Arial" w:cs="Arial"/>
                          <w:sz w:val="18"/>
                          <w:szCs w:val="18"/>
                        </w:rPr>
                        <w:t>Yarriambiack Shire</w:t>
                      </w:r>
                      <w:r w:rsidRPr="00701170">
                        <w:rPr>
                          <w:rFonts w:ascii="Arial" w:hAnsi="Arial" w:cs="Arial"/>
                          <w:sz w:val="18"/>
                          <w:szCs w:val="18"/>
                        </w:rPr>
                        <w:t xml:space="preserve"> Council (</w:t>
                      </w:r>
                      <w:r>
                        <w:rPr>
                          <w:rFonts w:ascii="Arial" w:hAnsi="Arial" w:cs="Arial"/>
                          <w:sz w:val="18"/>
                          <w:szCs w:val="18"/>
                        </w:rPr>
                        <w:t>high</w:t>
                      </w:r>
                      <w:r w:rsidRPr="00701170">
                        <w:rPr>
                          <w:rFonts w:ascii="Arial" w:hAnsi="Arial" w:cs="Arial"/>
                          <w:sz w:val="18"/>
                          <w:szCs w:val="18"/>
                        </w:rPr>
                        <w:t>est</w:t>
                      </w:r>
                      <w:r>
                        <w:rPr>
                          <w:rFonts w:ascii="Arial" w:hAnsi="Arial" w:cs="Arial"/>
                          <w:sz w:val="18"/>
                          <w:szCs w:val="18"/>
                        </w:rPr>
                        <w:t xml:space="preserve"> reported rate, 203 per 100,000 pop)</w:t>
                      </w:r>
                    </w:p>
                  </w:txbxContent>
                </v:textbox>
                <w10:wrap anchorx="margin"/>
              </v:shape>
            </w:pict>
          </mc:Fallback>
        </mc:AlternateContent>
      </w:r>
      <w:r w:rsidR="00DF2F9D">
        <w:rPr>
          <w:noProof/>
        </w:rPr>
        <mc:AlternateContent>
          <mc:Choice Requires="wps">
            <w:drawing>
              <wp:anchor distT="45720" distB="45720" distL="114300" distR="114300" simplePos="0" relativeHeight="252124160" behindDoc="0" locked="0" layoutInCell="1" allowOverlap="1" wp14:anchorId="00F4F001" wp14:editId="6F3AEF38">
                <wp:simplePos x="0" y="0"/>
                <wp:positionH relativeFrom="page">
                  <wp:posOffset>771524</wp:posOffset>
                </wp:positionH>
                <wp:positionV relativeFrom="paragraph">
                  <wp:posOffset>2549525</wp:posOffset>
                </wp:positionV>
                <wp:extent cx="1438275" cy="1404620"/>
                <wp:effectExtent l="0" t="0" r="9525" b="2540"/>
                <wp:wrapNone/>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1404620"/>
                        </a:xfrm>
                        <a:prstGeom prst="rect">
                          <a:avLst/>
                        </a:prstGeom>
                        <a:solidFill>
                          <a:srgbClr val="FFFFFF"/>
                        </a:solidFill>
                        <a:ln w="9525">
                          <a:noFill/>
                          <a:miter lim="800000"/>
                          <a:headEnd/>
                          <a:tailEnd/>
                        </a:ln>
                      </wps:spPr>
                      <wps:txbx>
                        <w:txbxContent>
                          <w:p w14:paraId="2848E942" w14:textId="4A9BE695" w:rsidR="00300363" w:rsidRPr="00701170" w:rsidRDefault="00300363" w:rsidP="00300363">
                            <w:pPr>
                              <w:rPr>
                                <w:rFonts w:ascii="Arial" w:hAnsi="Arial" w:cs="Arial"/>
                                <w:sz w:val="18"/>
                                <w:szCs w:val="18"/>
                              </w:rPr>
                            </w:pPr>
                            <w:r>
                              <w:rPr>
                                <w:rFonts w:ascii="Arial" w:hAnsi="Arial" w:cs="Arial"/>
                                <w:sz w:val="18"/>
                                <w:szCs w:val="18"/>
                              </w:rPr>
                              <w:t>Ararat Rural City</w:t>
                            </w:r>
                            <w:r w:rsidRPr="00701170">
                              <w:rPr>
                                <w:rFonts w:ascii="Arial" w:hAnsi="Arial" w:cs="Arial"/>
                                <w:sz w:val="18"/>
                                <w:szCs w:val="18"/>
                              </w:rPr>
                              <w:t xml:space="preserve"> Council (</w:t>
                            </w:r>
                            <w:r>
                              <w:rPr>
                                <w:rFonts w:ascii="Arial" w:hAnsi="Arial" w:cs="Arial"/>
                                <w:sz w:val="18"/>
                                <w:szCs w:val="18"/>
                              </w:rPr>
                              <w:t>high</w:t>
                            </w:r>
                            <w:r w:rsidRPr="00701170">
                              <w:rPr>
                                <w:rFonts w:ascii="Arial" w:hAnsi="Arial" w:cs="Arial"/>
                                <w:sz w:val="18"/>
                                <w:szCs w:val="18"/>
                              </w:rPr>
                              <w:t>est</w:t>
                            </w:r>
                            <w:r>
                              <w:rPr>
                                <w:rFonts w:ascii="Arial" w:hAnsi="Arial" w:cs="Arial"/>
                                <w:sz w:val="18"/>
                                <w:szCs w:val="18"/>
                              </w:rPr>
                              <w:t xml:space="preserve"> reported rate, 154 per 100,000 pop)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F4F001" id="_x0000_s1037" type="#_x0000_t202" style="position:absolute;left:0;text-align:left;margin-left:60.75pt;margin-top:200.75pt;width:113.25pt;height:110.6pt;z-index:25212416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" stroked="f">
                <v:textbox style="mso-fit-shape-to-text:t">
                  <w:txbxContent>
                    <w:p w14:paraId="2848E942" w14:textId="4A9BE695" w:rsidR="00300363" w:rsidRPr="00701170" w:rsidRDefault="00300363" w:rsidP="00300363">
                      <w:pPr>
                        <w:rPr>
                          <w:rFonts w:ascii="Arial" w:hAnsi="Arial" w:cs="Arial"/>
                          <w:sz w:val="18"/>
                          <w:szCs w:val="18"/>
                        </w:rPr>
                      </w:pPr>
                      <w:r>
                        <w:rPr>
                          <w:rFonts w:ascii="Arial" w:hAnsi="Arial" w:cs="Arial"/>
                          <w:sz w:val="18"/>
                          <w:szCs w:val="18"/>
                        </w:rPr>
                        <w:t>Ararat Rural City</w:t>
                      </w:r>
                      <w:r w:rsidRPr="00701170">
                        <w:rPr>
                          <w:rFonts w:ascii="Arial" w:hAnsi="Arial" w:cs="Arial"/>
                          <w:sz w:val="18"/>
                          <w:szCs w:val="18"/>
                        </w:rPr>
                        <w:t xml:space="preserve"> Council (</w:t>
                      </w:r>
                      <w:r>
                        <w:rPr>
                          <w:rFonts w:ascii="Arial" w:hAnsi="Arial" w:cs="Arial"/>
                          <w:sz w:val="18"/>
                          <w:szCs w:val="18"/>
                        </w:rPr>
                        <w:t>high</w:t>
                      </w:r>
                      <w:r w:rsidRPr="00701170">
                        <w:rPr>
                          <w:rFonts w:ascii="Arial" w:hAnsi="Arial" w:cs="Arial"/>
                          <w:sz w:val="18"/>
                          <w:szCs w:val="18"/>
                        </w:rPr>
                        <w:t>est</w:t>
                      </w:r>
                      <w:r>
                        <w:rPr>
                          <w:rFonts w:ascii="Arial" w:hAnsi="Arial" w:cs="Arial"/>
                          <w:sz w:val="18"/>
                          <w:szCs w:val="18"/>
                        </w:rPr>
                        <w:t xml:space="preserve"> reported rate, 154 per 100,000 pop)</w:t>
                      </w:r>
                    </w:p>
                  </w:txbxContent>
                </v:textbox>
                <w10:wrap anchorx="page"/>
              </v:shape>
            </w:pict>
          </mc:Fallback>
        </mc:AlternateContent>
      </w:r>
    </w:p>
    <w:p w14:paraId="703A73FB" w14:textId="7482B7EF" w:rsidR="000530A4" w:rsidRDefault="000530A4" w:rsidP="000530A4">
      <w:pPr>
        <w:pStyle w:val="Figurecaption"/>
        <w:rPr>
          <w:sz w:val="20"/>
        </w:rPr>
      </w:pPr>
      <w:bookmarkStart w:id="265" w:name="_Toc132553014"/>
      <w:bookmarkStart w:id="266" w:name="_Toc140827621"/>
      <w:r w:rsidRPr="00F2771C">
        <w:rPr>
          <w:sz w:val="20"/>
        </w:rPr>
        <w:lastRenderedPageBreak/>
        <w:t>Figure 2.2.</w:t>
      </w:r>
      <w:r w:rsidR="0014283C" w:rsidRPr="00F2771C">
        <w:rPr>
          <w:sz w:val="20"/>
        </w:rPr>
        <w:t>4</w:t>
      </w:r>
      <w:r w:rsidR="003B391F" w:rsidRPr="00F2771C">
        <w:rPr>
          <w:sz w:val="20"/>
        </w:rPr>
        <w:t>:</w:t>
      </w:r>
      <w:r w:rsidRPr="00F2771C">
        <w:rPr>
          <w:sz w:val="20"/>
        </w:rPr>
        <w:t xml:space="preserve"> Victorian death rate for all cancers combined, by ICS by year, 2010</w:t>
      </w:r>
      <w:r w:rsidRPr="00F2771C">
        <w:rPr>
          <w:sz w:val="20"/>
          <w:lang w:eastAsia="en-AU"/>
        </w:rPr>
        <w:t>–</w:t>
      </w:r>
      <w:r w:rsidRPr="00F2771C">
        <w:rPr>
          <w:sz w:val="20"/>
        </w:rPr>
        <w:t>20</w:t>
      </w:r>
      <w:r w:rsidR="000C10F4" w:rsidRPr="00F2771C">
        <w:rPr>
          <w:sz w:val="20"/>
        </w:rPr>
        <w:t>2</w:t>
      </w:r>
      <w:r w:rsidR="00CE1BB7" w:rsidRPr="00F2771C">
        <w:rPr>
          <w:sz w:val="20"/>
        </w:rPr>
        <w:t>1</w:t>
      </w:r>
      <w:bookmarkEnd w:id="265"/>
      <w:bookmarkEnd w:id="266"/>
    </w:p>
    <w:p w14:paraId="7BF5B3C0" w14:textId="1E4FF6FC" w:rsidR="00CE1BB7" w:rsidRDefault="00170433" w:rsidP="00170433">
      <w:pPr>
        <w:pStyle w:val="DHHSbody"/>
      </w:pPr>
      <w:r w:rsidRPr="00170433">
        <w:rPr>
          <w:noProof/>
        </w:rPr>
        <w:drawing>
          <wp:inline distT="0" distB="0" distL="0" distR="0" wp14:anchorId="08FF3FEE" wp14:editId="6B2FA814">
            <wp:extent cx="6247615" cy="3760470"/>
            <wp:effectExtent l="0" t="0" r="1270" b="0"/>
            <wp:docPr id="1110205004" name="Picture 1110205004" descr="This figure shows a data summary of 'Measure 2.2 – Premature death rate due to cancer' by Integrated Cancer Service for 2010 to 2021. The data set is available under 'Measure 2.2 – Death rate due to cancer'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04" name="Picture 1110205004" descr="This figure shows a data summary of 'Measure 2.2 – Premature death rate due to cancer' by Integrated Cancer Service for 2010 to 2021. The data set is available under 'Measure 2.2 – Death rate due to cancer' in a separate volume, the Victorian cancer plan monitoring and evaluation framework: baseline report: Appendix 2: Datasets available on Cancer care &lt;https://www.health.vic.gov.au/health-strategies/cancer-care&gt;."/>
                    <pic:cNvPicPr/>
                  </pic:nvPicPr>
                  <pic:blipFill>
                    <a:blip r:embed="rId65"/>
                    <a:stretch>
                      <a:fillRect/>
                    </a:stretch>
                  </pic:blipFill>
                  <pic:spPr>
                    <a:xfrm>
                      <a:off x="0" y="0"/>
                      <a:ext cx="6269333" cy="3773542"/>
                    </a:xfrm>
                    <a:prstGeom prst="rect">
                      <a:avLst/>
                    </a:prstGeom>
                  </pic:spPr>
                </pic:pic>
              </a:graphicData>
            </a:graphic>
          </wp:inline>
        </w:drawing>
      </w:r>
    </w:p>
    <w:p w14:paraId="3B268057" w14:textId="26BF4BFC" w:rsidR="00665D4B" w:rsidRPr="00665D4B" w:rsidRDefault="00665D4B" w:rsidP="007C7F00">
      <w:pPr>
        <w:pStyle w:val="Heading4"/>
      </w:pPr>
      <w:r w:rsidRPr="00E43803">
        <w:t>Measure assessment</w:t>
      </w:r>
    </w:p>
    <w:p w14:paraId="4717B78E" w14:textId="237E5073" w:rsidR="003E5FD3" w:rsidRPr="00E060C8" w:rsidRDefault="003E5FD3" w:rsidP="00606436">
      <w:pPr>
        <w:pStyle w:val="Body"/>
        <w:rPr>
          <w:color w:val="00B050"/>
        </w:rPr>
      </w:pPr>
      <w:r w:rsidRPr="009F01B1">
        <w:t xml:space="preserve">Traffic light rating: </w:t>
      </w:r>
      <w:r w:rsidR="00892063" w:rsidRPr="00D207B2">
        <w:rPr>
          <w:b/>
          <w:color w:val="007B4B"/>
        </w:rPr>
        <w:t>Green</w:t>
      </w:r>
      <w:r w:rsidR="00061321">
        <w:rPr>
          <w:b/>
        </w:rPr>
        <w:t xml:space="preserve"> </w:t>
      </w:r>
      <w:r w:rsidR="00061321" w:rsidRPr="00061321">
        <w:t>(satisfactory result)</w:t>
      </w:r>
    </w:p>
    <w:p w14:paraId="64E64A79" w14:textId="3FE10AF1" w:rsidR="003E5FD3" w:rsidRPr="003E5FD3" w:rsidRDefault="003E5FD3" w:rsidP="00606436">
      <w:pPr>
        <w:pStyle w:val="Body"/>
      </w:pPr>
      <w:r w:rsidRPr="00C15AE4">
        <w:t xml:space="preserve">Overall trend: </w:t>
      </w:r>
      <w:r w:rsidR="00892063">
        <w:t>Moving in the right direction</w:t>
      </w:r>
    </w:p>
    <w:p w14:paraId="31AA6030" w14:textId="4FA5C2B7" w:rsidR="00D812F2" w:rsidRPr="00144685" w:rsidRDefault="00B73C7E" w:rsidP="00E87AAA">
      <w:pPr>
        <w:pStyle w:val="Body"/>
        <w:rPr>
          <w:rStyle w:val="Strong"/>
          <w:rFonts w:cs="Arial"/>
          <w:b w:val="0"/>
          <w:lang w:val="en"/>
        </w:rPr>
      </w:pPr>
      <w:r w:rsidRPr="00144685">
        <w:rPr>
          <w:rStyle w:val="Strong"/>
          <w:rFonts w:cs="Arial"/>
          <w:b w:val="0"/>
          <w:bCs w:val="0"/>
          <w:lang w:val="en"/>
        </w:rPr>
        <w:t>Commentary</w:t>
      </w:r>
      <w:r w:rsidR="004A3363" w:rsidRPr="00144685">
        <w:rPr>
          <w:rStyle w:val="Strong"/>
          <w:rFonts w:cs="Arial"/>
          <w:b w:val="0"/>
          <w:bCs w:val="0"/>
          <w:lang w:val="en"/>
        </w:rPr>
        <w:t xml:space="preserve">: </w:t>
      </w:r>
      <w:r w:rsidR="00751652" w:rsidRPr="00144685">
        <w:rPr>
          <w:rStyle w:val="Strong"/>
          <w:rFonts w:cs="Arial"/>
          <w:b w:val="0"/>
          <w:bCs w:val="0"/>
          <w:lang w:val="en"/>
        </w:rPr>
        <w:t>Globally cancer is expected to rank as the leading cause of death and the single most important barrier to increasing life expectancy in every country of the world in the 21</w:t>
      </w:r>
      <w:r w:rsidR="00751652" w:rsidRPr="007C2FB4">
        <w:rPr>
          <w:rStyle w:val="Strong"/>
          <w:rFonts w:cs="Arial"/>
          <w:b w:val="0"/>
          <w:bCs w:val="0"/>
          <w:lang w:val="en"/>
        </w:rPr>
        <w:t>st</w:t>
      </w:r>
      <w:r w:rsidR="00751652" w:rsidRPr="00144685">
        <w:rPr>
          <w:rStyle w:val="Strong"/>
          <w:rFonts w:cs="Arial"/>
          <w:b w:val="0"/>
          <w:bCs w:val="0"/>
          <w:lang w:val="en"/>
        </w:rPr>
        <w:t xml:space="preserve"> century. According to World Health Organization estimates in 201</w:t>
      </w:r>
      <w:r w:rsidR="00920B92">
        <w:rPr>
          <w:rStyle w:val="Strong"/>
          <w:rFonts w:cs="Arial"/>
          <w:b w:val="0"/>
          <w:bCs w:val="0"/>
          <w:lang w:val="en"/>
        </w:rPr>
        <w:t>9</w:t>
      </w:r>
      <w:r w:rsidR="00A278C1" w:rsidRPr="00144685">
        <w:rPr>
          <w:rStyle w:val="Strong"/>
          <w:rFonts w:cs="Arial"/>
          <w:b w:val="0"/>
          <w:bCs w:val="0"/>
          <w:lang w:val="en"/>
        </w:rPr>
        <w:t>,</w:t>
      </w:r>
      <w:r w:rsidR="00751652" w:rsidRPr="00144685">
        <w:rPr>
          <w:rStyle w:val="Strong"/>
          <w:rFonts w:cs="Arial"/>
          <w:b w:val="0"/>
          <w:bCs w:val="0"/>
          <w:lang w:val="en"/>
        </w:rPr>
        <w:t xml:space="preserve"> cancer was the first or second leading cause of death before age 70 years in </w:t>
      </w:r>
      <w:r w:rsidR="00920B92">
        <w:rPr>
          <w:rStyle w:val="Strong"/>
          <w:rFonts w:cs="Arial"/>
          <w:b w:val="0"/>
          <w:bCs w:val="0"/>
          <w:lang w:val="en"/>
        </w:rPr>
        <w:t>112</w:t>
      </w:r>
      <w:r w:rsidR="00751652" w:rsidRPr="00144685">
        <w:rPr>
          <w:rStyle w:val="Strong"/>
          <w:rFonts w:cs="Arial"/>
          <w:b w:val="0"/>
          <w:bCs w:val="0"/>
          <w:lang w:val="en"/>
        </w:rPr>
        <w:t xml:space="preserve"> of the </w:t>
      </w:r>
      <w:r w:rsidR="00920B92">
        <w:rPr>
          <w:rStyle w:val="Strong"/>
          <w:rFonts w:cs="Arial"/>
          <w:b w:val="0"/>
          <w:bCs w:val="0"/>
          <w:lang w:val="en"/>
        </w:rPr>
        <w:t>183</w:t>
      </w:r>
      <w:r w:rsidR="00751652" w:rsidRPr="00144685">
        <w:rPr>
          <w:rStyle w:val="Strong"/>
          <w:rFonts w:cs="Arial"/>
          <w:b w:val="0"/>
          <w:bCs w:val="0"/>
          <w:lang w:val="en"/>
        </w:rPr>
        <w:t xml:space="preserve"> countries including Australia</w:t>
      </w:r>
      <w:r w:rsidR="00F93393" w:rsidRPr="00144685">
        <w:rPr>
          <w:rStyle w:val="Strong"/>
          <w:rFonts w:cs="Arial"/>
          <w:b w:val="0"/>
          <w:bCs w:val="0"/>
          <w:lang w:val="en"/>
        </w:rPr>
        <w:t xml:space="preserve"> (Figure 2.2)</w:t>
      </w:r>
      <w:r w:rsidR="00236B3E">
        <w:rPr>
          <w:rStyle w:val="Strong"/>
          <w:rFonts w:cs="Arial"/>
          <w:b w:val="0"/>
          <w:bCs w:val="0"/>
          <w:lang w:val="en"/>
        </w:rPr>
        <w:t>.</w:t>
      </w:r>
      <w:r w:rsidR="00236B3E" w:rsidRPr="76BE792E">
        <w:rPr>
          <w:rStyle w:val="FootnoteReference"/>
          <w:rFonts w:cs="Arial"/>
          <w:lang w:val="en"/>
        </w:rPr>
        <w:footnoteReference w:id="57"/>
      </w:r>
    </w:p>
    <w:p w14:paraId="6C76C5EF" w14:textId="5016B09D" w:rsidR="00C81391" w:rsidRPr="00C81391" w:rsidRDefault="00CA73CC" w:rsidP="00E87AAA">
      <w:pPr>
        <w:pStyle w:val="Body"/>
        <w:rPr>
          <w:rStyle w:val="Strong"/>
          <w:rFonts w:cs="Arial"/>
          <w:b w:val="0"/>
          <w:lang w:val="en"/>
        </w:rPr>
      </w:pPr>
      <w:r w:rsidRPr="00144685">
        <w:rPr>
          <w:rStyle w:val="Strong"/>
          <w:rFonts w:cs="Arial"/>
          <w:b w:val="0"/>
          <w:lang w:val="en"/>
        </w:rPr>
        <w:t xml:space="preserve">For the purposes of this report, </w:t>
      </w:r>
      <w:r w:rsidR="00854CB4" w:rsidRPr="00144685">
        <w:rPr>
          <w:rStyle w:val="Strong"/>
          <w:rFonts w:cs="Arial"/>
          <w:b w:val="0"/>
          <w:lang w:val="en"/>
        </w:rPr>
        <w:t xml:space="preserve">deaths </w:t>
      </w:r>
      <w:r w:rsidR="00567266" w:rsidRPr="00144685">
        <w:rPr>
          <w:rStyle w:val="Strong"/>
          <w:rFonts w:cs="Arial"/>
          <w:b w:val="0"/>
          <w:lang w:val="en"/>
        </w:rPr>
        <w:t xml:space="preserve">from cancer </w:t>
      </w:r>
      <w:r w:rsidR="00854CB4" w:rsidRPr="00144685">
        <w:rPr>
          <w:rStyle w:val="Strong"/>
          <w:rFonts w:cs="Arial"/>
          <w:b w:val="0"/>
          <w:lang w:val="en"/>
        </w:rPr>
        <w:t>among people under 75 years of age are considered premature.</w:t>
      </w:r>
      <w:r w:rsidR="00AA1BA6" w:rsidRPr="00144685">
        <w:rPr>
          <w:rStyle w:val="Strong"/>
          <w:rFonts w:cs="Arial"/>
          <w:b w:val="0"/>
          <w:lang w:val="en"/>
        </w:rPr>
        <w:t xml:space="preserve"> </w:t>
      </w:r>
      <w:r w:rsidR="00567266" w:rsidRPr="00144685">
        <w:rPr>
          <w:rStyle w:val="Strong"/>
          <w:rFonts w:cs="Arial"/>
          <w:b w:val="0"/>
          <w:lang w:val="en"/>
        </w:rPr>
        <w:t>Figure</w:t>
      </w:r>
      <w:r w:rsidR="00C81391">
        <w:rPr>
          <w:rStyle w:val="Strong"/>
          <w:rFonts w:cs="Arial"/>
          <w:b w:val="0"/>
          <w:lang w:val="en"/>
        </w:rPr>
        <w:t>s</w:t>
      </w:r>
      <w:r w:rsidR="00567266" w:rsidRPr="00144685">
        <w:rPr>
          <w:rStyle w:val="Strong"/>
          <w:rFonts w:cs="Arial"/>
          <w:b w:val="0"/>
          <w:lang w:val="en"/>
        </w:rPr>
        <w:t xml:space="preserve"> 2.2.1</w:t>
      </w:r>
      <w:r w:rsidR="00141028">
        <w:rPr>
          <w:rStyle w:val="Strong"/>
          <w:rFonts w:cs="Arial"/>
          <w:b w:val="0"/>
          <w:lang w:val="en"/>
        </w:rPr>
        <w:t xml:space="preserve">, </w:t>
      </w:r>
      <w:r w:rsidR="00C81391">
        <w:rPr>
          <w:rStyle w:val="Strong"/>
          <w:rFonts w:cs="Arial"/>
          <w:b w:val="0"/>
          <w:lang w:val="en"/>
        </w:rPr>
        <w:t>2.2.2</w:t>
      </w:r>
      <w:r w:rsidR="00567266" w:rsidRPr="00144685">
        <w:rPr>
          <w:rStyle w:val="Strong"/>
          <w:rFonts w:cs="Arial"/>
          <w:b w:val="0"/>
          <w:lang w:val="en"/>
        </w:rPr>
        <w:t xml:space="preserve"> </w:t>
      </w:r>
      <w:r w:rsidR="00141028">
        <w:rPr>
          <w:rStyle w:val="Strong"/>
          <w:rFonts w:cs="Arial"/>
          <w:b w:val="0"/>
          <w:lang w:val="en"/>
        </w:rPr>
        <w:t xml:space="preserve">and Table 2.1 </w:t>
      </w:r>
      <w:r w:rsidR="00567266" w:rsidRPr="00144685">
        <w:rPr>
          <w:rStyle w:val="Strong"/>
          <w:rFonts w:cs="Arial"/>
          <w:b w:val="0"/>
          <w:lang w:val="en"/>
        </w:rPr>
        <w:t>show that</w:t>
      </w:r>
      <w:r w:rsidR="007A02E1">
        <w:rPr>
          <w:rStyle w:val="Strong"/>
          <w:rFonts w:cs="Arial"/>
          <w:b w:val="0"/>
          <w:lang w:val="en"/>
        </w:rPr>
        <w:t>,</w:t>
      </w:r>
      <w:r w:rsidR="008B1C91" w:rsidRPr="00144685">
        <w:rPr>
          <w:rStyle w:val="Strong"/>
          <w:rFonts w:cs="Arial"/>
          <w:b w:val="0"/>
          <w:lang w:val="en"/>
        </w:rPr>
        <w:t xml:space="preserve"> </w:t>
      </w:r>
      <w:r w:rsidR="00920B92" w:rsidRPr="00144685">
        <w:rPr>
          <w:rStyle w:val="Strong"/>
          <w:rFonts w:cs="Arial"/>
          <w:b w:val="0"/>
          <w:lang w:val="en"/>
        </w:rPr>
        <w:t>overall,</w:t>
      </w:r>
      <w:r w:rsidR="00567266" w:rsidRPr="00144685">
        <w:rPr>
          <w:rStyle w:val="Strong"/>
          <w:rFonts w:cs="Arial"/>
          <w:b w:val="0"/>
          <w:lang w:val="en"/>
        </w:rPr>
        <w:t xml:space="preserve"> the premature death rate </w:t>
      </w:r>
      <w:r w:rsidR="00465EF9" w:rsidRPr="00144685">
        <w:rPr>
          <w:rStyle w:val="Strong"/>
          <w:rFonts w:cs="Arial"/>
          <w:b w:val="0"/>
          <w:lang w:val="en"/>
        </w:rPr>
        <w:t>ha</w:t>
      </w:r>
      <w:r w:rsidR="00567266" w:rsidRPr="00144685">
        <w:rPr>
          <w:rStyle w:val="Strong"/>
          <w:rFonts w:cs="Arial"/>
          <w:b w:val="0"/>
          <w:lang w:val="en"/>
        </w:rPr>
        <w:t>s chang</w:t>
      </w:r>
      <w:r w:rsidR="00465EF9" w:rsidRPr="00144685">
        <w:rPr>
          <w:rStyle w:val="Strong"/>
          <w:rFonts w:cs="Arial"/>
          <w:b w:val="0"/>
          <w:lang w:val="en"/>
        </w:rPr>
        <w:t>ed</w:t>
      </w:r>
      <w:r w:rsidR="00567266" w:rsidRPr="00144685">
        <w:rPr>
          <w:rStyle w:val="Strong"/>
          <w:rFonts w:cs="Arial"/>
          <w:b w:val="0"/>
          <w:lang w:val="en"/>
        </w:rPr>
        <w:t xml:space="preserve"> over time</w:t>
      </w:r>
      <w:r w:rsidR="00900D4D" w:rsidRPr="00144685">
        <w:rPr>
          <w:rStyle w:val="Strong"/>
          <w:rFonts w:cs="Arial"/>
          <w:b w:val="0"/>
          <w:lang w:val="en"/>
        </w:rPr>
        <w:t xml:space="preserve"> </w:t>
      </w:r>
      <w:r w:rsidR="00B47C64" w:rsidRPr="00144685">
        <w:rPr>
          <w:rStyle w:val="Strong"/>
          <w:rFonts w:cs="Arial"/>
          <w:b w:val="0"/>
          <w:lang w:val="en"/>
        </w:rPr>
        <w:t xml:space="preserve">from </w:t>
      </w:r>
      <w:r w:rsidR="00900D4D" w:rsidRPr="00144685">
        <w:rPr>
          <w:rStyle w:val="Strong"/>
          <w:rFonts w:cs="Arial"/>
          <w:b w:val="0"/>
          <w:lang w:val="en"/>
        </w:rPr>
        <w:t>9</w:t>
      </w:r>
      <w:r w:rsidR="007A61C7">
        <w:rPr>
          <w:rStyle w:val="Strong"/>
          <w:rFonts w:cs="Arial"/>
          <w:b w:val="0"/>
          <w:lang w:val="en"/>
        </w:rPr>
        <w:t>2</w:t>
      </w:r>
      <w:r w:rsidR="00900D4D" w:rsidRPr="00144685">
        <w:rPr>
          <w:rStyle w:val="Strong"/>
          <w:rFonts w:cs="Arial"/>
          <w:b w:val="0"/>
          <w:lang w:val="en"/>
        </w:rPr>
        <w:t xml:space="preserve"> per 100,000 population in 2010 to </w:t>
      </w:r>
      <w:r w:rsidR="00013831">
        <w:rPr>
          <w:rStyle w:val="Strong"/>
          <w:rFonts w:cs="Arial"/>
          <w:b w:val="0"/>
          <w:lang w:val="en"/>
        </w:rPr>
        <w:t>70</w:t>
      </w:r>
      <w:r w:rsidR="00900D4D" w:rsidRPr="00144685">
        <w:rPr>
          <w:rStyle w:val="Strong"/>
          <w:rFonts w:cs="Arial"/>
          <w:b w:val="0"/>
          <w:lang w:val="en"/>
        </w:rPr>
        <w:t xml:space="preserve"> per 100,000 in 20</w:t>
      </w:r>
      <w:r w:rsidR="005F52D6">
        <w:rPr>
          <w:rStyle w:val="Strong"/>
          <w:rFonts w:cs="Arial"/>
          <w:b w:val="0"/>
          <w:lang w:val="en"/>
        </w:rPr>
        <w:t>2</w:t>
      </w:r>
      <w:r w:rsidR="00013831">
        <w:rPr>
          <w:rStyle w:val="Strong"/>
          <w:rFonts w:cs="Arial"/>
          <w:b w:val="0"/>
          <w:lang w:val="en"/>
        </w:rPr>
        <w:t>1</w:t>
      </w:r>
      <w:r w:rsidR="00044C6F">
        <w:rPr>
          <w:rStyle w:val="Strong"/>
          <w:rFonts w:cs="Arial"/>
          <w:b w:val="0"/>
          <w:lang w:val="en"/>
        </w:rPr>
        <w:t>, most</w:t>
      </w:r>
      <w:r w:rsidR="00144685" w:rsidRPr="00144685">
        <w:rPr>
          <w:rStyle w:val="Strong"/>
          <w:rFonts w:cs="Arial"/>
          <w:b w:val="0"/>
          <w:lang w:val="en"/>
        </w:rPr>
        <w:t xml:space="preserve"> </w:t>
      </w:r>
      <w:r w:rsidR="00621D3F">
        <w:rPr>
          <w:rStyle w:val="Strong"/>
          <w:rFonts w:cs="Arial"/>
          <w:b w:val="0"/>
          <w:lang w:val="en"/>
        </w:rPr>
        <w:t xml:space="preserve">likely </w:t>
      </w:r>
      <w:r w:rsidR="00144685" w:rsidRPr="00144685">
        <w:rPr>
          <w:rStyle w:val="Strong"/>
          <w:rFonts w:cs="Arial"/>
          <w:b w:val="0"/>
          <w:lang w:val="en"/>
        </w:rPr>
        <w:t>due</w:t>
      </w:r>
      <w:r w:rsidR="00F56EA3">
        <w:rPr>
          <w:rStyle w:val="Strong"/>
          <w:rFonts w:cs="Arial"/>
          <w:b w:val="0"/>
          <w:lang w:val="en"/>
        </w:rPr>
        <w:t xml:space="preserve"> to</w:t>
      </w:r>
      <w:r w:rsidR="00144685" w:rsidRPr="00144685">
        <w:rPr>
          <w:rStyle w:val="Strong"/>
          <w:rFonts w:cs="Arial"/>
          <w:b w:val="0"/>
          <w:lang w:val="en"/>
        </w:rPr>
        <w:t xml:space="preserve"> </w:t>
      </w:r>
      <w:r w:rsidR="00144685" w:rsidRPr="00144685">
        <w:t>preventive and therapeutic interventions</w:t>
      </w:r>
      <w:r w:rsidR="00900D4D" w:rsidRPr="00144685">
        <w:rPr>
          <w:rStyle w:val="Strong"/>
          <w:rFonts w:cs="Arial"/>
          <w:b w:val="0"/>
          <w:lang w:val="en"/>
        </w:rPr>
        <w:t>.</w:t>
      </w:r>
      <w:r w:rsidR="00952FC7">
        <w:rPr>
          <w:rStyle w:val="Strong"/>
          <w:rFonts w:cs="Arial"/>
          <w:b w:val="0"/>
          <w:lang w:val="en"/>
        </w:rPr>
        <w:t xml:space="preserve"> </w:t>
      </w:r>
      <w:r w:rsidR="00621D3F">
        <w:rPr>
          <w:rStyle w:val="Strong"/>
          <w:rFonts w:cs="Arial"/>
          <w:b w:val="0"/>
          <w:lang w:val="en"/>
        </w:rPr>
        <w:t xml:space="preserve">The </w:t>
      </w:r>
      <w:r w:rsidR="0078507A">
        <w:rPr>
          <w:rStyle w:val="Strong"/>
          <w:rFonts w:cs="Arial"/>
          <w:b w:val="0"/>
          <w:lang w:val="en"/>
        </w:rPr>
        <w:t>mortality</w:t>
      </w:r>
      <w:r w:rsidR="00621D3F">
        <w:rPr>
          <w:rStyle w:val="Strong"/>
          <w:rFonts w:cs="Arial"/>
          <w:b w:val="0"/>
          <w:lang w:val="en"/>
        </w:rPr>
        <w:t xml:space="preserve"> rate is </w:t>
      </w:r>
      <w:r w:rsidR="00C81391">
        <w:rPr>
          <w:rStyle w:val="Strong"/>
          <w:rFonts w:cs="Arial"/>
          <w:b w:val="0"/>
          <w:lang w:val="en"/>
        </w:rPr>
        <w:t xml:space="preserve">steadily </w:t>
      </w:r>
      <w:r w:rsidR="00621D3F">
        <w:rPr>
          <w:rStyle w:val="Strong"/>
          <w:rFonts w:cs="Arial"/>
          <w:b w:val="0"/>
          <w:lang w:val="en"/>
        </w:rPr>
        <w:t>decreasing for both genders</w:t>
      </w:r>
      <w:r w:rsidR="00044C6F">
        <w:rPr>
          <w:rStyle w:val="Strong"/>
          <w:rFonts w:cs="Arial"/>
          <w:b w:val="0"/>
          <w:lang w:val="en"/>
        </w:rPr>
        <w:t>,</w:t>
      </w:r>
      <w:r w:rsidR="00621D3F">
        <w:rPr>
          <w:rStyle w:val="Strong"/>
          <w:rFonts w:cs="Arial"/>
          <w:b w:val="0"/>
          <w:lang w:val="en"/>
        </w:rPr>
        <w:t xml:space="preserve"> although the </w:t>
      </w:r>
      <w:r w:rsidR="00C81391">
        <w:rPr>
          <w:rStyle w:val="Strong"/>
          <w:rFonts w:cs="Arial"/>
          <w:b w:val="0"/>
          <w:lang w:val="en"/>
        </w:rPr>
        <w:t xml:space="preserve">higher </w:t>
      </w:r>
      <w:r w:rsidR="00621D3F">
        <w:rPr>
          <w:rStyle w:val="Strong"/>
          <w:rFonts w:cs="Arial"/>
          <w:b w:val="0"/>
          <w:lang w:val="en"/>
        </w:rPr>
        <w:t>premature death rate for males</w:t>
      </w:r>
      <w:r w:rsidR="00C81391">
        <w:rPr>
          <w:rStyle w:val="Strong"/>
          <w:rFonts w:cs="Arial"/>
          <w:b w:val="0"/>
          <w:lang w:val="en"/>
        </w:rPr>
        <w:t xml:space="preserve"> compared </w:t>
      </w:r>
      <w:r w:rsidR="001B50BF">
        <w:rPr>
          <w:rStyle w:val="Strong"/>
          <w:rFonts w:cs="Arial"/>
          <w:b w:val="0"/>
          <w:lang w:val="en"/>
        </w:rPr>
        <w:t xml:space="preserve">with </w:t>
      </w:r>
      <w:r w:rsidR="00C81391">
        <w:rPr>
          <w:rStyle w:val="Strong"/>
          <w:rFonts w:cs="Arial"/>
          <w:b w:val="0"/>
          <w:lang w:val="en"/>
        </w:rPr>
        <w:t xml:space="preserve">females may </w:t>
      </w:r>
      <w:r w:rsidR="00706921">
        <w:rPr>
          <w:rStyle w:val="Strong"/>
          <w:rFonts w:cs="Arial"/>
          <w:b w:val="0"/>
          <w:lang w:val="en"/>
        </w:rPr>
        <w:t>reflect</w:t>
      </w:r>
      <w:r w:rsidR="00C81391">
        <w:rPr>
          <w:rStyle w:val="Strong"/>
          <w:rFonts w:cs="Arial"/>
          <w:b w:val="0"/>
          <w:lang w:val="en"/>
        </w:rPr>
        <w:t xml:space="preserve"> the underlying trend in incidence rates of lung cancer</w:t>
      </w:r>
      <w:r w:rsidR="007A02E1">
        <w:rPr>
          <w:rStyle w:val="Strong"/>
          <w:rFonts w:cs="Arial"/>
          <w:b w:val="0"/>
          <w:lang w:val="en"/>
        </w:rPr>
        <w:t xml:space="preserve"> –</w:t>
      </w:r>
      <w:r w:rsidR="00C81391">
        <w:rPr>
          <w:rStyle w:val="Strong"/>
          <w:rFonts w:cs="Arial"/>
          <w:b w:val="0"/>
          <w:lang w:val="en"/>
        </w:rPr>
        <w:t xml:space="preserve"> the leading cause of cancer deaths in</w:t>
      </w:r>
      <w:r w:rsidR="00772E0B">
        <w:rPr>
          <w:rStyle w:val="Strong"/>
          <w:rFonts w:cs="Arial"/>
          <w:b w:val="0"/>
          <w:lang w:val="en"/>
        </w:rPr>
        <w:t xml:space="preserve"> Victorian</w:t>
      </w:r>
      <w:r w:rsidR="00C81391">
        <w:rPr>
          <w:rStyle w:val="Strong"/>
          <w:rFonts w:cs="Arial"/>
          <w:b w:val="0"/>
          <w:lang w:val="en"/>
        </w:rPr>
        <w:t xml:space="preserve"> males (Figures 2.2.1 and 2.2.2).</w:t>
      </w:r>
    </w:p>
    <w:p w14:paraId="125347D4" w14:textId="3CA9A0F8" w:rsidR="006672DC" w:rsidRDefault="00CD6F49" w:rsidP="00E87AAA">
      <w:pPr>
        <w:pStyle w:val="Body"/>
        <w:rPr>
          <w:lang w:val="en"/>
        </w:rPr>
      </w:pPr>
      <w:r w:rsidRPr="00144685">
        <w:rPr>
          <w:lang w:val="en"/>
        </w:rPr>
        <w:t>While the p</w:t>
      </w:r>
      <w:r w:rsidR="00567266" w:rsidRPr="00144685">
        <w:rPr>
          <w:lang w:val="en"/>
        </w:rPr>
        <w:t>remature</w:t>
      </w:r>
      <w:r w:rsidR="00B66576">
        <w:rPr>
          <w:lang w:val="en"/>
        </w:rPr>
        <w:t xml:space="preserve"> pattern in</w:t>
      </w:r>
      <w:r w:rsidR="00567266" w:rsidRPr="00144685">
        <w:rPr>
          <w:lang w:val="en"/>
        </w:rPr>
        <w:t xml:space="preserve"> </w:t>
      </w:r>
      <w:r w:rsidRPr="00144685">
        <w:rPr>
          <w:lang w:val="en"/>
        </w:rPr>
        <w:t>death rate</w:t>
      </w:r>
      <w:r w:rsidR="00FA343A">
        <w:rPr>
          <w:lang w:val="en"/>
        </w:rPr>
        <w:t>s</w:t>
      </w:r>
      <w:r w:rsidRPr="00144685">
        <w:rPr>
          <w:lang w:val="en"/>
        </w:rPr>
        <w:t xml:space="preserve"> is </w:t>
      </w:r>
      <w:r w:rsidR="00685736">
        <w:rPr>
          <w:lang w:val="en"/>
        </w:rPr>
        <w:t xml:space="preserve">steadily </w:t>
      </w:r>
      <w:r w:rsidRPr="00144685">
        <w:rPr>
          <w:lang w:val="en"/>
        </w:rPr>
        <w:t>declining in Victoria</w:t>
      </w:r>
      <w:r w:rsidR="003E0542">
        <w:rPr>
          <w:lang w:val="en"/>
        </w:rPr>
        <w:t xml:space="preserve"> overall</w:t>
      </w:r>
      <w:r w:rsidR="00567266" w:rsidRPr="00144685">
        <w:rPr>
          <w:lang w:val="en"/>
        </w:rPr>
        <w:t xml:space="preserve">, </w:t>
      </w:r>
      <w:r w:rsidRPr="00144685">
        <w:rPr>
          <w:lang w:val="en"/>
        </w:rPr>
        <w:t xml:space="preserve">Figure 2.2.2 shows </w:t>
      </w:r>
      <w:r w:rsidR="00567266" w:rsidRPr="00144685">
        <w:rPr>
          <w:lang w:val="en"/>
        </w:rPr>
        <w:t xml:space="preserve">there </w:t>
      </w:r>
      <w:r w:rsidR="005F52D6">
        <w:rPr>
          <w:lang w:val="en"/>
        </w:rPr>
        <w:t>continues to</w:t>
      </w:r>
      <w:r w:rsidR="00567266" w:rsidRPr="00144685">
        <w:rPr>
          <w:lang w:val="en"/>
        </w:rPr>
        <w:t xml:space="preserve"> be</w:t>
      </w:r>
      <w:r w:rsidR="005F52D6">
        <w:rPr>
          <w:lang w:val="en"/>
        </w:rPr>
        <w:t xml:space="preserve"> </w:t>
      </w:r>
      <w:r w:rsidR="00567266" w:rsidRPr="00144685">
        <w:rPr>
          <w:lang w:val="en"/>
        </w:rPr>
        <w:t>considerable variation in the rate</w:t>
      </w:r>
      <w:r w:rsidR="00CC16F1">
        <w:rPr>
          <w:lang w:val="en"/>
        </w:rPr>
        <w:t>s</w:t>
      </w:r>
      <w:r w:rsidR="00567266" w:rsidRPr="00144685">
        <w:rPr>
          <w:lang w:val="en"/>
        </w:rPr>
        <w:t xml:space="preserve"> of decline across </w:t>
      </w:r>
      <w:r w:rsidR="001A548F" w:rsidRPr="00144685">
        <w:rPr>
          <w:lang w:val="en"/>
        </w:rPr>
        <w:t>SES</w:t>
      </w:r>
      <w:r w:rsidR="00F2771C">
        <w:rPr>
          <w:lang w:val="en"/>
        </w:rPr>
        <w:t xml:space="preserve"> quintiles</w:t>
      </w:r>
      <w:r w:rsidR="00044C6F">
        <w:rPr>
          <w:lang w:val="en"/>
        </w:rPr>
        <w:t>,</w:t>
      </w:r>
      <w:r w:rsidR="001A548F" w:rsidRPr="00144685">
        <w:rPr>
          <w:lang w:val="en"/>
        </w:rPr>
        <w:t xml:space="preserve"> </w:t>
      </w:r>
      <w:r w:rsidR="00172114">
        <w:rPr>
          <w:lang w:val="en"/>
        </w:rPr>
        <w:t>with higher</w:t>
      </w:r>
      <w:r w:rsidR="00B66576">
        <w:rPr>
          <w:lang w:val="en"/>
        </w:rPr>
        <w:t xml:space="preserve"> premature death rates being associated with the most disadvantaged SES</w:t>
      </w:r>
      <w:r w:rsidR="00F2771C">
        <w:rPr>
          <w:lang w:val="en"/>
        </w:rPr>
        <w:t xml:space="preserve"> quintiles</w:t>
      </w:r>
      <w:r w:rsidR="00B66576">
        <w:rPr>
          <w:lang w:val="en"/>
        </w:rPr>
        <w:t>.</w:t>
      </w:r>
      <w:r w:rsidR="00952FC7">
        <w:rPr>
          <w:lang w:val="en"/>
        </w:rPr>
        <w:t xml:space="preserve"> </w:t>
      </w:r>
      <w:r w:rsidR="00B66576">
        <w:rPr>
          <w:lang w:val="en"/>
        </w:rPr>
        <w:t xml:space="preserve">Variations </w:t>
      </w:r>
      <w:r w:rsidR="00030441">
        <w:rPr>
          <w:lang w:val="en"/>
        </w:rPr>
        <w:t xml:space="preserve">in </w:t>
      </w:r>
      <w:r w:rsidR="00B66576">
        <w:rPr>
          <w:lang w:val="en"/>
        </w:rPr>
        <w:t>remoteness</w:t>
      </w:r>
      <w:r w:rsidR="00143D63">
        <w:rPr>
          <w:lang w:val="en"/>
        </w:rPr>
        <w:t xml:space="preserve"> and by LGA </w:t>
      </w:r>
      <w:r w:rsidR="007A02E1">
        <w:rPr>
          <w:lang w:val="en"/>
        </w:rPr>
        <w:t xml:space="preserve">of premature death rates </w:t>
      </w:r>
      <w:r w:rsidR="00B66576">
        <w:rPr>
          <w:lang w:val="en"/>
        </w:rPr>
        <w:t>between 2010 and 20</w:t>
      </w:r>
      <w:r w:rsidR="005F52D6">
        <w:rPr>
          <w:lang w:val="en"/>
        </w:rPr>
        <w:t>2</w:t>
      </w:r>
      <w:r w:rsidR="00013831">
        <w:rPr>
          <w:lang w:val="en"/>
        </w:rPr>
        <w:t>1</w:t>
      </w:r>
      <w:r w:rsidR="00B66576">
        <w:rPr>
          <w:lang w:val="en"/>
        </w:rPr>
        <w:t xml:space="preserve"> also show th</w:t>
      </w:r>
      <w:r w:rsidR="007A02E1">
        <w:rPr>
          <w:lang w:val="en"/>
        </w:rPr>
        <w:t>at,</w:t>
      </w:r>
      <w:r w:rsidR="00B66576">
        <w:rPr>
          <w:lang w:val="en"/>
        </w:rPr>
        <w:t xml:space="preserve"> </w:t>
      </w:r>
      <w:r w:rsidR="00030441">
        <w:rPr>
          <w:lang w:val="en"/>
        </w:rPr>
        <w:t>overall</w:t>
      </w:r>
      <w:r w:rsidR="007A02E1">
        <w:rPr>
          <w:lang w:val="en"/>
        </w:rPr>
        <w:t>,</w:t>
      </w:r>
      <w:r w:rsidR="00030441">
        <w:rPr>
          <w:lang w:val="en"/>
        </w:rPr>
        <w:t xml:space="preserve"> the rate was higher in outer regional/remote Victorian areas compared </w:t>
      </w:r>
      <w:r w:rsidR="001B50BF">
        <w:rPr>
          <w:lang w:val="en"/>
        </w:rPr>
        <w:t xml:space="preserve">with </w:t>
      </w:r>
      <w:r w:rsidR="00030441">
        <w:rPr>
          <w:lang w:val="en"/>
        </w:rPr>
        <w:t>major cities</w:t>
      </w:r>
      <w:r w:rsidR="00143D63">
        <w:rPr>
          <w:lang w:val="en"/>
        </w:rPr>
        <w:t xml:space="preserve"> (Figure 2.2.3)</w:t>
      </w:r>
      <w:r w:rsidR="00030441">
        <w:rPr>
          <w:lang w:val="en"/>
        </w:rPr>
        <w:t>.</w:t>
      </w:r>
      <w:r w:rsidR="00952FC7">
        <w:rPr>
          <w:lang w:val="en"/>
        </w:rPr>
        <w:t xml:space="preserve"> </w:t>
      </w:r>
      <w:r w:rsidR="00E2717C">
        <w:rPr>
          <w:lang w:val="en"/>
        </w:rPr>
        <w:t>In addition, and of concern, is the increase from 1</w:t>
      </w:r>
      <w:r w:rsidR="00013831">
        <w:rPr>
          <w:lang w:val="en"/>
        </w:rPr>
        <w:t>09</w:t>
      </w:r>
      <w:r w:rsidR="00E2717C">
        <w:rPr>
          <w:lang w:val="en"/>
        </w:rPr>
        <w:t xml:space="preserve"> per 100,000 population in 2010 to </w:t>
      </w:r>
      <w:r w:rsidR="005F52D6">
        <w:rPr>
          <w:lang w:val="en"/>
        </w:rPr>
        <w:t>1</w:t>
      </w:r>
      <w:r w:rsidR="00013831">
        <w:rPr>
          <w:lang w:val="en"/>
        </w:rPr>
        <w:t>33</w:t>
      </w:r>
      <w:r w:rsidR="00E2717C">
        <w:rPr>
          <w:lang w:val="en"/>
        </w:rPr>
        <w:t xml:space="preserve"> per 100,000 population in 20</w:t>
      </w:r>
      <w:r w:rsidR="005F52D6">
        <w:rPr>
          <w:lang w:val="en"/>
        </w:rPr>
        <w:t>2</w:t>
      </w:r>
      <w:r w:rsidR="00013831">
        <w:rPr>
          <w:lang w:val="en"/>
        </w:rPr>
        <w:t>1</w:t>
      </w:r>
      <w:r w:rsidR="00E2717C">
        <w:rPr>
          <w:lang w:val="en"/>
        </w:rPr>
        <w:t xml:space="preserve"> in the age-standardised premature death rate for Aboriginal</w:t>
      </w:r>
      <w:r w:rsidR="00236B3E">
        <w:rPr>
          <w:lang w:val="en"/>
        </w:rPr>
        <w:t xml:space="preserve"> Victorian</w:t>
      </w:r>
      <w:r w:rsidR="00E2717C">
        <w:rPr>
          <w:lang w:val="en"/>
        </w:rPr>
        <w:t xml:space="preserve">s. </w:t>
      </w:r>
      <w:r w:rsidR="00030441">
        <w:rPr>
          <w:lang w:val="en"/>
        </w:rPr>
        <w:t>Th</w:t>
      </w:r>
      <w:r w:rsidR="006F79A7">
        <w:rPr>
          <w:lang w:val="en"/>
        </w:rPr>
        <w:t xml:space="preserve">is </w:t>
      </w:r>
      <w:r w:rsidR="00E54B09">
        <w:rPr>
          <w:lang w:val="en"/>
        </w:rPr>
        <w:t xml:space="preserve">observation </w:t>
      </w:r>
      <w:r w:rsidR="00030441">
        <w:rPr>
          <w:lang w:val="en"/>
        </w:rPr>
        <w:t xml:space="preserve">may </w:t>
      </w:r>
      <w:r w:rsidR="000C10F4">
        <w:rPr>
          <w:lang w:val="en"/>
        </w:rPr>
        <w:t xml:space="preserve">be </w:t>
      </w:r>
      <w:r w:rsidR="00030441">
        <w:rPr>
          <w:lang w:val="en"/>
        </w:rPr>
        <w:t>due to difference</w:t>
      </w:r>
      <w:r w:rsidR="00C954B9">
        <w:rPr>
          <w:lang w:val="en"/>
        </w:rPr>
        <w:t>s</w:t>
      </w:r>
      <w:r w:rsidR="00030441">
        <w:rPr>
          <w:lang w:val="en"/>
        </w:rPr>
        <w:t xml:space="preserve"> in access to and outcome</w:t>
      </w:r>
      <w:r w:rsidR="00C954B9">
        <w:rPr>
          <w:lang w:val="en"/>
        </w:rPr>
        <w:t>s</w:t>
      </w:r>
      <w:r w:rsidR="00030441">
        <w:rPr>
          <w:lang w:val="en"/>
        </w:rPr>
        <w:t xml:space="preserve"> of cancer control activities such as screening, diagnosis, treatment and follow-up.</w:t>
      </w:r>
      <w:r w:rsidR="006672DC">
        <w:rPr>
          <w:lang w:val="en"/>
        </w:rPr>
        <w:t xml:space="preserve"> For Aboriginal Victorians strategies </w:t>
      </w:r>
      <w:r w:rsidR="006672DC">
        <w:rPr>
          <w:lang w:val="en"/>
        </w:rPr>
        <w:lastRenderedPageBreak/>
        <w:t xml:space="preserve">specific to an Aboriginal workforce that provide coordinated support along the cancer journey are required </w:t>
      </w:r>
      <w:r w:rsidR="00216563">
        <w:rPr>
          <w:lang w:val="en"/>
        </w:rPr>
        <w:t>to ensure culture is embedded at each stage.</w:t>
      </w:r>
    </w:p>
    <w:p w14:paraId="4DD288CD" w14:textId="083FCAC9" w:rsidR="00172114" w:rsidRDefault="00143D63" w:rsidP="00E87AAA">
      <w:pPr>
        <w:pStyle w:val="Body"/>
        <w:rPr>
          <w:lang w:val="en"/>
        </w:rPr>
      </w:pPr>
      <w:r>
        <w:rPr>
          <w:lang w:val="en"/>
        </w:rPr>
        <w:t xml:space="preserve">The Victorian death rate for all cancers combined by ICS showed higher rates in the rural/regional ICS compared </w:t>
      </w:r>
      <w:r w:rsidR="002769E7" w:rsidRPr="002769E7">
        <w:rPr>
          <w:lang w:val="en"/>
        </w:rPr>
        <w:t xml:space="preserve">with </w:t>
      </w:r>
      <w:r>
        <w:rPr>
          <w:lang w:val="en"/>
        </w:rPr>
        <w:t>the metropolitan ICSs (NEMICS, SMICS and WCMICS)</w:t>
      </w:r>
      <w:r w:rsidR="00121E82">
        <w:rPr>
          <w:lang w:val="en"/>
        </w:rPr>
        <w:t xml:space="preserve"> (Figure 2.2.</w:t>
      </w:r>
      <w:r w:rsidR="0014283C">
        <w:rPr>
          <w:lang w:val="en"/>
        </w:rPr>
        <w:t>4</w:t>
      </w:r>
      <w:r w:rsidR="00121E82">
        <w:rPr>
          <w:lang w:val="en"/>
        </w:rPr>
        <w:t>)</w:t>
      </w:r>
      <w:r>
        <w:rPr>
          <w:lang w:val="en"/>
        </w:rPr>
        <w:t>.</w:t>
      </w:r>
      <w:r w:rsidR="00013831">
        <w:rPr>
          <w:lang w:val="en"/>
        </w:rPr>
        <w:t xml:space="preserve"> While the death rate for all cancer</w:t>
      </w:r>
      <w:r w:rsidR="00151293">
        <w:rPr>
          <w:lang w:val="en"/>
        </w:rPr>
        <w:t>s</w:t>
      </w:r>
      <w:r w:rsidR="00013831">
        <w:rPr>
          <w:lang w:val="en"/>
        </w:rPr>
        <w:t xml:space="preserve"> combined showed a gradual decrease for most ICSs</w:t>
      </w:r>
      <w:r w:rsidR="00151293">
        <w:rPr>
          <w:lang w:val="en"/>
        </w:rPr>
        <w:t>,</w:t>
      </w:r>
      <w:r w:rsidR="00013831">
        <w:rPr>
          <w:lang w:val="en"/>
        </w:rPr>
        <w:t xml:space="preserve"> there were exceptions</w:t>
      </w:r>
      <w:r w:rsidR="00151293">
        <w:rPr>
          <w:lang w:val="en"/>
        </w:rPr>
        <w:t>,</w:t>
      </w:r>
      <w:r w:rsidR="00013831">
        <w:rPr>
          <w:lang w:val="en"/>
        </w:rPr>
        <w:t xml:space="preserve"> namely SMICS and HRICS</w:t>
      </w:r>
      <w:r w:rsidR="00151293">
        <w:rPr>
          <w:lang w:val="en"/>
        </w:rPr>
        <w:t>,</w:t>
      </w:r>
      <w:r w:rsidR="00013831">
        <w:rPr>
          <w:lang w:val="en"/>
        </w:rPr>
        <w:t xml:space="preserve"> which showed an increase between 2020 and 2021.</w:t>
      </w:r>
    </w:p>
    <w:p w14:paraId="0DD0E74F" w14:textId="2A9262BE" w:rsidR="00030441" w:rsidRPr="0011089F" w:rsidRDefault="00706921" w:rsidP="00E87AAA">
      <w:pPr>
        <w:pStyle w:val="Body"/>
        <w:rPr>
          <w:lang w:val="en"/>
        </w:rPr>
      </w:pPr>
      <w:r>
        <w:rPr>
          <w:lang w:val="en"/>
        </w:rPr>
        <w:t xml:space="preserve">The target for this measure is </w:t>
      </w:r>
      <w:r w:rsidR="00044C6F">
        <w:rPr>
          <w:lang w:val="en"/>
        </w:rPr>
        <w:t xml:space="preserve">a </w:t>
      </w:r>
      <w:r>
        <w:rPr>
          <w:lang w:val="en"/>
        </w:rPr>
        <w:t>25</w:t>
      </w:r>
      <w:r w:rsidR="0054537F">
        <w:rPr>
          <w:lang w:val="en"/>
        </w:rPr>
        <w:t>%</w:t>
      </w:r>
      <w:r>
        <w:rPr>
          <w:lang w:val="en"/>
        </w:rPr>
        <w:t xml:space="preserve"> decrease in premature deaths due to cancer by 2025 from the baseline year</w:t>
      </w:r>
      <w:r w:rsidR="0078507A">
        <w:rPr>
          <w:lang w:val="en"/>
        </w:rPr>
        <w:t xml:space="preserve"> (baseline 2010 = 9</w:t>
      </w:r>
      <w:r w:rsidR="005F52D6">
        <w:rPr>
          <w:lang w:val="en"/>
        </w:rPr>
        <w:t>2</w:t>
      </w:r>
      <w:r w:rsidR="00044C6F">
        <w:rPr>
          <w:lang w:val="en"/>
        </w:rPr>
        <w:t>,</w:t>
      </w:r>
      <w:r w:rsidR="00FB08ED">
        <w:rPr>
          <w:lang w:val="en"/>
        </w:rPr>
        <w:t xml:space="preserve"> </w:t>
      </w:r>
      <w:r w:rsidR="00485B31">
        <w:rPr>
          <w:lang w:val="en"/>
        </w:rPr>
        <w:t>which means the target in 2025 will be 6</w:t>
      </w:r>
      <w:r w:rsidR="002A4DF0">
        <w:rPr>
          <w:lang w:val="en"/>
        </w:rPr>
        <w:t>9</w:t>
      </w:r>
      <w:r w:rsidR="00485B31">
        <w:rPr>
          <w:lang w:val="en"/>
        </w:rPr>
        <w:t>)</w:t>
      </w:r>
      <w:r>
        <w:rPr>
          <w:lang w:val="en"/>
        </w:rPr>
        <w:t>.</w:t>
      </w:r>
      <w:r w:rsidR="00952FC7">
        <w:rPr>
          <w:lang w:val="en"/>
        </w:rPr>
        <w:t xml:space="preserve"> </w:t>
      </w:r>
      <w:r>
        <w:rPr>
          <w:lang w:val="en"/>
        </w:rPr>
        <w:t>Figure 2.2 shows that</w:t>
      </w:r>
      <w:r w:rsidR="00151293">
        <w:rPr>
          <w:lang w:val="en"/>
        </w:rPr>
        <w:t>,</w:t>
      </w:r>
      <w:r>
        <w:rPr>
          <w:lang w:val="en"/>
        </w:rPr>
        <w:t xml:space="preserve"> </w:t>
      </w:r>
      <w:r w:rsidR="006A17D1">
        <w:rPr>
          <w:lang w:val="en"/>
        </w:rPr>
        <w:t>overall,</w:t>
      </w:r>
      <w:r w:rsidR="00E2717C">
        <w:rPr>
          <w:lang w:val="en"/>
        </w:rPr>
        <w:t xml:space="preserve"> </w:t>
      </w:r>
      <w:r>
        <w:rPr>
          <w:lang w:val="en"/>
        </w:rPr>
        <w:t xml:space="preserve">Victoria is </w:t>
      </w:r>
      <w:r w:rsidR="00287003">
        <w:rPr>
          <w:lang w:val="en"/>
        </w:rPr>
        <w:t>moving in the right direction</w:t>
      </w:r>
      <w:r w:rsidR="002A4DF0">
        <w:rPr>
          <w:lang w:val="en"/>
        </w:rPr>
        <w:t xml:space="preserve"> having </w:t>
      </w:r>
      <w:r w:rsidR="00965C5B">
        <w:rPr>
          <w:lang w:val="en"/>
        </w:rPr>
        <w:t xml:space="preserve">almost </w:t>
      </w:r>
      <w:r w:rsidR="002A4DF0">
        <w:rPr>
          <w:lang w:val="en"/>
        </w:rPr>
        <w:t>reached the 2025 target in 202</w:t>
      </w:r>
      <w:r w:rsidR="00965C5B">
        <w:rPr>
          <w:lang w:val="en"/>
        </w:rPr>
        <w:t>1</w:t>
      </w:r>
      <w:r w:rsidR="00151293">
        <w:rPr>
          <w:lang w:val="en"/>
        </w:rPr>
        <w:t>. This</w:t>
      </w:r>
      <w:r w:rsidR="00287003">
        <w:rPr>
          <w:lang w:val="en"/>
        </w:rPr>
        <w:t xml:space="preserve"> suggest</w:t>
      </w:r>
      <w:r w:rsidR="00151293">
        <w:rPr>
          <w:lang w:val="en"/>
        </w:rPr>
        <w:t>s</w:t>
      </w:r>
      <w:r w:rsidR="00287003">
        <w:rPr>
          <w:lang w:val="en"/>
        </w:rPr>
        <w:t xml:space="preserve"> that the effectiveness of the health system as it relates to cancer has improved overall</w:t>
      </w:r>
      <w:r w:rsidR="00FA343A">
        <w:rPr>
          <w:lang w:val="en"/>
        </w:rPr>
        <w:t xml:space="preserve"> outcomes.</w:t>
      </w:r>
      <w:r w:rsidR="00952FC7">
        <w:rPr>
          <w:lang w:val="en"/>
        </w:rPr>
        <w:t xml:space="preserve"> </w:t>
      </w:r>
      <w:r w:rsidR="00287003">
        <w:rPr>
          <w:lang w:val="en"/>
        </w:rPr>
        <w:t xml:space="preserve">However, the findings </w:t>
      </w:r>
      <w:r w:rsidR="002A4DF0">
        <w:rPr>
          <w:lang w:val="en"/>
        </w:rPr>
        <w:t xml:space="preserve">for 2020 should be interpreted with caution </w:t>
      </w:r>
      <w:r w:rsidR="00151293">
        <w:rPr>
          <w:lang w:val="en"/>
        </w:rPr>
        <w:t xml:space="preserve">because </w:t>
      </w:r>
      <w:r w:rsidR="002A4DF0">
        <w:rPr>
          <w:lang w:val="en"/>
        </w:rPr>
        <w:t xml:space="preserve">the impact of </w:t>
      </w:r>
      <w:r w:rsidR="00151293">
        <w:rPr>
          <w:lang w:val="en"/>
        </w:rPr>
        <w:t xml:space="preserve">the </w:t>
      </w:r>
      <w:r w:rsidR="002A4DF0">
        <w:rPr>
          <w:lang w:val="en"/>
        </w:rPr>
        <w:t>COVID</w:t>
      </w:r>
      <w:r w:rsidR="00151293">
        <w:rPr>
          <w:lang w:val="en"/>
        </w:rPr>
        <w:t>-19 pandemic</w:t>
      </w:r>
      <w:r w:rsidR="002A4DF0">
        <w:rPr>
          <w:lang w:val="en"/>
        </w:rPr>
        <w:t xml:space="preserve"> may have resulted in a decrease in registered deaths.</w:t>
      </w:r>
      <w:r w:rsidR="00ED745B">
        <w:rPr>
          <w:rStyle w:val="FootnoteReference"/>
          <w:lang w:val="en"/>
        </w:rPr>
        <w:footnoteReference w:id="58"/>
      </w:r>
      <w:r w:rsidR="00ED745B">
        <w:rPr>
          <w:lang w:val="en"/>
        </w:rPr>
        <w:t xml:space="preserve"> Furthermore</w:t>
      </w:r>
      <w:r w:rsidR="00965C5B">
        <w:rPr>
          <w:lang w:val="en"/>
        </w:rPr>
        <w:t>,</w:t>
      </w:r>
      <w:r w:rsidR="00ED745B">
        <w:rPr>
          <w:lang w:val="en"/>
        </w:rPr>
        <w:t xml:space="preserve"> findings </w:t>
      </w:r>
      <w:r w:rsidR="004D7F2D">
        <w:t>by Aboriginal</w:t>
      </w:r>
      <w:r w:rsidR="00151293">
        <w:t>ity</w:t>
      </w:r>
      <w:r w:rsidR="004D7F2D">
        <w:t xml:space="preserve"> and </w:t>
      </w:r>
      <w:r w:rsidR="00DE7FFE">
        <w:t>SES</w:t>
      </w:r>
      <w:r w:rsidR="004D7F2D">
        <w:t xml:space="preserve"> show that</w:t>
      </w:r>
      <w:r w:rsidR="00287003">
        <w:rPr>
          <w:lang w:val="en"/>
        </w:rPr>
        <w:t xml:space="preserve"> </w:t>
      </w:r>
      <w:r w:rsidR="004D7F2D">
        <w:t>not all Victorians have benefited</w:t>
      </w:r>
      <w:r w:rsidR="00834F58">
        <w:t>.</w:t>
      </w:r>
      <w:r w:rsidR="00030441">
        <w:br w:type="page"/>
      </w:r>
    </w:p>
    <w:p w14:paraId="416DE623" w14:textId="4062151E" w:rsidR="00665D4B" w:rsidRPr="000144FD" w:rsidRDefault="006624DA" w:rsidP="00A451D4">
      <w:pPr>
        <w:pStyle w:val="Heading3"/>
        <w:rPr>
          <w:b/>
          <w:bCs w:val="0"/>
        </w:rPr>
      </w:pPr>
      <w:bookmarkStart w:id="267" w:name="_Measure_2.3_–"/>
      <w:bookmarkStart w:id="268" w:name="_Toc19008033"/>
      <w:bookmarkEnd w:id="267"/>
      <w:r w:rsidRPr="000144FD">
        <w:rPr>
          <w:b/>
          <w:bCs w:val="0"/>
        </w:rPr>
        <w:lastRenderedPageBreak/>
        <w:t>Measure 2.3 – Number of deaths averted based on expected number of deaths</w:t>
      </w:r>
      <w:bookmarkEnd w:id="268"/>
    </w:p>
    <w:p w14:paraId="4A693DCB" w14:textId="6F181F0F" w:rsidR="00C03FBD" w:rsidRPr="00F2771C" w:rsidRDefault="00C03FBD" w:rsidP="001A17B2">
      <w:pPr>
        <w:pStyle w:val="Figurecaption"/>
        <w:rPr>
          <w:sz w:val="20"/>
        </w:rPr>
      </w:pPr>
      <w:bookmarkStart w:id="269" w:name="_Toc19008034"/>
      <w:bookmarkStart w:id="270" w:name="_Toc19008286"/>
      <w:bookmarkStart w:id="271" w:name="_Toc19008433"/>
      <w:bookmarkStart w:id="272" w:name="_Toc19008580"/>
      <w:bookmarkStart w:id="273" w:name="_Toc132553015"/>
      <w:bookmarkStart w:id="274" w:name="_Toc140827622"/>
      <w:r w:rsidRPr="00F2771C">
        <w:rPr>
          <w:sz w:val="20"/>
        </w:rPr>
        <w:t>Figure 2.3</w:t>
      </w:r>
      <w:r w:rsidR="003B391F" w:rsidRPr="00F2771C">
        <w:rPr>
          <w:sz w:val="20"/>
        </w:rPr>
        <w:t>:</w:t>
      </w:r>
      <w:r w:rsidRPr="00F2771C">
        <w:rPr>
          <w:sz w:val="20"/>
        </w:rPr>
        <w:t xml:space="preserve"> </w:t>
      </w:r>
      <w:r w:rsidR="00941033" w:rsidRPr="00F2771C">
        <w:rPr>
          <w:sz w:val="20"/>
        </w:rPr>
        <w:t>N</w:t>
      </w:r>
      <w:r w:rsidR="00BB2A45" w:rsidRPr="00F2771C">
        <w:rPr>
          <w:sz w:val="20"/>
        </w:rPr>
        <w:t xml:space="preserve">umber of deaths averted </w:t>
      </w:r>
      <w:r w:rsidR="00C57300" w:rsidRPr="00F2771C">
        <w:rPr>
          <w:sz w:val="20"/>
        </w:rPr>
        <w:t xml:space="preserve">in Victoria </w:t>
      </w:r>
      <w:r w:rsidR="00BB2A45" w:rsidRPr="00F2771C">
        <w:rPr>
          <w:sz w:val="20"/>
        </w:rPr>
        <w:t>based</w:t>
      </w:r>
      <w:r w:rsidR="00C57300" w:rsidRPr="00F2771C">
        <w:rPr>
          <w:sz w:val="20"/>
        </w:rPr>
        <w:t xml:space="preserve"> </w:t>
      </w:r>
      <w:r w:rsidR="00BB2A45" w:rsidRPr="00F2771C">
        <w:rPr>
          <w:sz w:val="20"/>
        </w:rPr>
        <w:t>on expected number of deaths</w:t>
      </w:r>
      <w:r w:rsidR="000752C0" w:rsidRPr="00F2771C">
        <w:rPr>
          <w:sz w:val="20"/>
        </w:rPr>
        <w:t>,</w:t>
      </w:r>
      <w:r w:rsidR="00C57300" w:rsidRPr="00F2771C">
        <w:rPr>
          <w:sz w:val="20"/>
        </w:rPr>
        <w:t xml:space="preserve"> by year, 2015</w:t>
      </w:r>
      <w:r w:rsidR="00C17266" w:rsidRPr="00F2771C">
        <w:rPr>
          <w:sz w:val="20"/>
        </w:rPr>
        <w:t>–</w:t>
      </w:r>
      <w:r w:rsidR="00C57300" w:rsidRPr="00F2771C">
        <w:rPr>
          <w:sz w:val="20"/>
        </w:rPr>
        <w:t>20</w:t>
      </w:r>
      <w:bookmarkEnd w:id="269"/>
      <w:bookmarkEnd w:id="270"/>
      <w:bookmarkEnd w:id="271"/>
      <w:bookmarkEnd w:id="272"/>
      <w:r w:rsidR="00056522" w:rsidRPr="00F2771C">
        <w:rPr>
          <w:sz w:val="20"/>
        </w:rPr>
        <w:t>2</w:t>
      </w:r>
      <w:r w:rsidR="004C6E0B" w:rsidRPr="00F2771C">
        <w:rPr>
          <w:sz w:val="20"/>
        </w:rPr>
        <w:t>1</w:t>
      </w:r>
      <w:bookmarkEnd w:id="273"/>
      <w:bookmarkEnd w:id="274"/>
    </w:p>
    <w:p w14:paraId="0E50CA08" w14:textId="6D712BAE" w:rsidR="004C6E0B" w:rsidRPr="004C6E0B" w:rsidRDefault="002C0203" w:rsidP="00E87AAA">
      <w:pPr>
        <w:pStyle w:val="Body"/>
      </w:pPr>
      <w:r>
        <w:rPr>
          <w:noProof/>
        </w:rPr>
        <w:drawing>
          <wp:inline distT="0" distB="0" distL="0" distR="0" wp14:anchorId="29A5AA06" wp14:editId="0DCA476C">
            <wp:extent cx="5106202" cy="4610890"/>
            <wp:effectExtent l="0" t="0" r="0" b="0"/>
            <wp:docPr id="228" name="Picture 228" descr="This figure shows the number of deaths averted and cumulative sum in Victoria based on expected numbers of deaths by year 2015 to 2021. The data is presented o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This figure shows the number of deaths averted and cumulative sum in Victoria based on expected numbers of deaths by year 2015 to 2021. The data is presented on the bar graph."/>
                    <pic:cNvPicPr/>
                  </pic:nvPicPr>
                  <pic:blipFill>
                    <a:blip r:embed="rId66"/>
                    <a:stretch>
                      <a:fillRect/>
                    </a:stretch>
                  </pic:blipFill>
                  <pic:spPr>
                    <a:xfrm>
                      <a:off x="0" y="0"/>
                      <a:ext cx="5133562" cy="4635596"/>
                    </a:xfrm>
                    <a:prstGeom prst="rect">
                      <a:avLst/>
                    </a:prstGeom>
                  </pic:spPr>
                </pic:pic>
              </a:graphicData>
            </a:graphic>
          </wp:inline>
        </w:drawing>
      </w:r>
    </w:p>
    <w:p w14:paraId="4C400A58" w14:textId="0F233F4F" w:rsidR="009B6E69" w:rsidRPr="00217A4B" w:rsidRDefault="009B6E69" w:rsidP="008151DC">
      <w:pPr>
        <w:pStyle w:val="Tablefigurenote"/>
        <w:rPr>
          <w:i/>
          <w:iCs/>
          <w:sz w:val="18"/>
          <w:szCs w:val="18"/>
        </w:rPr>
      </w:pPr>
      <w:r w:rsidRPr="00217A4B">
        <w:rPr>
          <w:i/>
          <w:iCs/>
          <w:sz w:val="18"/>
          <w:szCs w:val="18"/>
        </w:rPr>
        <w:t>Notes:</w:t>
      </w:r>
    </w:p>
    <w:p w14:paraId="3861E6A5" w14:textId="6150083E" w:rsidR="009B6E69" w:rsidRPr="00217A4B" w:rsidRDefault="00056522" w:rsidP="008151DC">
      <w:pPr>
        <w:pStyle w:val="Tablefigurenote"/>
        <w:rPr>
          <w:i/>
          <w:iCs/>
          <w:sz w:val="18"/>
          <w:szCs w:val="18"/>
        </w:rPr>
      </w:pPr>
      <w:r w:rsidRPr="00217A4B">
        <w:rPr>
          <w:i/>
          <w:iCs/>
          <w:sz w:val="18"/>
          <w:szCs w:val="18"/>
        </w:rPr>
        <w:t>At the time of preparing results, the ABS had not yet finalised the 202</w:t>
      </w:r>
      <w:r w:rsidR="00217A4B" w:rsidRPr="00217A4B">
        <w:rPr>
          <w:i/>
          <w:iCs/>
          <w:sz w:val="18"/>
          <w:szCs w:val="18"/>
        </w:rPr>
        <w:t>1</w:t>
      </w:r>
      <w:r w:rsidRPr="00217A4B">
        <w:rPr>
          <w:i/>
          <w:iCs/>
          <w:sz w:val="18"/>
          <w:szCs w:val="18"/>
        </w:rPr>
        <w:t xml:space="preserve"> ERP.</w:t>
      </w:r>
      <w:r w:rsidR="000C2EAE" w:rsidRPr="00217A4B">
        <w:rPr>
          <w:i/>
          <w:iCs/>
          <w:sz w:val="18"/>
          <w:szCs w:val="18"/>
        </w:rPr>
        <w:t xml:space="preserve"> The </w:t>
      </w:r>
      <w:r w:rsidR="009B6E69" w:rsidRPr="00217A4B">
        <w:rPr>
          <w:i/>
          <w:iCs/>
          <w:sz w:val="18"/>
          <w:szCs w:val="18"/>
        </w:rPr>
        <w:t xml:space="preserve">VCR mortality dataset was extracted </w:t>
      </w:r>
      <w:r w:rsidRPr="00217A4B">
        <w:rPr>
          <w:i/>
          <w:iCs/>
          <w:sz w:val="18"/>
          <w:szCs w:val="18"/>
        </w:rPr>
        <w:t xml:space="preserve">during October </w:t>
      </w:r>
      <w:r w:rsidR="009B6E69" w:rsidRPr="00217A4B">
        <w:rPr>
          <w:i/>
          <w:iCs/>
          <w:sz w:val="18"/>
          <w:szCs w:val="18"/>
        </w:rPr>
        <w:t>20</w:t>
      </w:r>
      <w:r w:rsidRPr="00217A4B">
        <w:rPr>
          <w:i/>
          <w:iCs/>
          <w:sz w:val="18"/>
          <w:szCs w:val="18"/>
        </w:rPr>
        <w:t>22</w:t>
      </w:r>
      <w:r w:rsidR="0010332B" w:rsidRPr="00217A4B">
        <w:rPr>
          <w:i/>
          <w:iCs/>
          <w:sz w:val="18"/>
          <w:szCs w:val="18"/>
        </w:rPr>
        <w:t>.</w:t>
      </w:r>
    </w:p>
    <w:p w14:paraId="3A6B1DA2" w14:textId="599AC595" w:rsidR="00665D4B" w:rsidRPr="00E060C8" w:rsidRDefault="00665D4B" w:rsidP="007C7F00">
      <w:pPr>
        <w:pStyle w:val="Heading4"/>
      </w:pPr>
      <w:r w:rsidRPr="00E43803">
        <w:t>Measure assessment</w:t>
      </w:r>
    </w:p>
    <w:p w14:paraId="08AE6BEB" w14:textId="219ADDD7" w:rsidR="003E5FD3" w:rsidRPr="00E060C8" w:rsidRDefault="003E5FD3" w:rsidP="00606436">
      <w:pPr>
        <w:pStyle w:val="Body"/>
        <w:rPr>
          <w:color w:val="00B050"/>
        </w:rPr>
      </w:pPr>
      <w:r w:rsidRPr="009F01B1">
        <w:t xml:space="preserve">Traffic light rating: </w:t>
      </w:r>
      <w:r w:rsidR="00C03FBD" w:rsidRPr="00D207B2">
        <w:rPr>
          <w:b/>
          <w:color w:val="007B4B"/>
        </w:rPr>
        <w:t>Green</w:t>
      </w:r>
      <w:r w:rsidR="00061321">
        <w:rPr>
          <w:b/>
        </w:rPr>
        <w:t xml:space="preserve"> </w:t>
      </w:r>
      <w:r w:rsidR="00061321" w:rsidRPr="00061321">
        <w:t>(satisfactory result)</w:t>
      </w:r>
    </w:p>
    <w:p w14:paraId="00F23626" w14:textId="736A8B34" w:rsidR="003E5FD3" w:rsidRPr="003E5FD3" w:rsidRDefault="003E5FD3" w:rsidP="00606436">
      <w:pPr>
        <w:pStyle w:val="Body"/>
      </w:pPr>
      <w:r w:rsidRPr="00C15AE4">
        <w:t xml:space="preserve">Overall trend: </w:t>
      </w:r>
      <w:r w:rsidR="00FB5CEF">
        <w:t>Moving in the right direction</w:t>
      </w:r>
      <w:r w:rsidR="005A4985">
        <w:t>; target has been met.</w:t>
      </w:r>
    </w:p>
    <w:p w14:paraId="1551C9C4" w14:textId="26333169" w:rsidR="000F22EF" w:rsidRPr="00D86647" w:rsidRDefault="003E5FD3" w:rsidP="00E87AAA">
      <w:pPr>
        <w:pStyle w:val="Body"/>
        <w:rPr>
          <w:rFonts w:cs="Arial"/>
        </w:rPr>
      </w:pPr>
      <w:r w:rsidRPr="00657C18">
        <w:t xml:space="preserve">Commentary: </w:t>
      </w:r>
      <w:r w:rsidR="00D86647">
        <w:t xml:space="preserve">The results presented in </w:t>
      </w:r>
      <w:r w:rsidR="00B243AD">
        <w:t xml:space="preserve">Figure </w:t>
      </w:r>
      <w:r w:rsidR="00BB2A45">
        <w:t>2.3</w:t>
      </w:r>
      <w:r w:rsidR="00C57300">
        <w:t xml:space="preserve"> show that </w:t>
      </w:r>
      <w:r w:rsidR="00D86647">
        <w:t xml:space="preserve">since 2015 </w:t>
      </w:r>
      <w:r w:rsidR="00C57300">
        <w:t xml:space="preserve">the number of </w:t>
      </w:r>
      <w:r w:rsidR="00CA27FB">
        <w:t>lives in Victoria that were potentially saved from cancer</w:t>
      </w:r>
      <w:r w:rsidR="001D0BDF">
        <w:t xml:space="preserve"> (or deaths averted)</w:t>
      </w:r>
      <w:r w:rsidR="00CA27FB">
        <w:t xml:space="preserve"> </w:t>
      </w:r>
      <w:r w:rsidR="00D86647">
        <w:t xml:space="preserve">has significantly </w:t>
      </w:r>
      <w:r w:rsidR="00CA27FB">
        <w:t xml:space="preserve">increased. </w:t>
      </w:r>
      <w:r w:rsidR="008C3119">
        <w:t xml:space="preserve">At the time of writing this observed increase may be artificial due </w:t>
      </w:r>
      <w:r w:rsidR="000752C0">
        <w:t xml:space="preserve">to </w:t>
      </w:r>
      <w:r w:rsidR="008C3119">
        <w:t>the Australian Bureau of Statistics</w:t>
      </w:r>
      <w:r w:rsidR="00781191">
        <w:t xml:space="preserve"> (ABS)</w:t>
      </w:r>
      <w:r w:rsidR="008C3119">
        <w:t xml:space="preserve"> </w:t>
      </w:r>
      <w:r w:rsidR="007A15D7">
        <w:t>ERP</w:t>
      </w:r>
      <w:r w:rsidR="008C3119">
        <w:t xml:space="preserve"> figure not being finalised </w:t>
      </w:r>
      <w:r w:rsidR="000752C0">
        <w:t>because of</w:t>
      </w:r>
      <w:r w:rsidR="00B01023">
        <w:t xml:space="preserve"> outstanding mortality data.</w:t>
      </w:r>
      <w:r w:rsidR="00952FC7">
        <w:t xml:space="preserve"> </w:t>
      </w:r>
      <w:r w:rsidR="00B01023">
        <w:t>Nevertheless th</w:t>
      </w:r>
      <w:r w:rsidR="000752C0">
        <w:t>e</w:t>
      </w:r>
      <w:r w:rsidR="00B01023">
        <w:t xml:space="preserve"> </w:t>
      </w:r>
      <w:r w:rsidR="00CA27FB">
        <w:t xml:space="preserve">overall increase </w:t>
      </w:r>
      <w:r w:rsidR="00B01023">
        <w:t xml:space="preserve">over this period </w:t>
      </w:r>
      <w:r w:rsidR="00CA27FB">
        <w:t xml:space="preserve">may be due to </w:t>
      </w:r>
      <w:r w:rsidR="00802091">
        <w:t xml:space="preserve">the collective efforts of </w:t>
      </w:r>
      <w:r w:rsidR="00CA27FB">
        <w:t>higher screening rates</w:t>
      </w:r>
      <w:r w:rsidR="00802091">
        <w:t xml:space="preserve"> for cancers such as breast, colorectal and cervi</w:t>
      </w:r>
      <w:r w:rsidR="000752C0">
        <w:t>cal</w:t>
      </w:r>
      <w:r w:rsidR="00802091">
        <w:t xml:space="preserve">, </w:t>
      </w:r>
      <w:r w:rsidR="00C17C04">
        <w:t>cancer prevention strategies</w:t>
      </w:r>
      <w:r w:rsidR="00A745D6">
        <w:t xml:space="preserve"> such as effective tobacco control</w:t>
      </w:r>
      <w:r w:rsidR="007A15D7">
        <w:t xml:space="preserve"> and</w:t>
      </w:r>
      <w:r w:rsidR="00C17C04">
        <w:t xml:space="preserve"> earlier </w:t>
      </w:r>
      <w:r w:rsidR="006A2A8E">
        <w:t xml:space="preserve">cancer </w:t>
      </w:r>
      <w:r w:rsidR="00C17C04">
        <w:t xml:space="preserve">detection </w:t>
      </w:r>
      <w:r w:rsidR="00E76747">
        <w:t xml:space="preserve">(including funding more managed referral pathway support for regional and remote patients) </w:t>
      </w:r>
      <w:r w:rsidR="00C17C04">
        <w:t xml:space="preserve">as well as </w:t>
      </w:r>
      <w:r w:rsidR="00802091">
        <w:t xml:space="preserve">advances in </w:t>
      </w:r>
      <w:r w:rsidR="00C17C04">
        <w:t>treatment.</w:t>
      </w:r>
    </w:p>
    <w:p w14:paraId="62BDF15F" w14:textId="0638472D" w:rsidR="006624DA" w:rsidRPr="003C35E3" w:rsidRDefault="00FB5CEF" w:rsidP="000F22EF">
      <w:pPr>
        <w:pStyle w:val="DHHSbody"/>
        <w:rPr>
          <w:rStyle w:val="Heading2Char"/>
        </w:rPr>
      </w:pPr>
      <w:r w:rsidRPr="00E87AAA">
        <w:rPr>
          <w:rStyle w:val="BodyChar"/>
        </w:rPr>
        <w:t>The</w:t>
      </w:r>
      <w:r w:rsidR="001631CC" w:rsidRPr="00E87AAA">
        <w:rPr>
          <w:rStyle w:val="BodyChar"/>
        </w:rPr>
        <w:t xml:space="preserve"> </w:t>
      </w:r>
      <w:r w:rsidRPr="00E87AAA">
        <w:rPr>
          <w:rStyle w:val="BodyChar"/>
        </w:rPr>
        <w:t>target for this measure is that 10,000 lives are saved by 20</w:t>
      </w:r>
      <w:r w:rsidR="00E66589" w:rsidRPr="00E87AAA">
        <w:rPr>
          <w:rStyle w:val="BodyChar"/>
        </w:rPr>
        <w:t>2</w:t>
      </w:r>
      <w:r w:rsidRPr="00E87AAA">
        <w:rPr>
          <w:rStyle w:val="BodyChar"/>
        </w:rPr>
        <w:t>5.</w:t>
      </w:r>
      <w:r w:rsidR="00952FC7" w:rsidRPr="00E87AAA">
        <w:rPr>
          <w:rStyle w:val="BodyChar"/>
        </w:rPr>
        <w:t xml:space="preserve"> </w:t>
      </w:r>
      <w:r w:rsidR="001631CC" w:rsidRPr="00E87AAA">
        <w:rPr>
          <w:rStyle w:val="BodyChar"/>
        </w:rPr>
        <w:t xml:space="preserve">Figure 2.3 shows that </w:t>
      </w:r>
      <w:r w:rsidR="005A4985" w:rsidRPr="00E87AAA">
        <w:rPr>
          <w:rStyle w:val="BodyChar"/>
        </w:rPr>
        <w:t xml:space="preserve">this target for </w:t>
      </w:r>
      <w:r w:rsidR="001631CC" w:rsidRPr="00E87AAA">
        <w:rPr>
          <w:rStyle w:val="BodyChar"/>
        </w:rPr>
        <w:t xml:space="preserve">Victoria </w:t>
      </w:r>
      <w:r w:rsidR="005A4985" w:rsidRPr="00E87AAA">
        <w:rPr>
          <w:rStyle w:val="BodyChar"/>
        </w:rPr>
        <w:t>has been met</w:t>
      </w:r>
      <w:r w:rsidR="000752C0">
        <w:rPr>
          <w:rStyle w:val="BodyChar"/>
        </w:rPr>
        <w:t>,</w:t>
      </w:r>
      <w:r w:rsidR="005A4985" w:rsidRPr="00E87AAA">
        <w:rPr>
          <w:rStyle w:val="BodyChar"/>
        </w:rPr>
        <w:t xml:space="preserve"> </w:t>
      </w:r>
      <w:r w:rsidR="00A75766" w:rsidRPr="00E87AAA">
        <w:rPr>
          <w:rStyle w:val="BodyChar"/>
        </w:rPr>
        <w:t xml:space="preserve">with </w:t>
      </w:r>
      <w:r w:rsidR="005A4985" w:rsidRPr="00E87AAA">
        <w:rPr>
          <w:rStyle w:val="BodyChar"/>
        </w:rPr>
        <w:t>10,529</w:t>
      </w:r>
      <w:r w:rsidR="00A75766" w:rsidRPr="00E87AAA">
        <w:rPr>
          <w:rStyle w:val="BodyChar"/>
        </w:rPr>
        <w:t xml:space="preserve"> lives saved between 2015</w:t>
      </w:r>
      <w:r w:rsidR="000752C0">
        <w:rPr>
          <w:rFonts w:cs="Arial"/>
          <w:lang w:eastAsia="en-AU"/>
        </w:rPr>
        <w:t xml:space="preserve"> and </w:t>
      </w:r>
      <w:r w:rsidR="00A75766">
        <w:rPr>
          <w:rFonts w:cs="Arial"/>
          <w:lang w:eastAsia="en-AU"/>
        </w:rPr>
        <w:t>20</w:t>
      </w:r>
      <w:r w:rsidR="00056522">
        <w:rPr>
          <w:rFonts w:cs="Arial"/>
          <w:lang w:eastAsia="en-AU"/>
        </w:rPr>
        <w:t>2</w:t>
      </w:r>
      <w:r w:rsidR="005A4985">
        <w:rPr>
          <w:rFonts w:cs="Arial"/>
          <w:lang w:eastAsia="en-AU"/>
        </w:rPr>
        <w:t>1</w:t>
      </w:r>
      <w:r w:rsidR="00B01023" w:rsidRPr="00E87AAA">
        <w:rPr>
          <w:rStyle w:val="BodyChar"/>
        </w:rPr>
        <w:t>.</w:t>
      </w:r>
      <w:r w:rsidR="00560B8F">
        <w:rPr>
          <w:lang w:eastAsia="en-AU"/>
        </w:rPr>
        <w:br w:type="page"/>
      </w:r>
      <w:r w:rsidR="006624DA" w:rsidRPr="003C35E3">
        <w:rPr>
          <w:rStyle w:val="Heading2Char"/>
        </w:rPr>
        <w:lastRenderedPageBreak/>
        <w:t>Key result: I</w:t>
      </w:r>
      <w:r w:rsidR="001B7C36" w:rsidRPr="003C35E3">
        <w:rPr>
          <w:rStyle w:val="Heading2Char"/>
        </w:rPr>
        <w:t>ncrease</w:t>
      </w:r>
      <w:r w:rsidR="006624DA" w:rsidRPr="003C35E3">
        <w:rPr>
          <w:rStyle w:val="Heading2Char"/>
        </w:rPr>
        <w:t xml:space="preserve"> survivorship quality of life</w:t>
      </w:r>
    </w:p>
    <w:p w14:paraId="2BE1B70F" w14:textId="0E1FE018" w:rsidR="006624DA" w:rsidRPr="000144FD" w:rsidRDefault="006624DA" w:rsidP="00A451D4">
      <w:pPr>
        <w:pStyle w:val="Heading3"/>
        <w:rPr>
          <w:b/>
          <w:bCs w:val="0"/>
        </w:rPr>
      </w:pPr>
      <w:bookmarkStart w:id="275" w:name="_Toc19008035"/>
      <w:bookmarkStart w:id="276" w:name="_Hlk137123346"/>
      <w:r w:rsidRPr="000144FD">
        <w:rPr>
          <w:b/>
          <w:bCs w:val="0"/>
        </w:rPr>
        <w:t xml:space="preserve">Measure 3.1 – </w:t>
      </w:r>
      <w:bookmarkEnd w:id="275"/>
      <w:r w:rsidR="00012942">
        <w:rPr>
          <w:b/>
          <w:bCs w:val="0"/>
        </w:rPr>
        <w:t>Long term quality of life</w:t>
      </w:r>
    </w:p>
    <w:p w14:paraId="383D49D7" w14:textId="0905D414" w:rsidR="00012942" w:rsidRDefault="00012942" w:rsidP="008B698B">
      <w:pPr>
        <w:pStyle w:val="Figurecaption"/>
      </w:pPr>
      <w:bookmarkStart w:id="277" w:name="_Toc140827623"/>
      <w:r w:rsidRPr="005C255E">
        <w:t>Figure 3.1</w:t>
      </w:r>
      <w:r w:rsidR="00284311" w:rsidRPr="005C255E">
        <w:t>: Proportion of adults who reported how they felt post active therapy</w:t>
      </w:r>
      <w:r w:rsidR="00157DA7" w:rsidRPr="005C255E">
        <w:t>, 20</w:t>
      </w:r>
      <w:r w:rsidR="00627A27">
        <w:t>19</w:t>
      </w:r>
      <w:r w:rsidR="00157DA7" w:rsidRPr="005C255E">
        <w:t xml:space="preserve"> and 202</w:t>
      </w:r>
      <w:r w:rsidR="005C255E">
        <w:t>2</w:t>
      </w:r>
      <w:bookmarkEnd w:id="277"/>
    </w:p>
    <w:p w14:paraId="3FA5CA26" w14:textId="73CB9FF2" w:rsidR="00DD1715" w:rsidRPr="00DD1715" w:rsidRDefault="00DD1715" w:rsidP="00DD1715">
      <w:pPr>
        <w:pStyle w:val="DHHSbody"/>
      </w:pPr>
      <w:r w:rsidRPr="00DD1715">
        <w:rPr>
          <w:noProof/>
        </w:rPr>
        <w:drawing>
          <wp:inline distT="0" distB="0" distL="0" distR="0" wp14:anchorId="65C3E971" wp14:editId="2EC58486">
            <wp:extent cx="6225404" cy="3023858"/>
            <wp:effectExtent l="0" t="0" r="4445" b="5715"/>
            <wp:docPr id="1110204997" name="Picture 1110204997" descr="This figure presents data via a bar graph of the proportion of adults who reported how they felt post active therapy, 2019 an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4997" name="Picture 1110204997" descr="This figure presents data via a bar graph of the proportion of adults who reported how they felt post active therapy, 2019 and 2022."/>
                    <pic:cNvPicPr/>
                  </pic:nvPicPr>
                  <pic:blipFill>
                    <a:blip r:embed="rId67"/>
                    <a:stretch>
                      <a:fillRect/>
                    </a:stretch>
                  </pic:blipFill>
                  <pic:spPr>
                    <a:xfrm>
                      <a:off x="0" y="0"/>
                      <a:ext cx="6256774" cy="3039095"/>
                    </a:xfrm>
                    <a:prstGeom prst="rect">
                      <a:avLst/>
                    </a:prstGeom>
                  </pic:spPr>
                </pic:pic>
              </a:graphicData>
            </a:graphic>
          </wp:inline>
        </w:drawing>
      </w:r>
    </w:p>
    <w:p w14:paraId="054B1F6E" w14:textId="3301BE06" w:rsidR="00012942" w:rsidRDefault="00012942" w:rsidP="00E12404">
      <w:pPr>
        <w:pStyle w:val="Heading4"/>
        <w:rPr>
          <w:b w:val="0"/>
          <w:bCs w:val="0"/>
        </w:rPr>
      </w:pPr>
    </w:p>
    <w:p w14:paraId="3CC31376" w14:textId="0D0C5D99" w:rsidR="00284311" w:rsidRPr="00E35FC5" w:rsidRDefault="00284311" w:rsidP="00284311">
      <w:pPr>
        <w:pStyle w:val="DHHSbody"/>
        <w:rPr>
          <w:i/>
          <w:iCs/>
          <w:sz w:val="18"/>
          <w:szCs w:val="18"/>
        </w:rPr>
      </w:pPr>
      <w:r w:rsidRPr="00E35FC5">
        <w:rPr>
          <w:i/>
          <w:iCs/>
          <w:sz w:val="18"/>
          <w:szCs w:val="18"/>
        </w:rPr>
        <w:t>Notes:</w:t>
      </w:r>
    </w:p>
    <w:p w14:paraId="01BDA4B7" w14:textId="0B84E563" w:rsidR="00284311" w:rsidRPr="00E35FC5" w:rsidRDefault="00284311" w:rsidP="00284311">
      <w:pPr>
        <w:pStyle w:val="DHHSbody"/>
        <w:rPr>
          <w:i/>
          <w:iCs/>
          <w:sz w:val="18"/>
          <w:szCs w:val="18"/>
        </w:rPr>
      </w:pPr>
      <w:r w:rsidRPr="00E35FC5">
        <w:rPr>
          <w:i/>
          <w:iCs/>
          <w:sz w:val="18"/>
          <w:szCs w:val="18"/>
        </w:rPr>
        <w:t xml:space="preserve">Overall question: </w:t>
      </w:r>
      <w:r w:rsidR="00772D1C" w:rsidRPr="00E35FC5">
        <w:rPr>
          <w:i/>
          <w:iCs/>
          <w:sz w:val="18"/>
          <w:szCs w:val="18"/>
        </w:rPr>
        <w:t xml:space="preserve">We would like to know how good or bad your health is today. </w:t>
      </w:r>
      <w:r w:rsidR="00772D1C" w:rsidRPr="00E35FC5">
        <w:rPr>
          <w:rFonts w:cs="Arial"/>
          <w:i/>
          <w:iCs/>
          <w:sz w:val="18"/>
          <w:szCs w:val="18"/>
        </w:rPr>
        <w:t>0 was the worst health they could imagine and 100 the best health.</w:t>
      </w:r>
    </w:p>
    <w:p w14:paraId="412CEAED" w14:textId="2B75E19A" w:rsidR="00284311" w:rsidRPr="00E35FC5" w:rsidRDefault="00284311" w:rsidP="00284311">
      <w:pPr>
        <w:pStyle w:val="DHHSbody"/>
        <w:rPr>
          <w:i/>
          <w:iCs/>
          <w:sz w:val="18"/>
          <w:szCs w:val="18"/>
        </w:rPr>
      </w:pPr>
      <w:r w:rsidRPr="00E35FC5">
        <w:rPr>
          <w:i/>
          <w:iCs/>
          <w:sz w:val="18"/>
          <w:szCs w:val="18"/>
        </w:rPr>
        <w:t>Total number of patients who answered the question = 2,618</w:t>
      </w:r>
      <w:r w:rsidR="006A6396" w:rsidRPr="00E35FC5">
        <w:rPr>
          <w:i/>
          <w:iCs/>
          <w:sz w:val="18"/>
          <w:szCs w:val="18"/>
        </w:rPr>
        <w:t xml:space="preserve"> (20</w:t>
      </w:r>
      <w:r w:rsidR="00627A27">
        <w:rPr>
          <w:i/>
          <w:iCs/>
          <w:sz w:val="18"/>
          <w:szCs w:val="18"/>
        </w:rPr>
        <w:t>19</w:t>
      </w:r>
      <w:r w:rsidR="006A6396" w:rsidRPr="00E35FC5">
        <w:rPr>
          <w:i/>
          <w:iCs/>
          <w:sz w:val="18"/>
          <w:szCs w:val="18"/>
        </w:rPr>
        <w:t>)</w:t>
      </w:r>
      <w:r w:rsidR="00157DA7">
        <w:rPr>
          <w:i/>
          <w:iCs/>
          <w:sz w:val="18"/>
          <w:szCs w:val="18"/>
        </w:rPr>
        <w:t xml:space="preserve"> and 3,430 (202</w:t>
      </w:r>
      <w:r w:rsidR="005C255E">
        <w:rPr>
          <w:i/>
          <w:iCs/>
          <w:sz w:val="18"/>
          <w:szCs w:val="18"/>
        </w:rPr>
        <w:t>2</w:t>
      </w:r>
      <w:r w:rsidR="00157DA7">
        <w:rPr>
          <w:i/>
          <w:iCs/>
          <w:sz w:val="18"/>
          <w:szCs w:val="18"/>
        </w:rPr>
        <w:t>)</w:t>
      </w:r>
    </w:p>
    <w:p w14:paraId="7656577F" w14:textId="22467D8C" w:rsidR="00E12404" w:rsidRPr="00E060C8" w:rsidRDefault="00E12404" w:rsidP="00E12404">
      <w:pPr>
        <w:pStyle w:val="Heading4"/>
      </w:pPr>
      <w:r w:rsidRPr="00E43803">
        <w:t>Measure assessment</w:t>
      </w:r>
    </w:p>
    <w:p w14:paraId="253D53C7" w14:textId="77777777" w:rsidR="00E12404" w:rsidRPr="00E060C8" w:rsidRDefault="00E12404" w:rsidP="00E12404">
      <w:pPr>
        <w:pStyle w:val="Body"/>
      </w:pPr>
      <w:r w:rsidRPr="009F01B1">
        <w:t>Traffic light rating:</w:t>
      </w:r>
      <w:r w:rsidRPr="00B504AD">
        <w:rPr>
          <w:color w:val="AF272F"/>
        </w:rPr>
        <w:t xml:space="preserve"> </w:t>
      </w:r>
      <w:r w:rsidRPr="00652E25">
        <w:rPr>
          <w:b/>
          <w:color w:val="C5511A"/>
        </w:rPr>
        <w:t>Amber</w:t>
      </w:r>
      <w:r>
        <w:rPr>
          <w:b/>
        </w:rPr>
        <w:t xml:space="preserve"> </w:t>
      </w:r>
      <w:r w:rsidRPr="00EA3932">
        <w:t>(desired result not yet evident)</w:t>
      </w:r>
    </w:p>
    <w:p w14:paraId="3CC3BDB4" w14:textId="261FD18D" w:rsidR="00E12404" w:rsidRDefault="00E12404" w:rsidP="00E12404">
      <w:pPr>
        <w:pStyle w:val="Body"/>
      </w:pPr>
      <w:r w:rsidRPr="00C15AE4">
        <w:t xml:space="preserve">Overall trend: </w:t>
      </w:r>
      <w:r w:rsidR="0071348F">
        <w:t>Appears to be moving in the right direction</w:t>
      </w:r>
    </w:p>
    <w:p w14:paraId="0E0766D6" w14:textId="4CE2DD47" w:rsidR="00772D1C" w:rsidRDefault="00772D1C" w:rsidP="00E12404">
      <w:pPr>
        <w:pStyle w:val="Body"/>
      </w:pPr>
      <w:r>
        <w:t>Commentary: Understanding the patient experience across the pathway of care assist</w:t>
      </w:r>
      <w:r w:rsidR="0076487B">
        <w:t>s</w:t>
      </w:r>
      <w:r>
        <w:t xml:space="preserve"> health services and health care professionals to improve ways in which care is delivered. </w:t>
      </w:r>
      <w:r w:rsidR="007306EC">
        <w:t xml:space="preserve">Data presented in Figure 3.1 was captured from a pilot that utilised </w:t>
      </w:r>
      <w:r w:rsidR="001A7B58">
        <w:t xml:space="preserve">the cancer chemotherapy </w:t>
      </w:r>
      <w:r w:rsidR="0076487B">
        <w:t xml:space="preserve">patient experience </w:t>
      </w:r>
      <w:r w:rsidR="001A7B58">
        <w:t xml:space="preserve">module </w:t>
      </w:r>
      <w:r w:rsidR="00627A27">
        <w:t xml:space="preserve">administered </w:t>
      </w:r>
      <w:r w:rsidR="001A7B58">
        <w:t>in 2020</w:t>
      </w:r>
      <w:r w:rsidR="00627A27">
        <w:t xml:space="preserve"> for patients that received care in 2019</w:t>
      </w:r>
      <w:r w:rsidR="001A7B58">
        <w:t>.</w:t>
      </w:r>
      <w:r w:rsidR="00AE23F9">
        <w:t xml:space="preserve"> While no target has been set for th</w:t>
      </w:r>
      <w:r w:rsidR="0033444C">
        <w:t>is</w:t>
      </w:r>
      <w:r w:rsidR="00AE23F9">
        <w:t xml:space="preserve"> measure, Figure 3.1 shows that </w:t>
      </w:r>
      <w:r w:rsidR="0071348F">
        <w:t>in 20</w:t>
      </w:r>
      <w:r w:rsidR="00627A27">
        <w:t>19</w:t>
      </w:r>
      <w:r w:rsidR="0071348F">
        <w:t xml:space="preserve"> </w:t>
      </w:r>
      <w:r w:rsidR="00045111">
        <w:t>the majority</w:t>
      </w:r>
      <w:r w:rsidR="0076487B">
        <w:t xml:space="preserve"> (61-100; 79.7%)</w:t>
      </w:r>
      <w:r w:rsidR="00045111">
        <w:t xml:space="preserve"> of</w:t>
      </w:r>
      <w:r w:rsidR="00AE23F9">
        <w:t xml:space="preserve"> patients rated their health to be good in terms of how th</w:t>
      </w:r>
      <w:r w:rsidR="0033444C">
        <w:t>ey</w:t>
      </w:r>
      <w:r w:rsidR="00AE23F9">
        <w:t xml:space="preserve"> felt on the day of the survey.</w:t>
      </w:r>
      <w:r w:rsidR="0071348F">
        <w:t xml:space="preserve"> This increased slightly to 80.1</w:t>
      </w:r>
      <w:r w:rsidR="0054537F">
        <w:t>%</w:t>
      </w:r>
      <w:r w:rsidR="0071348F">
        <w:t xml:space="preserve"> (61-100 health rating) in 202</w:t>
      </w:r>
      <w:r w:rsidR="005C255E">
        <w:t>2</w:t>
      </w:r>
      <w:r w:rsidR="0071348F">
        <w:t>.</w:t>
      </w:r>
    </w:p>
    <w:bookmarkEnd w:id="276"/>
    <w:p w14:paraId="7EEBC9FC" w14:textId="36B0B1F9" w:rsidR="00E12404" w:rsidRDefault="00E12404" w:rsidP="00E12404">
      <w:pPr>
        <w:pStyle w:val="Body"/>
      </w:pPr>
    </w:p>
    <w:p w14:paraId="33A866D0" w14:textId="77777777" w:rsidR="00E12404" w:rsidRPr="003E5FD3" w:rsidRDefault="00E12404" w:rsidP="00E12404">
      <w:pPr>
        <w:pStyle w:val="Body"/>
      </w:pPr>
    </w:p>
    <w:p w14:paraId="4A67214D" w14:textId="77777777" w:rsidR="00821B58" w:rsidRDefault="00821B58" w:rsidP="00E87AAA">
      <w:pPr>
        <w:pStyle w:val="Body"/>
        <w:rPr>
          <w:rStyle w:val="DHHSbodyChar"/>
          <w:bCs/>
        </w:rPr>
      </w:pPr>
      <w:r>
        <w:rPr>
          <w:rStyle w:val="DHHSbodyChar"/>
        </w:rPr>
        <w:br w:type="page"/>
      </w:r>
    </w:p>
    <w:p w14:paraId="37C821B0" w14:textId="66CC3419" w:rsidR="00DE68BE" w:rsidRPr="0011089F" w:rsidRDefault="00CC52BE" w:rsidP="007D6BCA">
      <w:pPr>
        <w:pStyle w:val="Heading1"/>
        <w:rPr>
          <w:lang w:eastAsia="en-AU"/>
        </w:rPr>
      </w:pPr>
      <w:bookmarkStart w:id="278" w:name="_Toc19008036"/>
      <w:bookmarkStart w:id="279" w:name="_Toc140843416"/>
      <w:r w:rsidRPr="007D6BCA">
        <w:lastRenderedPageBreak/>
        <w:t>Outcome: Equitable outcomes for all Victorians</w:t>
      </w:r>
      <w:bookmarkEnd w:id="278"/>
      <w:bookmarkEnd w:id="279"/>
    </w:p>
    <w:p w14:paraId="13C12339" w14:textId="3F41696B" w:rsidR="009B5026" w:rsidRPr="005F0940" w:rsidRDefault="00473E5F" w:rsidP="006053E7">
      <w:pPr>
        <w:pStyle w:val="Heading2"/>
      </w:pPr>
      <w:bookmarkStart w:id="280" w:name="_Toc19008037"/>
      <w:bookmarkStart w:id="281" w:name="_Toc140843417"/>
      <w:r w:rsidRPr="005F0940">
        <w:t>Key result:</w:t>
      </w:r>
      <w:r w:rsidR="009B5026" w:rsidRPr="005F0940">
        <w:t xml:space="preserve"> </w:t>
      </w:r>
      <w:r w:rsidR="009B5026" w:rsidRPr="00A41066">
        <w:t>Equitably</w:t>
      </w:r>
      <w:r w:rsidR="009B5026" w:rsidRPr="005F0940">
        <w:t xml:space="preserve"> reduce cancer </w:t>
      </w:r>
      <w:r w:rsidR="009B5026" w:rsidRPr="00A41066">
        <w:t>incidence</w:t>
      </w:r>
      <w:bookmarkEnd w:id="280"/>
      <w:bookmarkEnd w:id="281"/>
    </w:p>
    <w:p w14:paraId="737103B7" w14:textId="40C2BA48" w:rsidR="00473E5F" w:rsidRPr="000144FD" w:rsidRDefault="009B5026" w:rsidP="00A451D4">
      <w:pPr>
        <w:pStyle w:val="Heading3"/>
        <w:rPr>
          <w:b/>
          <w:bCs w:val="0"/>
        </w:rPr>
      </w:pPr>
      <w:bookmarkStart w:id="282" w:name="_Measure_4.1_–"/>
      <w:bookmarkStart w:id="283" w:name="_Toc19008038"/>
      <w:bookmarkEnd w:id="282"/>
      <w:r w:rsidRPr="000144FD">
        <w:rPr>
          <w:b/>
          <w:bCs w:val="0"/>
        </w:rPr>
        <w:t xml:space="preserve">Measure 4.1 – Rate ratio of </w:t>
      </w:r>
      <w:r w:rsidR="00B47705" w:rsidRPr="000144FD">
        <w:rPr>
          <w:b/>
          <w:bCs w:val="0"/>
        </w:rPr>
        <w:t xml:space="preserve">preventable </w:t>
      </w:r>
      <w:r w:rsidRPr="000144FD">
        <w:rPr>
          <w:b/>
          <w:bCs w:val="0"/>
        </w:rPr>
        <w:t>cancer incidence between Integrated Cancer Services</w:t>
      </w:r>
      <w:bookmarkEnd w:id="283"/>
    </w:p>
    <w:p w14:paraId="48A3271C" w14:textId="1C3401F3" w:rsidR="008349D5" w:rsidRPr="00F2771C" w:rsidRDefault="008349D5" w:rsidP="00DF6BF5">
      <w:pPr>
        <w:pStyle w:val="Figurecaption"/>
        <w:rPr>
          <w:sz w:val="20"/>
        </w:rPr>
      </w:pPr>
      <w:bookmarkStart w:id="284" w:name="_Toc19008039"/>
      <w:bookmarkStart w:id="285" w:name="_Toc19008287"/>
      <w:bookmarkStart w:id="286" w:name="_Toc19008434"/>
      <w:bookmarkStart w:id="287" w:name="_Toc19008581"/>
      <w:bookmarkStart w:id="288" w:name="_Toc132553016"/>
      <w:bookmarkStart w:id="289" w:name="_Toc140827624"/>
      <w:r w:rsidRPr="00F2771C">
        <w:rPr>
          <w:sz w:val="20"/>
        </w:rPr>
        <w:t>Figure 4.1</w:t>
      </w:r>
      <w:r w:rsidR="003B391F" w:rsidRPr="00F2771C">
        <w:rPr>
          <w:sz w:val="20"/>
        </w:rPr>
        <w:t>:</w:t>
      </w:r>
      <w:r w:rsidRPr="00F2771C">
        <w:rPr>
          <w:sz w:val="20"/>
        </w:rPr>
        <w:t xml:space="preserve"> Rate ratio of preventable cancer incidence in ICS of residence compared </w:t>
      </w:r>
      <w:r w:rsidR="001B50BF" w:rsidRPr="00F2771C">
        <w:rPr>
          <w:sz w:val="20"/>
        </w:rPr>
        <w:t xml:space="preserve">with </w:t>
      </w:r>
      <w:r w:rsidRPr="00F2771C">
        <w:rPr>
          <w:sz w:val="20"/>
        </w:rPr>
        <w:t>the ICS of residence with the lowest adjusted incidence rate, grouped by year of diagnosis</w:t>
      </w:r>
      <w:r w:rsidR="00C17266" w:rsidRPr="00F2771C">
        <w:rPr>
          <w:sz w:val="20"/>
        </w:rPr>
        <w:t>,</w:t>
      </w:r>
      <w:r w:rsidRPr="00F2771C">
        <w:rPr>
          <w:sz w:val="20"/>
        </w:rPr>
        <w:t xml:space="preserve"> 201</w:t>
      </w:r>
      <w:r w:rsidR="007D2062" w:rsidRPr="00F2771C">
        <w:rPr>
          <w:sz w:val="20"/>
        </w:rPr>
        <w:t>4</w:t>
      </w:r>
      <w:r w:rsidR="00C17266" w:rsidRPr="00F2771C">
        <w:rPr>
          <w:sz w:val="20"/>
        </w:rPr>
        <w:t>–</w:t>
      </w:r>
      <w:r w:rsidRPr="00F2771C">
        <w:rPr>
          <w:sz w:val="20"/>
        </w:rPr>
        <w:t>20</w:t>
      </w:r>
      <w:bookmarkEnd w:id="284"/>
      <w:bookmarkEnd w:id="285"/>
      <w:bookmarkEnd w:id="286"/>
      <w:bookmarkEnd w:id="287"/>
      <w:r w:rsidR="004758D8" w:rsidRPr="00F2771C">
        <w:rPr>
          <w:sz w:val="20"/>
        </w:rPr>
        <w:t>2</w:t>
      </w:r>
      <w:r w:rsidR="00E43BFA" w:rsidRPr="00F2771C">
        <w:rPr>
          <w:sz w:val="20"/>
        </w:rPr>
        <w:t>1</w:t>
      </w:r>
      <w:bookmarkEnd w:id="288"/>
      <w:bookmarkEnd w:id="289"/>
    </w:p>
    <w:p w14:paraId="29C335DC" w14:textId="35F0B16D" w:rsidR="00E43BFA" w:rsidRPr="00E43BFA" w:rsidRDefault="00E43BFA" w:rsidP="00E87AAA">
      <w:pPr>
        <w:pStyle w:val="Body"/>
      </w:pPr>
      <w:r>
        <w:rPr>
          <w:noProof/>
        </w:rPr>
        <w:drawing>
          <wp:inline distT="0" distB="0" distL="0" distR="0" wp14:anchorId="6DD36C79" wp14:editId="661113A7">
            <wp:extent cx="6272360" cy="4766715"/>
            <wp:effectExtent l="0" t="0" r="0" b="0"/>
            <wp:docPr id="84" name="Picture 84" descr="This figure shows a summary of 'Measure 4.1 - Rate ratio of preventable cancer incidence between Integrated Cancer Services'.  The data for this figure is available in this section for the study period 2014 to 2021 - refer to Tabl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his figure shows a summary of 'Measure 4.1 - Rate ratio of preventable cancer incidence between Integrated Cancer Services'.  The data for this figure is available in this section for the study period 2014 to 2021 - refer to Table 4.1."/>
                    <pic:cNvPicPr/>
                  </pic:nvPicPr>
                  <pic:blipFill>
                    <a:blip r:embed="rId68"/>
                    <a:stretch>
                      <a:fillRect/>
                    </a:stretch>
                  </pic:blipFill>
                  <pic:spPr>
                    <a:xfrm>
                      <a:off x="0" y="0"/>
                      <a:ext cx="6286679" cy="4777597"/>
                    </a:xfrm>
                    <a:prstGeom prst="rect">
                      <a:avLst/>
                    </a:prstGeom>
                  </pic:spPr>
                </pic:pic>
              </a:graphicData>
            </a:graphic>
          </wp:inline>
        </w:drawing>
      </w:r>
    </w:p>
    <w:p w14:paraId="4FEF2073" w14:textId="1373B60E" w:rsidR="00FF7120" w:rsidRPr="00F2771C" w:rsidRDefault="009B16A4" w:rsidP="00FA1AAC">
      <w:pPr>
        <w:pStyle w:val="Tablefigurenote"/>
        <w:rPr>
          <w:b/>
          <w:i/>
          <w:iCs/>
          <w:sz w:val="18"/>
          <w:szCs w:val="18"/>
        </w:rPr>
      </w:pPr>
      <w:r w:rsidRPr="00F2771C">
        <w:rPr>
          <w:i/>
          <w:iCs/>
          <w:sz w:val="18"/>
          <w:szCs w:val="18"/>
        </w:rPr>
        <w:t>Note</w:t>
      </w:r>
      <w:r w:rsidR="004F0FAA" w:rsidRPr="00F2771C">
        <w:rPr>
          <w:i/>
          <w:iCs/>
          <w:sz w:val="18"/>
          <w:szCs w:val="18"/>
        </w:rPr>
        <w:t>s</w:t>
      </w:r>
      <w:r w:rsidRPr="00F2771C">
        <w:rPr>
          <w:i/>
          <w:iCs/>
          <w:sz w:val="18"/>
          <w:szCs w:val="18"/>
        </w:rPr>
        <w:t>:</w:t>
      </w:r>
      <w:r w:rsidRPr="00F2771C">
        <w:rPr>
          <w:b/>
          <w:i/>
          <w:iCs/>
          <w:sz w:val="18"/>
          <w:szCs w:val="18"/>
        </w:rPr>
        <w:t xml:space="preserve"> </w:t>
      </w:r>
    </w:p>
    <w:p w14:paraId="072EA71E" w14:textId="475C4FCB" w:rsidR="006B534F" w:rsidRPr="00F2771C" w:rsidRDefault="00DA4C88" w:rsidP="00FA1AAC">
      <w:pPr>
        <w:pStyle w:val="Tablefigurenote"/>
        <w:rPr>
          <w:i/>
          <w:iCs/>
          <w:sz w:val="18"/>
          <w:szCs w:val="18"/>
        </w:rPr>
      </w:pPr>
      <w:r w:rsidRPr="00F2771C">
        <w:rPr>
          <w:i/>
          <w:iCs/>
          <w:sz w:val="18"/>
          <w:szCs w:val="18"/>
        </w:rPr>
        <w:t>Estimated and projected resident population files sourced from</w:t>
      </w:r>
      <w:r w:rsidR="002A3B2F" w:rsidRPr="00F2771C">
        <w:rPr>
          <w:i/>
          <w:iCs/>
          <w:sz w:val="18"/>
          <w:szCs w:val="18"/>
        </w:rPr>
        <w:t xml:space="preserve"> the</w:t>
      </w:r>
      <w:r w:rsidRPr="00F2771C">
        <w:rPr>
          <w:i/>
          <w:iCs/>
          <w:sz w:val="18"/>
          <w:szCs w:val="18"/>
        </w:rPr>
        <w:t xml:space="preserve"> ABS. Note that at the time of preparing results, </w:t>
      </w:r>
      <w:r w:rsidR="002A3B2F" w:rsidRPr="00F2771C">
        <w:rPr>
          <w:i/>
          <w:iCs/>
          <w:sz w:val="18"/>
          <w:szCs w:val="18"/>
        </w:rPr>
        <w:t xml:space="preserve">the ABS had not yet finalised </w:t>
      </w:r>
      <w:r w:rsidR="002507B8" w:rsidRPr="00F2771C">
        <w:rPr>
          <w:i/>
          <w:iCs/>
          <w:sz w:val="18"/>
          <w:szCs w:val="18"/>
        </w:rPr>
        <w:t xml:space="preserve">the </w:t>
      </w:r>
      <w:r w:rsidRPr="00F2771C">
        <w:rPr>
          <w:i/>
          <w:iCs/>
          <w:sz w:val="18"/>
          <w:szCs w:val="18"/>
        </w:rPr>
        <w:t>20</w:t>
      </w:r>
      <w:r w:rsidR="003A7EB0" w:rsidRPr="00F2771C">
        <w:rPr>
          <w:i/>
          <w:iCs/>
          <w:sz w:val="18"/>
          <w:szCs w:val="18"/>
        </w:rPr>
        <w:t>2</w:t>
      </w:r>
      <w:r w:rsidR="00B84A56" w:rsidRPr="00F2771C">
        <w:rPr>
          <w:i/>
          <w:iCs/>
          <w:sz w:val="18"/>
          <w:szCs w:val="18"/>
        </w:rPr>
        <w:t>1</w:t>
      </w:r>
      <w:r w:rsidR="002A3B2F" w:rsidRPr="00F2771C">
        <w:rPr>
          <w:i/>
          <w:iCs/>
          <w:sz w:val="18"/>
          <w:szCs w:val="18"/>
        </w:rPr>
        <w:t xml:space="preserve"> ERP</w:t>
      </w:r>
      <w:r w:rsidRPr="00F2771C">
        <w:rPr>
          <w:i/>
          <w:iCs/>
          <w:sz w:val="18"/>
          <w:szCs w:val="18"/>
        </w:rPr>
        <w:t>.</w:t>
      </w:r>
    </w:p>
    <w:p w14:paraId="7A646BF1" w14:textId="39869461" w:rsidR="00F16CAB" w:rsidRPr="00223D80" w:rsidRDefault="006B534F" w:rsidP="00FA1AAC">
      <w:pPr>
        <w:pStyle w:val="Tablefigurenote"/>
      </w:pPr>
      <w:r w:rsidRPr="00F2771C">
        <w:rPr>
          <w:i/>
          <w:iCs/>
          <w:sz w:val="18"/>
          <w:szCs w:val="18"/>
        </w:rPr>
        <w:t xml:space="preserve">The baseline ICS for calculating the rate of ratios for each year is the ICS with the lowest adjusted incidence rate for the year of interest and is highlighted in </w:t>
      </w:r>
      <w:r w:rsidRPr="00F2771C">
        <w:rPr>
          <w:i/>
          <w:iCs/>
          <w:color w:val="C00000"/>
          <w:sz w:val="18"/>
          <w:szCs w:val="18"/>
        </w:rPr>
        <w:t>red</w:t>
      </w:r>
      <w:r w:rsidRPr="00F2771C">
        <w:rPr>
          <w:i/>
          <w:iCs/>
          <w:sz w:val="18"/>
          <w:szCs w:val="18"/>
        </w:rPr>
        <w:t xml:space="preserve">. A rate ratio greater than </w:t>
      </w:r>
      <w:r w:rsidR="0093423C" w:rsidRPr="00F2771C">
        <w:rPr>
          <w:i/>
          <w:iCs/>
          <w:sz w:val="18"/>
          <w:szCs w:val="18"/>
        </w:rPr>
        <w:t xml:space="preserve">1 </w:t>
      </w:r>
      <w:r w:rsidRPr="00F2771C">
        <w:rPr>
          <w:i/>
          <w:iCs/>
          <w:sz w:val="18"/>
          <w:szCs w:val="18"/>
        </w:rPr>
        <w:t>indicates a higher incidence rate than the baseline ICS.</w:t>
      </w:r>
      <w:r w:rsidR="00F16CAB" w:rsidRPr="00223D80">
        <w:rPr>
          <w:b/>
        </w:rPr>
        <w:br w:type="page"/>
      </w:r>
    </w:p>
    <w:p w14:paraId="6EE0DFCD" w14:textId="391331FC" w:rsidR="00B92EDC" w:rsidRPr="00F2771C" w:rsidRDefault="00B92EDC" w:rsidP="002226C1">
      <w:pPr>
        <w:pStyle w:val="Tablecaption"/>
        <w:rPr>
          <w:sz w:val="20"/>
        </w:rPr>
      </w:pPr>
      <w:bookmarkStart w:id="290" w:name="_Toc18908721"/>
      <w:bookmarkStart w:id="291" w:name="_Toc132491518"/>
      <w:bookmarkStart w:id="292" w:name="_Toc140834909"/>
      <w:r w:rsidRPr="00F2771C">
        <w:rPr>
          <w:sz w:val="20"/>
        </w:rPr>
        <w:lastRenderedPageBreak/>
        <w:t>Table 4.1</w:t>
      </w:r>
      <w:r w:rsidR="001F7E28" w:rsidRPr="00F2771C">
        <w:rPr>
          <w:sz w:val="20"/>
        </w:rPr>
        <w:t>:</w:t>
      </w:r>
      <w:r w:rsidRPr="00F2771C">
        <w:rPr>
          <w:sz w:val="20"/>
        </w:rPr>
        <w:t xml:space="preserve"> Rate ratio of preventable cancer incidence in ICS of residence compared </w:t>
      </w:r>
      <w:r w:rsidR="001B50BF" w:rsidRPr="00F2771C">
        <w:rPr>
          <w:sz w:val="20"/>
        </w:rPr>
        <w:t xml:space="preserve">with </w:t>
      </w:r>
      <w:r w:rsidRPr="00F2771C">
        <w:rPr>
          <w:sz w:val="20"/>
        </w:rPr>
        <w:t>the ICS of residence with the lowest adjusted incidence rate, grouped by year of diagnosis from 201</w:t>
      </w:r>
      <w:r w:rsidR="007D2062" w:rsidRPr="00F2771C">
        <w:rPr>
          <w:sz w:val="20"/>
        </w:rPr>
        <w:t>4</w:t>
      </w:r>
      <w:r w:rsidR="001B50BF" w:rsidRPr="00F2771C">
        <w:rPr>
          <w:sz w:val="20"/>
        </w:rPr>
        <w:t xml:space="preserve"> to </w:t>
      </w:r>
      <w:r w:rsidRPr="00F2771C">
        <w:rPr>
          <w:sz w:val="20"/>
        </w:rPr>
        <w:t>20</w:t>
      </w:r>
      <w:bookmarkEnd w:id="290"/>
      <w:r w:rsidR="00961C9A" w:rsidRPr="00F2771C">
        <w:rPr>
          <w:sz w:val="20"/>
        </w:rPr>
        <w:t>2</w:t>
      </w:r>
      <w:r w:rsidR="00E43BFA" w:rsidRPr="00F2771C">
        <w:rPr>
          <w:sz w:val="20"/>
        </w:rPr>
        <w:t>1</w:t>
      </w:r>
      <w:bookmarkEnd w:id="291"/>
      <w:bookmarkEnd w:id="292"/>
    </w:p>
    <w:tbl>
      <w:tblPr>
        <w:tblStyle w:val="TableGrid"/>
        <w:tblW w:w="9271" w:type="dxa"/>
        <w:tblInd w:w="-1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shd w:val="clear" w:color="auto" w:fill="EDCDCF"/>
        <w:tblLayout w:type="fixed"/>
        <w:tblLook w:val="04A0" w:firstRow="1" w:lastRow="0" w:firstColumn="1" w:lastColumn="0" w:noHBand="0" w:noVBand="1"/>
      </w:tblPr>
      <w:tblGrid>
        <w:gridCol w:w="1057"/>
        <w:gridCol w:w="891"/>
        <w:gridCol w:w="892"/>
        <w:gridCol w:w="1040"/>
        <w:gridCol w:w="1040"/>
        <w:gridCol w:w="1040"/>
        <w:gridCol w:w="1204"/>
        <w:gridCol w:w="1027"/>
        <w:gridCol w:w="1080"/>
      </w:tblGrid>
      <w:tr w:rsidR="00E43BFA" w:rsidRPr="00036373" w14:paraId="65F508C6" w14:textId="145304A1" w:rsidTr="007744CA">
        <w:trPr>
          <w:trHeight w:val="177"/>
        </w:trPr>
        <w:tc>
          <w:tcPr>
            <w:tcW w:w="1057" w:type="dxa"/>
            <w:shd w:val="clear" w:color="auto" w:fill="EDCDCF"/>
          </w:tcPr>
          <w:p w14:paraId="69A3B1C5" w14:textId="1FB1AB58" w:rsidR="00E43BFA" w:rsidRPr="00036373" w:rsidRDefault="00E43BFA" w:rsidP="00D6450C">
            <w:pPr>
              <w:pStyle w:val="Tablecolhead"/>
              <w:rPr>
                <w:rFonts w:cs="Arial"/>
                <w:sz w:val="14"/>
                <w:szCs w:val="14"/>
              </w:rPr>
            </w:pPr>
            <w:bookmarkStart w:id="293" w:name="_Hlk118960513"/>
            <w:r w:rsidRPr="00036373">
              <w:rPr>
                <w:rFonts w:cs="Arial"/>
                <w:sz w:val="14"/>
                <w:szCs w:val="14"/>
              </w:rPr>
              <w:t>ICS</w:t>
            </w:r>
          </w:p>
        </w:tc>
        <w:tc>
          <w:tcPr>
            <w:tcW w:w="891" w:type="dxa"/>
            <w:shd w:val="clear" w:color="auto" w:fill="EDCDCF"/>
          </w:tcPr>
          <w:p w14:paraId="71C9D4FC" w14:textId="77777777" w:rsidR="00E43BFA" w:rsidRPr="00036373" w:rsidRDefault="00E43BFA" w:rsidP="009E7312">
            <w:pPr>
              <w:pStyle w:val="Tablecolhead"/>
              <w:jc w:val="center"/>
              <w:rPr>
                <w:rFonts w:cs="Arial"/>
                <w:sz w:val="14"/>
                <w:szCs w:val="14"/>
              </w:rPr>
            </w:pPr>
            <w:r w:rsidRPr="00036373">
              <w:rPr>
                <w:rFonts w:cs="Arial"/>
                <w:sz w:val="14"/>
                <w:szCs w:val="14"/>
              </w:rPr>
              <w:t>2014</w:t>
            </w:r>
          </w:p>
          <w:p w14:paraId="5D93F90A" w14:textId="3D500188" w:rsidR="00E43BFA" w:rsidRPr="00036373" w:rsidRDefault="00E43BFA" w:rsidP="009E7312">
            <w:pPr>
              <w:pStyle w:val="Tablecolhead"/>
              <w:jc w:val="center"/>
              <w:rPr>
                <w:rFonts w:cs="Arial"/>
                <w:sz w:val="14"/>
                <w:szCs w:val="14"/>
              </w:rPr>
            </w:pPr>
            <w:r w:rsidRPr="00036373">
              <w:rPr>
                <w:rFonts w:cs="Arial"/>
                <w:sz w:val="14"/>
                <w:szCs w:val="14"/>
              </w:rPr>
              <w:t>(95% CI)</w:t>
            </w:r>
          </w:p>
        </w:tc>
        <w:tc>
          <w:tcPr>
            <w:tcW w:w="892" w:type="dxa"/>
            <w:shd w:val="clear" w:color="auto" w:fill="EDCDCF"/>
          </w:tcPr>
          <w:p w14:paraId="6A786B3E" w14:textId="77777777" w:rsidR="00E43BFA" w:rsidRPr="00036373" w:rsidRDefault="00E43BFA" w:rsidP="009E7312">
            <w:pPr>
              <w:pStyle w:val="Tablecolhead"/>
              <w:jc w:val="center"/>
              <w:rPr>
                <w:rFonts w:cs="Arial"/>
                <w:sz w:val="14"/>
                <w:szCs w:val="14"/>
              </w:rPr>
            </w:pPr>
            <w:r w:rsidRPr="00036373">
              <w:rPr>
                <w:rFonts w:cs="Arial"/>
                <w:sz w:val="14"/>
                <w:szCs w:val="14"/>
              </w:rPr>
              <w:t>2015</w:t>
            </w:r>
          </w:p>
          <w:p w14:paraId="10C5DF09" w14:textId="28B7247C" w:rsidR="00E43BFA" w:rsidRPr="00036373" w:rsidRDefault="00E43BFA" w:rsidP="009E7312">
            <w:pPr>
              <w:pStyle w:val="Tablecolhead"/>
              <w:jc w:val="center"/>
              <w:rPr>
                <w:rFonts w:cs="Arial"/>
                <w:sz w:val="14"/>
                <w:szCs w:val="14"/>
              </w:rPr>
            </w:pPr>
            <w:r w:rsidRPr="00036373">
              <w:rPr>
                <w:rFonts w:cs="Arial"/>
                <w:sz w:val="14"/>
                <w:szCs w:val="14"/>
              </w:rPr>
              <w:t>(95% CI)</w:t>
            </w:r>
          </w:p>
        </w:tc>
        <w:tc>
          <w:tcPr>
            <w:tcW w:w="1040" w:type="dxa"/>
            <w:shd w:val="clear" w:color="auto" w:fill="EDCDCF"/>
          </w:tcPr>
          <w:p w14:paraId="23F7AD92" w14:textId="77777777" w:rsidR="00E43BFA" w:rsidRPr="00036373" w:rsidRDefault="00E43BFA" w:rsidP="009E7312">
            <w:pPr>
              <w:pStyle w:val="Tablecolhead"/>
              <w:jc w:val="center"/>
              <w:rPr>
                <w:rFonts w:cs="Arial"/>
                <w:sz w:val="14"/>
                <w:szCs w:val="14"/>
              </w:rPr>
            </w:pPr>
            <w:r w:rsidRPr="00036373">
              <w:rPr>
                <w:rFonts w:cs="Arial"/>
                <w:sz w:val="14"/>
                <w:szCs w:val="14"/>
              </w:rPr>
              <w:t>2016</w:t>
            </w:r>
          </w:p>
          <w:p w14:paraId="120A0D0D" w14:textId="6FCA6E09" w:rsidR="00E43BFA" w:rsidRPr="00036373" w:rsidRDefault="00E43BFA" w:rsidP="009E7312">
            <w:pPr>
              <w:pStyle w:val="Tablecolhead"/>
              <w:jc w:val="center"/>
              <w:rPr>
                <w:rFonts w:cs="Arial"/>
                <w:sz w:val="14"/>
                <w:szCs w:val="14"/>
              </w:rPr>
            </w:pPr>
            <w:r w:rsidRPr="00036373">
              <w:rPr>
                <w:rFonts w:cs="Arial"/>
                <w:sz w:val="14"/>
                <w:szCs w:val="14"/>
              </w:rPr>
              <w:t>(95% CI)</w:t>
            </w:r>
          </w:p>
        </w:tc>
        <w:tc>
          <w:tcPr>
            <w:tcW w:w="1040" w:type="dxa"/>
            <w:shd w:val="clear" w:color="auto" w:fill="EDCDCF"/>
          </w:tcPr>
          <w:p w14:paraId="5C07E2D3" w14:textId="77777777" w:rsidR="00E43BFA" w:rsidRPr="00036373" w:rsidRDefault="00E43BFA" w:rsidP="009E7312">
            <w:pPr>
              <w:pStyle w:val="Tablecolhead"/>
              <w:jc w:val="center"/>
              <w:rPr>
                <w:rFonts w:cs="Arial"/>
                <w:sz w:val="14"/>
                <w:szCs w:val="14"/>
              </w:rPr>
            </w:pPr>
            <w:r w:rsidRPr="00036373">
              <w:rPr>
                <w:rFonts w:cs="Arial"/>
                <w:sz w:val="14"/>
                <w:szCs w:val="14"/>
              </w:rPr>
              <w:t>2017</w:t>
            </w:r>
          </w:p>
          <w:p w14:paraId="26A368B7" w14:textId="35959078" w:rsidR="00E43BFA" w:rsidRPr="00036373" w:rsidRDefault="00E43BFA" w:rsidP="009E7312">
            <w:pPr>
              <w:pStyle w:val="Tablecolhead"/>
              <w:jc w:val="center"/>
              <w:rPr>
                <w:rFonts w:cs="Arial"/>
                <w:sz w:val="14"/>
                <w:szCs w:val="14"/>
              </w:rPr>
            </w:pPr>
            <w:r w:rsidRPr="00036373">
              <w:rPr>
                <w:rFonts w:cs="Arial"/>
                <w:sz w:val="14"/>
                <w:szCs w:val="14"/>
              </w:rPr>
              <w:t>(95% CI)</w:t>
            </w:r>
          </w:p>
        </w:tc>
        <w:tc>
          <w:tcPr>
            <w:tcW w:w="1040" w:type="dxa"/>
            <w:shd w:val="clear" w:color="auto" w:fill="EDCDCF"/>
          </w:tcPr>
          <w:p w14:paraId="262D74EE" w14:textId="77777777" w:rsidR="00E43BFA" w:rsidRPr="00036373" w:rsidRDefault="00E43BFA" w:rsidP="009E7312">
            <w:pPr>
              <w:pStyle w:val="Tablecolhead"/>
              <w:jc w:val="center"/>
              <w:rPr>
                <w:rFonts w:cs="Arial"/>
                <w:sz w:val="14"/>
                <w:szCs w:val="14"/>
              </w:rPr>
            </w:pPr>
            <w:r w:rsidRPr="00036373">
              <w:rPr>
                <w:rFonts w:cs="Arial"/>
                <w:sz w:val="14"/>
                <w:szCs w:val="14"/>
              </w:rPr>
              <w:t>2018</w:t>
            </w:r>
          </w:p>
          <w:p w14:paraId="4B8381F4" w14:textId="38EBA095" w:rsidR="00E43BFA" w:rsidRPr="00036373" w:rsidRDefault="00E43BFA" w:rsidP="009E7312">
            <w:pPr>
              <w:pStyle w:val="Tablecolhead"/>
              <w:jc w:val="center"/>
              <w:rPr>
                <w:rFonts w:cs="Arial"/>
                <w:sz w:val="14"/>
                <w:szCs w:val="14"/>
              </w:rPr>
            </w:pPr>
            <w:r w:rsidRPr="00036373">
              <w:rPr>
                <w:rFonts w:cs="Arial"/>
                <w:sz w:val="14"/>
                <w:szCs w:val="14"/>
              </w:rPr>
              <w:t>(95% CI)</w:t>
            </w:r>
          </w:p>
        </w:tc>
        <w:tc>
          <w:tcPr>
            <w:tcW w:w="1204" w:type="dxa"/>
            <w:shd w:val="clear" w:color="auto" w:fill="EDCDCF"/>
          </w:tcPr>
          <w:p w14:paraId="363AEF98" w14:textId="77777777" w:rsidR="00E43BFA" w:rsidRPr="00036373" w:rsidRDefault="00E43BFA" w:rsidP="009E7312">
            <w:pPr>
              <w:pStyle w:val="Tablecolhead"/>
              <w:jc w:val="center"/>
              <w:rPr>
                <w:rFonts w:cs="Arial"/>
                <w:sz w:val="14"/>
                <w:szCs w:val="14"/>
              </w:rPr>
            </w:pPr>
            <w:r w:rsidRPr="00036373">
              <w:rPr>
                <w:rFonts w:cs="Arial"/>
                <w:sz w:val="14"/>
                <w:szCs w:val="14"/>
              </w:rPr>
              <w:t>2019</w:t>
            </w:r>
          </w:p>
          <w:p w14:paraId="700661D0" w14:textId="0E066839" w:rsidR="00E43BFA" w:rsidRPr="00036373" w:rsidRDefault="00E43BFA" w:rsidP="009E7312">
            <w:pPr>
              <w:pStyle w:val="Tablecolhead"/>
              <w:jc w:val="center"/>
              <w:rPr>
                <w:rFonts w:cs="Arial"/>
                <w:sz w:val="14"/>
                <w:szCs w:val="14"/>
              </w:rPr>
            </w:pPr>
            <w:r w:rsidRPr="00036373">
              <w:rPr>
                <w:rFonts w:cs="Arial"/>
                <w:sz w:val="14"/>
                <w:szCs w:val="14"/>
              </w:rPr>
              <w:t>(95% CI)</w:t>
            </w:r>
          </w:p>
        </w:tc>
        <w:tc>
          <w:tcPr>
            <w:tcW w:w="1027" w:type="dxa"/>
            <w:shd w:val="clear" w:color="auto" w:fill="EDCDCF"/>
          </w:tcPr>
          <w:p w14:paraId="77DC2521" w14:textId="5389546E" w:rsidR="00E43BFA" w:rsidRPr="00036373" w:rsidRDefault="00E43BFA" w:rsidP="009E7312">
            <w:pPr>
              <w:pStyle w:val="Tablecolhead"/>
              <w:jc w:val="center"/>
              <w:rPr>
                <w:rFonts w:cs="Arial"/>
                <w:sz w:val="14"/>
                <w:szCs w:val="14"/>
              </w:rPr>
            </w:pPr>
            <w:r w:rsidRPr="00036373">
              <w:rPr>
                <w:rFonts w:cs="Arial"/>
                <w:sz w:val="14"/>
                <w:szCs w:val="14"/>
              </w:rPr>
              <w:t>2020</w:t>
            </w:r>
          </w:p>
          <w:p w14:paraId="1ECEC09A" w14:textId="2DE2FBA1" w:rsidR="00E43BFA" w:rsidRPr="00036373" w:rsidRDefault="00E43BFA" w:rsidP="009E7312">
            <w:pPr>
              <w:pStyle w:val="Tablecolhead"/>
              <w:jc w:val="center"/>
              <w:rPr>
                <w:rFonts w:cs="Arial"/>
                <w:sz w:val="14"/>
                <w:szCs w:val="14"/>
              </w:rPr>
            </w:pPr>
            <w:r w:rsidRPr="00036373">
              <w:rPr>
                <w:rFonts w:cs="Arial"/>
                <w:sz w:val="14"/>
                <w:szCs w:val="14"/>
              </w:rPr>
              <w:t>(95% CI)</w:t>
            </w:r>
          </w:p>
        </w:tc>
        <w:tc>
          <w:tcPr>
            <w:tcW w:w="1080" w:type="dxa"/>
            <w:shd w:val="clear" w:color="auto" w:fill="EDCDCF"/>
          </w:tcPr>
          <w:p w14:paraId="5AFE441D" w14:textId="1BAB8CAE" w:rsidR="00E43BFA" w:rsidRPr="00036373" w:rsidRDefault="00E43BFA" w:rsidP="00E43BFA">
            <w:pPr>
              <w:pStyle w:val="Tablecolhead"/>
              <w:jc w:val="center"/>
              <w:rPr>
                <w:rFonts w:cs="Arial"/>
                <w:sz w:val="14"/>
                <w:szCs w:val="14"/>
              </w:rPr>
            </w:pPr>
            <w:r w:rsidRPr="00036373">
              <w:rPr>
                <w:rFonts w:cs="Arial"/>
                <w:sz w:val="14"/>
                <w:szCs w:val="14"/>
              </w:rPr>
              <w:t>2021</w:t>
            </w:r>
          </w:p>
          <w:p w14:paraId="4FE54AF6" w14:textId="6787F8F4" w:rsidR="00E43BFA" w:rsidRPr="00036373" w:rsidRDefault="00E43BFA" w:rsidP="00E43BFA">
            <w:pPr>
              <w:pStyle w:val="Tablecolhead"/>
              <w:jc w:val="center"/>
              <w:rPr>
                <w:rFonts w:cs="Arial"/>
                <w:sz w:val="14"/>
                <w:szCs w:val="14"/>
              </w:rPr>
            </w:pPr>
            <w:r w:rsidRPr="00036373">
              <w:rPr>
                <w:rFonts w:cs="Arial"/>
                <w:sz w:val="14"/>
                <w:szCs w:val="14"/>
              </w:rPr>
              <w:t>(95% CI)</w:t>
            </w:r>
          </w:p>
        </w:tc>
      </w:tr>
      <w:tr w:rsidR="002A1E26" w:rsidRPr="00036373" w14:paraId="26B4808F" w14:textId="2A799B3B" w:rsidTr="007744CA">
        <w:trPr>
          <w:trHeight w:val="368"/>
        </w:trPr>
        <w:tc>
          <w:tcPr>
            <w:tcW w:w="1057" w:type="dxa"/>
            <w:shd w:val="clear" w:color="auto" w:fill="auto"/>
            <w:vAlign w:val="center"/>
          </w:tcPr>
          <w:p w14:paraId="37A2B959" w14:textId="1B907B3E" w:rsidR="002A1E26" w:rsidRPr="00036373" w:rsidRDefault="002A1E26" w:rsidP="002A1E26">
            <w:pPr>
              <w:pStyle w:val="Tabletext"/>
              <w:rPr>
                <w:rFonts w:cs="Arial"/>
                <w:sz w:val="14"/>
                <w:szCs w:val="14"/>
              </w:rPr>
            </w:pPr>
            <w:r w:rsidRPr="00036373">
              <w:rPr>
                <w:rFonts w:cs="Arial"/>
                <w:sz w:val="14"/>
                <w:szCs w:val="14"/>
              </w:rPr>
              <w:t>NEMICS</w:t>
            </w:r>
          </w:p>
        </w:tc>
        <w:tc>
          <w:tcPr>
            <w:tcW w:w="891" w:type="dxa"/>
            <w:shd w:val="clear" w:color="auto" w:fill="auto"/>
          </w:tcPr>
          <w:p w14:paraId="1445FD46" w14:textId="080D5693" w:rsidR="002A1E26" w:rsidRPr="00036373" w:rsidRDefault="002A1E26" w:rsidP="002A1E26">
            <w:pPr>
              <w:pStyle w:val="Tabletext"/>
              <w:jc w:val="center"/>
              <w:rPr>
                <w:rFonts w:cs="Arial"/>
                <w:sz w:val="14"/>
                <w:szCs w:val="14"/>
              </w:rPr>
            </w:pPr>
            <w:r w:rsidRPr="00036373">
              <w:rPr>
                <w:rFonts w:cs="Arial"/>
                <w:sz w:val="14"/>
                <w:szCs w:val="14"/>
              </w:rPr>
              <w:t>Ref point</w:t>
            </w:r>
          </w:p>
        </w:tc>
        <w:tc>
          <w:tcPr>
            <w:tcW w:w="892" w:type="dxa"/>
            <w:shd w:val="clear" w:color="auto" w:fill="auto"/>
          </w:tcPr>
          <w:p w14:paraId="41022237" w14:textId="532CC286" w:rsidR="002A1E26" w:rsidRPr="00036373" w:rsidRDefault="002A1E26" w:rsidP="002A1E26">
            <w:pPr>
              <w:pStyle w:val="Tabletext"/>
              <w:jc w:val="center"/>
              <w:rPr>
                <w:rFonts w:cs="Arial"/>
                <w:sz w:val="14"/>
                <w:szCs w:val="14"/>
              </w:rPr>
            </w:pPr>
            <w:r w:rsidRPr="00036373">
              <w:rPr>
                <w:rFonts w:cs="Arial"/>
                <w:sz w:val="14"/>
                <w:szCs w:val="14"/>
              </w:rPr>
              <w:t>Ref point</w:t>
            </w:r>
          </w:p>
        </w:tc>
        <w:tc>
          <w:tcPr>
            <w:tcW w:w="1040" w:type="dxa"/>
            <w:shd w:val="clear" w:color="auto" w:fill="auto"/>
          </w:tcPr>
          <w:p w14:paraId="0FE3AD02" w14:textId="5BC2DC40" w:rsidR="002A1E26" w:rsidRPr="00036373" w:rsidRDefault="002A1E26" w:rsidP="002A1E26">
            <w:pPr>
              <w:pStyle w:val="Tabletext"/>
              <w:jc w:val="center"/>
              <w:rPr>
                <w:rFonts w:cs="Arial"/>
                <w:sz w:val="14"/>
                <w:szCs w:val="14"/>
              </w:rPr>
            </w:pPr>
            <w:r w:rsidRPr="00036373">
              <w:rPr>
                <w:rFonts w:cs="Arial"/>
                <w:sz w:val="14"/>
                <w:szCs w:val="14"/>
              </w:rPr>
              <w:t>Ref point</w:t>
            </w:r>
          </w:p>
        </w:tc>
        <w:tc>
          <w:tcPr>
            <w:tcW w:w="1040" w:type="dxa"/>
            <w:shd w:val="clear" w:color="auto" w:fill="auto"/>
          </w:tcPr>
          <w:p w14:paraId="7EA8A450" w14:textId="3D06F055" w:rsidR="002A1E26" w:rsidRPr="00036373" w:rsidRDefault="002A1E26" w:rsidP="002A1E26">
            <w:pPr>
              <w:pStyle w:val="Tabletext"/>
              <w:jc w:val="center"/>
              <w:rPr>
                <w:rFonts w:cs="Arial"/>
                <w:sz w:val="14"/>
                <w:szCs w:val="14"/>
              </w:rPr>
            </w:pPr>
            <w:r w:rsidRPr="00036373">
              <w:rPr>
                <w:rFonts w:cs="Arial"/>
                <w:sz w:val="14"/>
                <w:szCs w:val="14"/>
              </w:rPr>
              <w:t>Ref point</w:t>
            </w:r>
          </w:p>
        </w:tc>
        <w:tc>
          <w:tcPr>
            <w:tcW w:w="1040" w:type="dxa"/>
          </w:tcPr>
          <w:p w14:paraId="709F931D" w14:textId="369EF011" w:rsidR="002A1E26" w:rsidRPr="00036373" w:rsidRDefault="002A1E26" w:rsidP="002A1E26">
            <w:pPr>
              <w:pStyle w:val="Tabletext"/>
              <w:jc w:val="center"/>
              <w:rPr>
                <w:rFonts w:cs="Arial"/>
                <w:sz w:val="14"/>
                <w:szCs w:val="14"/>
              </w:rPr>
            </w:pPr>
            <w:r w:rsidRPr="00036373">
              <w:rPr>
                <w:rFonts w:cs="Arial"/>
                <w:sz w:val="14"/>
                <w:szCs w:val="14"/>
              </w:rPr>
              <w:t>Ref point</w:t>
            </w:r>
          </w:p>
        </w:tc>
        <w:tc>
          <w:tcPr>
            <w:tcW w:w="1204" w:type="dxa"/>
          </w:tcPr>
          <w:p w14:paraId="1305EFA4" w14:textId="1D64B78E" w:rsidR="002A1E26" w:rsidRPr="00036373" w:rsidRDefault="002A1E26" w:rsidP="002A1E26">
            <w:pPr>
              <w:pStyle w:val="Tabletext"/>
              <w:jc w:val="center"/>
              <w:rPr>
                <w:rFonts w:cs="Arial"/>
                <w:sz w:val="14"/>
                <w:szCs w:val="14"/>
              </w:rPr>
            </w:pPr>
            <w:r w:rsidRPr="00036373">
              <w:rPr>
                <w:rFonts w:cs="Arial"/>
                <w:sz w:val="14"/>
                <w:szCs w:val="14"/>
              </w:rPr>
              <w:t>Ref point</w:t>
            </w:r>
          </w:p>
        </w:tc>
        <w:tc>
          <w:tcPr>
            <w:tcW w:w="1027" w:type="dxa"/>
          </w:tcPr>
          <w:p w14:paraId="5DF406CA" w14:textId="7BA2D032" w:rsidR="002A1E26" w:rsidRPr="00036373" w:rsidRDefault="002A1E26" w:rsidP="002A1E26">
            <w:pPr>
              <w:pStyle w:val="Tabletext"/>
              <w:jc w:val="center"/>
              <w:rPr>
                <w:rFonts w:cs="Arial"/>
                <w:sz w:val="14"/>
                <w:szCs w:val="14"/>
              </w:rPr>
            </w:pPr>
            <w:r w:rsidRPr="00036373">
              <w:rPr>
                <w:rFonts w:cs="Arial"/>
                <w:sz w:val="14"/>
                <w:szCs w:val="14"/>
              </w:rPr>
              <w:t>1.0</w:t>
            </w:r>
          </w:p>
        </w:tc>
        <w:tc>
          <w:tcPr>
            <w:tcW w:w="1080" w:type="dxa"/>
          </w:tcPr>
          <w:p w14:paraId="1644F470" w14:textId="765B048F" w:rsidR="002A1E26" w:rsidRPr="00036373" w:rsidRDefault="002A1E26" w:rsidP="002A1E26">
            <w:pPr>
              <w:pStyle w:val="Tabletext"/>
              <w:jc w:val="center"/>
              <w:rPr>
                <w:rFonts w:cs="Arial"/>
                <w:sz w:val="14"/>
                <w:szCs w:val="14"/>
              </w:rPr>
            </w:pPr>
            <w:r w:rsidRPr="00036373">
              <w:rPr>
                <w:rFonts w:cs="Arial"/>
                <w:sz w:val="14"/>
                <w:szCs w:val="14"/>
              </w:rPr>
              <w:t>Ref point</w:t>
            </w:r>
          </w:p>
        </w:tc>
      </w:tr>
      <w:tr w:rsidR="002A1E26" w:rsidRPr="00036373" w14:paraId="48D27523" w14:textId="6E622388" w:rsidTr="007744CA">
        <w:trPr>
          <w:trHeight w:val="420"/>
        </w:trPr>
        <w:tc>
          <w:tcPr>
            <w:tcW w:w="1057" w:type="dxa"/>
            <w:shd w:val="clear" w:color="auto" w:fill="auto"/>
            <w:vAlign w:val="center"/>
          </w:tcPr>
          <w:p w14:paraId="2F3F91A6" w14:textId="399A19C0" w:rsidR="002A1E26" w:rsidRPr="00036373" w:rsidRDefault="002A1E26" w:rsidP="002A1E26">
            <w:pPr>
              <w:pStyle w:val="Tabletext"/>
              <w:rPr>
                <w:rFonts w:cs="Arial"/>
                <w:sz w:val="14"/>
                <w:szCs w:val="14"/>
              </w:rPr>
            </w:pPr>
            <w:r w:rsidRPr="00036373">
              <w:rPr>
                <w:rFonts w:cs="Arial"/>
                <w:sz w:val="14"/>
                <w:szCs w:val="14"/>
              </w:rPr>
              <w:t>SMICS</w:t>
            </w:r>
          </w:p>
        </w:tc>
        <w:tc>
          <w:tcPr>
            <w:tcW w:w="891" w:type="dxa"/>
            <w:shd w:val="clear" w:color="auto" w:fill="auto"/>
          </w:tcPr>
          <w:p w14:paraId="7770E9E7" w14:textId="77777777" w:rsidR="002A1E26" w:rsidRPr="00036373" w:rsidRDefault="002A1E26" w:rsidP="002A1E26">
            <w:pPr>
              <w:pStyle w:val="Tabletext"/>
              <w:jc w:val="center"/>
              <w:rPr>
                <w:rFonts w:cs="Arial"/>
                <w:sz w:val="14"/>
                <w:szCs w:val="14"/>
              </w:rPr>
            </w:pPr>
            <w:r w:rsidRPr="00036373">
              <w:rPr>
                <w:rFonts w:cs="Arial"/>
                <w:sz w:val="14"/>
                <w:szCs w:val="14"/>
              </w:rPr>
              <w:t>1.0</w:t>
            </w:r>
          </w:p>
          <w:p w14:paraId="57366639" w14:textId="61BD790C" w:rsidR="002A1E26" w:rsidRPr="00036373" w:rsidRDefault="002A1E26" w:rsidP="002A1E26">
            <w:pPr>
              <w:pStyle w:val="Tabletext"/>
              <w:jc w:val="center"/>
              <w:rPr>
                <w:rFonts w:cs="Arial"/>
                <w:sz w:val="14"/>
                <w:szCs w:val="14"/>
              </w:rPr>
            </w:pPr>
            <w:r w:rsidRPr="00036373">
              <w:rPr>
                <w:rFonts w:cs="Arial"/>
                <w:sz w:val="14"/>
                <w:szCs w:val="14"/>
              </w:rPr>
              <w:t>(0.9–1.1)</w:t>
            </w:r>
          </w:p>
        </w:tc>
        <w:tc>
          <w:tcPr>
            <w:tcW w:w="892" w:type="dxa"/>
            <w:shd w:val="clear" w:color="auto" w:fill="auto"/>
          </w:tcPr>
          <w:p w14:paraId="21E7CA1E" w14:textId="77777777" w:rsidR="002A1E26" w:rsidRPr="00036373" w:rsidRDefault="002A1E26" w:rsidP="002A1E26">
            <w:pPr>
              <w:pStyle w:val="Tabletext"/>
              <w:jc w:val="center"/>
              <w:rPr>
                <w:rFonts w:cs="Arial"/>
                <w:sz w:val="14"/>
                <w:szCs w:val="14"/>
              </w:rPr>
            </w:pPr>
            <w:r w:rsidRPr="00036373">
              <w:rPr>
                <w:rFonts w:cs="Arial"/>
                <w:sz w:val="14"/>
                <w:szCs w:val="14"/>
              </w:rPr>
              <w:t>1.0</w:t>
            </w:r>
          </w:p>
          <w:p w14:paraId="5B8F78DC" w14:textId="6F81BC13" w:rsidR="002A1E26" w:rsidRPr="00036373" w:rsidRDefault="002A1E26" w:rsidP="002A1E26">
            <w:pPr>
              <w:pStyle w:val="Tabletext"/>
              <w:jc w:val="center"/>
              <w:rPr>
                <w:rFonts w:cs="Arial"/>
                <w:sz w:val="14"/>
                <w:szCs w:val="14"/>
              </w:rPr>
            </w:pPr>
            <w:r w:rsidRPr="00036373">
              <w:rPr>
                <w:rFonts w:cs="Arial"/>
                <w:sz w:val="14"/>
                <w:szCs w:val="14"/>
              </w:rPr>
              <w:t>(0.9–1.1)</w:t>
            </w:r>
          </w:p>
        </w:tc>
        <w:tc>
          <w:tcPr>
            <w:tcW w:w="1040" w:type="dxa"/>
            <w:shd w:val="clear" w:color="auto" w:fill="auto"/>
          </w:tcPr>
          <w:p w14:paraId="79432297" w14:textId="77777777" w:rsidR="002A1E26" w:rsidRPr="00036373" w:rsidRDefault="002A1E26" w:rsidP="002A1E26">
            <w:pPr>
              <w:pStyle w:val="Tabletext"/>
              <w:jc w:val="center"/>
              <w:rPr>
                <w:rFonts w:cs="Arial"/>
                <w:sz w:val="14"/>
                <w:szCs w:val="14"/>
              </w:rPr>
            </w:pPr>
            <w:r w:rsidRPr="00036373">
              <w:rPr>
                <w:rFonts w:cs="Arial"/>
                <w:sz w:val="14"/>
                <w:szCs w:val="14"/>
              </w:rPr>
              <w:t>1.0</w:t>
            </w:r>
          </w:p>
          <w:p w14:paraId="1E9F34B0" w14:textId="242683DC" w:rsidR="002A1E26" w:rsidRPr="00036373" w:rsidRDefault="002A1E26" w:rsidP="002A1E26">
            <w:pPr>
              <w:pStyle w:val="Tabletext"/>
              <w:jc w:val="center"/>
              <w:rPr>
                <w:rFonts w:cs="Arial"/>
                <w:sz w:val="14"/>
                <w:szCs w:val="14"/>
              </w:rPr>
            </w:pPr>
            <w:r w:rsidRPr="00036373">
              <w:rPr>
                <w:rFonts w:cs="Arial"/>
                <w:sz w:val="14"/>
                <w:szCs w:val="14"/>
              </w:rPr>
              <w:t>(0.9–1.1)</w:t>
            </w:r>
          </w:p>
        </w:tc>
        <w:tc>
          <w:tcPr>
            <w:tcW w:w="1040" w:type="dxa"/>
            <w:shd w:val="clear" w:color="auto" w:fill="auto"/>
          </w:tcPr>
          <w:p w14:paraId="1B3FA314" w14:textId="77777777" w:rsidR="002A1E26" w:rsidRPr="00036373" w:rsidRDefault="002A1E26" w:rsidP="002A1E26">
            <w:pPr>
              <w:pStyle w:val="Tabletext"/>
              <w:jc w:val="center"/>
              <w:rPr>
                <w:rFonts w:cs="Arial"/>
                <w:sz w:val="14"/>
                <w:szCs w:val="14"/>
              </w:rPr>
            </w:pPr>
            <w:r w:rsidRPr="00036373">
              <w:rPr>
                <w:rFonts w:cs="Arial"/>
                <w:sz w:val="14"/>
                <w:szCs w:val="14"/>
              </w:rPr>
              <w:t>1.0</w:t>
            </w:r>
          </w:p>
          <w:p w14:paraId="27281C4D" w14:textId="4611F18D" w:rsidR="002A1E26" w:rsidRPr="00036373" w:rsidRDefault="002A1E26" w:rsidP="002A1E26">
            <w:pPr>
              <w:pStyle w:val="Tabletext"/>
              <w:jc w:val="center"/>
              <w:rPr>
                <w:rFonts w:cs="Arial"/>
                <w:sz w:val="14"/>
                <w:szCs w:val="14"/>
              </w:rPr>
            </w:pPr>
            <w:r w:rsidRPr="00036373">
              <w:rPr>
                <w:rFonts w:cs="Arial"/>
                <w:sz w:val="14"/>
                <w:szCs w:val="14"/>
              </w:rPr>
              <w:t>(0.9–1.1)</w:t>
            </w:r>
          </w:p>
        </w:tc>
        <w:tc>
          <w:tcPr>
            <w:tcW w:w="1040" w:type="dxa"/>
          </w:tcPr>
          <w:p w14:paraId="01F964A6"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6A15ECE9" w14:textId="638F2CE1" w:rsidR="002A1E26" w:rsidRPr="00036373" w:rsidRDefault="002A1E26" w:rsidP="002A1E26">
            <w:pPr>
              <w:pStyle w:val="Tabletext"/>
              <w:jc w:val="center"/>
              <w:rPr>
                <w:rFonts w:cs="Arial"/>
                <w:sz w:val="14"/>
                <w:szCs w:val="14"/>
              </w:rPr>
            </w:pPr>
            <w:r w:rsidRPr="00036373">
              <w:rPr>
                <w:rFonts w:cs="Arial"/>
                <w:sz w:val="14"/>
                <w:szCs w:val="14"/>
              </w:rPr>
              <w:t>(1.0–1.2)</w:t>
            </w:r>
          </w:p>
        </w:tc>
        <w:tc>
          <w:tcPr>
            <w:tcW w:w="1204" w:type="dxa"/>
          </w:tcPr>
          <w:p w14:paraId="07B2FE5F" w14:textId="77777777" w:rsidR="002A1E26" w:rsidRPr="00036373" w:rsidRDefault="002A1E26" w:rsidP="002A1E26">
            <w:pPr>
              <w:pStyle w:val="Tabletext"/>
              <w:jc w:val="center"/>
              <w:rPr>
                <w:rFonts w:cs="Arial"/>
                <w:sz w:val="14"/>
                <w:szCs w:val="14"/>
              </w:rPr>
            </w:pPr>
            <w:r w:rsidRPr="00036373">
              <w:rPr>
                <w:rFonts w:cs="Arial"/>
                <w:sz w:val="14"/>
                <w:szCs w:val="14"/>
              </w:rPr>
              <w:t>1.0</w:t>
            </w:r>
          </w:p>
          <w:p w14:paraId="24C05FEC" w14:textId="7CA021BC" w:rsidR="002A1E26" w:rsidRPr="00036373" w:rsidRDefault="002A1E26" w:rsidP="002A1E26">
            <w:pPr>
              <w:pStyle w:val="Tabletext"/>
              <w:jc w:val="center"/>
              <w:rPr>
                <w:rFonts w:cs="Arial"/>
                <w:sz w:val="14"/>
                <w:szCs w:val="14"/>
              </w:rPr>
            </w:pPr>
            <w:r w:rsidRPr="00036373">
              <w:rPr>
                <w:rFonts w:cs="Arial"/>
                <w:sz w:val="14"/>
                <w:szCs w:val="14"/>
              </w:rPr>
              <w:t>(0.9–1.1)</w:t>
            </w:r>
          </w:p>
        </w:tc>
        <w:tc>
          <w:tcPr>
            <w:tcW w:w="1027" w:type="dxa"/>
          </w:tcPr>
          <w:p w14:paraId="60CE2275" w14:textId="77777777" w:rsidR="002A1E26" w:rsidRPr="00036373" w:rsidRDefault="002A1E26" w:rsidP="002A1E26">
            <w:pPr>
              <w:pStyle w:val="Tabletext"/>
              <w:jc w:val="center"/>
              <w:rPr>
                <w:rFonts w:cs="Arial"/>
                <w:sz w:val="14"/>
                <w:szCs w:val="14"/>
              </w:rPr>
            </w:pPr>
            <w:r w:rsidRPr="00036373">
              <w:rPr>
                <w:rFonts w:cs="Arial"/>
                <w:sz w:val="14"/>
                <w:szCs w:val="14"/>
              </w:rPr>
              <w:t>1.0</w:t>
            </w:r>
          </w:p>
          <w:p w14:paraId="484C0AC6" w14:textId="4799DAE7" w:rsidR="002A1E26" w:rsidRPr="00036373" w:rsidRDefault="002A1E26" w:rsidP="002A1E26">
            <w:pPr>
              <w:pStyle w:val="Tabletext"/>
              <w:jc w:val="center"/>
              <w:rPr>
                <w:rFonts w:cs="Arial"/>
                <w:sz w:val="14"/>
                <w:szCs w:val="14"/>
              </w:rPr>
            </w:pPr>
            <w:r w:rsidRPr="00036373">
              <w:rPr>
                <w:rFonts w:cs="Arial"/>
                <w:sz w:val="14"/>
                <w:szCs w:val="14"/>
              </w:rPr>
              <w:t>(0.9–1.1)</w:t>
            </w:r>
          </w:p>
        </w:tc>
        <w:tc>
          <w:tcPr>
            <w:tcW w:w="1080" w:type="dxa"/>
          </w:tcPr>
          <w:p w14:paraId="66923636"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45FA171C" w14:textId="12369CA6" w:rsidR="002A1E26" w:rsidRPr="00036373" w:rsidRDefault="002A1E26" w:rsidP="002A1E26">
            <w:pPr>
              <w:pStyle w:val="Tabletext"/>
              <w:jc w:val="center"/>
              <w:rPr>
                <w:rFonts w:cs="Arial"/>
                <w:sz w:val="14"/>
                <w:szCs w:val="14"/>
              </w:rPr>
            </w:pPr>
            <w:r w:rsidRPr="00036373">
              <w:rPr>
                <w:rFonts w:cs="Arial"/>
                <w:sz w:val="14"/>
                <w:szCs w:val="14"/>
              </w:rPr>
              <w:t>(1.0–1.2)</w:t>
            </w:r>
          </w:p>
        </w:tc>
      </w:tr>
      <w:tr w:rsidR="002A1E26" w:rsidRPr="00036373" w14:paraId="17115C19" w14:textId="26556D02" w:rsidTr="007744CA">
        <w:trPr>
          <w:trHeight w:val="420"/>
        </w:trPr>
        <w:tc>
          <w:tcPr>
            <w:tcW w:w="1057" w:type="dxa"/>
            <w:shd w:val="clear" w:color="auto" w:fill="auto"/>
            <w:vAlign w:val="center"/>
          </w:tcPr>
          <w:p w14:paraId="7998C61B" w14:textId="4656AEDF" w:rsidR="002A1E26" w:rsidRPr="00036373" w:rsidRDefault="002A1E26" w:rsidP="002A1E26">
            <w:pPr>
              <w:pStyle w:val="Tabletext"/>
              <w:rPr>
                <w:rFonts w:cs="Arial"/>
                <w:sz w:val="14"/>
                <w:szCs w:val="14"/>
              </w:rPr>
            </w:pPr>
            <w:r w:rsidRPr="00036373">
              <w:rPr>
                <w:rFonts w:cs="Arial"/>
                <w:sz w:val="14"/>
                <w:szCs w:val="14"/>
              </w:rPr>
              <w:t>WCMICS</w:t>
            </w:r>
          </w:p>
        </w:tc>
        <w:tc>
          <w:tcPr>
            <w:tcW w:w="891" w:type="dxa"/>
            <w:shd w:val="clear" w:color="auto" w:fill="auto"/>
          </w:tcPr>
          <w:p w14:paraId="24479D87" w14:textId="77777777" w:rsidR="002A1E26" w:rsidRPr="00036373" w:rsidRDefault="002A1E26" w:rsidP="002A1E26">
            <w:pPr>
              <w:pStyle w:val="Tabletext"/>
              <w:jc w:val="center"/>
              <w:rPr>
                <w:rFonts w:cs="Arial"/>
                <w:sz w:val="14"/>
                <w:szCs w:val="14"/>
              </w:rPr>
            </w:pPr>
            <w:r w:rsidRPr="00036373">
              <w:rPr>
                <w:rFonts w:cs="Arial"/>
                <w:sz w:val="14"/>
                <w:szCs w:val="14"/>
              </w:rPr>
              <w:t>1.0</w:t>
            </w:r>
          </w:p>
          <w:p w14:paraId="43B8DF17" w14:textId="749D5D4B" w:rsidR="002A1E26" w:rsidRPr="00036373" w:rsidRDefault="002A1E26" w:rsidP="002A1E26">
            <w:pPr>
              <w:pStyle w:val="Tabletext"/>
              <w:jc w:val="center"/>
              <w:rPr>
                <w:rFonts w:cs="Arial"/>
                <w:sz w:val="14"/>
                <w:szCs w:val="14"/>
              </w:rPr>
            </w:pPr>
            <w:r w:rsidRPr="00036373">
              <w:rPr>
                <w:rFonts w:cs="Arial"/>
                <w:sz w:val="14"/>
                <w:szCs w:val="14"/>
              </w:rPr>
              <w:t>(0.9–1.1)</w:t>
            </w:r>
          </w:p>
        </w:tc>
        <w:tc>
          <w:tcPr>
            <w:tcW w:w="892" w:type="dxa"/>
            <w:shd w:val="clear" w:color="auto" w:fill="auto"/>
          </w:tcPr>
          <w:p w14:paraId="5494153F" w14:textId="77777777" w:rsidR="002A1E26" w:rsidRPr="00036373" w:rsidRDefault="002A1E26" w:rsidP="002A1E26">
            <w:pPr>
              <w:pStyle w:val="Tabletext"/>
              <w:jc w:val="center"/>
              <w:rPr>
                <w:rFonts w:cs="Arial"/>
                <w:sz w:val="14"/>
                <w:szCs w:val="14"/>
              </w:rPr>
            </w:pPr>
            <w:r w:rsidRPr="00036373">
              <w:rPr>
                <w:rFonts w:cs="Arial"/>
                <w:sz w:val="14"/>
                <w:szCs w:val="14"/>
              </w:rPr>
              <w:t>1.0</w:t>
            </w:r>
          </w:p>
          <w:p w14:paraId="647C898F" w14:textId="5F190FAC" w:rsidR="002A1E26" w:rsidRPr="00036373" w:rsidRDefault="002A1E26" w:rsidP="002A1E26">
            <w:pPr>
              <w:pStyle w:val="Tabletext"/>
              <w:jc w:val="center"/>
              <w:rPr>
                <w:rFonts w:cs="Arial"/>
                <w:sz w:val="14"/>
                <w:szCs w:val="14"/>
              </w:rPr>
            </w:pPr>
            <w:r w:rsidRPr="00036373">
              <w:rPr>
                <w:rFonts w:cs="Arial"/>
                <w:sz w:val="14"/>
                <w:szCs w:val="14"/>
              </w:rPr>
              <w:t>(0.9–1.1)</w:t>
            </w:r>
          </w:p>
        </w:tc>
        <w:tc>
          <w:tcPr>
            <w:tcW w:w="1040" w:type="dxa"/>
            <w:shd w:val="clear" w:color="auto" w:fill="auto"/>
          </w:tcPr>
          <w:p w14:paraId="10D8468E" w14:textId="77777777" w:rsidR="002A1E26" w:rsidRPr="00036373" w:rsidRDefault="002A1E26" w:rsidP="002A1E26">
            <w:pPr>
              <w:pStyle w:val="Tabletext"/>
              <w:jc w:val="center"/>
              <w:rPr>
                <w:rFonts w:cs="Arial"/>
                <w:sz w:val="14"/>
                <w:szCs w:val="14"/>
              </w:rPr>
            </w:pPr>
            <w:r w:rsidRPr="00036373">
              <w:rPr>
                <w:rFonts w:cs="Arial"/>
                <w:sz w:val="14"/>
                <w:szCs w:val="14"/>
              </w:rPr>
              <w:t>1.0</w:t>
            </w:r>
          </w:p>
          <w:p w14:paraId="1E628D09" w14:textId="396C75A1" w:rsidR="002A1E26" w:rsidRPr="00036373" w:rsidRDefault="002A1E26" w:rsidP="002A1E26">
            <w:pPr>
              <w:pStyle w:val="Tabletext"/>
              <w:jc w:val="center"/>
              <w:rPr>
                <w:rFonts w:cs="Arial"/>
                <w:sz w:val="14"/>
                <w:szCs w:val="14"/>
              </w:rPr>
            </w:pPr>
            <w:r w:rsidRPr="00036373">
              <w:rPr>
                <w:rFonts w:cs="Arial"/>
                <w:sz w:val="14"/>
                <w:szCs w:val="14"/>
              </w:rPr>
              <w:t>(0.9–1.1)</w:t>
            </w:r>
          </w:p>
        </w:tc>
        <w:tc>
          <w:tcPr>
            <w:tcW w:w="1040" w:type="dxa"/>
            <w:shd w:val="clear" w:color="auto" w:fill="auto"/>
          </w:tcPr>
          <w:p w14:paraId="2F097AEA" w14:textId="77777777" w:rsidR="002A1E26" w:rsidRPr="00036373" w:rsidRDefault="002A1E26" w:rsidP="002A1E26">
            <w:pPr>
              <w:pStyle w:val="Tabletext"/>
              <w:jc w:val="center"/>
              <w:rPr>
                <w:rFonts w:cs="Arial"/>
                <w:sz w:val="14"/>
                <w:szCs w:val="14"/>
              </w:rPr>
            </w:pPr>
            <w:r w:rsidRPr="00036373">
              <w:rPr>
                <w:rFonts w:cs="Arial"/>
                <w:sz w:val="14"/>
                <w:szCs w:val="14"/>
              </w:rPr>
              <w:t>1.0</w:t>
            </w:r>
          </w:p>
          <w:p w14:paraId="57DB6728" w14:textId="205B8BAF" w:rsidR="002A1E26" w:rsidRPr="00036373" w:rsidRDefault="002A1E26" w:rsidP="002A1E26">
            <w:pPr>
              <w:pStyle w:val="Tabletext"/>
              <w:jc w:val="center"/>
              <w:rPr>
                <w:rFonts w:cs="Arial"/>
                <w:sz w:val="14"/>
                <w:szCs w:val="14"/>
              </w:rPr>
            </w:pPr>
            <w:r w:rsidRPr="00036373">
              <w:rPr>
                <w:rFonts w:cs="Arial"/>
                <w:sz w:val="14"/>
                <w:szCs w:val="14"/>
              </w:rPr>
              <w:t>(0.9–1.1)</w:t>
            </w:r>
          </w:p>
        </w:tc>
        <w:tc>
          <w:tcPr>
            <w:tcW w:w="1040" w:type="dxa"/>
          </w:tcPr>
          <w:p w14:paraId="6091B8B7" w14:textId="77777777" w:rsidR="002A1E26" w:rsidRPr="00036373" w:rsidRDefault="002A1E26" w:rsidP="002A1E26">
            <w:pPr>
              <w:pStyle w:val="Tabletext"/>
              <w:jc w:val="center"/>
              <w:rPr>
                <w:rFonts w:cs="Arial"/>
                <w:sz w:val="14"/>
                <w:szCs w:val="14"/>
              </w:rPr>
            </w:pPr>
            <w:r w:rsidRPr="00036373">
              <w:rPr>
                <w:rFonts w:cs="Arial"/>
                <w:sz w:val="14"/>
                <w:szCs w:val="14"/>
              </w:rPr>
              <w:t>1.0</w:t>
            </w:r>
          </w:p>
          <w:p w14:paraId="22DE3162" w14:textId="1C308220" w:rsidR="002A1E26" w:rsidRPr="00036373" w:rsidRDefault="002A1E26" w:rsidP="002A1E26">
            <w:pPr>
              <w:pStyle w:val="Tabletext"/>
              <w:jc w:val="center"/>
              <w:rPr>
                <w:rFonts w:cs="Arial"/>
                <w:sz w:val="14"/>
                <w:szCs w:val="14"/>
              </w:rPr>
            </w:pPr>
            <w:r w:rsidRPr="00036373">
              <w:rPr>
                <w:rFonts w:cs="Arial"/>
                <w:sz w:val="14"/>
                <w:szCs w:val="14"/>
              </w:rPr>
              <w:t>(0.9–1.1)</w:t>
            </w:r>
          </w:p>
        </w:tc>
        <w:tc>
          <w:tcPr>
            <w:tcW w:w="1204" w:type="dxa"/>
          </w:tcPr>
          <w:p w14:paraId="70DED01E" w14:textId="77777777" w:rsidR="002A1E26" w:rsidRPr="00036373" w:rsidRDefault="002A1E26" w:rsidP="002A1E26">
            <w:pPr>
              <w:pStyle w:val="Tabletext"/>
              <w:jc w:val="center"/>
              <w:rPr>
                <w:rFonts w:cs="Arial"/>
                <w:sz w:val="14"/>
                <w:szCs w:val="14"/>
              </w:rPr>
            </w:pPr>
            <w:r w:rsidRPr="00036373">
              <w:rPr>
                <w:rFonts w:cs="Arial"/>
                <w:sz w:val="14"/>
                <w:szCs w:val="14"/>
              </w:rPr>
              <w:t>1.00</w:t>
            </w:r>
          </w:p>
          <w:p w14:paraId="606F8B17" w14:textId="376AB8FB" w:rsidR="002A1E26" w:rsidRPr="00036373" w:rsidRDefault="002A1E26" w:rsidP="002A1E26">
            <w:pPr>
              <w:pStyle w:val="Tabletext"/>
              <w:jc w:val="center"/>
              <w:rPr>
                <w:rFonts w:cs="Arial"/>
                <w:sz w:val="14"/>
                <w:szCs w:val="14"/>
              </w:rPr>
            </w:pPr>
            <w:r w:rsidRPr="00036373">
              <w:rPr>
                <w:rFonts w:cs="Arial"/>
                <w:sz w:val="14"/>
                <w:szCs w:val="14"/>
              </w:rPr>
              <w:t>(0.9–1.1)</w:t>
            </w:r>
          </w:p>
        </w:tc>
        <w:tc>
          <w:tcPr>
            <w:tcW w:w="1027" w:type="dxa"/>
            <w:vAlign w:val="center"/>
          </w:tcPr>
          <w:p w14:paraId="2778F658" w14:textId="1B656547" w:rsidR="002A1E26" w:rsidRPr="00036373" w:rsidRDefault="002A1E26" w:rsidP="002A1E26">
            <w:pPr>
              <w:pStyle w:val="Tabletext"/>
              <w:jc w:val="center"/>
              <w:rPr>
                <w:rFonts w:cs="Arial"/>
                <w:sz w:val="14"/>
                <w:szCs w:val="14"/>
              </w:rPr>
            </w:pPr>
            <w:r w:rsidRPr="00036373">
              <w:rPr>
                <w:rFonts w:cs="Arial"/>
                <w:sz w:val="14"/>
                <w:szCs w:val="14"/>
              </w:rPr>
              <w:t>Ref point</w:t>
            </w:r>
          </w:p>
        </w:tc>
        <w:tc>
          <w:tcPr>
            <w:tcW w:w="1080" w:type="dxa"/>
          </w:tcPr>
          <w:p w14:paraId="57343986"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3643A56B" w14:textId="098FA3F9" w:rsidR="002A1E26" w:rsidRPr="00036373" w:rsidRDefault="002A1E26" w:rsidP="002A1E26">
            <w:pPr>
              <w:pStyle w:val="Tabletext"/>
              <w:jc w:val="center"/>
              <w:rPr>
                <w:rFonts w:cs="Arial"/>
                <w:sz w:val="14"/>
                <w:szCs w:val="14"/>
              </w:rPr>
            </w:pPr>
            <w:r w:rsidRPr="00036373">
              <w:rPr>
                <w:rFonts w:cs="Arial"/>
                <w:sz w:val="14"/>
                <w:szCs w:val="14"/>
              </w:rPr>
              <w:t>(1.0–1.2)</w:t>
            </w:r>
          </w:p>
        </w:tc>
      </w:tr>
      <w:tr w:rsidR="002A1E26" w:rsidRPr="00036373" w14:paraId="302341BC" w14:textId="5C2DBC7B" w:rsidTr="007744CA">
        <w:trPr>
          <w:trHeight w:val="407"/>
        </w:trPr>
        <w:tc>
          <w:tcPr>
            <w:tcW w:w="1057" w:type="dxa"/>
            <w:shd w:val="clear" w:color="auto" w:fill="auto"/>
            <w:vAlign w:val="center"/>
          </w:tcPr>
          <w:p w14:paraId="76C51561" w14:textId="0200AAEF" w:rsidR="002A1E26" w:rsidRPr="00036373" w:rsidRDefault="002A1E26" w:rsidP="002A1E26">
            <w:pPr>
              <w:pStyle w:val="Tabletext"/>
              <w:rPr>
                <w:rFonts w:cs="Arial"/>
                <w:sz w:val="14"/>
                <w:szCs w:val="14"/>
              </w:rPr>
            </w:pPr>
            <w:r w:rsidRPr="00036373">
              <w:rPr>
                <w:rFonts w:cs="Arial"/>
                <w:sz w:val="14"/>
                <w:szCs w:val="14"/>
              </w:rPr>
              <w:t>BSWRICS</w:t>
            </w:r>
          </w:p>
        </w:tc>
        <w:tc>
          <w:tcPr>
            <w:tcW w:w="891" w:type="dxa"/>
            <w:shd w:val="clear" w:color="auto" w:fill="auto"/>
          </w:tcPr>
          <w:p w14:paraId="39FCE765"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33086188" w14:textId="3CD9B307" w:rsidR="002A1E26" w:rsidRPr="00036373" w:rsidRDefault="002A1E26" w:rsidP="002A1E26">
            <w:pPr>
              <w:pStyle w:val="Tabletext"/>
              <w:jc w:val="center"/>
              <w:rPr>
                <w:rFonts w:cs="Arial"/>
                <w:sz w:val="14"/>
                <w:szCs w:val="14"/>
              </w:rPr>
            </w:pPr>
            <w:r w:rsidRPr="00036373">
              <w:rPr>
                <w:rFonts w:cs="Arial"/>
                <w:sz w:val="14"/>
                <w:szCs w:val="14"/>
              </w:rPr>
              <w:t>(1.0–1.2)</w:t>
            </w:r>
          </w:p>
        </w:tc>
        <w:tc>
          <w:tcPr>
            <w:tcW w:w="892" w:type="dxa"/>
            <w:shd w:val="clear" w:color="auto" w:fill="auto"/>
          </w:tcPr>
          <w:p w14:paraId="19295188"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009B2E6C" w14:textId="5F7B338A" w:rsidR="002A1E26" w:rsidRPr="00036373" w:rsidRDefault="002A1E26" w:rsidP="002A1E26">
            <w:pPr>
              <w:pStyle w:val="Tabletext"/>
              <w:jc w:val="center"/>
              <w:rPr>
                <w:rFonts w:cs="Arial"/>
                <w:sz w:val="14"/>
                <w:szCs w:val="14"/>
              </w:rPr>
            </w:pPr>
            <w:r w:rsidRPr="00036373">
              <w:rPr>
                <w:rFonts w:cs="Arial"/>
                <w:sz w:val="14"/>
                <w:szCs w:val="14"/>
              </w:rPr>
              <w:t>(1.0–1.2)</w:t>
            </w:r>
          </w:p>
        </w:tc>
        <w:tc>
          <w:tcPr>
            <w:tcW w:w="1040" w:type="dxa"/>
            <w:shd w:val="clear" w:color="auto" w:fill="auto"/>
          </w:tcPr>
          <w:p w14:paraId="06333F78"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1B5E2B86" w14:textId="10E97F4D" w:rsidR="002A1E26" w:rsidRPr="00036373" w:rsidRDefault="002A1E26" w:rsidP="002A1E26">
            <w:pPr>
              <w:pStyle w:val="Tabletext"/>
              <w:jc w:val="center"/>
              <w:rPr>
                <w:rFonts w:cs="Arial"/>
                <w:sz w:val="14"/>
                <w:szCs w:val="14"/>
              </w:rPr>
            </w:pPr>
            <w:r w:rsidRPr="00036373">
              <w:rPr>
                <w:rFonts w:cs="Arial"/>
                <w:sz w:val="14"/>
                <w:szCs w:val="14"/>
              </w:rPr>
              <w:t>(1.0–1.2)</w:t>
            </w:r>
          </w:p>
        </w:tc>
        <w:tc>
          <w:tcPr>
            <w:tcW w:w="1040" w:type="dxa"/>
            <w:shd w:val="clear" w:color="auto" w:fill="auto"/>
          </w:tcPr>
          <w:p w14:paraId="47BBC7F9" w14:textId="77777777" w:rsidR="002A1E26" w:rsidRPr="00036373" w:rsidRDefault="002A1E26" w:rsidP="002A1E26">
            <w:pPr>
              <w:pStyle w:val="Tabletext"/>
              <w:jc w:val="center"/>
              <w:rPr>
                <w:rFonts w:cs="Arial"/>
                <w:sz w:val="14"/>
                <w:szCs w:val="14"/>
              </w:rPr>
            </w:pPr>
            <w:r w:rsidRPr="00036373">
              <w:rPr>
                <w:rFonts w:cs="Arial"/>
                <w:sz w:val="14"/>
                <w:szCs w:val="14"/>
              </w:rPr>
              <w:t>1.2</w:t>
            </w:r>
          </w:p>
          <w:p w14:paraId="6F9E8A0F" w14:textId="730A8586" w:rsidR="002A1E26" w:rsidRPr="00036373" w:rsidRDefault="002A1E26" w:rsidP="002A1E26">
            <w:pPr>
              <w:pStyle w:val="Tabletext"/>
              <w:jc w:val="center"/>
              <w:rPr>
                <w:rFonts w:cs="Arial"/>
                <w:sz w:val="14"/>
                <w:szCs w:val="14"/>
              </w:rPr>
            </w:pPr>
            <w:r w:rsidRPr="00036373">
              <w:rPr>
                <w:rFonts w:cs="Arial"/>
                <w:sz w:val="14"/>
                <w:szCs w:val="14"/>
              </w:rPr>
              <w:t>(1.1–1.3)</w:t>
            </w:r>
          </w:p>
        </w:tc>
        <w:tc>
          <w:tcPr>
            <w:tcW w:w="1040" w:type="dxa"/>
          </w:tcPr>
          <w:p w14:paraId="79AFD4C2" w14:textId="77777777" w:rsidR="002A1E26" w:rsidRPr="00036373" w:rsidRDefault="002A1E26" w:rsidP="002A1E26">
            <w:pPr>
              <w:pStyle w:val="Tabletext"/>
              <w:jc w:val="center"/>
              <w:rPr>
                <w:rFonts w:cs="Arial"/>
                <w:sz w:val="14"/>
                <w:szCs w:val="14"/>
              </w:rPr>
            </w:pPr>
            <w:r w:rsidRPr="00036373">
              <w:rPr>
                <w:rFonts w:cs="Arial"/>
                <w:sz w:val="14"/>
                <w:szCs w:val="14"/>
              </w:rPr>
              <w:t xml:space="preserve">1.1 </w:t>
            </w:r>
          </w:p>
          <w:p w14:paraId="7FDA4F7A" w14:textId="61A7B3F6" w:rsidR="002A1E26" w:rsidRPr="00036373" w:rsidRDefault="002A1E26" w:rsidP="002A1E26">
            <w:pPr>
              <w:pStyle w:val="Tabletext"/>
              <w:jc w:val="center"/>
              <w:rPr>
                <w:rFonts w:cs="Arial"/>
                <w:sz w:val="14"/>
                <w:szCs w:val="14"/>
              </w:rPr>
            </w:pPr>
            <w:r w:rsidRPr="00036373">
              <w:rPr>
                <w:rFonts w:cs="Arial"/>
                <w:sz w:val="14"/>
                <w:szCs w:val="14"/>
              </w:rPr>
              <w:t>(0.9–1.2)</w:t>
            </w:r>
          </w:p>
        </w:tc>
        <w:tc>
          <w:tcPr>
            <w:tcW w:w="1204" w:type="dxa"/>
          </w:tcPr>
          <w:p w14:paraId="3C5AC957"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2269BB1B" w14:textId="51769586" w:rsidR="002A1E26" w:rsidRPr="00036373" w:rsidRDefault="002A1E26" w:rsidP="002A1E26">
            <w:pPr>
              <w:pStyle w:val="Tabletext"/>
              <w:jc w:val="center"/>
              <w:rPr>
                <w:rFonts w:cs="Arial"/>
                <w:sz w:val="14"/>
                <w:szCs w:val="14"/>
              </w:rPr>
            </w:pPr>
            <w:r w:rsidRPr="00036373">
              <w:rPr>
                <w:rFonts w:cs="Arial"/>
                <w:sz w:val="14"/>
                <w:szCs w:val="14"/>
              </w:rPr>
              <w:t>(1.0–1.2)</w:t>
            </w:r>
          </w:p>
        </w:tc>
        <w:tc>
          <w:tcPr>
            <w:tcW w:w="1027" w:type="dxa"/>
          </w:tcPr>
          <w:p w14:paraId="2832108F"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2169BD1B" w14:textId="347F70AC" w:rsidR="002A1E26" w:rsidRPr="00036373" w:rsidRDefault="002A1E26" w:rsidP="002A1E26">
            <w:pPr>
              <w:pStyle w:val="Tabletext"/>
              <w:jc w:val="center"/>
              <w:rPr>
                <w:rFonts w:cs="Arial"/>
                <w:sz w:val="14"/>
                <w:szCs w:val="14"/>
              </w:rPr>
            </w:pPr>
            <w:r w:rsidRPr="00036373">
              <w:rPr>
                <w:rFonts w:cs="Arial"/>
                <w:sz w:val="14"/>
                <w:szCs w:val="14"/>
              </w:rPr>
              <w:t>(1.0–1.3)</w:t>
            </w:r>
          </w:p>
        </w:tc>
        <w:tc>
          <w:tcPr>
            <w:tcW w:w="1080" w:type="dxa"/>
          </w:tcPr>
          <w:p w14:paraId="11451C7A" w14:textId="77777777" w:rsidR="002A1E26" w:rsidRPr="00036373" w:rsidRDefault="002A1E26" w:rsidP="002A1E26">
            <w:pPr>
              <w:pStyle w:val="Tabletext"/>
              <w:jc w:val="center"/>
              <w:rPr>
                <w:rFonts w:cs="Arial"/>
                <w:sz w:val="14"/>
                <w:szCs w:val="14"/>
              </w:rPr>
            </w:pPr>
            <w:r w:rsidRPr="00036373">
              <w:rPr>
                <w:rFonts w:cs="Arial"/>
                <w:sz w:val="14"/>
                <w:szCs w:val="14"/>
              </w:rPr>
              <w:t>1.2</w:t>
            </w:r>
          </w:p>
          <w:p w14:paraId="61A4A6E1" w14:textId="23622E8B" w:rsidR="002A1E26" w:rsidRPr="00036373" w:rsidRDefault="002A1E26" w:rsidP="002A1E26">
            <w:pPr>
              <w:pStyle w:val="Tabletext"/>
              <w:jc w:val="center"/>
              <w:rPr>
                <w:rFonts w:cs="Arial"/>
                <w:sz w:val="14"/>
                <w:szCs w:val="14"/>
              </w:rPr>
            </w:pPr>
            <w:r w:rsidRPr="00036373">
              <w:rPr>
                <w:rFonts w:cs="Arial"/>
                <w:sz w:val="14"/>
                <w:szCs w:val="14"/>
              </w:rPr>
              <w:t>(1.1–1.3)</w:t>
            </w:r>
          </w:p>
        </w:tc>
      </w:tr>
      <w:tr w:rsidR="002A1E26" w:rsidRPr="00036373" w14:paraId="47B13D0F" w14:textId="04A2EAAC" w:rsidTr="007744CA">
        <w:trPr>
          <w:trHeight w:val="420"/>
        </w:trPr>
        <w:tc>
          <w:tcPr>
            <w:tcW w:w="1057" w:type="dxa"/>
            <w:shd w:val="clear" w:color="auto" w:fill="auto"/>
            <w:vAlign w:val="center"/>
          </w:tcPr>
          <w:p w14:paraId="63942F6F" w14:textId="0B3C72B3" w:rsidR="002A1E26" w:rsidRPr="00036373" w:rsidRDefault="002A1E26" w:rsidP="002A1E26">
            <w:pPr>
              <w:pStyle w:val="Tabletext"/>
              <w:rPr>
                <w:rFonts w:cs="Arial"/>
                <w:sz w:val="14"/>
                <w:szCs w:val="14"/>
              </w:rPr>
            </w:pPr>
            <w:r w:rsidRPr="00036373">
              <w:rPr>
                <w:rFonts w:cs="Arial"/>
                <w:sz w:val="14"/>
                <w:szCs w:val="14"/>
              </w:rPr>
              <w:t>GRICS</w:t>
            </w:r>
          </w:p>
        </w:tc>
        <w:tc>
          <w:tcPr>
            <w:tcW w:w="891" w:type="dxa"/>
            <w:shd w:val="clear" w:color="auto" w:fill="auto"/>
          </w:tcPr>
          <w:p w14:paraId="7BAD3697"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4F0D1B84" w14:textId="06B5DC14" w:rsidR="002A1E26" w:rsidRPr="00036373" w:rsidRDefault="002A1E26" w:rsidP="002A1E26">
            <w:pPr>
              <w:pStyle w:val="Tabletext"/>
              <w:jc w:val="center"/>
              <w:rPr>
                <w:rFonts w:cs="Arial"/>
                <w:sz w:val="14"/>
                <w:szCs w:val="14"/>
              </w:rPr>
            </w:pPr>
            <w:r w:rsidRPr="00036373">
              <w:rPr>
                <w:rFonts w:cs="Arial"/>
                <w:sz w:val="14"/>
                <w:szCs w:val="14"/>
              </w:rPr>
              <w:t>(1.0–1.2)</w:t>
            </w:r>
          </w:p>
        </w:tc>
        <w:tc>
          <w:tcPr>
            <w:tcW w:w="892" w:type="dxa"/>
            <w:shd w:val="clear" w:color="auto" w:fill="auto"/>
          </w:tcPr>
          <w:p w14:paraId="487890F1"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44E578BC" w14:textId="14753138" w:rsidR="002A1E26" w:rsidRPr="00036373" w:rsidRDefault="002A1E26" w:rsidP="002A1E26">
            <w:pPr>
              <w:pStyle w:val="Tabletext"/>
              <w:jc w:val="center"/>
              <w:rPr>
                <w:rFonts w:cs="Arial"/>
                <w:sz w:val="14"/>
                <w:szCs w:val="14"/>
              </w:rPr>
            </w:pPr>
            <w:r w:rsidRPr="00036373">
              <w:rPr>
                <w:rFonts w:cs="Arial"/>
                <w:sz w:val="14"/>
                <w:szCs w:val="14"/>
              </w:rPr>
              <w:t>(1.0–1.2)</w:t>
            </w:r>
          </w:p>
        </w:tc>
        <w:tc>
          <w:tcPr>
            <w:tcW w:w="1040" w:type="dxa"/>
            <w:shd w:val="clear" w:color="auto" w:fill="auto"/>
          </w:tcPr>
          <w:p w14:paraId="78FB0B1E"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32559FB6" w14:textId="68C57055" w:rsidR="002A1E26" w:rsidRPr="00036373" w:rsidRDefault="002A1E26" w:rsidP="002A1E26">
            <w:pPr>
              <w:pStyle w:val="Tabletext"/>
              <w:jc w:val="center"/>
              <w:rPr>
                <w:rFonts w:cs="Arial"/>
                <w:sz w:val="14"/>
                <w:szCs w:val="14"/>
              </w:rPr>
            </w:pPr>
            <w:r w:rsidRPr="00036373">
              <w:rPr>
                <w:rFonts w:cs="Arial"/>
                <w:sz w:val="14"/>
                <w:szCs w:val="14"/>
              </w:rPr>
              <w:t>(1.0–1.2)</w:t>
            </w:r>
          </w:p>
        </w:tc>
        <w:tc>
          <w:tcPr>
            <w:tcW w:w="1040" w:type="dxa"/>
            <w:shd w:val="clear" w:color="auto" w:fill="auto"/>
          </w:tcPr>
          <w:p w14:paraId="0AF2112E" w14:textId="77777777" w:rsidR="002A1E26" w:rsidRPr="00036373" w:rsidRDefault="002A1E26" w:rsidP="002A1E26">
            <w:pPr>
              <w:pStyle w:val="Tabletext"/>
              <w:jc w:val="center"/>
              <w:rPr>
                <w:rFonts w:cs="Arial"/>
                <w:sz w:val="14"/>
                <w:szCs w:val="14"/>
              </w:rPr>
            </w:pPr>
            <w:r w:rsidRPr="00036373">
              <w:rPr>
                <w:rFonts w:cs="Arial"/>
                <w:sz w:val="14"/>
                <w:szCs w:val="14"/>
              </w:rPr>
              <w:t>1.2</w:t>
            </w:r>
          </w:p>
          <w:p w14:paraId="19DCD3AC" w14:textId="75B1546C" w:rsidR="002A1E26" w:rsidRPr="00036373" w:rsidRDefault="002A1E26" w:rsidP="002A1E26">
            <w:pPr>
              <w:pStyle w:val="Tabletext"/>
              <w:jc w:val="center"/>
              <w:rPr>
                <w:rFonts w:cs="Arial"/>
                <w:sz w:val="14"/>
                <w:szCs w:val="14"/>
              </w:rPr>
            </w:pPr>
            <w:r w:rsidRPr="00036373">
              <w:rPr>
                <w:rFonts w:cs="Arial"/>
                <w:sz w:val="14"/>
                <w:szCs w:val="14"/>
              </w:rPr>
              <w:t>(1.1–1.3)</w:t>
            </w:r>
          </w:p>
        </w:tc>
        <w:tc>
          <w:tcPr>
            <w:tcW w:w="1040" w:type="dxa"/>
          </w:tcPr>
          <w:p w14:paraId="3B9386A7" w14:textId="77777777" w:rsidR="002A1E26" w:rsidRPr="00036373" w:rsidRDefault="002A1E26" w:rsidP="002A1E26">
            <w:pPr>
              <w:pStyle w:val="Tabletext"/>
              <w:jc w:val="center"/>
              <w:rPr>
                <w:rFonts w:cs="Arial"/>
                <w:sz w:val="14"/>
                <w:szCs w:val="14"/>
              </w:rPr>
            </w:pPr>
            <w:r w:rsidRPr="00036373">
              <w:rPr>
                <w:rFonts w:cs="Arial"/>
                <w:sz w:val="14"/>
                <w:szCs w:val="14"/>
              </w:rPr>
              <w:t xml:space="preserve">1.2 </w:t>
            </w:r>
          </w:p>
          <w:p w14:paraId="16F5175E" w14:textId="698201FF" w:rsidR="002A1E26" w:rsidRPr="00036373" w:rsidRDefault="002A1E26" w:rsidP="002A1E26">
            <w:pPr>
              <w:pStyle w:val="Tabletext"/>
              <w:jc w:val="center"/>
              <w:rPr>
                <w:rFonts w:cs="Arial"/>
                <w:sz w:val="14"/>
                <w:szCs w:val="14"/>
              </w:rPr>
            </w:pPr>
            <w:r w:rsidRPr="00036373">
              <w:rPr>
                <w:rFonts w:cs="Arial"/>
                <w:sz w:val="14"/>
                <w:szCs w:val="14"/>
              </w:rPr>
              <w:t>(1.1–1.3)</w:t>
            </w:r>
          </w:p>
        </w:tc>
        <w:tc>
          <w:tcPr>
            <w:tcW w:w="1204" w:type="dxa"/>
          </w:tcPr>
          <w:p w14:paraId="74457747" w14:textId="77777777" w:rsidR="002A1E26" w:rsidRPr="00036373" w:rsidRDefault="002A1E26" w:rsidP="002A1E26">
            <w:pPr>
              <w:pStyle w:val="Tabletext"/>
              <w:jc w:val="center"/>
              <w:rPr>
                <w:rFonts w:cs="Arial"/>
                <w:sz w:val="14"/>
                <w:szCs w:val="14"/>
              </w:rPr>
            </w:pPr>
            <w:r w:rsidRPr="00036373">
              <w:rPr>
                <w:rFonts w:cs="Arial"/>
                <w:sz w:val="14"/>
                <w:szCs w:val="14"/>
              </w:rPr>
              <w:t>1.2</w:t>
            </w:r>
          </w:p>
          <w:p w14:paraId="0A6840D8" w14:textId="5515F3ED" w:rsidR="002A1E26" w:rsidRPr="00036373" w:rsidRDefault="002A1E26" w:rsidP="002A1E26">
            <w:pPr>
              <w:pStyle w:val="Tabletext"/>
              <w:jc w:val="center"/>
              <w:rPr>
                <w:rFonts w:cs="Arial"/>
                <w:sz w:val="14"/>
                <w:szCs w:val="14"/>
              </w:rPr>
            </w:pPr>
            <w:r w:rsidRPr="00036373">
              <w:rPr>
                <w:rFonts w:cs="Arial"/>
                <w:sz w:val="14"/>
                <w:szCs w:val="14"/>
              </w:rPr>
              <w:t>(1.1–1.3)</w:t>
            </w:r>
          </w:p>
        </w:tc>
        <w:tc>
          <w:tcPr>
            <w:tcW w:w="1027" w:type="dxa"/>
          </w:tcPr>
          <w:p w14:paraId="1561509D" w14:textId="77777777" w:rsidR="002A1E26" w:rsidRPr="00036373" w:rsidRDefault="002A1E26" w:rsidP="002A1E26">
            <w:pPr>
              <w:pStyle w:val="Tabletext"/>
              <w:jc w:val="center"/>
              <w:rPr>
                <w:rFonts w:cs="Arial"/>
                <w:sz w:val="14"/>
                <w:szCs w:val="14"/>
              </w:rPr>
            </w:pPr>
            <w:r w:rsidRPr="00036373">
              <w:rPr>
                <w:rFonts w:cs="Arial"/>
                <w:sz w:val="14"/>
                <w:szCs w:val="14"/>
              </w:rPr>
              <w:t xml:space="preserve">1.0 </w:t>
            </w:r>
          </w:p>
          <w:p w14:paraId="3D297DC7" w14:textId="124FA9F0" w:rsidR="002A1E26" w:rsidRPr="00036373" w:rsidRDefault="002A1E26" w:rsidP="002A1E26">
            <w:pPr>
              <w:pStyle w:val="Tabletext"/>
              <w:jc w:val="center"/>
              <w:rPr>
                <w:rFonts w:cs="Arial"/>
                <w:sz w:val="14"/>
                <w:szCs w:val="14"/>
              </w:rPr>
            </w:pPr>
            <w:r w:rsidRPr="00036373">
              <w:rPr>
                <w:rFonts w:cs="Arial"/>
                <w:sz w:val="14"/>
                <w:szCs w:val="14"/>
              </w:rPr>
              <w:t>(0.9–1.1)</w:t>
            </w:r>
          </w:p>
        </w:tc>
        <w:tc>
          <w:tcPr>
            <w:tcW w:w="1080" w:type="dxa"/>
          </w:tcPr>
          <w:p w14:paraId="0500FE61" w14:textId="77777777" w:rsidR="002A1E26" w:rsidRPr="00036373" w:rsidRDefault="002A1E26" w:rsidP="002A1E26">
            <w:pPr>
              <w:pStyle w:val="Tabletext"/>
              <w:jc w:val="center"/>
              <w:rPr>
                <w:rFonts w:cs="Arial"/>
                <w:sz w:val="14"/>
                <w:szCs w:val="14"/>
              </w:rPr>
            </w:pPr>
            <w:r w:rsidRPr="00036373">
              <w:rPr>
                <w:rFonts w:cs="Arial"/>
                <w:sz w:val="14"/>
                <w:szCs w:val="14"/>
              </w:rPr>
              <w:t>1.2</w:t>
            </w:r>
          </w:p>
          <w:p w14:paraId="79116F4B" w14:textId="122B9081" w:rsidR="002A1E26" w:rsidRPr="00036373" w:rsidRDefault="002A1E26" w:rsidP="002A1E26">
            <w:pPr>
              <w:pStyle w:val="Tabletext"/>
              <w:jc w:val="center"/>
              <w:rPr>
                <w:rFonts w:cs="Arial"/>
                <w:sz w:val="14"/>
                <w:szCs w:val="14"/>
              </w:rPr>
            </w:pPr>
            <w:r w:rsidRPr="00036373">
              <w:rPr>
                <w:rFonts w:cs="Arial"/>
                <w:sz w:val="14"/>
                <w:szCs w:val="14"/>
              </w:rPr>
              <w:t>(1.1–1.3)</w:t>
            </w:r>
          </w:p>
        </w:tc>
      </w:tr>
      <w:tr w:rsidR="002A1E26" w:rsidRPr="00036373" w14:paraId="388D0094" w14:textId="2CE793E6" w:rsidTr="007744CA">
        <w:trPr>
          <w:trHeight w:val="420"/>
        </w:trPr>
        <w:tc>
          <w:tcPr>
            <w:tcW w:w="1057" w:type="dxa"/>
            <w:shd w:val="clear" w:color="auto" w:fill="auto"/>
            <w:vAlign w:val="center"/>
          </w:tcPr>
          <w:p w14:paraId="0FBCB840" w14:textId="591B4DF4" w:rsidR="002A1E26" w:rsidRPr="00036373" w:rsidRDefault="002A1E26" w:rsidP="002A1E26">
            <w:pPr>
              <w:pStyle w:val="Tabletext"/>
              <w:rPr>
                <w:rFonts w:cs="Arial"/>
                <w:sz w:val="14"/>
                <w:szCs w:val="14"/>
              </w:rPr>
            </w:pPr>
            <w:r w:rsidRPr="00036373">
              <w:rPr>
                <w:rFonts w:cs="Arial"/>
                <w:sz w:val="14"/>
                <w:szCs w:val="14"/>
              </w:rPr>
              <w:t>HRICS</w:t>
            </w:r>
          </w:p>
        </w:tc>
        <w:tc>
          <w:tcPr>
            <w:tcW w:w="891" w:type="dxa"/>
            <w:shd w:val="clear" w:color="auto" w:fill="auto"/>
          </w:tcPr>
          <w:p w14:paraId="35F15D3F"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3D65258E" w14:textId="09C89827" w:rsidR="002A1E26" w:rsidRPr="00036373" w:rsidRDefault="002A1E26" w:rsidP="002A1E26">
            <w:pPr>
              <w:pStyle w:val="Tabletext"/>
              <w:jc w:val="center"/>
              <w:rPr>
                <w:rFonts w:cs="Arial"/>
                <w:sz w:val="14"/>
                <w:szCs w:val="14"/>
              </w:rPr>
            </w:pPr>
            <w:r w:rsidRPr="00036373">
              <w:rPr>
                <w:rFonts w:cs="Arial"/>
                <w:sz w:val="14"/>
                <w:szCs w:val="14"/>
              </w:rPr>
              <w:t>(1.0–1.2)</w:t>
            </w:r>
          </w:p>
        </w:tc>
        <w:tc>
          <w:tcPr>
            <w:tcW w:w="892" w:type="dxa"/>
            <w:shd w:val="clear" w:color="auto" w:fill="auto"/>
          </w:tcPr>
          <w:p w14:paraId="66A864F2" w14:textId="77777777" w:rsidR="002A1E26" w:rsidRPr="00036373" w:rsidRDefault="002A1E26" w:rsidP="002A1E26">
            <w:pPr>
              <w:pStyle w:val="Tabletext"/>
              <w:jc w:val="center"/>
              <w:rPr>
                <w:rFonts w:cs="Arial"/>
                <w:sz w:val="14"/>
                <w:szCs w:val="14"/>
              </w:rPr>
            </w:pPr>
            <w:r w:rsidRPr="00036373">
              <w:rPr>
                <w:rFonts w:cs="Arial"/>
                <w:sz w:val="14"/>
                <w:szCs w:val="14"/>
              </w:rPr>
              <w:t>1.2</w:t>
            </w:r>
          </w:p>
          <w:p w14:paraId="6C5E9E90" w14:textId="75B1EE5A" w:rsidR="002A1E26" w:rsidRPr="00036373" w:rsidRDefault="002A1E26" w:rsidP="002A1E26">
            <w:pPr>
              <w:pStyle w:val="Tabletext"/>
              <w:jc w:val="center"/>
              <w:rPr>
                <w:rFonts w:cs="Arial"/>
                <w:sz w:val="14"/>
                <w:szCs w:val="14"/>
              </w:rPr>
            </w:pPr>
            <w:r w:rsidRPr="00036373">
              <w:rPr>
                <w:rFonts w:cs="Arial"/>
                <w:sz w:val="14"/>
                <w:szCs w:val="14"/>
              </w:rPr>
              <w:t>(1.1–1.3)</w:t>
            </w:r>
          </w:p>
        </w:tc>
        <w:tc>
          <w:tcPr>
            <w:tcW w:w="1040" w:type="dxa"/>
            <w:shd w:val="clear" w:color="auto" w:fill="auto"/>
          </w:tcPr>
          <w:p w14:paraId="11A5D279"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04F5DC53" w14:textId="79735207" w:rsidR="002A1E26" w:rsidRPr="00036373" w:rsidRDefault="002A1E26" w:rsidP="002A1E26">
            <w:pPr>
              <w:pStyle w:val="Tabletext"/>
              <w:jc w:val="center"/>
              <w:rPr>
                <w:rFonts w:cs="Arial"/>
                <w:sz w:val="14"/>
                <w:szCs w:val="14"/>
              </w:rPr>
            </w:pPr>
            <w:r w:rsidRPr="00036373">
              <w:rPr>
                <w:rFonts w:cs="Arial"/>
                <w:sz w:val="14"/>
                <w:szCs w:val="14"/>
              </w:rPr>
              <w:t>(1.0–1.2)</w:t>
            </w:r>
          </w:p>
        </w:tc>
        <w:tc>
          <w:tcPr>
            <w:tcW w:w="1040" w:type="dxa"/>
            <w:shd w:val="clear" w:color="auto" w:fill="auto"/>
          </w:tcPr>
          <w:p w14:paraId="5E677A07" w14:textId="77777777" w:rsidR="002A1E26" w:rsidRPr="00036373" w:rsidRDefault="002A1E26" w:rsidP="002A1E26">
            <w:pPr>
              <w:pStyle w:val="Tabletext"/>
              <w:jc w:val="center"/>
              <w:rPr>
                <w:rFonts w:cs="Arial"/>
                <w:sz w:val="14"/>
                <w:szCs w:val="14"/>
              </w:rPr>
            </w:pPr>
            <w:r w:rsidRPr="00036373">
              <w:rPr>
                <w:rFonts w:cs="Arial"/>
                <w:sz w:val="14"/>
                <w:szCs w:val="14"/>
              </w:rPr>
              <w:t>1.2</w:t>
            </w:r>
          </w:p>
          <w:p w14:paraId="6711FFBE" w14:textId="279D7D6C" w:rsidR="002A1E26" w:rsidRPr="00036373" w:rsidRDefault="002A1E26" w:rsidP="002A1E26">
            <w:pPr>
              <w:pStyle w:val="Tabletext"/>
              <w:jc w:val="center"/>
              <w:rPr>
                <w:rFonts w:cs="Arial"/>
                <w:sz w:val="14"/>
                <w:szCs w:val="14"/>
              </w:rPr>
            </w:pPr>
            <w:r w:rsidRPr="00036373">
              <w:rPr>
                <w:rFonts w:cs="Arial"/>
                <w:sz w:val="14"/>
                <w:szCs w:val="14"/>
              </w:rPr>
              <w:t>(1.1–1.3)</w:t>
            </w:r>
          </w:p>
        </w:tc>
        <w:tc>
          <w:tcPr>
            <w:tcW w:w="1040" w:type="dxa"/>
          </w:tcPr>
          <w:p w14:paraId="50C7DD90" w14:textId="77777777" w:rsidR="002A1E26" w:rsidRPr="00036373" w:rsidRDefault="002A1E26" w:rsidP="002A1E26">
            <w:pPr>
              <w:pStyle w:val="Tabletext"/>
              <w:jc w:val="center"/>
              <w:rPr>
                <w:rFonts w:cs="Arial"/>
                <w:sz w:val="14"/>
                <w:szCs w:val="14"/>
              </w:rPr>
            </w:pPr>
            <w:r w:rsidRPr="00036373">
              <w:rPr>
                <w:rFonts w:cs="Arial"/>
                <w:sz w:val="14"/>
                <w:szCs w:val="14"/>
              </w:rPr>
              <w:t>1.3</w:t>
            </w:r>
          </w:p>
          <w:p w14:paraId="10844FC3" w14:textId="029E101A" w:rsidR="002A1E26" w:rsidRPr="00036373" w:rsidRDefault="002A1E26" w:rsidP="002A1E26">
            <w:pPr>
              <w:pStyle w:val="Tabletext"/>
              <w:jc w:val="center"/>
              <w:rPr>
                <w:rFonts w:cs="Arial"/>
                <w:sz w:val="14"/>
                <w:szCs w:val="14"/>
              </w:rPr>
            </w:pPr>
            <w:r w:rsidRPr="00036373">
              <w:rPr>
                <w:rFonts w:cs="Arial"/>
                <w:sz w:val="14"/>
                <w:szCs w:val="14"/>
              </w:rPr>
              <w:t>(1.1–1.4)</w:t>
            </w:r>
          </w:p>
        </w:tc>
        <w:tc>
          <w:tcPr>
            <w:tcW w:w="1204" w:type="dxa"/>
          </w:tcPr>
          <w:p w14:paraId="42346FDD"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0E41C1D0" w14:textId="7B6C8340" w:rsidR="002A1E26" w:rsidRPr="00036373" w:rsidRDefault="002A1E26" w:rsidP="002A1E26">
            <w:pPr>
              <w:pStyle w:val="Tabletext"/>
              <w:jc w:val="center"/>
              <w:rPr>
                <w:rFonts w:cs="Arial"/>
                <w:sz w:val="14"/>
                <w:szCs w:val="14"/>
              </w:rPr>
            </w:pPr>
            <w:r w:rsidRPr="00036373">
              <w:rPr>
                <w:rFonts w:cs="Arial"/>
                <w:sz w:val="14"/>
                <w:szCs w:val="14"/>
              </w:rPr>
              <w:t>(1.0–1.2)</w:t>
            </w:r>
          </w:p>
        </w:tc>
        <w:tc>
          <w:tcPr>
            <w:tcW w:w="1027" w:type="dxa"/>
          </w:tcPr>
          <w:p w14:paraId="21F6D504"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371F203C" w14:textId="7EE1C196" w:rsidR="002A1E26" w:rsidRPr="00036373" w:rsidRDefault="002A1E26" w:rsidP="002A1E26">
            <w:pPr>
              <w:pStyle w:val="Tabletext"/>
              <w:jc w:val="center"/>
              <w:rPr>
                <w:rFonts w:cs="Arial"/>
                <w:sz w:val="14"/>
                <w:szCs w:val="14"/>
              </w:rPr>
            </w:pPr>
            <w:r w:rsidRPr="00036373">
              <w:rPr>
                <w:rFonts w:cs="Arial"/>
                <w:sz w:val="14"/>
                <w:szCs w:val="14"/>
              </w:rPr>
              <w:t>(1.0–1.2)</w:t>
            </w:r>
          </w:p>
        </w:tc>
        <w:tc>
          <w:tcPr>
            <w:tcW w:w="1080" w:type="dxa"/>
          </w:tcPr>
          <w:p w14:paraId="5EC4F2FF" w14:textId="77777777" w:rsidR="002A1E26" w:rsidRPr="00036373" w:rsidRDefault="002A1E26" w:rsidP="002A1E26">
            <w:pPr>
              <w:pStyle w:val="Tabletext"/>
              <w:jc w:val="center"/>
              <w:rPr>
                <w:rFonts w:cs="Arial"/>
                <w:sz w:val="14"/>
                <w:szCs w:val="14"/>
              </w:rPr>
            </w:pPr>
            <w:r w:rsidRPr="00036373">
              <w:rPr>
                <w:rFonts w:cs="Arial"/>
                <w:sz w:val="14"/>
                <w:szCs w:val="14"/>
              </w:rPr>
              <w:t>1.2</w:t>
            </w:r>
          </w:p>
          <w:p w14:paraId="4B219793" w14:textId="44AB0C9C" w:rsidR="002A1E26" w:rsidRPr="00036373" w:rsidRDefault="002A1E26" w:rsidP="002A1E26">
            <w:pPr>
              <w:pStyle w:val="Tabletext"/>
              <w:jc w:val="center"/>
              <w:rPr>
                <w:rFonts w:cs="Arial"/>
                <w:sz w:val="14"/>
                <w:szCs w:val="14"/>
              </w:rPr>
            </w:pPr>
            <w:r w:rsidRPr="00036373">
              <w:rPr>
                <w:rFonts w:cs="Arial"/>
                <w:sz w:val="14"/>
                <w:szCs w:val="14"/>
              </w:rPr>
              <w:t>(1.1–1.3)</w:t>
            </w:r>
          </w:p>
        </w:tc>
      </w:tr>
      <w:tr w:rsidR="002A1E26" w:rsidRPr="00036373" w14:paraId="6067954A" w14:textId="62C0C502" w:rsidTr="007744CA">
        <w:trPr>
          <w:trHeight w:val="407"/>
        </w:trPr>
        <w:tc>
          <w:tcPr>
            <w:tcW w:w="1057" w:type="dxa"/>
            <w:shd w:val="clear" w:color="auto" w:fill="auto"/>
            <w:vAlign w:val="center"/>
          </w:tcPr>
          <w:p w14:paraId="03FC6471" w14:textId="6B21926F" w:rsidR="002A1E26" w:rsidRPr="00036373" w:rsidRDefault="002A1E26" w:rsidP="002A1E26">
            <w:pPr>
              <w:pStyle w:val="Tabletext"/>
              <w:rPr>
                <w:rFonts w:cs="Arial"/>
                <w:sz w:val="14"/>
                <w:szCs w:val="14"/>
              </w:rPr>
            </w:pPr>
            <w:r w:rsidRPr="00036373">
              <w:rPr>
                <w:rFonts w:cs="Arial"/>
                <w:sz w:val="14"/>
                <w:szCs w:val="14"/>
              </w:rPr>
              <w:t>LMICS</w:t>
            </w:r>
          </w:p>
        </w:tc>
        <w:tc>
          <w:tcPr>
            <w:tcW w:w="891" w:type="dxa"/>
            <w:shd w:val="clear" w:color="auto" w:fill="auto"/>
          </w:tcPr>
          <w:p w14:paraId="1C7CCD34"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7F0CB895" w14:textId="1B389042" w:rsidR="002A1E26" w:rsidRPr="00036373" w:rsidRDefault="002A1E26" w:rsidP="002A1E26">
            <w:pPr>
              <w:pStyle w:val="Tabletext"/>
              <w:jc w:val="center"/>
              <w:rPr>
                <w:rFonts w:cs="Arial"/>
                <w:sz w:val="14"/>
                <w:szCs w:val="14"/>
              </w:rPr>
            </w:pPr>
            <w:r w:rsidRPr="00036373">
              <w:rPr>
                <w:rFonts w:cs="Arial"/>
                <w:sz w:val="14"/>
                <w:szCs w:val="14"/>
              </w:rPr>
              <w:t>(1.0–1.2)</w:t>
            </w:r>
          </w:p>
        </w:tc>
        <w:tc>
          <w:tcPr>
            <w:tcW w:w="892" w:type="dxa"/>
            <w:shd w:val="clear" w:color="auto" w:fill="auto"/>
          </w:tcPr>
          <w:p w14:paraId="37B5F407"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26123014" w14:textId="169F3B48" w:rsidR="002A1E26" w:rsidRPr="00036373" w:rsidRDefault="002A1E26" w:rsidP="002A1E26">
            <w:pPr>
              <w:pStyle w:val="Tabletext"/>
              <w:jc w:val="center"/>
              <w:rPr>
                <w:rFonts w:cs="Arial"/>
                <w:sz w:val="14"/>
                <w:szCs w:val="14"/>
              </w:rPr>
            </w:pPr>
            <w:r w:rsidRPr="00036373">
              <w:rPr>
                <w:rFonts w:cs="Arial"/>
                <w:sz w:val="14"/>
                <w:szCs w:val="14"/>
              </w:rPr>
              <w:t>(1.0–1.2)</w:t>
            </w:r>
          </w:p>
        </w:tc>
        <w:tc>
          <w:tcPr>
            <w:tcW w:w="1040" w:type="dxa"/>
            <w:shd w:val="clear" w:color="auto" w:fill="auto"/>
          </w:tcPr>
          <w:p w14:paraId="75D9B441"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22CB4429" w14:textId="581EDEFC" w:rsidR="002A1E26" w:rsidRPr="00036373" w:rsidRDefault="002A1E26" w:rsidP="002A1E26">
            <w:pPr>
              <w:pStyle w:val="Tabletext"/>
              <w:jc w:val="center"/>
              <w:rPr>
                <w:rFonts w:cs="Arial"/>
                <w:sz w:val="14"/>
                <w:szCs w:val="14"/>
              </w:rPr>
            </w:pPr>
            <w:r w:rsidRPr="00036373">
              <w:rPr>
                <w:rFonts w:cs="Arial"/>
                <w:sz w:val="14"/>
                <w:szCs w:val="14"/>
              </w:rPr>
              <w:t>(1.0–1.2)</w:t>
            </w:r>
          </w:p>
        </w:tc>
        <w:tc>
          <w:tcPr>
            <w:tcW w:w="1040" w:type="dxa"/>
            <w:shd w:val="clear" w:color="auto" w:fill="auto"/>
          </w:tcPr>
          <w:p w14:paraId="75024DFB" w14:textId="77777777" w:rsidR="002A1E26" w:rsidRPr="00036373" w:rsidRDefault="002A1E26" w:rsidP="002A1E26">
            <w:pPr>
              <w:pStyle w:val="Tabletext"/>
              <w:jc w:val="center"/>
              <w:rPr>
                <w:rFonts w:cs="Arial"/>
                <w:sz w:val="14"/>
                <w:szCs w:val="14"/>
              </w:rPr>
            </w:pPr>
            <w:r w:rsidRPr="00036373">
              <w:rPr>
                <w:rFonts w:cs="Arial"/>
                <w:sz w:val="14"/>
                <w:szCs w:val="14"/>
              </w:rPr>
              <w:t>1.2</w:t>
            </w:r>
          </w:p>
          <w:p w14:paraId="6B02AB03" w14:textId="45E2C49C" w:rsidR="002A1E26" w:rsidRPr="00036373" w:rsidRDefault="002A1E26" w:rsidP="002A1E26">
            <w:pPr>
              <w:pStyle w:val="Tabletext"/>
              <w:jc w:val="center"/>
              <w:rPr>
                <w:rFonts w:cs="Arial"/>
                <w:sz w:val="14"/>
                <w:szCs w:val="14"/>
              </w:rPr>
            </w:pPr>
            <w:r w:rsidRPr="00036373">
              <w:rPr>
                <w:rFonts w:cs="Arial"/>
                <w:sz w:val="14"/>
                <w:szCs w:val="14"/>
              </w:rPr>
              <w:t>(1.1–1.3)</w:t>
            </w:r>
          </w:p>
        </w:tc>
        <w:tc>
          <w:tcPr>
            <w:tcW w:w="1040" w:type="dxa"/>
          </w:tcPr>
          <w:p w14:paraId="78082D94"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4D67CBDE" w14:textId="16F13491" w:rsidR="002A1E26" w:rsidRPr="00036373" w:rsidRDefault="002A1E26" w:rsidP="002A1E26">
            <w:pPr>
              <w:pStyle w:val="Tabletext"/>
              <w:jc w:val="center"/>
              <w:rPr>
                <w:rFonts w:cs="Arial"/>
                <w:sz w:val="14"/>
                <w:szCs w:val="14"/>
              </w:rPr>
            </w:pPr>
            <w:r w:rsidRPr="00036373">
              <w:rPr>
                <w:rFonts w:cs="Arial"/>
                <w:sz w:val="14"/>
                <w:szCs w:val="14"/>
              </w:rPr>
              <w:t>(1.0–1.2)</w:t>
            </w:r>
          </w:p>
        </w:tc>
        <w:tc>
          <w:tcPr>
            <w:tcW w:w="1204" w:type="dxa"/>
          </w:tcPr>
          <w:p w14:paraId="648765A6"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3B2FC68B" w14:textId="0D08FC84" w:rsidR="002A1E26" w:rsidRPr="00036373" w:rsidRDefault="002A1E26" w:rsidP="002A1E26">
            <w:pPr>
              <w:pStyle w:val="Tabletext"/>
              <w:jc w:val="center"/>
              <w:rPr>
                <w:rFonts w:cs="Arial"/>
                <w:sz w:val="14"/>
                <w:szCs w:val="14"/>
              </w:rPr>
            </w:pPr>
            <w:r w:rsidRPr="00036373">
              <w:rPr>
                <w:rFonts w:cs="Arial"/>
                <w:sz w:val="14"/>
                <w:szCs w:val="14"/>
              </w:rPr>
              <w:t>(1.0–1.2)</w:t>
            </w:r>
          </w:p>
        </w:tc>
        <w:tc>
          <w:tcPr>
            <w:tcW w:w="1027" w:type="dxa"/>
          </w:tcPr>
          <w:p w14:paraId="75FE0719" w14:textId="77777777" w:rsidR="002A1E26" w:rsidRPr="00036373" w:rsidRDefault="002A1E26" w:rsidP="002A1E26">
            <w:pPr>
              <w:pStyle w:val="Tabletext"/>
              <w:jc w:val="center"/>
              <w:rPr>
                <w:rFonts w:cs="Arial"/>
                <w:sz w:val="14"/>
                <w:szCs w:val="14"/>
              </w:rPr>
            </w:pPr>
            <w:r w:rsidRPr="00036373">
              <w:rPr>
                <w:rFonts w:cs="Arial"/>
                <w:sz w:val="14"/>
                <w:szCs w:val="14"/>
              </w:rPr>
              <w:t>1.0</w:t>
            </w:r>
          </w:p>
          <w:p w14:paraId="4FCF93C0" w14:textId="05153724" w:rsidR="002A1E26" w:rsidRPr="00036373" w:rsidRDefault="002A1E26" w:rsidP="002A1E26">
            <w:pPr>
              <w:pStyle w:val="Tabletext"/>
              <w:jc w:val="center"/>
              <w:rPr>
                <w:rFonts w:cs="Arial"/>
                <w:sz w:val="14"/>
                <w:szCs w:val="14"/>
              </w:rPr>
            </w:pPr>
            <w:r w:rsidRPr="00036373">
              <w:rPr>
                <w:rFonts w:cs="Arial"/>
                <w:sz w:val="14"/>
                <w:szCs w:val="14"/>
              </w:rPr>
              <w:t>(0.9–1.1)</w:t>
            </w:r>
          </w:p>
        </w:tc>
        <w:tc>
          <w:tcPr>
            <w:tcW w:w="1080" w:type="dxa"/>
          </w:tcPr>
          <w:p w14:paraId="636B2ED5" w14:textId="77777777" w:rsidR="002A1E26" w:rsidRPr="00036373" w:rsidRDefault="002A1E26" w:rsidP="002A1E26">
            <w:pPr>
              <w:pStyle w:val="Tabletext"/>
              <w:jc w:val="center"/>
              <w:rPr>
                <w:rFonts w:cs="Arial"/>
                <w:sz w:val="14"/>
                <w:szCs w:val="14"/>
              </w:rPr>
            </w:pPr>
            <w:r w:rsidRPr="00036373">
              <w:rPr>
                <w:rFonts w:cs="Arial"/>
                <w:sz w:val="14"/>
                <w:szCs w:val="14"/>
              </w:rPr>
              <w:t>1.2</w:t>
            </w:r>
          </w:p>
          <w:p w14:paraId="1852B911" w14:textId="21F0937F" w:rsidR="002A1E26" w:rsidRPr="00036373" w:rsidRDefault="002A1E26" w:rsidP="002A1E26">
            <w:pPr>
              <w:pStyle w:val="Tabletext"/>
              <w:jc w:val="center"/>
              <w:rPr>
                <w:rFonts w:cs="Arial"/>
                <w:sz w:val="14"/>
                <w:szCs w:val="14"/>
              </w:rPr>
            </w:pPr>
            <w:r w:rsidRPr="00036373">
              <w:rPr>
                <w:rFonts w:cs="Arial"/>
                <w:sz w:val="14"/>
                <w:szCs w:val="14"/>
              </w:rPr>
              <w:t>(1.1–1.3)</w:t>
            </w:r>
          </w:p>
        </w:tc>
      </w:tr>
      <w:tr w:rsidR="002A1E26" w:rsidRPr="00036373" w14:paraId="11B75745" w14:textId="389284C3" w:rsidTr="007744CA">
        <w:trPr>
          <w:trHeight w:val="36"/>
        </w:trPr>
        <w:tc>
          <w:tcPr>
            <w:tcW w:w="1057" w:type="dxa"/>
            <w:shd w:val="clear" w:color="auto" w:fill="auto"/>
            <w:vAlign w:val="center"/>
          </w:tcPr>
          <w:p w14:paraId="4F0D7D0C" w14:textId="01F44546" w:rsidR="002A1E26" w:rsidRPr="00036373" w:rsidRDefault="002A1E26" w:rsidP="002A1E26">
            <w:pPr>
              <w:pStyle w:val="Tabletext"/>
              <w:rPr>
                <w:rFonts w:cs="Arial"/>
                <w:sz w:val="14"/>
                <w:szCs w:val="14"/>
              </w:rPr>
            </w:pPr>
            <w:r w:rsidRPr="00036373">
              <w:rPr>
                <w:rFonts w:cs="Arial"/>
                <w:sz w:val="14"/>
                <w:szCs w:val="14"/>
              </w:rPr>
              <w:t>GICS</w:t>
            </w:r>
          </w:p>
        </w:tc>
        <w:tc>
          <w:tcPr>
            <w:tcW w:w="891" w:type="dxa"/>
            <w:shd w:val="clear" w:color="auto" w:fill="auto"/>
          </w:tcPr>
          <w:p w14:paraId="4097ACD7"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4C4F9D8D" w14:textId="2C2B7BC9" w:rsidR="002A1E26" w:rsidRPr="00036373" w:rsidRDefault="002A1E26" w:rsidP="002A1E26">
            <w:pPr>
              <w:pStyle w:val="Tabletext"/>
              <w:jc w:val="center"/>
              <w:rPr>
                <w:rFonts w:cs="Arial"/>
                <w:sz w:val="14"/>
                <w:szCs w:val="14"/>
              </w:rPr>
            </w:pPr>
            <w:r w:rsidRPr="00036373">
              <w:rPr>
                <w:rFonts w:cs="Arial"/>
                <w:sz w:val="14"/>
                <w:szCs w:val="14"/>
              </w:rPr>
              <w:t>(1.0–1.2)</w:t>
            </w:r>
          </w:p>
        </w:tc>
        <w:tc>
          <w:tcPr>
            <w:tcW w:w="892" w:type="dxa"/>
            <w:shd w:val="clear" w:color="auto" w:fill="auto"/>
          </w:tcPr>
          <w:p w14:paraId="270CF6C0" w14:textId="77777777" w:rsidR="002A1E26" w:rsidRPr="00036373" w:rsidRDefault="002A1E26" w:rsidP="002A1E26">
            <w:pPr>
              <w:pStyle w:val="Tabletext"/>
              <w:jc w:val="center"/>
              <w:rPr>
                <w:rFonts w:cs="Arial"/>
                <w:sz w:val="14"/>
                <w:szCs w:val="14"/>
              </w:rPr>
            </w:pPr>
            <w:r w:rsidRPr="00036373">
              <w:rPr>
                <w:rFonts w:cs="Arial"/>
                <w:sz w:val="14"/>
                <w:szCs w:val="14"/>
              </w:rPr>
              <w:t>1.2</w:t>
            </w:r>
          </w:p>
          <w:p w14:paraId="255C1885" w14:textId="6402FD54" w:rsidR="002A1E26" w:rsidRPr="00036373" w:rsidRDefault="002A1E26" w:rsidP="002A1E26">
            <w:pPr>
              <w:pStyle w:val="Tabletext"/>
              <w:jc w:val="center"/>
              <w:rPr>
                <w:rFonts w:cs="Arial"/>
                <w:sz w:val="14"/>
                <w:szCs w:val="14"/>
              </w:rPr>
            </w:pPr>
            <w:r w:rsidRPr="00036373">
              <w:rPr>
                <w:rFonts w:cs="Arial"/>
                <w:sz w:val="14"/>
                <w:szCs w:val="14"/>
              </w:rPr>
              <w:t>(1.1–1.3)</w:t>
            </w:r>
          </w:p>
        </w:tc>
        <w:tc>
          <w:tcPr>
            <w:tcW w:w="1040" w:type="dxa"/>
            <w:shd w:val="clear" w:color="auto" w:fill="auto"/>
          </w:tcPr>
          <w:p w14:paraId="214FDFE7" w14:textId="77777777" w:rsidR="002A1E26" w:rsidRPr="00036373" w:rsidRDefault="002A1E26" w:rsidP="002A1E26">
            <w:pPr>
              <w:pStyle w:val="Tabletext"/>
              <w:jc w:val="center"/>
              <w:rPr>
                <w:rFonts w:cs="Arial"/>
                <w:sz w:val="14"/>
                <w:szCs w:val="14"/>
              </w:rPr>
            </w:pPr>
            <w:r w:rsidRPr="00036373">
              <w:rPr>
                <w:rFonts w:cs="Arial"/>
                <w:sz w:val="14"/>
                <w:szCs w:val="14"/>
              </w:rPr>
              <w:t>1.2</w:t>
            </w:r>
          </w:p>
          <w:p w14:paraId="5925682D" w14:textId="335D60E9" w:rsidR="002A1E26" w:rsidRPr="00036373" w:rsidRDefault="002A1E26" w:rsidP="002A1E26">
            <w:pPr>
              <w:pStyle w:val="Tabletext"/>
              <w:jc w:val="center"/>
              <w:rPr>
                <w:rFonts w:cs="Arial"/>
                <w:sz w:val="14"/>
                <w:szCs w:val="14"/>
              </w:rPr>
            </w:pPr>
            <w:r w:rsidRPr="00036373">
              <w:rPr>
                <w:rFonts w:cs="Arial"/>
                <w:sz w:val="14"/>
                <w:szCs w:val="14"/>
              </w:rPr>
              <w:t>(1.1–1.3)</w:t>
            </w:r>
          </w:p>
        </w:tc>
        <w:tc>
          <w:tcPr>
            <w:tcW w:w="1040" w:type="dxa"/>
            <w:shd w:val="clear" w:color="auto" w:fill="auto"/>
          </w:tcPr>
          <w:p w14:paraId="05D1DFCD"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0B1A7997" w14:textId="2F009F0F" w:rsidR="002A1E26" w:rsidRPr="00036373" w:rsidRDefault="002A1E26" w:rsidP="002A1E26">
            <w:pPr>
              <w:pStyle w:val="Tabletext"/>
              <w:jc w:val="center"/>
              <w:rPr>
                <w:rFonts w:cs="Arial"/>
                <w:sz w:val="14"/>
                <w:szCs w:val="14"/>
              </w:rPr>
            </w:pPr>
            <w:r w:rsidRPr="00036373">
              <w:rPr>
                <w:rFonts w:cs="Arial"/>
                <w:sz w:val="14"/>
                <w:szCs w:val="14"/>
              </w:rPr>
              <w:t>(1.0–1.2)</w:t>
            </w:r>
          </w:p>
        </w:tc>
        <w:tc>
          <w:tcPr>
            <w:tcW w:w="1040" w:type="dxa"/>
          </w:tcPr>
          <w:p w14:paraId="73E22FAB" w14:textId="77777777" w:rsidR="002A1E26" w:rsidRPr="00036373" w:rsidRDefault="002A1E26" w:rsidP="002A1E26">
            <w:pPr>
              <w:pStyle w:val="Tabletext"/>
              <w:jc w:val="center"/>
              <w:rPr>
                <w:rFonts w:cs="Arial"/>
                <w:sz w:val="14"/>
                <w:szCs w:val="14"/>
              </w:rPr>
            </w:pPr>
            <w:r w:rsidRPr="00036373">
              <w:rPr>
                <w:rFonts w:cs="Arial"/>
                <w:sz w:val="14"/>
                <w:szCs w:val="14"/>
              </w:rPr>
              <w:t>1.2</w:t>
            </w:r>
          </w:p>
          <w:p w14:paraId="3121C588" w14:textId="03783302" w:rsidR="002A1E26" w:rsidRPr="00036373" w:rsidRDefault="002A1E26" w:rsidP="002A1E26">
            <w:pPr>
              <w:pStyle w:val="Tabletext"/>
              <w:jc w:val="center"/>
              <w:rPr>
                <w:rFonts w:cs="Arial"/>
                <w:sz w:val="14"/>
                <w:szCs w:val="14"/>
              </w:rPr>
            </w:pPr>
            <w:r w:rsidRPr="00036373">
              <w:rPr>
                <w:rFonts w:cs="Arial"/>
                <w:sz w:val="14"/>
                <w:szCs w:val="14"/>
              </w:rPr>
              <w:t>(1.0–1.2)</w:t>
            </w:r>
          </w:p>
        </w:tc>
        <w:tc>
          <w:tcPr>
            <w:tcW w:w="1204" w:type="dxa"/>
          </w:tcPr>
          <w:p w14:paraId="7EC56332" w14:textId="77777777" w:rsidR="002A1E26" w:rsidRPr="00036373" w:rsidRDefault="002A1E26" w:rsidP="002A1E26">
            <w:pPr>
              <w:pStyle w:val="Tabletext"/>
              <w:jc w:val="center"/>
              <w:rPr>
                <w:rFonts w:cs="Arial"/>
                <w:sz w:val="14"/>
                <w:szCs w:val="14"/>
              </w:rPr>
            </w:pPr>
            <w:r w:rsidRPr="00036373">
              <w:rPr>
                <w:rFonts w:cs="Arial"/>
                <w:sz w:val="14"/>
                <w:szCs w:val="14"/>
              </w:rPr>
              <w:t>1.1</w:t>
            </w:r>
          </w:p>
          <w:p w14:paraId="6E531B7B" w14:textId="065C8BD7" w:rsidR="002A1E26" w:rsidRPr="00036373" w:rsidRDefault="002A1E26" w:rsidP="002A1E26">
            <w:pPr>
              <w:pStyle w:val="Tabletext"/>
              <w:jc w:val="center"/>
              <w:rPr>
                <w:rFonts w:cs="Arial"/>
                <w:sz w:val="14"/>
                <w:szCs w:val="14"/>
              </w:rPr>
            </w:pPr>
            <w:r w:rsidRPr="00036373">
              <w:rPr>
                <w:rFonts w:cs="Arial"/>
                <w:sz w:val="14"/>
                <w:szCs w:val="14"/>
              </w:rPr>
              <w:t>(1.0–1.2)</w:t>
            </w:r>
          </w:p>
        </w:tc>
        <w:tc>
          <w:tcPr>
            <w:tcW w:w="1027" w:type="dxa"/>
          </w:tcPr>
          <w:p w14:paraId="2A31983A" w14:textId="77777777" w:rsidR="002A1E26" w:rsidRPr="00036373" w:rsidRDefault="002A1E26" w:rsidP="002A1E26">
            <w:pPr>
              <w:pStyle w:val="Tabletext"/>
              <w:jc w:val="center"/>
              <w:rPr>
                <w:rFonts w:cs="Arial"/>
                <w:sz w:val="14"/>
                <w:szCs w:val="14"/>
              </w:rPr>
            </w:pPr>
            <w:r w:rsidRPr="00036373">
              <w:rPr>
                <w:rFonts w:cs="Arial"/>
                <w:sz w:val="14"/>
                <w:szCs w:val="14"/>
              </w:rPr>
              <w:t>1.2</w:t>
            </w:r>
          </w:p>
          <w:p w14:paraId="4015413B" w14:textId="5EA50F21" w:rsidR="002A1E26" w:rsidRPr="00036373" w:rsidRDefault="002A1E26" w:rsidP="002A1E26">
            <w:pPr>
              <w:pStyle w:val="Tabletext"/>
              <w:jc w:val="center"/>
              <w:rPr>
                <w:rFonts w:cs="Arial"/>
                <w:sz w:val="14"/>
                <w:szCs w:val="14"/>
              </w:rPr>
            </w:pPr>
            <w:r w:rsidRPr="00036373">
              <w:rPr>
                <w:rFonts w:cs="Arial"/>
                <w:sz w:val="14"/>
                <w:szCs w:val="14"/>
              </w:rPr>
              <w:t>(1.1–1.3)</w:t>
            </w:r>
          </w:p>
        </w:tc>
        <w:tc>
          <w:tcPr>
            <w:tcW w:w="1080" w:type="dxa"/>
          </w:tcPr>
          <w:p w14:paraId="0A10950B" w14:textId="77777777" w:rsidR="002A1E26" w:rsidRPr="00036373" w:rsidRDefault="002A1E26" w:rsidP="002A1E26">
            <w:pPr>
              <w:pStyle w:val="Tabletext"/>
              <w:jc w:val="center"/>
              <w:rPr>
                <w:rFonts w:cs="Arial"/>
                <w:sz w:val="14"/>
                <w:szCs w:val="14"/>
              </w:rPr>
            </w:pPr>
            <w:r w:rsidRPr="00036373">
              <w:rPr>
                <w:rFonts w:cs="Arial"/>
                <w:sz w:val="14"/>
                <w:szCs w:val="14"/>
              </w:rPr>
              <w:t>1.2</w:t>
            </w:r>
          </w:p>
          <w:p w14:paraId="67FC0088" w14:textId="39327168" w:rsidR="002A1E26" w:rsidRPr="00036373" w:rsidRDefault="002A1E26" w:rsidP="002A1E26">
            <w:pPr>
              <w:pStyle w:val="Tabletext"/>
              <w:jc w:val="center"/>
              <w:rPr>
                <w:rFonts w:cs="Arial"/>
                <w:sz w:val="14"/>
                <w:szCs w:val="14"/>
              </w:rPr>
            </w:pPr>
            <w:r w:rsidRPr="00036373">
              <w:rPr>
                <w:rFonts w:cs="Arial"/>
                <w:sz w:val="14"/>
                <w:szCs w:val="14"/>
              </w:rPr>
              <w:t>(1.1–1.3)</w:t>
            </w:r>
          </w:p>
        </w:tc>
      </w:tr>
    </w:tbl>
    <w:bookmarkEnd w:id="293"/>
    <w:p w14:paraId="4995CD5B" w14:textId="1B566E1A" w:rsidR="00665D4B" w:rsidRPr="00E060C8" w:rsidRDefault="00665D4B" w:rsidP="007C7F00">
      <w:pPr>
        <w:pStyle w:val="Heading4"/>
      </w:pPr>
      <w:r w:rsidRPr="00E43803">
        <w:t>Measure assessment</w:t>
      </w:r>
    </w:p>
    <w:p w14:paraId="2DCA5720" w14:textId="5DCAAC11" w:rsidR="00FE5799" w:rsidRPr="00E060C8" w:rsidRDefault="00FE5799" w:rsidP="00606436">
      <w:pPr>
        <w:pStyle w:val="Body"/>
      </w:pPr>
      <w:r w:rsidRPr="009F01B1">
        <w:t>Traffic light rating:</w:t>
      </w:r>
      <w:r w:rsidR="00B87E35" w:rsidRPr="00B504AD">
        <w:rPr>
          <w:color w:val="AF272F"/>
        </w:rPr>
        <w:t xml:space="preserve"> </w:t>
      </w:r>
      <w:r w:rsidR="00902763" w:rsidRPr="00652E25">
        <w:rPr>
          <w:b/>
          <w:color w:val="C5511A"/>
        </w:rPr>
        <w:t>Amber</w:t>
      </w:r>
      <w:r w:rsidR="00EA3932">
        <w:rPr>
          <w:b/>
        </w:rPr>
        <w:t xml:space="preserve"> </w:t>
      </w:r>
      <w:r w:rsidR="00EA3932" w:rsidRPr="00EA3932">
        <w:t>(desired result not yet evident)</w:t>
      </w:r>
    </w:p>
    <w:p w14:paraId="49EBD745" w14:textId="4337F319" w:rsidR="00FE5799" w:rsidRPr="003E5FD3" w:rsidRDefault="00FE5799" w:rsidP="00606436">
      <w:pPr>
        <w:pStyle w:val="Body"/>
      </w:pPr>
      <w:r w:rsidRPr="00C15AE4">
        <w:t xml:space="preserve">Overall trend: </w:t>
      </w:r>
      <w:r w:rsidR="00A00634">
        <w:t>Static or unchanging</w:t>
      </w:r>
    </w:p>
    <w:p w14:paraId="1FE49BF1" w14:textId="213AE76C" w:rsidR="000F35A4" w:rsidRPr="00223D80" w:rsidRDefault="00FE5799" w:rsidP="00E87AAA">
      <w:pPr>
        <w:pStyle w:val="Body"/>
      </w:pPr>
      <w:r w:rsidRPr="00E53A3D">
        <w:t xml:space="preserve">Commentary: </w:t>
      </w:r>
      <w:r w:rsidR="00E418F4" w:rsidRPr="00E53A3D">
        <w:t xml:space="preserve">Figure </w:t>
      </w:r>
      <w:r w:rsidR="00A00634" w:rsidRPr="00E53A3D">
        <w:t xml:space="preserve">4.1 and Table 4.1 show </w:t>
      </w:r>
      <w:r w:rsidR="00CA440A" w:rsidRPr="00E53A3D">
        <w:t>there are disparities</w:t>
      </w:r>
      <w:r w:rsidR="001B00F7" w:rsidRPr="00E53A3D">
        <w:t xml:space="preserve"> </w:t>
      </w:r>
      <w:r w:rsidR="00CA440A" w:rsidRPr="00E53A3D">
        <w:t>in cancer outcomes between people living in</w:t>
      </w:r>
      <w:r w:rsidR="001B00F7" w:rsidRPr="00E53A3D">
        <w:t xml:space="preserve"> </w:t>
      </w:r>
      <w:r w:rsidR="00CA440A" w:rsidRPr="00E53A3D">
        <w:t>metropolitan versus non-metropolitan regions</w:t>
      </w:r>
      <w:r w:rsidR="00833817">
        <w:t>,</w:t>
      </w:r>
      <w:r w:rsidR="001B00F7" w:rsidRPr="00E53A3D">
        <w:t xml:space="preserve"> with </w:t>
      </w:r>
      <w:r w:rsidR="00B87E35" w:rsidRPr="00E53A3D">
        <w:t>the rate of</w:t>
      </w:r>
      <w:r w:rsidR="00A00634" w:rsidRPr="00E53A3D">
        <w:t xml:space="preserve"> </w:t>
      </w:r>
      <w:r w:rsidR="00B87E35" w:rsidRPr="00E53A3D">
        <w:t>preventable cancer incidence between ICS from</w:t>
      </w:r>
      <w:r w:rsidR="00A00634" w:rsidRPr="00E53A3D">
        <w:t xml:space="preserve"> 201</w:t>
      </w:r>
      <w:r w:rsidR="0018654B">
        <w:t>4</w:t>
      </w:r>
      <w:r w:rsidR="00A00634" w:rsidRPr="00E53A3D">
        <w:t xml:space="preserve"> </w:t>
      </w:r>
      <w:r w:rsidR="00B87E35" w:rsidRPr="00E53A3D">
        <w:t>to</w:t>
      </w:r>
      <w:r w:rsidR="00A00634" w:rsidRPr="00E53A3D">
        <w:t xml:space="preserve"> 20</w:t>
      </w:r>
      <w:r w:rsidR="00961C9A">
        <w:t>2</w:t>
      </w:r>
      <w:r w:rsidR="005E6749">
        <w:t>1</w:t>
      </w:r>
      <w:r w:rsidR="00A00634" w:rsidRPr="00E53A3D">
        <w:t xml:space="preserve"> </w:t>
      </w:r>
      <w:r w:rsidR="00DA08AE" w:rsidRPr="00E53A3D">
        <w:t xml:space="preserve">generally </w:t>
      </w:r>
      <w:r w:rsidR="00B87E35" w:rsidRPr="00E53A3D">
        <w:t>lower in ICS</w:t>
      </w:r>
      <w:r w:rsidR="009824D7" w:rsidRPr="00E53A3D">
        <w:t>s</w:t>
      </w:r>
      <w:r w:rsidR="00B87E35" w:rsidRPr="00E53A3D">
        <w:t xml:space="preserve"> </w:t>
      </w:r>
      <w:r w:rsidR="00C954B9">
        <w:t>covering</w:t>
      </w:r>
      <w:r w:rsidR="00B87E35" w:rsidRPr="00E53A3D">
        <w:t xml:space="preserve"> large metropolitan areas such as Melbourne compared </w:t>
      </w:r>
      <w:r w:rsidR="001B50BF">
        <w:t xml:space="preserve">with </w:t>
      </w:r>
      <w:r w:rsidR="00B87E35" w:rsidRPr="00E53A3D">
        <w:t>those who service regional patients.</w:t>
      </w:r>
      <w:r w:rsidR="00111969" w:rsidRPr="00E53A3D">
        <w:t xml:space="preserve"> </w:t>
      </w:r>
      <w:r w:rsidR="000F35A4" w:rsidRPr="00E53A3D">
        <w:t xml:space="preserve">While no target has been set for this measure, the Department of Health recognises and is </w:t>
      </w:r>
      <w:r w:rsidR="006E5BA9">
        <w:t xml:space="preserve">continuing to </w:t>
      </w:r>
      <w:r w:rsidR="000F35A4" w:rsidRPr="00E53A3D">
        <w:t>address the need to improve access to cancer treatment within non-metropolitan regions.</w:t>
      </w:r>
      <w:r w:rsidR="000F35A4">
        <w:br w:type="page"/>
      </w:r>
    </w:p>
    <w:p w14:paraId="7D715BFC" w14:textId="668058F8" w:rsidR="00665D4B" w:rsidRPr="003E6A0B" w:rsidRDefault="009B5026" w:rsidP="00A451D4">
      <w:pPr>
        <w:pStyle w:val="Heading3"/>
        <w:rPr>
          <w:b/>
          <w:bCs w:val="0"/>
        </w:rPr>
      </w:pPr>
      <w:bookmarkStart w:id="294" w:name="_Measure_4.2_–"/>
      <w:bookmarkStart w:id="295" w:name="_Toc19008040"/>
      <w:bookmarkEnd w:id="294"/>
      <w:r w:rsidRPr="003E6A0B">
        <w:rPr>
          <w:b/>
          <w:bCs w:val="0"/>
        </w:rPr>
        <w:lastRenderedPageBreak/>
        <w:t xml:space="preserve">Measure 4.2 – Rate ratio of </w:t>
      </w:r>
      <w:r w:rsidR="00672DB2" w:rsidRPr="003E6A0B">
        <w:rPr>
          <w:b/>
          <w:bCs w:val="0"/>
        </w:rPr>
        <w:t xml:space="preserve">preventable </w:t>
      </w:r>
      <w:r w:rsidRPr="003E6A0B">
        <w:rPr>
          <w:b/>
          <w:bCs w:val="0"/>
        </w:rPr>
        <w:t xml:space="preserve">cancer incidence between </w:t>
      </w:r>
      <w:r w:rsidR="002C35B2" w:rsidRPr="003E6A0B">
        <w:rPr>
          <w:b/>
          <w:bCs w:val="0"/>
        </w:rPr>
        <w:t>socioeconomic</w:t>
      </w:r>
      <w:r w:rsidRPr="003E6A0B">
        <w:rPr>
          <w:b/>
          <w:bCs w:val="0"/>
        </w:rPr>
        <w:t xml:space="preserve"> quintiles</w:t>
      </w:r>
      <w:bookmarkEnd w:id="295"/>
    </w:p>
    <w:p w14:paraId="4DD6E0B3" w14:textId="7674FE01" w:rsidR="008349D5" w:rsidRPr="00F2771C" w:rsidRDefault="008349D5" w:rsidP="001A17B2">
      <w:pPr>
        <w:pStyle w:val="Figurecaption"/>
        <w:rPr>
          <w:sz w:val="20"/>
        </w:rPr>
      </w:pPr>
      <w:bookmarkStart w:id="296" w:name="_Toc19008042"/>
      <w:bookmarkStart w:id="297" w:name="_Toc19008289"/>
      <w:bookmarkStart w:id="298" w:name="_Toc19008436"/>
      <w:bookmarkStart w:id="299" w:name="_Toc19008583"/>
      <w:bookmarkStart w:id="300" w:name="_Toc132553017"/>
      <w:bookmarkStart w:id="301" w:name="_Toc140827625"/>
      <w:r w:rsidRPr="00F2771C">
        <w:rPr>
          <w:rFonts w:cs="Arial"/>
          <w:sz w:val="20"/>
        </w:rPr>
        <w:t>Figure 4.2</w:t>
      </w:r>
      <w:r w:rsidR="003B391F" w:rsidRPr="00F2771C">
        <w:rPr>
          <w:sz w:val="20"/>
        </w:rPr>
        <w:t>:</w:t>
      </w:r>
      <w:r w:rsidRPr="00F2771C">
        <w:rPr>
          <w:rFonts w:cs="Arial"/>
          <w:sz w:val="20"/>
        </w:rPr>
        <w:t xml:space="preserve"> </w:t>
      </w:r>
      <w:r w:rsidRPr="00F2771C">
        <w:rPr>
          <w:sz w:val="20"/>
        </w:rPr>
        <w:t>Rate ratio of preventable cancer incidence</w:t>
      </w:r>
      <w:r w:rsidR="006F4D43" w:rsidRPr="00F2771C">
        <w:rPr>
          <w:sz w:val="20"/>
        </w:rPr>
        <w:t xml:space="preserve"> (with confidence intervals)</w:t>
      </w:r>
      <w:r w:rsidR="00DF1257" w:rsidRPr="00F2771C">
        <w:rPr>
          <w:sz w:val="20"/>
        </w:rPr>
        <w:t xml:space="preserve"> for Victoria</w:t>
      </w:r>
      <w:r w:rsidRPr="00F2771C">
        <w:rPr>
          <w:sz w:val="20"/>
        </w:rPr>
        <w:t xml:space="preserve"> in </w:t>
      </w:r>
      <w:r w:rsidR="00C17266" w:rsidRPr="00F2771C">
        <w:rPr>
          <w:sz w:val="20"/>
        </w:rPr>
        <w:t>SES</w:t>
      </w:r>
      <w:r w:rsidRPr="00F2771C">
        <w:rPr>
          <w:sz w:val="20"/>
        </w:rPr>
        <w:t xml:space="preserve"> quintiles 1</w:t>
      </w:r>
      <w:r w:rsidR="00C17266" w:rsidRPr="00F2771C">
        <w:rPr>
          <w:sz w:val="20"/>
        </w:rPr>
        <w:t>–</w:t>
      </w:r>
      <w:r w:rsidRPr="00F2771C">
        <w:rPr>
          <w:sz w:val="20"/>
        </w:rPr>
        <w:t xml:space="preserve">4 (where SES 1 is most disadvantaged) compared </w:t>
      </w:r>
      <w:r w:rsidR="001B50BF" w:rsidRPr="00F2771C">
        <w:rPr>
          <w:sz w:val="20"/>
        </w:rPr>
        <w:t xml:space="preserve">with </w:t>
      </w:r>
      <w:r w:rsidRPr="00F2771C">
        <w:rPr>
          <w:sz w:val="20"/>
        </w:rPr>
        <w:t xml:space="preserve">the least disadvantaged </w:t>
      </w:r>
      <w:r w:rsidR="0093423C" w:rsidRPr="00F2771C">
        <w:rPr>
          <w:sz w:val="20"/>
        </w:rPr>
        <w:t>quintile</w:t>
      </w:r>
      <w:r w:rsidR="00C17266" w:rsidRPr="00F2771C">
        <w:rPr>
          <w:sz w:val="20"/>
        </w:rPr>
        <w:t xml:space="preserve"> </w:t>
      </w:r>
      <w:r w:rsidR="00A816AA" w:rsidRPr="00F2771C">
        <w:rPr>
          <w:sz w:val="20"/>
        </w:rPr>
        <w:t>(</w:t>
      </w:r>
      <w:r w:rsidR="0093423C" w:rsidRPr="00F2771C">
        <w:rPr>
          <w:sz w:val="20"/>
        </w:rPr>
        <w:t xml:space="preserve">SES </w:t>
      </w:r>
      <w:r w:rsidR="00A816AA" w:rsidRPr="00F2771C">
        <w:rPr>
          <w:sz w:val="20"/>
        </w:rPr>
        <w:t>5)</w:t>
      </w:r>
      <w:r w:rsidRPr="00F2771C">
        <w:rPr>
          <w:sz w:val="20"/>
        </w:rPr>
        <w:t>, grouped by year of diagnosis</w:t>
      </w:r>
      <w:r w:rsidR="00C17266" w:rsidRPr="00F2771C">
        <w:rPr>
          <w:sz w:val="20"/>
        </w:rPr>
        <w:t>,</w:t>
      </w:r>
      <w:r w:rsidRPr="00F2771C">
        <w:rPr>
          <w:sz w:val="20"/>
        </w:rPr>
        <w:t xml:space="preserve"> 201</w:t>
      </w:r>
      <w:r w:rsidR="0018654B" w:rsidRPr="00F2771C">
        <w:rPr>
          <w:sz w:val="20"/>
        </w:rPr>
        <w:t>4</w:t>
      </w:r>
      <w:r w:rsidR="00C17266" w:rsidRPr="00F2771C">
        <w:rPr>
          <w:sz w:val="20"/>
        </w:rPr>
        <w:t>–</w:t>
      </w:r>
      <w:r w:rsidRPr="00F2771C">
        <w:rPr>
          <w:sz w:val="20"/>
        </w:rPr>
        <w:t>20</w:t>
      </w:r>
      <w:bookmarkEnd w:id="296"/>
      <w:bookmarkEnd w:id="297"/>
      <w:bookmarkEnd w:id="298"/>
      <w:bookmarkEnd w:id="299"/>
      <w:r w:rsidR="00442FF4" w:rsidRPr="00F2771C">
        <w:rPr>
          <w:sz w:val="20"/>
        </w:rPr>
        <w:t>2</w:t>
      </w:r>
      <w:r w:rsidR="00847455" w:rsidRPr="00F2771C">
        <w:rPr>
          <w:sz w:val="20"/>
        </w:rPr>
        <w:t>1</w:t>
      </w:r>
      <w:bookmarkEnd w:id="300"/>
      <w:bookmarkEnd w:id="301"/>
    </w:p>
    <w:p w14:paraId="3596E2D4" w14:textId="2EB88BC9" w:rsidR="00847455" w:rsidRPr="00847455" w:rsidRDefault="00847455" w:rsidP="00E87AAA">
      <w:pPr>
        <w:pStyle w:val="Body"/>
      </w:pPr>
      <w:r>
        <w:rPr>
          <w:noProof/>
        </w:rPr>
        <w:drawing>
          <wp:inline distT="0" distB="0" distL="0" distR="0" wp14:anchorId="78D76DF7" wp14:editId="00686D06">
            <wp:extent cx="6355080" cy="4829578"/>
            <wp:effectExtent l="0" t="0" r="7620" b="9525"/>
            <wp:docPr id="86" name="Picture 86" descr="This figure shows a summary of 'Measure 4.2 - Rate ratio of preventable cancer incidence between socioeconomic quintiles'.  The data for this figure is available in this section for the study period 2014 to 2021 - refer to Tabl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This figure shows a summary of 'Measure 4.2 - Rate ratio of preventable cancer incidence between socioeconomic quintiles'.  The data for this figure is available in this section for the study period 2014 to 2021 - refer to Table 4.2."/>
                    <pic:cNvPicPr/>
                  </pic:nvPicPr>
                  <pic:blipFill>
                    <a:blip r:embed="rId69"/>
                    <a:stretch>
                      <a:fillRect/>
                    </a:stretch>
                  </pic:blipFill>
                  <pic:spPr>
                    <a:xfrm>
                      <a:off x="0" y="0"/>
                      <a:ext cx="6365442" cy="4837453"/>
                    </a:xfrm>
                    <a:prstGeom prst="rect">
                      <a:avLst/>
                    </a:prstGeom>
                  </pic:spPr>
                </pic:pic>
              </a:graphicData>
            </a:graphic>
          </wp:inline>
        </w:drawing>
      </w:r>
    </w:p>
    <w:p w14:paraId="319EA66C" w14:textId="4365A55E" w:rsidR="004326FA" w:rsidRPr="00F2771C" w:rsidRDefault="009F3391" w:rsidP="00FA1AAC">
      <w:pPr>
        <w:pStyle w:val="Tablefigurenote"/>
        <w:rPr>
          <w:b/>
          <w:i/>
          <w:iCs/>
          <w:sz w:val="18"/>
          <w:szCs w:val="18"/>
        </w:rPr>
      </w:pPr>
      <w:r w:rsidRPr="00F2771C">
        <w:rPr>
          <w:i/>
          <w:iCs/>
          <w:sz w:val="18"/>
          <w:szCs w:val="18"/>
        </w:rPr>
        <w:t>Note</w:t>
      </w:r>
      <w:r w:rsidR="004F0FAA" w:rsidRPr="00F2771C">
        <w:rPr>
          <w:i/>
          <w:iCs/>
          <w:sz w:val="18"/>
          <w:szCs w:val="18"/>
        </w:rPr>
        <w:t>s:</w:t>
      </w:r>
      <w:r w:rsidRPr="00F2771C">
        <w:rPr>
          <w:b/>
          <w:i/>
          <w:iCs/>
          <w:sz w:val="18"/>
          <w:szCs w:val="18"/>
        </w:rPr>
        <w:t xml:space="preserve"> </w:t>
      </w:r>
    </w:p>
    <w:p w14:paraId="2E633BA7" w14:textId="008F1CB1" w:rsidR="004326FA" w:rsidRPr="00F2771C" w:rsidRDefault="004326FA" w:rsidP="00FA1AAC">
      <w:pPr>
        <w:pStyle w:val="Tablefigurenote"/>
        <w:rPr>
          <w:i/>
          <w:iCs/>
          <w:sz w:val="18"/>
          <w:szCs w:val="18"/>
        </w:rPr>
      </w:pPr>
      <w:r w:rsidRPr="00F2771C">
        <w:rPr>
          <w:i/>
          <w:iCs/>
          <w:sz w:val="18"/>
          <w:szCs w:val="18"/>
        </w:rPr>
        <w:t>Estimated and projected resident population files sourced from the ABS. Note that at the time of preparing results, the ABS had not yet finalised the 20</w:t>
      </w:r>
      <w:r w:rsidR="003A7EB0" w:rsidRPr="00F2771C">
        <w:rPr>
          <w:i/>
          <w:iCs/>
          <w:sz w:val="18"/>
          <w:szCs w:val="18"/>
        </w:rPr>
        <w:t>2</w:t>
      </w:r>
      <w:r w:rsidR="00B84A56" w:rsidRPr="00F2771C">
        <w:rPr>
          <w:i/>
          <w:iCs/>
          <w:sz w:val="18"/>
          <w:szCs w:val="18"/>
        </w:rPr>
        <w:t>1</w:t>
      </w:r>
      <w:r w:rsidRPr="00F2771C">
        <w:rPr>
          <w:i/>
          <w:iCs/>
          <w:sz w:val="18"/>
          <w:szCs w:val="18"/>
        </w:rPr>
        <w:t xml:space="preserve"> ERP.</w:t>
      </w:r>
    </w:p>
    <w:p w14:paraId="1F180E42" w14:textId="33D67FC7" w:rsidR="00DF7535" w:rsidRPr="00223D80" w:rsidRDefault="004326FA" w:rsidP="00FA1AAC">
      <w:pPr>
        <w:pStyle w:val="Tablefigurenote"/>
      </w:pPr>
      <w:r w:rsidRPr="00F2771C">
        <w:rPr>
          <w:i/>
          <w:iCs/>
          <w:sz w:val="18"/>
          <w:szCs w:val="18"/>
        </w:rPr>
        <w:t xml:space="preserve">The baseline SES quintile used for calculating the rate of ratios for each year is quintile 5 (least disadvantaged) and is highlighted in </w:t>
      </w:r>
      <w:r w:rsidRPr="00F2771C">
        <w:rPr>
          <w:i/>
          <w:iCs/>
          <w:color w:val="C00000"/>
          <w:sz w:val="18"/>
          <w:szCs w:val="18"/>
        </w:rPr>
        <w:t>red</w:t>
      </w:r>
      <w:r w:rsidRPr="00F2771C">
        <w:rPr>
          <w:i/>
          <w:iCs/>
          <w:sz w:val="18"/>
          <w:szCs w:val="18"/>
        </w:rPr>
        <w:t xml:space="preserve">. A rate ratio greater than </w:t>
      </w:r>
      <w:r w:rsidR="0093423C" w:rsidRPr="00F2771C">
        <w:rPr>
          <w:i/>
          <w:iCs/>
          <w:sz w:val="18"/>
          <w:szCs w:val="18"/>
        </w:rPr>
        <w:t xml:space="preserve">1 </w:t>
      </w:r>
      <w:r w:rsidRPr="00F2771C">
        <w:rPr>
          <w:i/>
          <w:iCs/>
          <w:sz w:val="18"/>
          <w:szCs w:val="18"/>
        </w:rPr>
        <w:t>indicates a higher incidence rate than the baseline ICS.</w:t>
      </w:r>
      <w:r w:rsidR="00DF7535" w:rsidRPr="00223D80">
        <w:rPr>
          <w:b/>
        </w:rPr>
        <w:br w:type="page"/>
      </w:r>
    </w:p>
    <w:p w14:paraId="04F967C1" w14:textId="46F0B9C7" w:rsidR="006F4D43" w:rsidRPr="00217A4B" w:rsidRDefault="006F4D43" w:rsidP="002226C1">
      <w:pPr>
        <w:pStyle w:val="Tablecaption"/>
        <w:rPr>
          <w:sz w:val="20"/>
        </w:rPr>
      </w:pPr>
      <w:bookmarkStart w:id="302" w:name="_Toc18908722"/>
      <w:bookmarkStart w:id="303" w:name="_Toc132491519"/>
      <w:bookmarkStart w:id="304" w:name="_Toc140834910"/>
      <w:r w:rsidRPr="00217A4B">
        <w:rPr>
          <w:sz w:val="20"/>
        </w:rPr>
        <w:lastRenderedPageBreak/>
        <w:t>Table 4.2</w:t>
      </w:r>
      <w:r w:rsidR="001F7E28" w:rsidRPr="00217A4B">
        <w:rPr>
          <w:sz w:val="20"/>
        </w:rPr>
        <w:t>:</w:t>
      </w:r>
      <w:r w:rsidRPr="00217A4B">
        <w:rPr>
          <w:sz w:val="20"/>
        </w:rPr>
        <w:t xml:space="preserve"> Rate ratio of preventable cancer incidence (with confidence intervals) for Victoria in </w:t>
      </w:r>
      <w:r w:rsidR="00C17266" w:rsidRPr="00217A4B">
        <w:rPr>
          <w:sz w:val="20"/>
        </w:rPr>
        <w:t>SES</w:t>
      </w:r>
      <w:r w:rsidRPr="00217A4B">
        <w:rPr>
          <w:sz w:val="20"/>
        </w:rPr>
        <w:t xml:space="preserve"> quintiles 1</w:t>
      </w:r>
      <w:r w:rsidR="00C17266" w:rsidRPr="00217A4B">
        <w:rPr>
          <w:sz w:val="20"/>
        </w:rPr>
        <w:t>–</w:t>
      </w:r>
      <w:r w:rsidRPr="00217A4B">
        <w:rPr>
          <w:sz w:val="20"/>
        </w:rPr>
        <w:t xml:space="preserve">4 (where SES 1 is most disadvantaged) compared </w:t>
      </w:r>
      <w:r w:rsidR="001B50BF" w:rsidRPr="00217A4B">
        <w:rPr>
          <w:sz w:val="20"/>
        </w:rPr>
        <w:t xml:space="preserve">with </w:t>
      </w:r>
      <w:r w:rsidRPr="00217A4B">
        <w:rPr>
          <w:sz w:val="20"/>
        </w:rPr>
        <w:t xml:space="preserve">the least disadvantaged </w:t>
      </w:r>
      <w:r w:rsidR="0093423C" w:rsidRPr="00217A4B">
        <w:rPr>
          <w:sz w:val="20"/>
        </w:rPr>
        <w:t>quintile</w:t>
      </w:r>
      <w:r w:rsidRPr="00217A4B">
        <w:rPr>
          <w:sz w:val="20"/>
        </w:rPr>
        <w:t>, grouped by year of diagnosis</w:t>
      </w:r>
      <w:r w:rsidR="00C17266" w:rsidRPr="00217A4B">
        <w:rPr>
          <w:sz w:val="20"/>
        </w:rPr>
        <w:t>,</w:t>
      </w:r>
      <w:r w:rsidRPr="00217A4B">
        <w:rPr>
          <w:sz w:val="20"/>
        </w:rPr>
        <w:t xml:space="preserve"> 201</w:t>
      </w:r>
      <w:r w:rsidR="00201CD8" w:rsidRPr="00217A4B">
        <w:rPr>
          <w:sz w:val="20"/>
        </w:rPr>
        <w:t>4</w:t>
      </w:r>
      <w:r w:rsidR="00C17266" w:rsidRPr="00217A4B">
        <w:rPr>
          <w:sz w:val="20"/>
        </w:rPr>
        <w:t>–</w:t>
      </w:r>
      <w:r w:rsidRPr="00217A4B">
        <w:rPr>
          <w:sz w:val="20"/>
        </w:rPr>
        <w:t>20</w:t>
      </w:r>
      <w:r w:rsidR="00492FA5" w:rsidRPr="00217A4B">
        <w:rPr>
          <w:sz w:val="20"/>
        </w:rPr>
        <w:t>2</w:t>
      </w:r>
      <w:bookmarkEnd w:id="302"/>
      <w:r w:rsidR="00847455" w:rsidRPr="00217A4B">
        <w:rPr>
          <w:sz w:val="20"/>
        </w:rPr>
        <w:t>1</w:t>
      </w:r>
      <w:bookmarkEnd w:id="303"/>
      <w:bookmarkEnd w:id="304"/>
    </w:p>
    <w:tbl>
      <w:tblPr>
        <w:tblStyle w:val="TableGrid"/>
        <w:tblW w:w="10087" w:type="dxa"/>
        <w:tblInd w:w="-1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shd w:val="clear" w:color="auto" w:fill="EDCDCF"/>
        <w:tblLayout w:type="fixed"/>
        <w:tblLook w:val="04A0" w:firstRow="1" w:lastRow="0" w:firstColumn="1" w:lastColumn="0" w:noHBand="0" w:noVBand="1"/>
      </w:tblPr>
      <w:tblGrid>
        <w:gridCol w:w="1429"/>
        <w:gridCol w:w="1011"/>
        <w:gridCol w:w="1030"/>
        <w:gridCol w:w="1192"/>
        <w:gridCol w:w="1024"/>
        <w:gridCol w:w="934"/>
        <w:gridCol w:w="961"/>
        <w:gridCol w:w="81"/>
        <w:gridCol w:w="993"/>
        <w:gridCol w:w="1432"/>
      </w:tblGrid>
      <w:tr w:rsidR="00847455" w:rsidRPr="007744CA" w14:paraId="64D92BFE" w14:textId="2B4BF319" w:rsidTr="007744CA">
        <w:trPr>
          <w:trHeight w:val="223"/>
        </w:trPr>
        <w:tc>
          <w:tcPr>
            <w:tcW w:w="1429" w:type="dxa"/>
            <w:tcBorders>
              <w:top w:val="nil"/>
            </w:tcBorders>
            <w:shd w:val="clear" w:color="auto" w:fill="EDCDCF"/>
          </w:tcPr>
          <w:p w14:paraId="400290F7" w14:textId="2563B64F" w:rsidR="00847455" w:rsidRPr="007744CA" w:rsidRDefault="00847455" w:rsidP="000C2043">
            <w:pPr>
              <w:pStyle w:val="Tablecolhead"/>
              <w:rPr>
                <w:rFonts w:cs="Arial"/>
                <w:sz w:val="16"/>
                <w:szCs w:val="16"/>
              </w:rPr>
            </w:pPr>
            <w:r w:rsidRPr="007744CA">
              <w:rPr>
                <w:rFonts w:cs="Arial"/>
                <w:sz w:val="16"/>
                <w:szCs w:val="16"/>
              </w:rPr>
              <w:t>SES</w:t>
            </w:r>
          </w:p>
        </w:tc>
        <w:tc>
          <w:tcPr>
            <w:tcW w:w="1011" w:type="dxa"/>
            <w:shd w:val="clear" w:color="auto" w:fill="EDCDCF"/>
          </w:tcPr>
          <w:p w14:paraId="2D4AED78" w14:textId="77777777" w:rsidR="00847455" w:rsidRPr="007744CA" w:rsidRDefault="00847455" w:rsidP="000C2043">
            <w:pPr>
              <w:pStyle w:val="Tablecolhead"/>
              <w:rPr>
                <w:rFonts w:cs="Arial"/>
                <w:sz w:val="16"/>
                <w:szCs w:val="16"/>
              </w:rPr>
            </w:pPr>
            <w:r w:rsidRPr="007744CA">
              <w:rPr>
                <w:rFonts w:cs="Arial"/>
                <w:sz w:val="16"/>
                <w:szCs w:val="16"/>
              </w:rPr>
              <w:t>2014</w:t>
            </w:r>
          </w:p>
          <w:p w14:paraId="69991B8A" w14:textId="625202EB" w:rsidR="00847455" w:rsidRPr="007744CA" w:rsidRDefault="00847455" w:rsidP="000C2043">
            <w:pPr>
              <w:pStyle w:val="Tablecolhead"/>
              <w:rPr>
                <w:rFonts w:cs="Arial"/>
                <w:sz w:val="16"/>
                <w:szCs w:val="16"/>
              </w:rPr>
            </w:pPr>
            <w:r w:rsidRPr="007744CA">
              <w:rPr>
                <w:rFonts w:cs="Arial"/>
                <w:sz w:val="16"/>
                <w:szCs w:val="16"/>
              </w:rPr>
              <w:t>(95% CI)</w:t>
            </w:r>
          </w:p>
        </w:tc>
        <w:tc>
          <w:tcPr>
            <w:tcW w:w="1030" w:type="dxa"/>
            <w:shd w:val="clear" w:color="auto" w:fill="EDCDCF"/>
          </w:tcPr>
          <w:p w14:paraId="2C005B95" w14:textId="77777777" w:rsidR="00847455" w:rsidRPr="007744CA" w:rsidRDefault="00847455" w:rsidP="000C2043">
            <w:pPr>
              <w:pStyle w:val="Tablecolhead"/>
              <w:rPr>
                <w:rFonts w:cs="Arial"/>
                <w:sz w:val="16"/>
                <w:szCs w:val="16"/>
              </w:rPr>
            </w:pPr>
            <w:r w:rsidRPr="007744CA">
              <w:rPr>
                <w:rFonts w:cs="Arial"/>
                <w:sz w:val="16"/>
                <w:szCs w:val="16"/>
              </w:rPr>
              <w:t>2015</w:t>
            </w:r>
          </w:p>
          <w:p w14:paraId="31C26AC1" w14:textId="24C63554" w:rsidR="00847455" w:rsidRPr="007744CA" w:rsidRDefault="00847455" w:rsidP="000C2043">
            <w:pPr>
              <w:pStyle w:val="Tablecolhead"/>
              <w:rPr>
                <w:rFonts w:cs="Arial"/>
                <w:sz w:val="16"/>
                <w:szCs w:val="16"/>
              </w:rPr>
            </w:pPr>
            <w:r w:rsidRPr="007744CA">
              <w:rPr>
                <w:rFonts w:cs="Arial"/>
                <w:sz w:val="16"/>
                <w:szCs w:val="16"/>
              </w:rPr>
              <w:t>(95% CI)</w:t>
            </w:r>
          </w:p>
        </w:tc>
        <w:tc>
          <w:tcPr>
            <w:tcW w:w="1192" w:type="dxa"/>
            <w:shd w:val="clear" w:color="auto" w:fill="EDCDCF"/>
          </w:tcPr>
          <w:p w14:paraId="757752BE" w14:textId="77777777" w:rsidR="00847455" w:rsidRPr="007744CA" w:rsidRDefault="00847455" w:rsidP="000C2043">
            <w:pPr>
              <w:pStyle w:val="Tablecolhead"/>
              <w:rPr>
                <w:rFonts w:cs="Arial"/>
                <w:sz w:val="16"/>
                <w:szCs w:val="16"/>
              </w:rPr>
            </w:pPr>
            <w:r w:rsidRPr="007744CA">
              <w:rPr>
                <w:rFonts w:cs="Arial"/>
                <w:sz w:val="16"/>
                <w:szCs w:val="16"/>
              </w:rPr>
              <w:t>2016</w:t>
            </w:r>
          </w:p>
          <w:p w14:paraId="0A863DFE" w14:textId="7DAE37C2" w:rsidR="00847455" w:rsidRPr="007744CA" w:rsidRDefault="00847455" w:rsidP="000C2043">
            <w:pPr>
              <w:pStyle w:val="Tablecolhead"/>
              <w:rPr>
                <w:rFonts w:cs="Arial"/>
                <w:sz w:val="16"/>
                <w:szCs w:val="16"/>
              </w:rPr>
            </w:pPr>
            <w:r w:rsidRPr="007744CA">
              <w:rPr>
                <w:rFonts w:cs="Arial"/>
                <w:sz w:val="16"/>
                <w:szCs w:val="16"/>
              </w:rPr>
              <w:t>(95% CI)</w:t>
            </w:r>
          </w:p>
        </w:tc>
        <w:tc>
          <w:tcPr>
            <w:tcW w:w="1024" w:type="dxa"/>
            <w:shd w:val="clear" w:color="auto" w:fill="EDCDCF"/>
          </w:tcPr>
          <w:p w14:paraId="0D7F9DF6" w14:textId="77777777" w:rsidR="00847455" w:rsidRPr="007744CA" w:rsidRDefault="00847455" w:rsidP="000C2043">
            <w:pPr>
              <w:pStyle w:val="Tablecolhead"/>
              <w:rPr>
                <w:rFonts w:cs="Arial"/>
                <w:sz w:val="16"/>
                <w:szCs w:val="16"/>
              </w:rPr>
            </w:pPr>
            <w:r w:rsidRPr="007744CA">
              <w:rPr>
                <w:rFonts w:cs="Arial"/>
                <w:sz w:val="16"/>
                <w:szCs w:val="16"/>
              </w:rPr>
              <w:t>2017</w:t>
            </w:r>
          </w:p>
          <w:p w14:paraId="5B04DE83" w14:textId="73DBA05C" w:rsidR="00847455" w:rsidRPr="007744CA" w:rsidRDefault="00847455" w:rsidP="000C2043">
            <w:pPr>
              <w:pStyle w:val="Tablecolhead"/>
              <w:rPr>
                <w:rFonts w:cs="Arial"/>
                <w:sz w:val="16"/>
                <w:szCs w:val="16"/>
              </w:rPr>
            </w:pPr>
            <w:r w:rsidRPr="007744CA">
              <w:rPr>
                <w:rFonts w:cs="Arial"/>
                <w:sz w:val="16"/>
                <w:szCs w:val="16"/>
              </w:rPr>
              <w:t>(95% CI)</w:t>
            </w:r>
          </w:p>
        </w:tc>
        <w:tc>
          <w:tcPr>
            <w:tcW w:w="934" w:type="dxa"/>
            <w:shd w:val="clear" w:color="auto" w:fill="EDCDCF"/>
          </w:tcPr>
          <w:p w14:paraId="52F30A69" w14:textId="77777777" w:rsidR="00847455" w:rsidRPr="007744CA" w:rsidRDefault="00847455" w:rsidP="000C2043">
            <w:pPr>
              <w:pStyle w:val="Tablecolhead"/>
              <w:rPr>
                <w:rFonts w:cs="Arial"/>
                <w:sz w:val="16"/>
                <w:szCs w:val="16"/>
              </w:rPr>
            </w:pPr>
            <w:r w:rsidRPr="007744CA">
              <w:rPr>
                <w:rFonts w:cs="Arial"/>
                <w:sz w:val="16"/>
                <w:szCs w:val="16"/>
              </w:rPr>
              <w:t>2018</w:t>
            </w:r>
          </w:p>
          <w:p w14:paraId="2E50C8BD" w14:textId="35B7C09A" w:rsidR="00847455" w:rsidRPr="007744CA" w:rsidRDefault="00847455" w:rsidP="000C2043">
            <w:pPr>
              <w:pStyle w:val="Tablecolhead"/>
              <w:rPr>
                <w:rFonts w:cs="Arial"/>
                <w:sz w:val="16"/>
                <w:szCs w:val="16"/>
              </w:rPr>
            </w:pPr>
            <w:r w:rsidRPr="007744CA">
              <w:rPr>
                <w:rFonts w:cs="Arial"/>
                <w:sz w:val="16"/>
                <w:szCs w:val="16"/>
              </w:rPr>
              <w:t>(95% CI)</w:t>
            </w:r>
          </w:p>
        </w:tc>
        <w:tc>
          <w:tcPr>
            <w:tcW w:w="1042" w:type="dxa"/>
            <w:gridSpan w:val="2"/>
            <w:shd w:val="clear" w:color="auto" w:fill="EDCDCF"/>
          </w:tcPr>
          <w:p w14:paraId="5FDE7718" w14:textId="77777777" w:rsidR="00847455" w:rsidRPr="007744CA" w:rsidRDefault="00847455" w:rsidP="000C2043">
            <w:pPr>
              <w:pStyle w:val="Tablecolhead"/>
              <w:rPr>
                <w:rFonts w:cs="Arial"/>
                <w:sz w:val="16"/>
                <w:szCs w:val="16"/>
              </w:rPr>
            </w:pPr>
            <w:r w:rsidRPr="007744CA">
              <w:rPr>
                <w:rFonts w:cs="Arial"/>
                <w:sz w:val="16"/>
                <w:szCs w:val="16"/>
              </w:rPr>
              <w:t>2019</w:t>
            </w:r>
          </w:p>
          <w:p w14:paraId="5A4B4756" w14:textId="506A87CD" w:rsidR="00847455" w:rsidRPr="007744CA" w:rsidRDefault="00847455" w:rsidP="000C2043">
            <w:pPr>
              <w:pStyle w:val="Tablecolhead"/>
              <w:rPr>
                <w:rFonts w:cs="Arial"/>
                <w:sz w:val="16"/>
                <w:szCs w:val="16"/>
              </w:rPr>
            </w:pPr>
            <w:r w:rsidRPr="007744CA">
              <w:rPr>
                <w:rFonts w:cs="Arial"/>
                <w:sz w:val="16"/>
                <w:szCs w:val="16"/>
              </w:rPr>
              <w:t>(95% CI)</w:t>
            </w:r>
          </w:p>
        </w:tc>
        <w:tc>
          <w:tcPr>
            <w:tcW w:w="989" w:type="dxa"/>
            <w:shd w:val="clear" w:color="auto" w:fill="EDCDCF"/>
          </w:tcPr>
          <w:p w14:paraId="50604D6A" w14:textId="77777777" w:rsidR="00847455" w:rsidRPr="007744CA" w:rsidRDefault="00847455" w:rsidP="00847455">
            <w:pPr>
              <w:pStyle w:val="Tablecolhead"/>
              <w:ind w:left="-24"/>
              <w:rPr>
                <w:rFonts w:cs="Arial"/>
                <w:sz w:val="16"/>
                <w:szCs w:val="16"/>
              </w:rPr>
            </w:pPr>
            <w:r w:rsidRPr="007744CA">
              <w:rPr>
                <w:rFonts w:cs="Arial"/>
                <w:sz w:val="16"/>
                <w:szCs w:val="16"/>
              </w:rPr>
              <w:t>2020</w:t>
            </w:r>
          </w:p>
          <w:p w14:paraId="2EAD9643" w14:textId="5D03529B" w:rsidR="00847455" w:rsidRPr="007744CA" w:rsidRDefault="00847455" w:rsidP="00847455">
            <w:pPr>
              <w:pStyle w:val="Tablecolhead"/>
              <w:ind w:hanging="24"/>
              <w:rPr>
                <w:rFonts w:cs="Arial"/>
                <w:sz w:val="16"/>
                <w:szCs w:val="16"/>
              </w:rPr>
            </w:pPr>
            <w:r w:rsidRPr="007744CA">
              <w:rPr>
                <w:rFonts w:cs="Arial"/>
                <w:sz w:val="16"/>
                <w:szCs w:val="16"/>
              </w:rPr>
              <w:t>(95% CI)</w:t>
            </w:r>
          </w:p>
        </w:tc>
        <w:tc>
          <w:tcPr>
            <w:tcW w:w="1432" w:type="dxa"/>
            <w:shd w:val="clear" w:color="auto" w:fill="EDCDCF"/>
          </w:tcPr>
          <w:p w14:paraId="04F5585C" w14:textId="64E46E69" w:rsidR="00847455" w:rsidRPr="007744CA" w:rsidRDefault="00847455" w:rsidP="00476BC7">
            <w:pPr>
              <w:pStyle w:val="Tablecolhead"/>
              <w:ind w:left="111"/>
              <w:rPr>
                <w:rFonts w:cs="Arial"/>
                <w:sz w:val="16"/>
                <w:szCs w:val="16"/>
              </w:rPr>
            </w:pPr>
            <w:r w:rsidRPr="007744CA">
              <w:rPr>
                <w:rFonts w:cs="Arial"/>
                <w:sz w:val="16"/>
                <w:szCs w:val="16"/>
              </w:rPr>
              <w:t>2021</w:t>
            </w:r>
          </w:p>
          <w:p w14:paraId="1BB9D92E" w14:textId="534B67B6" w:rsidR="00847455" w:rsidRPr="007744CA" w:rsidRDefault="00847455" w:rsidP="00476BC7">
            <w:pPr>
              <w:pStyle w:val="Tablecolhead"/>
              <w:ind w:left="111"/>
              <w:rPr>
                <w:rFonts w:cs="Arial"/>
                <w:sz w:val="16"/>
                <w:szCs w:val="16"/>
              </w:rPr>
            </w:pPr>
            <w:r w:rsidRPr="007744CA">
              <w:rPr>
                <w:rFonts w:cs="Arial"/>
                <w:sz w:val="16"/>
                <w:szCs w:val="16"/>
              </w:rPr>
              <w:t>(95% CI)</w:t>
            </w:r>
          </w:p>
        </w:tc>
      </w:tr>
      <w:tr w:rsidR="00847455" w:rsidRPr="007744CA" w14:paraId="6E0BDDDE" w14:textId="3D695F03" w:rsidTr="007744CA">
        <w:trPr>
          <w:trHeight w:val="166"/>
        </w:trPr>
        <w:tc>
          <w:tcPr>
            <w:tcW w:w="1429" w:type="dxa"/>
            <w:tcBorders>
              <w:top w:val="single" w:sz="4" w:space="0" w:color="C00000"/>
              <w:bottom w:val="single" w:sz="4" w:space="0" w:color="auto"/>
            </w:tcBorders>
            <w:shd w:val="clear" w:color="auto" w:fill="auto"/>
          </w:tcPr>
          <w:p w14:paraId="25D854D4" w14:textId="1B36884C" w:rsidR="00847455" w:rsidRPr="007744CA" w:rsidRDefault="00847455" w:rsidP="00000145">
            <w:pPr>
              <w:pStyle w:val="Tabletext"/>
              <w:rPr>
                <w:rFonts w:cs="Arial"/>
                <w:b/>
                <w:sz w:val="16"/>
                <w:szCs w:val="16"/>
              </w:rPr>
            </w:pPr>
            <w:r w:rsidRPr="007744CA">
              <w:rPr>
                <w:rFonts w:cs="Arial"/>
                <w:sz w:val="16"/>
                <w:szCs w:val="16"/>
              </w:rPr>
              <w:t>Quintile 1 (most disadvantaged)</w:t>
            </w:r>
          </w:p>
        </w:tc>
        <w:tc>
          <w:tcPr>
            <w:tcW w:w="1011" w:type="dxa"/>
            <w:shd w:val="clear" w:color="auto" w:fill="auto"/>
          </w:tcPr>
          <w:p w14:paraId="0CB5966A" w14:textId="77777777" w:rsidR="00847455" w:rsidRPr="007744CA" w:rsidRDefault="00847455" w:rsidP="00000145">
            <w:pPr>
              <w:pStyle w:val="Tabletext"/>
              <w:rPr>
                <w:rFonts w:cs="Arial"/>
                <w:sz w:val="16"/>
                <w:szCs w:val="16"/>
              </w:rPr>
            </w:pPr>
            <w:r w:rsidRPr="007744CA">
              <w:rPr>
                <w:rFonts w:cs="Arial"/>
                <w:sz w:val="16"/>
                <w:szCs w:val="16"/>
              </w:rPr>
              <w:t>1.1</w:t>
            </w:r>
          </w:p>
          <w:p w14:paraId="65AA335B" w14:textId="7B15F0E3" w:rsidR="00847455" w:rsidRPr="007744CA" w:rsidRDefault="00847455" w:rsidP="00000145">
            <w:pPr>
              <w:pStyle w:val="Tabletext"/>
              <w:rPr>
                <w:rFonts w:cs="Arial"/>
                <w:sz w:val="16"/>
                <w:szCs w:val="16"/>
              </w:rPr>
            </w:pPr>
            <w:r w:rsidRPr="007744CA">
              <w:rPr>
                <w:rFonts w:cs="Arial"/>
                <w:sz w:val="16"/>
                <w:szCs w:val="16"/>
              </w:rPr>
              <w:t>(1.0–1.2)</w:t>
            </w:r>
          </w:p>
        </w:tc>
        <w:tc>
          <w:tcPr>
            <w:tcW w:w="1030" w:type="dxa"/>
            <w:shd w:val="clear" w:color="auto" w:fill="auto"/>
          </w:tcPr>
          <w:p w14:paraId="7BFF77D7" w14:textId="77777777" w:rsidR="00847455" w:rsidRPr="007744CA" w:rsidRDefault="00847455" w:rsidP="00000145">
            <w:pPr>
              <w:pStyle w:val="Tabletext"/>
              <w:rPr>
                <w:rFonts w:cs="Arial"/>
                <w:sz w:val="16"/>
                <w:szCs w:val="16"/>
              </w:rPr>
            </w:pPr>
            <w:r w:rsidRPr="007744CA">
              <w:rPr>
                <w:rFonts w:cs="Arial"/>
                <w:sz w:val="16"/>
                <w:szCs w:val="16"/>
              </w:rPr>
              <w:t>1.1</w:t>
            </w:r>
          </w:p>
          <w:p w14:paraId="6E702752" w14:textId="13C7400F" w:rsidR="00847455" w:rsidRPr="007744CA" w:rsidRDefault="00847455" w:rsidP="00000145">
            <w:pPr>
              <w:pStyle w:val="Tabletext"/>
              <w:rPr>
                <w:rFonts w:cs="Arial"/>
                <w:sz w:val="16"/>
                <w:szCs w:val="16"/>
              </w:rPr>
            </w:pPr>
            <w:r w:rsidRPr="007744CA">
              <w:rPr>
                <w:rFonts w:cs="Arial"/>
                <w:sz w:val="16"/>
                <w:szCs w:val="16"/>
              </w:rPr>
              <w:t>(1.0–1.2)</w:t>
            </w:r>
          </w:p>
        </w:tc>
        <w:tc>
          <w:tcPr>
            <w:tcW w:w="1192" w:type="dxa"/>
            <w:shd w:val="clear" w:color="auto" w:fill="auto"/>
          </w:tcPr>
          <w:p w14:paraId="683E75F8" w14:textId="77777777" w:rsidR="00847455" w:rsidRPr="007744CA" w:rsidRDefault="00847455" w:rsidP="00000145">
            <w:pPr>
              <w:pStyle w:val="Tabletext"/>
              <w:rPr>
                <w:rFonts w:cs="Arial"/>
                <w:sz w:val="16"/>
                <w:szCs w:val="16"/>
              </w:rPr>
            </w:pPr>
            <w:r w:rsidRPr="007744CA">
              <w:rPr>
                <w:rFonts w:cs="Arial"/>
                <w:sz w:val="16"/>
                <w:szCs w:val="16"/>
              </w:rPr>
              <w:t>1.1</w:t>
            </w:r>
          </w:p>
          <w:p w14:paraId="4E79D862" w14:textId="51D34B98" w:rsidR="00847455" w:rsidRPr="007744CA" w:rsidRDefault="00847455" w:rsidP="00000145">
            <w:pPr>
              <w:pStyle w:val="Tabletext"/>
              <w:rPr>
                <w:rFonts w:cs="Arial"/>
                <w:sz w:val="16"/>
                <w:szCs w:val="16"/>
              </w:rPr>
            </w:pPr>
            <w:r w:rsidRPr="007744CA">
              <w:rPr>
                <w:rFonts w:cs="Arial"/>
                <w:sz w:val="16"/>
                <w:szCs w:val="16"/>
              </w:rPr>
              <w:t>(1.0–1.2)</w:t>
            </w:r>
          </w:p>
        </w:tc>
        <w:tc>
          <w:tcPr>
            <w:tcW w:w="1024" w:type="dxa"/>
            <w:shd w:val="clear" w:color="auto" w:fill="auto"/>
          </w:tcPr>
          <w:p w14:paraId="5CB23186" w14:textId="77777777" w:rsidR="00847455" w:rsidRPr="007744CA" w:rsidRDefault="00847455" w:rsidP="00000145">
            <w:pPr>
              <w:pStyle w:val="Tabletext"/>
              <w:rPr>
                <w:rFonts w:cs="Arial"/>
                <w:sz w:val="16"/>
                <w:szCs w:val="16"/>
              </w:rPr>
            </w:pPr>
            <w:r w:rsidRPr="007744CA">
              <w:rPr>
                <w:rFonts w:cs="Arial"/>
                <w:sz w:val="16"/>
                <w:szCs w:val="16"/>
              </w:rPr>
              <w:t>1.1</w:t>
            </w:r>
          </w:p>
          <w:p w14:paraId="4706E1A9" w14:textId="3FD76280" w:rsidR="00847455" w:rsidRPr="007744CA" w:rsidRDefault="00847455" w:rsidP="00000145">
            <w:pPr>
              <w:pStyle w:val="Tabletext"/>
              <w:rPr>
                <w:rFonts w:cs="Arial"/>
                <w:sz w:val="16"/>
                <w:szCs w:val="16"/>
              </w:rPr>
            </w:pPr>
            <w:r w:rsidRPr="007744CA">
              <w:rPr>
                <w:rFonts w:cs="Arial"/>
                <w:sz w:val="16"/>
                <w:szCs w:val="16"/>
              </w:rPr>
              <w:t>(1.0–1.2)</w:t>
            </w:r>
          </w:p>
        </w:tc>
        <w:tc>
          <w:tcPr>
            <w:tcW w:w="934" w:type="dxa"/>
          </w:tcPr>
          <w:p w14:paraId="3220D4E8" w14:textId="6BFA4016" w:rsidR="00847455" w:rsidRPr="007744CA" w:rsidRDefault="00847455" w:rsidP="00000145">
            <w:pPr>
              <w:pStyle w:val="Tabletext"/>
              <w:rPr>
                <w:rFonts w:cs="Arial"/>
                <w:sz w:val="16"/>
                <w:szCs w:val="16"/>
              </w:rPr>
            </w:pPr>
            <w:r w:rsidRPr="007744CA">
              <w:rPr>
                <w:rFonts w:cs="Arial"/>
                <w:sz w:val="16"/>
                <w:szCs w:val="16"/>
              </w:rPr>
              <w:t>1.1</w:t>
            </w:r>
          </w:p>
          <w:p w14:paraId="49C41CF2" w14:textId="19A9C33C" w:rsidR="00847455" w:rsidRPr="007744CA" w:rsidRDefault="00847455" w:rsidP="00000145">
            <w:pPr>
              <w:pStyle w:val="Tabletext"/>
              <w:rPr>
                <w:rFonts w:cs="Arial"/>
                <w:sz w:val="16"/>
                <w:szCs w:val="16"/>
              </w:rPr>
            </w:pPr>
            <w:r w:rsidRPr="007744CA">
              <w:rPr>
                <w:rFonts w:cs="Arial"/>
                <w:sz w:val="16"/>
                <w:szCs w:val="16"/>
              </w:rPr>
              <w:t>(1.0–1.2)</w:t>
            </w:r>
          </w:p>
        </w:tc>
        <w:tc>
          <w:tcPr>
            <w:tcW w:w="961" w:type="dxa"/>
          </w:tcPr>
          <w:p w14:paraId="747FDE6A" w14:textId="77777777" w:rsidR="00847455" w:rsidRPr="007744CA" w:rsidRDefault="00847455" w:rsidP="00000145">
            <w:pPr>
              <w:pStyle w:val="Tabletext"/>
              <w:rPr>
                <w:rFonts w:cs="Arial"/>
                <w:sz w:val="16"/>
                <w:szCs w:val="16"/>
              </w:rPr>
            </w:pPr>
            <w:r w:rsidRPr="007744CA">
              <w:rPr>
                <w:rFonts w:cs="Arial"/>
                <w:sz w:val="16"/>
                <w:szCs w:val="16"/>
              </w:rPr>
              <w:t>1.1</w:t>
            </w:r>
          </w:p>
          <w:p w14:paraId="3A9815CA" w14:textId="204302C2" w:rsidR="00847455" w:rsidRPr="007744CA" w:rsidRDefault="00847455" w:rsidP="00000145">
            <w:pPr>
              <w:pStyle w:val="Tabletext"/>
              <w:rPr>
                <w:rFonts w:cs="Arial"/>
                <w:sz w:val="16"/>
                <w:szCs w:val="16"/>
              </w:rPr>
            </w:pPr>
            <w:r w:rsidRPr="007744CA">
              <w:rPr>
                <w:rFonts w:cs="Arial"/>
                <w:sz w:val="16"/>
                <w:szCs w:val="16"/>
              </w:rPr>
              <w:t>(1.0–1.2)</w:t>
            </w:r>
          </w:p>
        </w:tc>
        <w:tc>
          <w:tcPr>
            <w:tcW w:w="1070" w:type="dxa"/>
            <w:gridSpan w:val="2"/>
          </w:tcPr>
          <w:p w14:paraId="7C0083DA" w14:textId="77777777" w:rsidR="00847455" w:rsidRPr="007744CA" w:rsidRDefault="00847455" w:rsidP="00000145">
            <w:pPr>
              <w:pStyle w:val="Tabletext"/>
              <w:rPr>
                <w:rFonts w:cs="Arial"/>
                <w:sz w:val="16"/>
                <w:szCs w:val="16"/>
              </w:rPr>
            </w:pPr>
            <w:r w:rsidRPr="007744CA">
              <w:rPr>
                <w:rFonts w:cs="Arial"/>
                <w:sz w:val="16"/>
                <w:szCs w:val="16"/>
              </w:rPr>
              <w:t>1.1</w:t>
            </w:r>
          </w:p>
          <w:p w14:paraId="0DD86C52" w14:textId="4EC5888B" w:rsidR="00847455" w:rsidRPr="007744CA" w:rsidRDefault="00847455" w:rsidP="00000145">
            <w:pPr>
              <w:pStyle w:val="Tabletext"/>
              <w:rPr>
                <w:rFonts w:cs="Arial"/>
                <w:sz w:val="16"/>
                <w:szCs w:val="16"/>
              </w:rPr>
            </w:pPr>
            <w:r w:rsidRPr="007744CA">
              <w:rPr>
                <w:rFonts w:cs="Arial"/>
                <w:sz w:val="16"/>
                <w:szCs w:val="16"/>
              </w:rPr>
              <w:t>(1.0–1.2)</w:t>
            </w:r>
          </w:p>
        </w:tc>
        <w:tc>
          <w:tcPr>
            <w:tcW w:w="1432" w:type="dxa"/>
          </w:tcPr>
          <w:p w14:paraId="5CF8C5BC" w14:textId="77777777" w:rsidR="00847455" w:rsidRPr="007744CA" w:rsidRDefault="00847455" w:rsidP="00847455">
            <w:pPr>
              <w:pStyle w:val="Tabletext"/>
              <w:rPr>
                <w:rFonts w:cs="Arial"/>
                <w:sz w:val="16"/>
                <w:szCs w:val="16"/>
              </w:rPr>
            </w:pPr>
            <w:r w:rsidRPr="007744CA">
              <w:rPr>
                <w:rFonts w:cs="Arial"/>
                <w:sz w:val="16"/>
                <w:szCs w:val="16"/>
              </w:rPr>
              <w:t>1.1</w:t>
            </w:r>
          </w:p>
          <w:p w14:paraId="0E6EC8F7" w14:textId="4EC6A718" w:rsidR="00847455" w:rsidRPr="007744CA" w:rsidRDefault="00847455" w:rsidP="00847455">
            <w:pPr>
              <w:pStyle w:val="Tabletext"/>
              <w:rPr>
                <w:rFonts w:cs="Arial"/>
                <w:sz w:val="16"/>
                <w:szCs w:val="16"/>
              </w:rPr>
            </w:pPr>
            <w:r w:rsidRPr="007744CA">
              <w:rPr>
                <w:rFonts w:cs="Arial"/>
                <w:sz w:val="16"/>
                <w:szCs w:val="16"/>
              </w:rPr>
              <w:t>(1.0–1.2)</w:t>
            </w:r>
          </w:p>
        </w:tc>
      </w:tr>
      <w:tr w:rsidR="00847455" w:rsidRPr="007744CA" w14:paraId="2E8D3D73" w14:textId="33560CE9" w:rsidTr="007744CA">
        <w:trPr>
          <w:trHeight w:val="188"/>
        </w:trPr>
        <w:tc>
          <w:tcPr>
            <w:tcW w:w="1429" w:type="dxa"/>
            <w:tcBorders>
              <w:top w:val="single" w:sz="4" w:space="0" w:color="auto"/>
            </w:tcBorders>
            <w:shd w:val="clear" w:color="auto" w:fill="auto"/>
            <w:vAlign w:val="center"/>
          </w:tcPr>
          <w:p w14:paraId="647F8219" w14:textId="77777777" w:rsidR="00847455" w:rsidRPr="007744CA" w:rsidRDefault="00847455" w:rsidP="00000145">
            <w:pPr>
              <w:pStyle w:val="Tabletext"/>
              <w:rPr>
                <w:rFonts w:cs="Arial"/>
                <w:sz w:val="16"/>
                <w:szCs w:val="16"/>
              </w:rPr>
            </w:pPr>
            <w:r w:rsidRPr="007744CA">
              <w:rPr>
                <w:rFonts w:cs="Arial"/>
                <w:sz w:val="16"/>
                <w:szCs w:val="16"/>
              </w:rPr>
              <w:t>Quintile 2</w:t>
            </w:r>
          </w:p>
        </w:tc>
        <w:tc>
          <w:tcPr>
            <w:tcW w:w="1011" w:type="dxa"/>
            <w:shd w:val="clear" w:color="auto" w:fill="auto"/>
          </w:tcPr>
          <w:p w14:paraId="3FFA9A08" w14:textId="77777777" w:rsidR="00847455" w:rsidRPr="007744CA" w:rsidRDefault="00847455" w:rsidP="00000145">
            <w:pPr>
              <w:pStyle w:val="Tabletext"/>
              <w:rPr>
                <w:rFonts w:cs="Arial"/>
                <w:sz w:val="16"/>
                <w:szCs w:val="16"/>
              </w:rPr>
            </w:pPr>
            <w:r w:rsidRPr="007744CA">
              <w:rPr>
                <w:rFonts w:cs="Arial"/>
                <w:sz w:val="16"/>
                <w:szCs w:val="16"/>
              </w:rPr>
              <w:t>1.1</w:t>
            </w:r>
          </w:p>
          <w:p w14:paraId="26A55F5A" w14:textId="5DF14235" w:rsidR="00847455" w:rsidRPr="007744CA" w:rsidRDefault="00847455" w:rsidP="00000145">
            <w:pPr>
              <w:pStyle w:val="Tabletext"/>
              <w:rPr>
                <w:rFonts w:cs="Arial"/>
                <w:sz w:val="16"/>
                <w:szCs w:val="16"/>
              </w:rPr>
            </w:pPr>
            <w:r w:rsidRPr="007744CA">
              <w:rPr>
                <w:rFonts w:cs="Arial"/>
                <w:sz w:val="16"/>
                <w:szCs w:val="16"/>
              </w:rPr>
              <w:t>(1.0–1.2)</w:t>
            </w:r>
          </w:p>
        </w:tc>
        <w:tc>
          <w:tcPr>
            <w:tcW w:w="1030" w:type="dxa"/>
            <w:shd w:val="clear" w:color="auto" w:fill="auto"/>
          </w:tcPr>
          <w:p w14:paraId="334DBD33" w14:textId="77777777" w:rsidR="00847455" w:rsidRPr="007744CA" w:rsidRDefault="00847455" w:rsidP="00000145">
            <w:pPr>
              <w:pStyle w:val="Tabletext"/>
              <w:rPr>
                <w:rFonts w:cs="Arial"/>
                <w:sz w:val="16"/>
                <w:szCs w:val="16"/>
              </w:rPr>
            </w:pPr>
            <w:r w:rsidRPr="007744CA">
              <w:rPr>
                <w:rFonts w:cs="Arial"/>
                <w:sz w:val="16"/>
                <w:szCs w:val="16"/>
              </w:rPr>
              <w:t>1.0</w:t>
            </w:r>
          </w:p>
          <w:p w14:paraId="2A9CA386" w14:textId="376BB0E6" w:rsidR="00847455" w:rsidRPr="007744CA" w:rsidRDefault="00847455" w:rsidP="00000145">
            <w:pPr>
              <w:pStyle w:val="Tabletext"/>
              <w:rPr>
                <w:rFonts w:cs="Arial"/>
                <w:sz w:val="16"/>
                <w:szCs w:val="16"/>
              </w:rPr>
            </w:pPr>
            <w:r w:rsidRPr="007744CA">
              <w:rPr>
                <w:rFonts w:cs="Arial"/>
                <w:sz w:val="16"/>
                <w:szCs w:val="16"/>
              </w:rPr>
              <w:t>(0.9–1.1)</w:t>
            </w:r>
          </w:p>
        </w:tc>
        <w:tc>
          <w:tcPr>
            <w:tcW w:w="1192" w:type="dxa"/>
            <w:shd w:val="clear" w:color="auto" w:fill="auto"/>
          </w:tcPr>
          <w:p w14:paraId="44F2EDC4" w14:textId="77777777" w:rsidR="00847455" w:rsidRPr="007744CA" w:rsidRDefault="00847455" w:rsidP="00000145">
            <w:pPr>
              <w:pStyle w:val="Tabletext"/>
              <w:rPr>
                <w:rFonts w:cs="Arial"/>
                <w:sz w:val="16"/>
                <w:szCs w:val="16"/>
              </w:rPr>
            </w:pPr>
            <w:r w:rsidRPr="007744CA">
              <w:rPr>
                <w:rFonts w:cs="Arial"/>
                <w:sz w:val="16"/>
                <w:szCs w:val="16"/>
              </w:rPr>
              <w:t>1.1</w:t>
            </w:r>
          </w:p>
          <w:p w14:paraId="0CDB723A" w14:textId="3207DC76" w:rsidR="00847455" w:rsidRPr="007744CA" w:rsidRDefault="00847455" w:rsidP="00000145">
            <w:pPr>
              <w:pStyle w:val="Tabletext"/>
              <w:rPr>
                <w:rFonts w:cs="Arial"/>
                <w:sz w:val="16"/>
                <w:szCs w:val="16"/>
              </w:rPr>
            </w:pPr>
            <w:r w:rsidRPr="007744CA">
              <w:rPr>
                <w:rFonts w:cs="Arial"/>
                <w:sz w:val="16"/>
                <w:szCs w:val="16"/>
              </w:rPr>
              <w:t>(1.0–1.2)</w:t>
            </w:r>
          </w:p>
        </w:tc>
        <w:tc>
          <w:tcPr>
            <w:tcW w:w="1024" w:type="dxa"/>
            <w:shd w:val="clear" w:color="auto" w:fill="auto"/>
          </w:tcPr>
          <w:p w14:paraId="616FBA67" w14:textId="77777777" w:rsidR="00847455" w:rsidRPr="007744CA" w:rsidRDefault="00847455" w:rsidP="00000145">
            <w:pPr>
              <w:pStyle w:val="Tabletext"/>
              <w:rPr>
                <w:rFonts w:cs="Arial"/>
                <w:sz w:val="16"/>
                <w:szCs w:val="16"/>
              </w:rPr>
            </w:pPr>
            <w:r w:rsidRPr="007744CA">
              <w:rPr>
                <w:rFonts w:cs="Arial"/>
                <w:sz w:val="16"/>
                <w:szCs w:val="16"/>
              </w:rPr>
              <w:t>1.1</w:t>
            </w:r>
          </w:p>
          <w:p w14:paraId="4BA25B16" w14:textId="44EA9AD9" w:rsidR="00847455" w:rsidRPr="007744CA" w:rsidRDefault="00847455" w:rsidP="00000145">
            <w:pPr>
              <w:pStyle w:val="Tabletext"/>
              <w:rPr>
                <w:rFonts w:cs="Arial"/>
                <w:sz w:val="16"/>
                <w:szCs w:val="16"/>
              </w:rPr>
            </w:pPr>
            <w:r w:rsidRPr="007744CA">
              <w:rPr>
                <w:rFonts w:cs="Arial"/>
                <w:sz w:val="16"/>
                <w:szCs w:val="16"/>
              </w:rPr>
              <w:t>(1.0–1.2)</w:t>
            </w:r>
          </w:p>
        </w:tc>
        <w:tc>
          <w:tcPr>
            <w:tcW w:w="934" w:type="dxa"/>
          </w:tcPr>
          <w:p w14:paraId="3693A8A5" w14:textId="160DAC6A" w:rsidR="00847455" w:rsidRPr="007744CA" w:rsidRDefault="00847455" w:rsidP="00000145">
            <w:pPr>
              <w:pStyle w:val="Tabletext"/>
              <w:rPr>
                <w:rFonts w:cs="Arial"/>
                <w:sz w:val="16"/>
                <w:szCs w:val="16"/>
              </w:rPr>
            </w:pPr>
            <w:r w:rsidRPr="007744CA">
              <w:rPr>
                <w:rFonts w:cs="Arial"/>
                <w:sz w:val="16"/>
                <w:szCs w:val="16"/>
              </w:rPr>
              <w:t>1.1</w:t>
            </w:r>
          </w:p>
          <w:p w14:paraId="5ECFB8F4" w14:textId="6E4C31A8" w:rsidR="00847455" w:rsidRPr="007744CA" w:rsidRDefault="00847455" w:rsidP="00000145">
            <w:pPr>
              <w:pStyle w:val="Tabletext"/>
              <w:rPr>
                <w:rFonts w:cs="Arial"/>
                <w:sz w:val="16"/>
                <w:szCs w:val="16"/>
              </w:rPr>
            </w:pPr>
            <w:r w:rsidRPr="007744CA">
              <w:rPr>
                <w:rFonts w:cs="Arial"/>
                <w:sz w:val="16"/>
                <w:szCs w:val="16"/>
              </w:rPr>
              <w:t>(1.0–1.2)</w:t>
            </w:r>
          </w:p>
        </w:tc>
        <w:tc>
          <w:tcPr>
            <w:tcW w:w="961" w:type="dxa"/>
          </w:tcPr>
          <w:p w14:paraId="694977C8" w14:textId="77777777" w:rsidR="00847455" w:rsidRPr="007744CA" w:rsidRDefault="00847455" w:rsidP="001A4D7F">
            <w:pPr>
              <w:pStyle w:val="Tabletext"/>
              <w:rPr>
                <w:rFonts w:cs="Arial"/>
                <w:sz w:val="16"/>
                <w:szCs w:val="16"/>
              </w:rPr>
            </w:pPr>
            <w:r w:rsidRPr="007744CA">
              <w:rPr>
                <w:rFonts w:cs="Arial"/>
                <w:sz w:val="16"/>
                <w:szCs w:val="16"/>
              </w:rPr>
              <w:t>1.1</w:t>
            </w:r>
          </w:p>
          <w:p w14:paraId="516BDD19" w14:textId="42852AB8" w:rsidR="00847455" w:rsidRPr="007744CA" w:rsidRDefault="00847455" w:rsidP="001A4D7F">
            <w:pPr>
              <w:pStyle w:val="Tabletext"/>
              <w:rPr>
                <w:rFonts w:cs="Arial"/>
                <w:sz w:val="16"/>
                <w:szCs w:val="16"/>
              </w:rPr>
            </w:pPr>
            <w:r w:rsidRPr="007744CA">
              <w:rPr>
                <w:rFonts w:cs="Arial"/>
                <w:sz w:val="16"/>
                <w:szCs w:val="16"/>
              </w:rPr>
              <w:t>(1.0–1.2)</w:t>
            </w:r>
          </w:p>
        </w:tc>
        <w:tc>
          <w:tcPr>
            <w:tcW w:w="1070" w:type="dxa"/>
            <w:gridSpan w:val="2"/>
          </w:tcPr>
          <w:p w14:paraId="3D997265" w14:textId="77777777" w:rsidR="00847455" w:rsidRPr="007744CA" w:rsidRDefault="00847455" w:rsidP="00000145">
            <w:pPr>
              <w:pStyle w:val="Tabletext"/>
              <w:rPr>
                <w:rFonts w:cs="Arial"/>
                <w:sz w:val="16"/>
                <w:szCs w:val="16"/>
              </w:rPr>
            </w:pPr>
            <w:r w:rsidRPr="007744CA">
              <w:rPr>
                <w:rFonts w:cs="Arial"/>
                <w:sz w:val="16"/>
                <w:szCs w:val="16"/>
              </w:rPr>
              <w:t>1.1</w:t>
            </w:r>
          </w:p>
          <w:p w14:paraId="647B6AB3" w14:textId="19005A6B" w:rsidR="00847455" w:rsidRPr="007744CA" w:rsidRDefault="00847455" w:rsidP="00000145">
            <w:pPr>
              <w:pStyle w:val="Tabletext"/>
              <w:rPr>
                <w:rFonts w:cs="Arial"/>
                <w:sz w:val="16"/>
                <w:szCs w:val="16"/>
              </w:rPr>
            </w:pPr>
            <w:r w:rsidRPr="007744CA">
              <w:rPr>
                <w:rFonts w:cs="Arial"/>
                <w:sz w:val="16"/>
                <w:szCs w:val="16"/>
              </w:rPr>
              <w:t>(1.0–1.2)</w:t>
            </w:r>
          </w:p>
        </w:tc>
        <w:tc>
          <w:tcPr>
            <w:tcW w:w="1432" w:type="dxa"/>
          </w:tcPr>
          <w:p w14:paraId="18F7F8DF" w14:textId="77777777" w:rsidR="00847455" w:rsidRPr="007744CA" w:rsidRDefault="00847455" w:rsidP="00847455">
            <w:pPr>
              <w:pStyle w:val="Tabletext"/>
              <w:rPr>
                <w:rFonts w:cs="Arial"/>
                <w:sz w:val="16"/>
                <w:szCs w:val="16"/>
              </w:rPr>
            </w:pPr>
            <w:r w:rsidRPr="007744CA">
              <w:rPr>
                <w:rFonts w:cs="Arial"/>
                <w:sz w:val="16"/>
                <w:szCs w:val="16"/>
              </w:rPr>
              <w:t>1.1</w:t>
            </w:r>
          </w:p>
          <w:p w14:paraId="073A1865" w14:textId="7C134D43" w:rsidR="00847455" w:rsidRPr="007744CA" w:rsidRDefault="00847455" w:rsidP="00847455">
            <w:pPr>
              <w:pStyle w:val="Tabletext"/>
              <w:rPr>
                <w:rFonts w:cs="Arial"/>
                <w:sz w:val="16"/>
                <w:szCs w:val="16"/>
              </w:rPr>
            </w:pPr>
            <w:r w:rsidRPr="007744CA">
              <w:rPr>
                <w:rFonts w:cs="Arial"/>
                <w:sz w:val="16"/>
                <w:szCs w:val="16"/>
              </w:rPr>
              <w:t>(1.0–1.2)</w:t>
            </w:r>
          </w:p>
        </w:tc>
      </w:tr>
      <w:tr w:rsidR="00847455" w:rsidRPr="007744CA" w14:paraId="46B1C0C4" w14:textId="0F42EE0B" w:rsidTr="007744CA">
        <w:trPr>
          <w:trHeight w:val="188"/>
        </w:trPr>
        <w:tc>
          <w:tcPr>
            <w:tcW w:w="1429" w:type="dxa"/>
            <w:shd w:val="clear" w:color="auto" w:fill="auto"/>
            <w:vAlign w:val="center"/>
          </w:tcPr>
          <w:p w14:paraId="4040DA8A" w14:textId="77777777" w:rsidR="00847455" w:rsidRPr="007744CA" w:rsidRDefault="00847455" w:rsidP="001A4D7F">
            <w:pPr>
              <w:pStyle w:val="Tabletext"/>
              <w:rPr>
                <w:rFonts w:cs="Arial"/>
                <w:sz w:val="16"/>
                <w:szCs w:val="16"/>
              </w:rPr>
            </w:pPr>
            <w:r w:rsidRPr="007744CA">
              <w:rPr>
                <w:rFonts w:cs="Arial"/>
                <w:sz w:val="16"/>
                <w:szCs w:val="16"/>
              </w:rPr>
              <w:t>Quintile 3</w:t>
            </w:r>
          </w:p>
        </w:tc>
        <w:tc>
          <w:tcPr>
            <w:tcW w:w="1011" w:type="dxa"/>
            <w:shd w:val="clear" w:color="auto" w:fill="auto"/>
          </w:tcPr>
          <w:p w14:paraId="27780845" w14:textId="77777777" w:rsidR="00847455" w:rsidRPr="007744CA" w:rsidRDefault="00847455" w:rsidP="001A4D7F">
            <w:pPr>
              <w:pStyle w:val="Tabletext"/>
              <w:rPr>
                <w:rFonts w:cs="Arial"/>
                <w:sz w:val="16"/>
                <w:szCs w:val="16"/>
              </w:rPr>
            </w:pPr>
            <w:r w:rsidRPr="007744CA">
              <w:rPr>
                <w:rFonts w:cs="Arial"/>
                <w:sz w:val="16"/>
                <w:szCs w:val="16"/>
              </w:rPr>
              <w:t>1.0</w:t>
            </w:r>
          </w:p>
          <w:p w14:paraId="086A10FC" w14:textId="0B85E564" w:rsidR="00847455" w:rsidRPr="007744CA" w:rsidRDefault="00847455" w:rsidP="001A4D7F">
            <w:pPr>
              <w:pStyle w:val="Tabletext"/>
              <w:rPr>
                <w:rFonts w:cs="Arial"/>
                <w:sz w:val="16"/>
                <w:szCs w:val="16"/>
              </w:rPr>
            </w:pPr>
            <w:r w:rsidRPr="007744CA">
              <w:rPr>
                <w:rFonts w:cs="Arial"/>
                <w:sz w:val="16"/>
                <w:szCs w:val="16"/>
              </w:rPr>
              <w:t>(0.9–1.1)</w:t>
            </w:r>
          </w:p>
        </w:tc>
        <w:tc>
          <w:tcPr>
            <w:tcW w:w="1030" w:type="dxa"/>
            <w:shd w:val="clear" w:color="auto" w:fill="auto"/>
          </w:tcPr>
          <w:p w14:paraId="52C0FB97" w14:textId="77777777" w:rsidR="00847455" w:rsidRPr="007744CA" w:rsidRDefault="00847455" w:rsidP="001A4D7F">
            <w:pPr>
              <w:pStyle w:val="Tabletext"/>
              <w:rPr>
                <w:rFonts w:cs="Arial"/>
                <w:sz w:val="16"/>
                <w:szCs w:val="16"/>
              </w:rPr>
            </w:pPr>
            <w:r w:rsidRPr="007744CA">
              <w:rPr>
                <w:rFonts w:cs="Arial"/>
                <w:sz w:val="16"/>
                <w:szCs w:val="16"/>
              </w:rPr>
              <w:t>1.0</w:t>
            </w:r>
          </w:p>
          <w:p w14:paraId="561D4094" w14:textId="6B7D4545" w:rsidR="00847455" w:rsidRPr="007744CA" w:rsidRDefault="00847455" w:rsidP="001A4D7F">
            <w:pPr>
              <w:pStyle w:val="Tabletext"/>
              <w:rPr>
                <w:rFonts w:cs="Arial"/>
                <w:sz w:val="16"/>
                <w:szCs w:val="16"/>
              </w:rPr>
            </w:pPr>
            <w:r w:rsidRPr="007744CA">
              <w:rPr>
                <w:rFonts w:cs="Arial"/>
                <w:sz w:val="16"/>
                <w:szCs w:val="16"/>
              </w:rPr>
              <w:t>(0.9–1.1)</w:t>
            </w:r>
          </w:p>
        </w:tc>
        <w:tc>
          <w:tcPr>
            <w:tcW w:w="1192" w:type="dxa"/>
            <w:shd w:val="clear" w:color="auto" w:fill="auto"/>
          </w:tcPr>
          <w:p w14:paraId="697548BC" w14:textId="77777777" w:rsidR="00847455" w:rsidRPr="007744CA" w:rsidRDefault="00847455" w:rsidP="001A4D7F">
            <w:pPr>
              <w:pStyle w:val="Tabletext"/>
              <w:rPr>
                <w:rFonts w:cs="Arial"/>
                <w:sz w:val="16"/>
                <w:szCs w:val="16"/>
              </w:rPr>
            </w:pPr>
            <w:r w:rsidRPr="007744CA">
              <w:rPr>
                <w:rFonts w:cs="Arial"/>
                <w:sz w:val="16"/>
                <w:szCs w:val="16"/>
              </w:rPr>
              <w:t>1.0</w:t>
            </w:r>
          </w:p>
          <w:p w14:paraId="221E5474" w14:textId="72A17753" w:rsidR="00847455" w:rsidRPr="007744CA" w:rsidRDefault="00847455" w:rsidP="001A4D7F">
            <w:pPr>
              <w:pStyle w:val="Tabletext"/>
              <w:rPr>
                <w:rFonts w:cs="Arial"/>
                <w:sz w:val="16"/>
                <w:szCs w:val="16"/>
              </w:rPr>
            </w:pPr>
            <w:r w:rsidRPr="007744CA">
              <w:rPr>
                <w:rFonts w:cs="Arial"/>
                <w:sz w:val="16"/>
                <w:szCs w:val="16"/>
              </w:rPr>
              <w:t>(0.9–1.1)</w:t>
            </w:r>
          </w:p>
        </w:tc>
        <w:tc>
          <w:tcPr>
            <w:tcW w:w="1024" w:type="dxa"/>
            <w:shd w:val="clear" w:color="auto" w:fill="auto"/>
          </w:tcPr>
          <w:p w14:paraId="69E3861E" w14:textId="77777777" w:rsidR="00847455" w:rsidRPr="007744CA" w:rsidRDefault="00847455" w:rsidP="001A4D7F">
            <w:pPr>
              <w:pStyle w:val="Tabletext"/>
              <w:rPr>
                <w:rFonts w:cs="Arial"/>
                <w:sz w:val="16"/>
                <w:szCs w:val="16"/>
              </w:rPr>
            </w:pPr>
            <w:r w:rsidRPr="007744CA">
              <w:rPr>
                <w:rFonts w:cs="Arial"/>
                <w:sz w:val="16"/>
                <w:szCs w:val="16"/>
              </w:rPr>
              <w:t>1.0</w:t>
            </w:r>
          </w:p>
          <w:p w14:paraId="47C75FC4" w14:textId="77434235" w:rsidR="00847455" w:rsidRPr="007744CA" w:rsidRDefault="00847455" w:rsidP="001A4D7F">
            <w:pPr>
              <w:pStyle w:val="Tabletext"/>
              <w:rPr>
                <w:rFonts w:cs="Arial"/>
                <w:sz w:val="16"/>
                <w:szCs w:val="16"/>
              </w:rPr>
            </w:pPr>
            <w:r w:rsidRPr="007744CA">
              <w:rPr>
                <w:rFonts w:cs="Arial"/>
                <w:sz w:val="16"/>
                <w:szCs w:val="16"/>
              </w:rPr>
              <w:t>(0.9–1.1)</w:t>
            </w:r>
          </w:p>
        </w:tc>
        <w:tc>
          <w:tcPr>
            <w:tcW w:w="934" w:type="dxa"/>
          </w:tcPr>
          <w:p w14:paraId="29FF9256" w14:textId="77777777" w:rsidR="00847455" w:rsidRPr="007744CA" w:rsidRDefault="00847455" w:rsidP="001A4D7F">
            <w:pPr>
              <w:pStyle w:val="Tabletext"/>
              <w:rPr>
                <w:rFonts w:cs="Arial"/>
                <w:sz w:val="16"/>
                <w:szCs w:val="16"/>
              </w:rPr>
            </w:pPr>
            <w:r w:rsidRPr="007744CA">
              <w:rPr>
                <w:rFonts w:cs="Arial"/>
                <w:sz w:val="16"/>
                <w:szCs w:val="16"/>
              </w:rPr>
              <w:t>1.0</w:t>
            </w:r>
          </w:p>
          <w:p w14:paraId="6A7B43C7" w14:textId="4F588AD2" w:rsidR="00847455" w:rsidRPr="007744CA" w:rsidRDefault="00847455" w:rsidP="001A4D7F">
            <w:pPr>
              <w:pStyle w:val="Tabletext"/>
              <w:rPr>
                <w:rFonts w:cs="Arial"/>
                <w:sz w:val="16"/>
                <w:szCs w:val="16"/>
              </w:rPr>
            </w:pPr>
            <w:r w:rsidRPr="007744CA">
              <w:rPr>
                <w:rFonts w:cs="Arial"/>
                <w:sz w:val="16"/>
                <w:szCs w:val="16"/>
              </w:rPr>
              <w:t>(0.9–1.1)</w:t>
            </w:r>
          </w:p>
        </w:tc>
        <w:tc>
          <w:tcPr>
            <w:tcW w:w="961" w:type="dxa"/>
          </w:tcPr>
          <w:p w14:paraId="03B7D0DF" w14:textId="77777777" w:rsidR="00847455" w:rsidRPr="007744CA" w:rsidRDefault="00847455" w:rsidP="001A4D7F">
            <w:pPr>
              <w:pStyle w:val="Tabletext"/>
              <w:rPr>
                <w:rFonts w:cs="Arial"/>
                <w:sz w:val="16"/>
                <w:szCs w:val="16"/>
              </w:rPr>
            </w:pPr>
            <w:r w:rsidRPr="007744CA">
              <w:rPr>
                <w:rFonts w:cs="Arial"/>
                <w:sz w:val="16"/>
                <w:szCs w:val="16"/>
              </w:rPr>
              <w:t>1.0</w:t>
            </w:r>
          </w:p>
          <w:p w14:paraId="5A982148" w14:textId="3DD4AB91" w:rsidR="00847455" w:rsidRPr="007744CA" w:rsidRDefault="00847455" w:rsidP="001A4D7F">
            <w:pPr>
              <w:pStyle w:val="Tabletext"/>
              <w:rPr>
                <w:rFonts w:cs="Arial"/>
                <w:sz w:val="16"/>
                <w:szCs w:val="16"/>
              </w:rPr>
            </w:pPr>
            <w:r w:rsidRPr="007744CA">
              <w:rPr>
                <w:rFonts w:cs="Arial"/>
                <w:sz w:val="16"/>
                <w:szCs w:val="16"/>
              </w:rPr>
              <w:t>(0.9–1.1)</w:t>
            </w:r>
          </w:p>
        </w:tc>
        <w:tc>
          <w:tcPr>
            <w:tcW w:w="1070" w:type="dxa"/>
            <w:gridSpan w:val="2"/>
          </w:tcPr>
          <w:p w14:paraId="52786C7A" w14:textId="77777777" w:rsidR="00847455" w:rsidRPr="007744CA" w:rsidRDefault="00847455" w:rsidP="001A4D7F">
            <w:pPr>
              <w:pStyle w:val="Tabletext"/>
              <w:rPr>
                <w:rFonts w:cs="Arial"/>
                <w:sz w:val="16"/>
                <w:szCs w:val="16"/>
              </w:rPr>
            </w:pPr>
            <w:r w:rsidRPr="007744CA">
              <w:rPr>
                <w:rFonts w:cs="Arial"/>
                <w:sz w:val="16"/>
                <w:szCs w:val="16"/>
              </w:rPr>
              <w:t>1.0</w:t>
            </w:r>
          </w:p>
          <w:p w14:paraId="76EE2DCC" w14:textId="649A8DFD" w:rsidR="00847455" w:rsidRPr="007744CA" w:rsidRDefault="00847455" w:rsidP="001A4D7F">
            <w:pPr>
              <w:pStyle w:val="Tabletext"/>
              <w:rPr>
                <w:rFonts w:cs="Arial"/>
                <w:sz w:val="16"/>
                <w:szCs w:val="16"/>
              </w:rPr>
            </w:pPr>
            <w:r w:rsidRPr="007744CA">
              <w:rPr>
                <w:rFonts w:cs="Arial"/>
                <w:sz w:val="16"/>
                <w:szCs w:val="16"/>
              </w:rPr>
              <w:t>(0.9–1.1)</w:t>
            </w:r>
          </w:p>
        </w:tc>
        <w:tc>
          <w:tcPr>
            <w:tcW w:w="1432" w:type="dxa"/>
          </w:tcPr>
          <w:p w14:paraId="0B8803C5" w14:textId="77777777" w:rsidR="00847455" w:rsidRPr="007744CA" w:rsidRDefault="00847455" w:rsidP="00847455">
            <w:pPr>
              <w:pStyle w:val="Tabletext"/>
              <w:rPr>
                <w:rFonts w:cs="Arial"/>
                <w:sz w:val="16"/>
                <w:szCs w:val="16"/>
              </w:rPr>
            </w:pPr>
            <w:r w:rsidRPr="007744CA">
              <w:rPr>
                <w:rFonts w:cs="Arial"/>
                <w:sz w:val="16"/>
                <w:szCs w:val="16"/>
              </w:rPr>
              <w:t>1.1</w:t>
            </w:r>
          </w:p>
          <w:p w14:paraId="15B2E820" w14:textId="7C055CED" w:rsidR="00847455" w:rsidRPr="007744CA" w:rsidRDefault="00847455" w:rsidP="00847455">
            <w:pPr>
              <w:pStyle w:val="Tabletext"/>
              <w:rPr>
                <w:rFonts w:cs="Arial"/>
                <w:sz w:val="16"/>
                <w:szCs w:val="16"/>
              </w:rPr>
            </w:pPr>
            <w:r w:rsidRPr="007744CA">
              <w:rPr>
                <w:rFonts w:cs="Arial"/>
                <w:sz w:val="16"/>
                <w:szCs w:val="16"/>
              </w:rPr>
              <w:t>(1.0–1.2)</w:t>
            </w:r>
          </w:p>
        </w:tc>
      </w:tr>
      <w:tr w:rsidR="00847455" w:rsidRPr="007744CA" w14:paraId="79D32C5B" w14:textId="432ADDE8" w:rsidTr="007744CA">
        <w:trPr>
          <w:trHeight w:val="182"/>
        </w:trPr>
        <w:tc>
          <w:tcPr>
            <w:tcW w:w="1429" w:type="dxa"/>
            <w:tcBorders>
              <w:bottom w:val="single" w:sz="4" w:space="0" w:color="C00000"/>
            </w:tcBorders>
            <w:shd w:val="clear" w:color="auto" w:fill="auto"/>
            <w:vAlign w:val="center"/>
          </w:tcPr>
          <w:p w14:paraId="37762BD6" w14:textId="77777777" w:rsidR="00847455" w:rsidRPr="007744CA" w:rsidRDefault="00847455" w:rsidP="001A4D7F">
            <w:pPr>
              <w:pStyle w:val="Tabletext"/>
              <w:rPr>
                <w:rFonts w:cs="Arial"/>
                <w:b/>
                <w:sz w:val="16"/>
                <w:szCs w:val="16"/>
              </w:rPr>
            </w:pPr>
            <w:r w:rsidRPr="007744CA">
              <w:rPr>
                <w:rFonts w:cs="Arial"/>
                <w:sz w:val="16"/>
                <w:szCs w:val="16"/>
              </w:rPr>
              <w:t>Quintile 4</w:t>
            </w:r>
          </w:p>
        </w:tc>
        <w:tc>
          <w:tcPr>
            <w:tcW w:w="1011" w:type="dxa"/>
            <w:tcBorders>
              <w:bottom w:val="single" w:sz="4" w:space="0" w:color="C00000"/>
            </w:tcBorders>
            <w:shd w:val="clear" w:color="auto" w:fill="auto"/>
          </w:tcPr>
          <w:p w14:paraId="3A491C28" w14:textId="77777777" w:rsidR="00847455" w:rsidRPr="007744CA" w:rsidRDefault="00847455" w:rsidP="001A4D7F">
            <w:pPr>
              <w:pStyle w:val="Tabletext"/>
              <w:rPr>
                <w:rFonts w:cs="Arial"/>
                <w:sz w:val="16"/>
                <w:szCs w:val="16"/>
              </w:rPr>
            </w:pPr>
            <w:r w:rsidRPr="007744CA">
              <w:rPr>
                <w:rFonts w:cs="Arial"/>
                <w:sz w:val="16"/>
                <w:szCs w:val="16"/>
              </w:rPr>
              <w:t>1.0</w:t>
            </w:r>
          </w:p>
          <w:p w14:paraId="6214046E" w14:textId="2ABDE3A7" w:rsidR="00847455" w:rsidRPr="007744CA" w:rsidRDefault="00847455" w:rsidP="001A4D7F">
            <w:pPr>
              <w:pStyle w:val="Tabletext"/>
              <w:rPr>
                <w:rFonts w:cs="Arial"/>
                <w:sz w:val="16"/>
                <w:szCs w:val="16"/>
              </w:rPr>
            </w:pPr>
            <w:r w:rsidRPr="007744CA">
              <w:rPr>
                <w:rFonts w:cs="Arial"/>
                <w:sz w:val="16"/>
                <w:szCs w:val="16"/>
              </w:rPr>
              <w:t>(0.9–1.1)</w:t>
            </w:r>
          </w:p>
        </w:tc>
        <w:tc>
          <w:tcPr>
            <w:tcW w:w="1030" w:type="dxa"/>
            <w:tcBorders>
              <w:bottom w:val="single" w:sz="4" w:space="0" w:color="C00000"/>
            </w:tcBorders>
            <w:shd w:val="clear" w:color="auto" w:fill="auto"/>
          </w:tcPr>
          <w:p w14:paraId="210992E5" w14:textId="77777777" w:rsidR="00847455" w:rsidRPr="007744CA" w:rsidRDefault="00847455" w:rsidP="001A4D7F">
            <w:pPr>
              <w:pStyle w:val="Tabletext"/>
              <w:rPr>
                <w:rFonts w:cs="Arial"/>
                <w:sz w:val="16"/>
                <w:szCs w:val="16"/>
              </w:rPr>
            </w:pPr>
            <w:r w:rsidRPr="007744CA">
              <w:rPr>
                <w:rFonts w:cs="Arial"/>
                <w:sz w:val="16"/>
                <w:szCs w:val="16"/>
              </w:rPr>
              <w:t>1.0</w:t>
            </w:r>
          </w:p>
          <w:p w14:paraId="16A631EB" w14:textId="396E4A3C" w:rsidR="00847455" w:rsidRPr="007744CA" w:rsidRDefault="00847455" w:rsidP="001A4D7F">
            <w:pPr>
              <w:pStyle w:val="Tabletext"/>
              <w:rPr>
                <w:rFonts w:cs="Arial"/>
                <w:sz w:val="16"/>
                <w:szCs w:val="16"/>
              </w:rPr>
            </w:pPr>
            <w:r w:rsidRPr="007744CA">
              <w:rPr>
                <w:rFonts w:cs="Arial"/>
                <w:sz w:val="16"/>
                <w:szCs w:val="16"/>
              </w:rPr>
              <w:t>(0.9–1.1)</w:t>
            </w:r>
          </w:p>
        </w:tc>
        <w:tc>
          <w:tcPr>
            <w:tcW w:w="1192" w:type="dxa"/>
            <w:tcBorders>
              <w:bottom w:val="single" w:sz="4" w:space="0" w:color="C00000"/>
            </w:tcBorders>
            <w:shd w:val="clear" w:color="auto" w:fill="auto"/>
          </w:tcPr>
          <w:p w14:paraId="104DD148" w14:textId="77777777" w:rsidR="00847455" w:rsidRPr="007744CA" w:rsidRDefault="00847455" w:rsidP="001A4D7F">
            <w:pPr>
              <w:pStyle w:val="Tabletext"/>
              <w:rPr>
                <w:rFonts w:cs="Arial"/>
                <w:sz w:val="16"/>
                <w:szCs w:val="16"/>
              </w:rPr>
            </w:pPr>
            <w:r w:rsidRPr="007744CA">
              <w:rPr>
                <w:rFonts w:cs="Arial"/>
                <w:sz w:val="16"/>
                <w:szCs w:val="16"/>
              </w:rPr>
              <w:t>1.0</w:t>
            </w:r>
          </w:p>
          <w:p w14:paraId="2611226E" w14:textId="5722C21A" w:rsidR="00847455" w:rsidRPr="007744CA" w:rsidRDefault="00847455" w:rsidP="001A4D7F">
            <w:pPr>
              <w:pStyle w:val="Tabletext"/>
              <w:rPr>
                <w:rFonts w:cs="Arial"/>
                <w:sz w:val="16"/>
                <w:szCs w:val="16"/>
              </w:rPr>
            </w:pPr>
            <w:r w:rsidRPr="007744CA">
              <w:rPr>
                <w:rFonts w:cs="Arial"/>
                <w:sz w:val="16"/>
                <w:szCs w:val="16"/>
              </w:rPr>
              <w:t>(0.9–1.1)</w:t>
            </w:r>
          </w:p>
        </w:tc>
        <w:tc>
          <w:tcPr>
            <w:tcW w:w="1024" w:type="dxa"/>
            <w:tcBorders>
              <w:bottom w:val="single" w:sz="4" w:space="0" w:color="C00000"/>
            </w:tcBorders>
            <w:shd w:val="clear" w:color="auto" w:fill="auto"/>
          </w:tcPr>
          <w:p w14:paraId="229CBD56" w14:textId="77777777" w:rsidR="00847455" w:rsidRPr="007744CA" w:rsidRDefault="00847455" w:rsidP="001A4D7F">
            <w:pPr>
              <w:pStyle w:val="Tabletext"/>
              <w:rPr>
                <w:rFonts w:cs="Arial"/>
                <w:sz w:val="16"/>
                <w:szCs w:val="16"/>
              </w:rPr>
            </w:pPr>
            <w:r w:rsidRPr="007744CA">
              <w:rPr>
                <w:rFonts w:cs="Arial"/>
                <w:sz w:val="16"/>
                <w:szCs w:val="16"/>
              </w:rPr>
              <w:t>1.0</w:t>
            </w:r>
          </w:p>
          <w:p w14:paraId="36587026" w14:textId="30F0C472" w:rsidR="00847455" w:rsidRPr="007744CA" w:rsidRDefault="00847455" w:rsidP="001A4D7F">
            <w:pPr>
              <w:pStyle w:val="Tabletext"/>
              <w:rPr>
                <w:rFonts w:cs="Arial"/>
                <w:sz w:val="16"/>
                <w:szCs w:val="16"/>
              </w:rPr>
            </w:pPr>
            <w:r w:rsidRPr="007744CA">
              <w:rPr>
                <w:rFonts w:cs="Arial"/>
                <w:sz w:val="16"/>
                <w:szCs w:val="16"/>
              </w:rPr>
              <w:t>(0.9–1.1)</w:t>
            </w:r>
          </w:p>
        </w:tc>
        <w:tc>
          <w:tcPr>
            <w:tcW w:w="934" w:type="dxa"/>
            <w:tcBorders>
              <w:bottom w:val="single" w:sz="4" w:space="0" w:color="C00000"/>
            </w:tcBorders>
          </w:tcPr>
          <w:p w14:paraId="6EE3C0A0" w14:textId="77777777" w:rsidR="00847455" w:rsidRPr="007744CA" w:rsidRDefault="00847455" w:rsidP="001A4D7F">
            <w:pPr>
              <w:pStyle w:val="Tabletext"/>
              <w:rPr>
                <w:rFonts w:cs="Arial"/>
                <w:sz w:val="16"/>
                <w:szCs w:val="16"/>
              </w:rPr>
            </w:pPr>
            <w:r w:rsidRPr="007744CA">
              <w:rPr>
                <w:rFonts w:cs="Arial"/>
                <w:sz w:val="16"/>
                <w:szCs w:val="16"/>
              </w:rPr>
              <w:t>0.9</w:t>
            </w:r>
          </w:p>
          <w:p w14:paraId="6B1ED591" w14:textId="26D01E3B" w:rsidR="00847455" w:rsidRPr="007744CA" w:rsidRDefault="00847455" w:rsidP="001A4D7F">
            <w:pPr>
              <w:pStyle w:val="Tabletext"/>
              <w:rPr>
                <w:rFonts w:cs="Arial"/>
                <w:sz w:val="16"/>
                <w:szCs w:val="16"/>
              </w:rPr>
            </w:pPr>
            <w:r w:rsidRPr="007744CA">
              <w:rPr>
                <w:rFonts w:cs="Arial"/>
                <w:sz w:val="16"/>
                <w:szCs w:val="16"/>
              </w:rPr>
              <w:t>(0.8–1.0)</w:t>
            </w:r>
          </w:p>
        </w:tc>
        <w:tc>
          <w:tcPr>
            <w:tcW w:w="961" w:type="dxa"/>
            <w:tcBorders>
              <w:bottom w:val="single" w:sz="4" w:space="0" w:color="C00000"/>
            </w:tcBorders>
          </w:tcPr>
          <w:p w14:paraId="466CB4A1" w14:textId="77777777" w:rsidR="00847455" w:rsidRPr="007744CA" w:rsidRDefault="00847455" w:rsidP="001A4D7F">
            <w:pPr>
              <w:pStyle w:val="Tabletext"/>
              <w:rPr>
                <w:rFonts w:cs="Arial"/>
                <w:sz w:val="16"/>
                <w:szCs w:val="16"/>
              </w:rPr>
            </w:pPr>
            <w:r w:rsidRPr="007744CA">
              <w:rPr>
                <w:rFonts w:cs="Arial"/>
                <w:sz w:val="16"/>
                <w:szCs w:val="16"/>
              </w:rPr>
              <w:t>1.0</w:t>
            </w:r>
          </w:p>
          <w:p w14:paraId="0A19F6A7" w14:textId="535A70AF" w:rsidR="00847455" w:rsidRPr="007744CA" w:rsidRDefault="00847455" w:rsidP="001A4D7F">
            <w:pPr>
              <w:pStyle w:val="Tabletext"/>
              <w:ind w:left="1247" w:hanging="1247"/>
              <w:rPr>
                <w:rFonts w:cs="Arial"/>
                <w:sz w:val="16"/>
                <w:szCs w:val="16"/>
              </w:rPr>
            </w:pPr>
            <w:r w:rsidRPr="007744CA">
              <w:rPr>
                <w:rFonts w:cs="Arial"/>
                <w:sz w:val="16"/>
                <w:szCs w:val="16"/>
              </w:rPr>
              <w:t>(0.9–1.1)</w:t>
            </w:r>
          </w:p>
        </w:tc>
        <w:tc>
          <w:tcPr>
            <w:tcW w:w="1070" w:type="dxa"/>
            <w:gridSpan w:val="2"/>
            <w:tcBorders>
              <w:bottom w:val="single" w:sz="4" w:space="0" w:color="C00000"/>
            </w:tcBorders>
          </w:tcPr>
          <w:p w14:paraId="3B8E1CE7" w14:textId="77777777" w:rsidR="00847455" w:rsidRPr="007744CA" w:rsidRDefault="00847455" w:rsidP="00955CAB">
            <w:pPr>
              <w:pStyle w:val="Tabletext"/>
              <w:ind w:firstLine="27"/>
              <w:rPr>
                <w:rFonts w:cs="Arial"/>
                <w:sz w:val="16"/>
                <w:szCs w:val="16"/>
              </w:rPr>
            </w:pPr>
            <w:r w:rsidRPr="007744CA">
              <w:rPr>
                <w:rFonts w:cs="Arial"/>
                <w:sz w:val="16"/>
                <w:szCs w:val="16"/>
              </w:rPr>
              <w:t>0.9</w:t>
            </w:r>
          </w:p>
          <w:p w14:paraId="3AC2459B" w14:textId="55F78DF4" w:rsidR="00847455" w:rsidRPr="007744CA" w:rsidRDefault="00847455" w:rsidP="001A4D7F">
            <w:pPr>
              <w:pStyle w:val="Tabletext"/>
              <w:ind w:hanging="30"/>
              <w:rPr>
                <w:rFonts w:cs="Arial"/>
                <w:sz w:val="16"/>
                <w:szCs w:val="16"/>
              </w:rPr>
            </w:pPr>
            <w:r w:rsidRPr="007744CA">
              <w:rPr>
                <w:rFonts w:cs="Arial"/>
                <w:sz w:val="16"/>
                <w:szCs w:val="16"/>
              </w:rPr>
              <w:t>(0.8–1.0)</w:t>
            </w:r>
          </w:p>
        </w:tc>
        <w:tc>
          <w:tcPr>
            <w:tcW w:w="1432" w:type="dxa"/>
            <w:tcBorders>
              <w:bottom w:val="single" w:sz="4" w:space="0" w:color="C00000"/>
            </w:tcBorders>
          </w:tcPr>
          <w:p w14:paraId="74CAF16C" w14:textId="77777777" w:rsidR="00847455" w:rsidRPr="007744CA" w:rsidRDefault="00847455" w:rsidP="00847455">
            <w:pPr>
              <w:pStyle w:val="Tabletext"/>
              <w:rPr>
                <w:rFonts w:cs="Arial"/>
                <w:sz w:val="16"/>
                <w:szCs w:val="16"/>
              </w:rPr>
            </w:pPr>
            <w:r w:rsidRPr="007744CA">
              <w:rPr>
                <w:rFonts w:cs="Arial"/>
                <w:sz w:val="16"/>
                <w:szCs w:val="16"/>
              </w:rPr>
              <w:t>1.1</w:t>
            </w:r>
          </w:p>
          <w:p w14:paraId="5E8FE3AC" w14:textId="289CA9DB" w:rsidR="00847455" w:rsidRPr="007744CA" w:rsidRDefault="00847455" w:rsidP="00847455">
            <w:pPr>
              <w:pStyle w:val="Tabletext"/>
              <w:ind w:firstLine="27"/>
              <w:rPr>
                <w:rFonts w:cs="Arial"/>
                <w:sz w:val="16"/>
                <w:szCs w:val="16"/>
              </w:rPr>
            </w:pPr>
            <w:r w:rsidRPr="007744CA">
              <w:rPr>
                <w:rFonts w:cs="Arial"/>
                <w:sz w:val="16"/>
                <w:szCs w:val="16"/>
              </w:rPr>
              <w:t>(1.0–1.2)</w:t>
            </w:r>
          </w:p>
        </w:tc>
      </w:tr>
      <w:tr w:rsidR="002A1E26" w:rsidRPr="007744CA" w14:paraId="5F561C45" w14:textId="77777777" w:rsidTr="007744CA">
        <w:trPr>
          <w:trHeight w:val="182"/>
        </w:trPr>
        <w:tc>
          <w:tcPr>
            <w:tcW w:w="1429" w:type="dxa"/>
            <w:tcBorders>
              <w:top w:val="single" w:sz="4" w:space="0" w:color="C00000"/>
              <w:bottom w:val="nil"/>
            </w:tcBorders>
            <w:shd w:val="clear" w:color="auto" w:fill="auto"/>
            <w:vAlign w:val="center"/>
          </w:tcPr>
          <w:p w14:paraId="3AD106AD" w14:textId="5EA0084C" w:rsidR="002A1E26" w:rsidRPr="007744CA" w:rsidRDefault="002A1E26" w:rsidP="002A1E26">
            <w:pPr>
              <w:pStyle w:val="Tabletext"/>
              <w:rPr>
                <w:rFonts w:cs="Arial"/>
                <w:sz w:val="16"/>
                <w:szCs w:val="16"/>
              </w:rPr>
            </w:pPr>
            <w:r w:rsidRPr="007744CA">
              <w:rPr>
                <w:rFonts w:cs="Arial"/>
                <w:sz w:val="16"/>
                <w:szCs w:val="16"/>
              </w:rPr>
              <w:t>Quintile 5 – (least disadvantaged)</w:t>
            </w:r>
          </w:p>
        </w:tc>
        <w:tc>
          <w:tcPr>
            <w:tcW w:w="1011" w:type="dxa"/>
            <w:tcBorders>
              <w:top w:val="single" w:sz="4" w:space="0" w:color="C00000"/>
              <w:bottom w:val="nil"/>
            </w:tcBorders>
            <w:shd w:val="clear" w:color="auto" w:fill="auto"/>
          </w:tcPr>
          <w:p w14:paraId="7FF9F2E3" w14:textId="3EEA4C24" w:rsidR="002A1E26" w:rsidRPr="007744CA" w:rsidRDefault="002A1E26" w:rsidP="002A1E26">
            <w:pPr>
              <w:pStyle w:val="Tabletext"/>
              <w:rPr>
                <w:rFonts w:cs="Arial"/>
                <w:sz w:val="16"/>
                <w:szCs w:val="16"/>
              </w:rPr>
            </w:pPr>
            <w:r w:rsidRPr="007744CA">
              <w:rPr>
                <w:rFonts w:cs="Arial"/>
                <w:sz w:val="16"/>
                <w:szCs w:val="16"/>
              </w:rPr>
              <w:t>Ref point</w:t>
            </w:r>
          </w:p>
        </w:tc>
        <w:tc>
          <w:tcPr>
            <w:tcW w:w="1030" w:type="dxa"/>
            <w:tcBorders>
              <w:top w:val="single" w:sz="4" w:space="0" w:color="C00000"/>
              <w:bottom w:val="nil"/>
            </w:tcBorders>
            <w:shd w:val="clear" w:color="auto" w:fill="auto"/>
          </w:tcPr>
          <w:p w14:paraId="32E7D8B7" w14:textId="225FBA01" w:rsidR="002A1E26" w:rsidRPr="007744CA" w:rsidRDefault="002A1E26" w:rsidP="002A1E26">
            <w:pPr>
              <w:pStyle w:val="Tabletext"/>
              <w:rPr>
                <w:rFonts w:cs="Arial"/>
                <w:sz w:val="16"/>
                <w:szCs w:val="16"/>
              </w:rPr>
            </w:pPr>
            <w:r w:rsidRPr="007744CA">
              <w:rPr>
                <w:rFonts w:cs="Arial"/>
                <w:sz w:val="16"/>
                <w:szCs w:val="16"/>
              </w:rPr>
              <w:t>Ref point</w:t>
            </w:r>
          </w:p>
        </w:tc>
        <w:tc>
          <w:tcPr>
            <w:tcW w:w="1192" w:type="dxa"/>
            <w:tcBorders>
              <w:top w:val="single" w:sz="4" w:space="0" w:color="C00000"/>
              <w:bottom w:val="nil"/>
            </w:tcBorders>
            <w:shd w:val="clear" w:color="auto" w:fill="auto"/>
          </w:tcPr>
          <w:p w14:paraId="0371ADD7" w14:textId="52133618" w:rsidR="002A1E26" w:rsidRPr="007744CA" w:rsidRDefault="002A1E26" w:rsidP="002A1E26">
            <w:pPr>
              <w:pStyle w:val="Tabletext"/>
              <w:rPr>
                <w:rFonts w:cs="Arial"/>
                <w:sz w:val="16"/>
                <w:szCs w:val="16"/>
              </w:rPr>
            </w:pPr>
            <w:r w:rsidRPr="007744CA">
              <w:rPr>
                <w:rFonts w:cs="Arial"/>
                <w:sz w:val="16"/>
                <w:szCs w:val="16"/>
              </w:rPr>
              <w:t>Ref point</w:t>
            </w:r>
          </w:p>
        </w:tc>
        <w:tc>
          <w:tcPr>
            <w:tcW w:w="1024" w:type="dxa"/>
            <w:tcBorders>
              <w:top w:val="single" w:sz="4" w:space="0" w:color="C00000"/>
              <w:bottom w:val="nil"/>
            </w:tcBorders>
            <w:shd w:val="clear" w:color="auto" w:fill="auto"/>
          </w:tcPr>
          <w:p w14:paraId="3B26BDEA" w14:textId="46317F24" w:rsidR="002A1E26" w:rsidRPr="007744CA" w:rsidRDefault="002A1E26" w:rsidP="002A1E26">
            <w:pPr>
              <w:pStyle w:val="Tabletext"/>
              <w:rPr>
                <w:rFonts w:cs="Arial"/>
                <w:sz w:val="16"/>
                <w:szCs w:val="16"/>
              </w:rPr>
            </w:pPr>
            <w:r w:rsidRPr="007744CA">
              <w:rPr>
                <w:rFonts w:cs="Arial"/>
                <w:sz w:val="16"/>
                <w:szCs w:val="16"/>
              </w:rPr>
              <w:t>Ref point</w:t>
            </w:r>
          </w:p>
        </w:tc>
        <w:tc>
          <w:tcPr>
            <w:tcW w:w="934" w:type="dxa"/>
            <w:tcBorders>
              <w:top w:val="single" w:sz="4" w:space="0" w:color="C00000"/>
              <w:bottom w:val="nil"/>
            </w:tcBorders>
          </w:tcPr>
          <w:p w14:paraId="5850854F" w14:textId="688D9D03" w:rsidR="002A1E26" w:rsidRPr="007744CA" w:rsidRDefault="002A1E26" w:rsidP="002A1E26">
            <w:pPr>
              <w:pStyle w:val="Tabletext"/>
              <w:rPr>
                <w:rFonts w:cs="Arial"/>
                <w:sz w:val="16"/>
                <w:szCs w:val="16"/>
              </w:rPr>
            </w:pPr>
            <w:r w:rsidRPr="007744CA">
              <w:rPr>
                <w:rFonts w:cs="Arial"/>
                <w:sz w:val="16"/>
                <w:szCs w:val="16"/>
              </w:rPr>
              <w:t>Ref point</w:t>
            </w:r>
          </w:p>
        </w:tc>
        <w:tc>
          <w:tcPr>
            <w:tcW w:w="961" w:type="dxa"/>
            <w:tcBorders>
              <w:top w:val="single" w:sz="4" w:space="0" w:color="C00000"/>
              <w:bottom w:val="nil"/>
            </w:tcBorders>
          </w:tcPr>
          <w:p w14:paraId="24171698" w14:textId="445A079A" w:rsidR="002A1E26" w:rsidRPr="007744CA" w:rsidRDefault="002A1E26" w:rsidP="002A1E26">
            <w:pPr>
              <w:pStyle w:val="Tabletext"/>
              <w:rPr>
                <w:rFonts w:cs="Arial"/>
                <w:sz w:val="16"/>
                <w:szCs w:val="16"/>
              </w:rPr>
            </w:pPr>
            <w:r w:rsidRPr="007744CA">
              <w:rPr>
                <w:rFonts w:cs="Arial"/>
                <w:sz w:val="16"/>
                <w:szCs w:val="16"/>
              </w:rPr>
              <w:t>Ref point</w:t>
            </w:r>
          </w:p>
        </w:tc>
        <w:tc>
          <w:tcPr>
            <w:tcW w:w="1070" w:type="dxa"/>
            <w:gridSpan w:val="2"/>
            <w:tcBorders>
              <w:top w:val="single" w:sz="4" w:space="0" w:color="C00000"/>
              <w:bottom w:val="nil"/>
            </w:tcBorders>
          </w:tcPr>
          <w:p w14:paraId="24CA9877" w14:textId="72693670" w:rsidR="002A1E26" w:rsidRPr="007744CA" w:rsidRDefault="002A1E26" w:rsidP="002A1E26">
            <w:pPr>
              <w:pStyle w:val="Tabletext"/>
              <w:ind w:firstLine="27"/>
              <w:rPr>
                <w:rFonts w:cs="Arial"/>
                <w:sz w:val="16"/>
                <w:szCs w:val="16"/>
              </w:rPr>
            </w:pPr>
            <w:r w:rsidRPr="007744CA">
              <w:rPr>
                <w:rFonts w:cs="Arial"/>
                <w:sz w:val="16"/>
                <w:szCs w:val="16"/>
              </w:rPr>
              <w:t>Ref point</w:t>
            </w:r>
          </w:p>
        </w:tc>
        <w:tc>
          <w:tcPr>
            <w:tcW w:w="1432" w:type="dxa"/>
            <w:tcBorders>
              <w:top w:val="single" w:sz="4" w:space="0" w:color="C00000"/>
              <w:bottom w:val="nil"/>
            </w:tcBorders>
          </w:tcPr>
          <w:p w14:paraId="0B47DF81" w14:textId="219177E9" w:rsidR="002A1E26" w:rsidRPr="007744CA" w:rsidRDefault="002A1E26" w:rsidP="002A1E26">
            <w:pPr>
              <w:pStyle w:val="Tabletext"/>
              <w:ind w:firstLine="27"/>
              <w:rPr>
                <w:rFonts w:cs="Arial"/>
                <w:sz w:val="16"/>
                <w:szCs w:val="16"/>
              </w:rPr>
            </w:pPr>
            <w:r w:rsidRPr="007744CA">
              <w:rPr>
                <w:rFonts w:cs="Arial"/>
                <w:sz w:val="16"/>
                <w:szCs w:val="16"/>
              </w:rPr>
              <w:t>Ref point</w:t>
            </w:r>
          </w:p>
        </w:tc>
      </w:tr>
      <w:tr w:rsidR="002A1E26" w:rsidRPr="007744CA" w14:paraId="731E33D8" w14:textId="0A01AB16" w:rsidTr="007744CA">
        <w:trPr>
          <w:trHeight w:val="182"/>
        </w:trPr>
        <w:tc>
          <w:tcPr>
            <w:tcW w:w="8655" w:type="dxa"/>
            <w:gridSpan w:val="9"/>
            <w:tcBorders>
              <w:top w:val="nil"/>
            </w:tcBorders>
            <w:shd w:val="clear" w:color="auto" w:fill="auto"/>
            <w:vAlign w:val="center"/>
          </w:tcPr>
          <w:p w14:paraId="6A6656D6" w14:textId="79588DD3" w:rsidR="002A1E26" w:rsidRPr="007744CA" w:rsidRDefault="002A1E26" w:rsidP="002A1E26">
            <w:pPr>
              <w:pStyle w:val="Tabletext"/>
              <w:rPr>
                <w:rFonts w:cs="Arial"/>
                <w:sz w:val="16"/>
                <w:szCs w:val="16"/>
              </w:rPr>
            </w:pPr>
            <w:r w:rsidRPr="007744CA">
              <w:rPr>
                <w:rFonts w:cs="Arial"/>
                <w:sz w:val="16"/>
                <w:szCs w:val="16"/>
              </w:rPr>
              <w:t>(refer to note below Figure 4.2.1)</w:t>
            </w:r>
          </w:p>
        </w:tc>
        <w:tc>
          <w:tcPr>
            <w:tcW w:w="1432" w:type="dxa"/>
            <w:tcBorders>
              <w:top w:val="nil"/>
            </w:tcBorders>
          </w:tcPr>
          <w:p w14:paraId="7D0D2309" w14:textId="77777777" w:rsidR="002A1E26" w:rsidRPr="007744CA" w:rsidRDefault="002A1E26" w:rsidP="002A1E26">
            <w:pPr>
              <w:pStyle w:val="Tabletext"/>
              <w:ind w:right="959"/>
              <w:rPr>
                <w:rFonts w:cs="Arial"/>
                <w:sz w:val="16"/>
                <w:szCs w:val="16"/>
              </w:rPr>
            </w:pPr>
          </w:p>
        </w:tc>
      </w:tr>
    </w:tbl>
    <w:p w14:paraId="16631C9B" w14:textId="3FDEB960" w:rsidR="00665D4B" w:rsidRPr="00E060C8" w:rsidRDefault="00665D4B" w:rsidP="007C7F00">
      <w:pPr>
        <w:pStyle w:val="Heading4"/>
      </w:pPr>
      <w:r w:rsidRPr="00E43803">
        <w:t>Measure assessment</w:t>
      </w:r>
    </w:p>
    <w:p w14:paraId="23EEAD17" w14:textId="5E7A7DDA" w:rsidR="00FE5799" w:rsidRPr="00E060C8" w:rsidRDefault="00FE5799" w:rsidP="00606436">
      <w:pPr>
        <w:pStyle w:val="Body"/>
      </w:pPr>
      <w:r w:rsidRPr="00902763">
        <w:t>Traffic light rating:</w:t>
      </w:r>
      <w:r w:rsidRPr="00B504AD">
        <w:rPr>
          <w:color w:val="AF272F"/>
        </w:rPr>
        <w:t xml:space="preserve"> </w:t>
      </w:r>
      <w:r w:rsidR="00902763" w:rsidRPr="00652E25">
        <w:rPr>
          <w:b/>
          <w:color w:val="C5511A"/>
        </w:rPr>
        <w:t>Amber</w:t>
      </w:r>
      <w:r w:rsidR="00EA3932">
        <w:rPr>
          <w:b/>
        </w:rPr>
        <w:t xml:space="preserve"> </w:t>
      </w:r>
      <w:r w:rsidR="00EA3932" w:rsidRPr="00EA3932">
        <w:t>(desired result not yet evident)</w:t>
      </w:r>
    </w:p>
    <w:p w14:paraId="57A96064" w14:textId="1C3AF634" w:rsidR="00FE5799" w:rsidRPr="003E5FD3" w:rsidRDefault="00FE5799" w:rsidP="00606436">
      <w:pPr>
        <w:pStyle w:val="Body"/>
      </w:pPr>
      <w:r w:rsidRPr="00902763">
        <w:t xml:space="preserve">Overall trend: </w:t>
      </w:r>
      <w:r w:rsidR="00902763" w:rsidRPr="00902763">
        <w:t xml:space="preserve">Static </w:t>
      </w:r>
      <w:r w:rsidR="00902763">
        <w:t>or unchanging</w:t>
      </w:r>
    </w:p>
    <w:p w14:paraId="354FAA36" w14:textId="74903428" w:rsidR="007B7006" w:rsidRPr="00223D80" w:rsidRDefault="00FE5799" w:rsidP="00E87AAA">
      <w:pPr>
        <w:pStyle w:val="Body"/>
      </w:pPr>
      <w:r w:rsidRPr="00BD1EB3">
        <w:rPr>
          <w:lang w:eastAsia="en-AU"/>
        </w:rPr>
        <w:t xml:space="preserve">Commentary: </w:t>
      </w:r>
      <w:r w:rsidR="00BD1EB3" w:rsidRPr="00BD1EB3">
        <w:rPr>
          <w:lang w:val="en"/>
        </w:rPr>
        <w:t xml:space="preserve">Socioeconomic </w:t>
      </w:r>
      <w:r w:rsidR="00975651">
        <w:rPr>
          <w:lang w:val="en"/>
        </w:rPr>
        <w:t>disparities</w:t>
      </w:r>
      <w:r w:rsidR="00BD1EB3" w:rsidRPr="00BD1EB3">
        <w:rPr>
          <w:lang w:val="en"/>
        </w:rPr>
        <w:t xml:space="preserve"> in incidence have been described for a range of cancers </w:t>
      </w:r>
      <w:r w:rsidR="00BD1EB3">
        <w:rPr>
          <w:lang w:val="en"/>
        </w:rPr>
        <w:t>globally</w:t>
      </w:r>
      <w:r w:rsidR="00BD1EB3" w:rsidRPr="00BD1EB3">
        <w:rPr>
          <w:lang w:val="en"/>
        </w:rPr>
        <w:t xml:space="preserve"> across various measures of socioeconomic circumstances</w:t>
      </w:r>
      <w:r w:rsidR="00BD1EB3">
        <w:rPr>
          <w:lang w:val="en"/>
        </w:rPr>
        <w:t>.</w:t>
      </w:r>
      <w:r w:rsidR="00BD1EB3">
        <w:rPr>
          <w:rStyle w:val="FootnoteReference"/>
          <w:lang w:val="en"/>
        </w:rPr>
        <w:footnoteReference w:id="59"/>
      </w:r>
      <w:r w:rsidR="007B7006">
        <w:rPr>
          <w:lang w:val="en"/>
        </w:rPr>
        <w:t xml:space="preserve"> </w:t>
      </w:r>
      <w:r w:rsidR="00291674">
        <w:rPr>
          <w:lang w:eastAsia="en-AU"/>
        </w:rPr>
        <w:t xml:space="preserve">Figure </w:t>
      </w:r>
      <w:r w:rsidR="00EB0AAE">
        <w:rPr>
          <w:lang w:eastAsia="en-AU"/>
        </w:rPr>
        <w:t xml:space="preserve">4.2.1 and Table 4.2 show that the rate of preventable cancer incidence increases as </w:t>
      </w:r>
      <w:r w:rsidR="00DE7FFE">
        <w:rPr>
          <w:lang w:eastAsia="en-AU"/>
        </w:rPr>
        <w:t>SES</w:t>
      </w:r>
      <w:r w:rsidR="00EB0AAE">
        <w:rPr>
          <w:lang w:eastAsia="en-AU"/>
        </w:rPr>
        <w:t xml:space="preserve"> decreases. </w:t>
      </w:r>
      <w:r w:rsidR="005E3017">
        <w:rPr>
          <w:lang w:eastAsia="en-AU"/>
        </w:rPr>
        <w:t xml:space="preserve">For example, in the period </w:t>
      </w:r>
      <w:r w:rsidR="00922BB2">
        <w:rPr>
          <w:lang w:eastAsia="en-AU"/>
        </w:rPr>
        <w:t xml:space="preserve">from </w:t>
      </w:r>
      <w:r w:rsidR="005E3017">
        <w:rPr>
          <w:lang w:eastAsia="en-AU"/>
        </w:rPr>
        <w:t>201</w:t>
      </w:r>
      <w:r w:rsidR="00492FA5">
        <w:rPr>
          <w:lang w:eastAsia="en-AU"/>
        </w:rPr>
        <w:t>4</w:t>
      </w:r>
      <w:r w:rsidR="005E3017">
        <w:rPr>
          <w:lang w:eastAsia="en-AU"/>
        </w:rPr>
        <w:t xml:space="preserve"> to 20</w:t>
      </w:r>
      <w:r w:rsidR="006E5BA9">
        <w:rPr>
          <w:lang w:eastAsia="en-AU"/>
        </w:rPr>
        <w:t>2</w:t>
      </w:r>
      <w:r w:rsidR="005E6749">
        <w:rPr>
          <w:lang w:eastAsia="en-AU"/>
        </w:rPr>
        <w:t>1</w:t>
      </w:r>
      <w:r w:rsidR="005E3017">
        <w:rPr>
          <w:lang w:eastAsia="en-AU"/>
        </w:rPr>
        <w:t>, Victorians who were in the most disadvantaged quintile (</w:t>
      </w:r>
      <w:r w:rsidR="00922BB2">
        <w:rPr>
          <w:lang w:eastAsia="en-AU"/>
        </w:rPr>
        <w:t xml:space="preserve">first </w:t>
      </w:r>
      <w:r w:rsidR="005E3017">
        <w:rPr>
          <w:lang w:eastAsia="en-AU"/>
        </w:rPr>
        <w:t xml:space="preserve">quintile) </w:t>
      </w:r>
      <w:r w:rsidR="00690FF8">
        <w:rPr>
          <w:lang w:eastAsia="en-AU"/>
        </w:rPr>
        <w:t>had a potentially preventable cancer incidence rate that was 1.1 time</w:t>
      </w:r>
      <w:r w:rsidR="00DB7AC1">
        <w:rPr>
          <w:lang w:eastAsia="en-AU"/>
        </w:rPr>
        <w:t>s</w:t>
      </w:r>
      <w:r w:rsidR="00690FF8">
        <w:rPr>
          <w:lang w:eastAsia="en-AU"/>
        </w:rPr>
        <w:t xml:space="preserve"> higher tha</w:t>
      </w:r>
      <w:r w:rsidR="00DC3F7C">
        <w:rPr>
          <w:lang w:eastAsia="en-AU"/>
        </w:rPr>
        <w:t>n</w:t>
      </w:r>
      <w:r w:rsidR="00690FF8">
        <w:rPr>
          <w:lang w:eastAsia="en-AU"/>
        </w:rPr>
        <w:t xml:space="preserve"> the potentially preventable cancer incidence for Victorians</w:t>
      </w:r>
      <w:r w:rsidR="00FF5379">
        <w:rPr>
          <w:lang w:eastAsia="en-AU"/>
        </w:rPr>
        <w:t xml:space="preserve"> in the least disadvantaged quintile</w:t>
      </w:r>
      <w:r w:rsidR="00690FF8">
        <w:rPr>
          <w:lang w:eastAsia="en-AU"/>
        </w:rPr>
        <w:t xml:space="preserve">. </w:t>
      </w:r>
      <w:r w:rsidR="008D380E" w:rsidRPr="007B6267">
        <w:rPr>
          <w:lang w:eastAsia="en-AU"/>
        </w:rPr>
        <w:t>While a target has not been set for this measure</w:t>
      </w:r>
      <w:r w:rsidR="00E95BD0" w:rsidRPr="007B6267">
        <w:rPr>
          <w:lang w:eastAsia="en-AU"/>
        </w:rPr>
        <w:t xml:space="preserve">, studying </w:t>
      </w:r>
      <w:r w:rsidR="007B6267" w:rsidRPr="007B6267">
        <w:rPr>
          <w:lang w:val="en"/>
        </w:rPr>
        <w:t>the relationship between socioeconomic circumstances and cancer incidence in Victoria</w:t>
      </w:r>
      <w:r w:rsidR="007B6267" w:rsidRPr="007B6267">
        <w:rPr>
          <w:lang w:eastAsia="en-AU"/>
        </w:rPr>
        <w:t xml:space="preserve"> </w:t>
      </w:r>
      <w:r w:rsidR="00E95BD0" w:rsidRPr="007B6267">
        <w:rPr>
          <w:lang w:val="en"/>
        </w:rPr>
        <w:t xml:space="preserve">may identify opportunities to improve the reach and effectiveness of </w:t>
      </w:r>
      <w:r w:rsidR="00653F08">
        <w:rPr>
          <w:lang w:val="en"/>
        </w:rPr>
        <w:t>cancer</w:t>
      </w:r>
      <w:r w:rsidR="00922BB2">
        <w:rPr>
          <w:lang w:val="en"/>
        </w:rPr>
        <w:t>-</w:t>
      </w:r>
      <w:r w:rsidR="00653F08">
        <w:rPr>
          <w:lang w:val="en"/>
        </w:rPr>
        <w:t>related</w:t>
      </w:r>
      <w:r w:rsidR="00E95BD0" w:rsidRPr="007B6267">
        <w:rPr>
          <w:lang w:val="en"/>
        </w:rPr>
        <w:t xml:space="preserve"> improvement activities.</w:t>
      </w:r>
      <w:r w:rsidR="007B7006">
        <w:rPr>
          <w:lang w:eastAsia="en-AU"/>
        </w:rPr>
        <w:br w:type="page"/>
      </w:r>
    </w:p>
    <w:p w14:paraId="519FEE25" w14:textId="5972F41D" w:rsidR="00665D4B" w:rsidRPr="003E6A0B" w:rsidRDefault="009B5026" w:rsidP="00A451D4">
      <w:pPr>
        <w:pStyle w:val="Heading3"/>
        <w:rPr>
          <w:b/>
          <w:bCs w:val="0"/>
        </w:rPr>
      </w:pPr>
      <w:bookmarkStart w:id="305" w:name="_Measure_4.3_–"/>
      <w:bookmarkStart w:id="306" w:name="_Toc19008043"/>
      <w:bookmarkEnd w:id="305"/>
      <w:r w:rsidRPr="003E6A0B">
        <w:rPr>
          <w:b/>
          <w:bCs w:val="0"/>
        </w:rPr>
        <w:lastRenderedPageBreak/>
        <w:t xml:space="preserve">Measure 4.3 – Rate ratio of </w:t>
      </w:r>
      <w:r w:rsidR="00B47705" w:rsidRPr="003E6A0B">
        <w:rPr>
          <w:b/>
          <w:bCs w:val="0"/>
        </w:rPr>
        <w:t xml:space="preserve">preventable </w:t>
      </w:r>
      <w:r w:rsidRPr="003E6A0B">
        <w:rPr>
          <w:b/>
          <w:bCs w:val="0"/>
        </w:rPr>
        <w:t>cancer incidence between Aboriginal and non-Aboriginal Victorians</w:t>
      </w:r>
      <w:bookmarkEnd w:id="306"/>
    </w:p>
    <w:p w14:paraId="2AC4C266" w14:textId="4930D335" w:rsidR="00712148" w:rsidRPr="00217A4B" w:rsidRDefault="00564C6D" w:rsidP="00712148">
      <w:pPr>
        <w:pStyle w:val="Figurecaption"/>
        <w:rPr>
          <w:sz w:val="20"/>
        </w:rPr>
      </w:pPr>
      <w:bookmarkStart w:id="307" w:name="_Toc132553018"/>
      <w:bookmarkStart w:id="308" w:name="_Toc140827626"/>
      <w:bookmarkStart w:id="309" w:name="_Toc19008044"/>
      <w:bookmarkStart w:id="310" w:name="_Toc19008290"/>
      <w:bookmarkStart w:id="311" w:name="_Toc19008437"/>
      <w:bookmarkStart w:id="312" w:name="_Toc19008584"/>
      <w:r w:rsidRPr="00217A4B">
        <w:rPr>
          <w:sz w:val="20"/>
        </w:rPr>
        <w:t>Figure 4.3</w:t>
      </w:r>
      <w:r w:rsidR="003B391F" w:rsidRPr="00217A4B">
        <w:rPr>
          <w:sz w:val="20"/>
        </w:rPr>
        <w:t>:</w:t>
      </w:r>
      <w:r w:rsidRPr="00217A4B">
        <w:rPr>
          <w:sz w:val="20"/>
        </w:rPr>
        <w:t xml:space="preserve"> Rate ratio of preventable cancer incidence</w:t>
      </w:r>
      <w:r w:rsidR="006F570F" w:rsidRPr="00217A4B">
        <w:rPr>
          <w:sz w:val="20"/>
        </w:rPr>
        <w:t xml:space="preserve"> (with confidence intervals)</w:t>
      </w:r>
      <w:r w:rsidR="00F34179" w:rsidRPr="00217A4B">
        <w:rPr>
          <w:sz w:val="20"/>
        </w:rPr>
        <w:t xml:space="preserve"> for</w:t>
      </w:r>
      <w:r w:rsidRPr="00217A4B">
        <w:rPr>
          <w:sz w:val="20"/>
        </w:rPr>
        <w:t xml:space="preserve"> </w:t>
      </w:r>
      <w:r w:rsidR="00712148" w:rsidRPr="00217A4B">
        <w:rPr>
          <w:sz w:val="20"/>
        </w:rPr>
        <w:t>Aboriginal Victorians relative to non-Aboriginal Victorians, by year of diagnosis, 2014–20</w:t>
      </w:r>
      <w:r w:rsidR="00442FF4" w:rsidRPr="00217A4B">
        <w:rPr>
          <w:sz w:val="20"/>
        </w:rPr>
        <w:t>2</w:t>
      </w:r>
      <w:r w:rsidR="00811C31" w:rsidRPr="00217A4B">
        <w:rPr>
          <w:sz w:val="20"/>
        </w:rPr>
        <w:t>1</w:t>
      </w:r>
      <w:bookmarkEnd w:id="307"/>
      <w:bookmarkEnd w:id="308"/>
    </w:p>
    <w:p w14:paraId="2D197893" w14:textId="5E69831D" w:rsidR="00811C31" w:rsidRPr="00811C31" w:rsidRDefault="00811C31" w:rsidP="00E87AAA">
      <w:pPr>
        <w:pStyle w:val="Body"/>
      </w:pPr>
      <w:r>
        <w:rPr>
          <w:noProof/>
        </w:rPr>
        <w:drawing>
          <wp:inline distT="0" distB="0" distL="0" distR="0" wp14:anchorId="10D7DAC3" wp14:editId="2D1745E2">
            <wp:extent cx="6212205" cy="4720999"/>
            <wp:effectExtent l="0" t="0" r="0" b="3810"/>
            <wp:docPr id="288" name="Picture 288" descr="This figure shows a summary of 'Measure 4.3 - Rate ratio of preventable cancer incidence between Aboriginal and non-Aboriginal Victorians'.  The data for this figure is available in this section for the study period 2014 to 2021 - refer to Tabl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This figure shows a summary of 'Measure 4.3 - Rate ratio of preventable cancer incidence between Aboriginal and non-Aboriginal Victorians'.  The data for this figure is available in this section for the study period 2014 to 2021 - refer to Table 4.3."/>
                    <pic:cNvPicPr/>
                  </pic:nvPicPr>
                  <pic:blipFill>
                    <a:blip r:embed="rId70"/>
                    <a:stretch>
                      <a:fillRect/>
                    </a:stretch>
                  </pic:blipFill>
                  <pic:spPr>
                    <a:xfrm>
                      <a:off x="0" y="0"/>
                      <a:ext cx="6217706" cy="4725179"/>
                    </a:xfrm>
                    <a:prstGeom prst="rect">
                      <a:avLst/>
                    </a:prstGeom>
                  </pic:spPr>
                </pic:pic>
              </a:graphicData>
            </a:graphic>
          </wp:inline>
        </w:drawing>
      </w:r>
    </w:p>
    <w:bookmarkEnd w:id="309"/>
    <w:bookmarkEnd w:id="310"/>
    <w:bookmarkEnd w:id="311"/>
    <w:bookmarkEnd w:id="312"/>
    <w:p w14:paraId="67F9D7EB" w14:textId="2C290B9F" w:rsidR="00FF7120" w:rsidRPr="00217A4B" w:rsidRDefault="00FF7120" w:rsidP="00FA1AAC">
      <w:pPr>
        <w:pStyle w:val="Tablefigurenote"/>
        <w:rPr>
          <w:i/>
          <w:iCs/>
          <w:sz w:val="18"/>
          <w:szCs w:val="18"/>
        </w:rPr>
      </w:pPr>
      <w:r w:rsidRPr="00217A4B">
        <w:rPr>
          <w:i/>
          <w:iCs/>
          <w:sz w:val="18"/>
          <w:szCs w:val="18"/>
        </w:rPr>
        <w:t>Note</w:t>
      </w:r>
      <w:r w:rsidR="004F0FAA" w:rsidRPr="00217A4B">
        <w:rPr>
          <w:i/>
          <w:iCs/>
          <w:sz w:val="18"/>
          <w:szCs w:val="18"/>
        </w:rPr>
        <w:t>s</w:t>
      </w:r>
      <w:r w:rsidRPr="00217A4B">
        <w:rPr>
          <w:i/>
          <w:iCs/>
          <w:sz w:val="18"/>
          <w:szCs w:val="18"/>
        </w:rPr>
        <w:t>:</w:t>
      </w:r>
    </w:p>
    <w:p w14:paraId="34864225" w14:textId="2C623BA1" w:rsidR="00BC2399" w:rsidRPr="00217A4B" w:rsidRDefault="00BC2399" w:rsidP="00FA1AAC">
      <w:pPr>
        <w:pStyle w:val="Tablefigurenote"/>
        <w:rPr>
          <w:i/>
          <w:iCs/>
          <w:sz w:val="18"/>
          <w:szCs w:val="18"/>
        </w:rPr>
      </w:pPr>
      <w:r w:rsidRPr="00217A4B">
        <w:rPr>
          <w:i/>
          <w:iCs/>
          <w:sz w:val="18"/>
          <w:szCs w:val="18"/>
        </w:rPr>
        <w:t xml:space="preserve">These rate ratios are calculated as the Aboriginal and Torres Strait Islander adjusted incidence rate compared </w:t>
      </w:r>
      <w:r w:rsidR="002769E7" w:rsidRPr="00217A4B">
        <w:rPr>
          <w:i/>
          <w:iCs/>
          <w:sz w:val="18"/>
          <w:szCs w:val="18"/>
        </w:rPr>
        <w:t xml:space="preserve">with </w:t>
      </w:r>
      <w:r w:rsidRPr="00217A4B">
        <w:rPr>
          <w:i/>
          <w:iCs/>
          <w:sz w:val="18"/>
          <w:szCs w:val="18"/>
        </w:rPr>
        <w:t>non</w:t>
      </w:r>
      <w:r w:rsidR="00F61706" w:rsidRPr="00217A4B">
        <w:rPr>
          <w:i/>
          <w:iCs/>
          <w:sz w:val="18"/>
          <w:szCs w:val="18"/>
        </w:rPr>
        <w:t>-</w:t>
      </w:r>
      <w:r w:rsidRPr="00217A4B">
        <w:rPr>
          <w:i/>
          <w:iCs/>
          <w:sz w:val="18"/>
          <w:szCs w:val="18"/>
        </w:rPr>
        <w:t xml:space="preserve">Aboriginal and Torres Strait Islander </w:t>
      </w:r>
      <w:r w:rsidR="000C746E" w:rsidRPr="00217A4B">
        <w:rPr>
          <w:i/>
          <w:iCs/>
          <w:sz w:val="18"/>
          <w:szCs w:val="18"/>
        </w:rPr>
        <w:t xml:space="preserve">rates </w:t>
      </w:r>
      <w:r w:rsidRPr="00217A4B">
        <w:rPr>
          <w:i/>
          <w:iCs/>
          <w:sz w:val="18"/>
          <w:szCs w:val="18"/>
        </w:rPr>
        <w:t xml:space="preserve">for each year. A rate ratio greater than </w:t>
      </w:r>
      <w:r w:rsidR="0093423C" w:rsidRPr="00217A4B">
        <w:rPr>
          <w:i/>
          <w:iCs/>
          <w:sz w:val="18"/>
          <w:szCs w:val="18"/>
        </w:rPr>
        <w:t xml:space="preserve">1 </w:t>
      </w:r>
      <w:r w:rsidRPr="00217A4B">
        <w:rPr>
          <w:i/>
          <w:iCs/>
          <w:sz w:val="18"/>
          <w:szCs w:val="18"/>
        </w:rPr>
        <w:t xml:space="preserve">indicates a higher incidence rate for Aboriginal and Torres Strait Islander individuals than non-Aboriginal </w:t>
      </w:r>
      <w:r w:rsidR="00F61706" w:rsidRPr="00217A4B">
        <w:rPr>
          <w:i/>
          <w:iCs/>
          <w:sz w:val="18"/>
          <w:szCs w:val="18"/>
        </w:rPr>
        <w:t>people</w:t>
      </w:r>
      <w:r w:rsidRPr="00217A4B">
        <w:rPr>
          <w:i/>
          <w:iCs/>
          <w:sz w:val="18"/>
          <w:szCs w:val="18"/>
        </w:rPr>
        <w:t>.</w:t>
      </w:r>
    </w:p>
    <w:p w14:paraId="5CC7E2FD" w14:textId="5A746726" w:rsidR="00A475FD" w:rsidRPr="00217A4B" w:rsidRDefault="00A475FD" w:rsidP="00FA1AAC">
      <w:pPr>
        <w:pStyle w:val="Tablefigurenote"/>
        <w:rPr>
          <w:i/>
          <w:iCs/>
          <w:sz w:val="18"/>
          <w:szCs w:val="18"/>
        </w:rPr>
      </w:pPr>
      <w:r w:rsidRPr="00217A4B">
        <w:rPr>
          <w:i/>
          <w:iCs/>
          <w:sz w:val="18"/>
          <w:szCs w:val="18"/>
        </w:rPr>
        <w:t>E</w:t>
      </w:r>
      <w:r w:rsidR="00044B95" w:rsidRPr="00217A4B">
        <w:rPr>
          <w:i/>
          <w:iCs/>
          <w:sz w:val="18"/>
          <w:szCs w:val="18"/>
        </w:rPr>
        <w:t>R</w:t>
      </w:r>
      <w:r w:rsidR="005A0F87" w:rsidRPr="00217A4B">
        <w:rPr>
          <w:i/>
          <w:iCs/>
          <w:sz w:val="18"/>
          <w:szCs w:val="18"/>
        </w:rPr>
        <w:t>P</w:t>
      </w:r>
      <w:r w:rsidRPr="00217A4B">
        <w:rPr>
          <w:i/>
          <w:iCs/>
          <w:sz w:val="18"/>
          <w:szCs w:val="18"/>
        </w:rPr>
        <w:t xml:space="preserve"> </w:t>
      </w:r>
      <w:r w:rsidR="00B51921" w:rsidRPr="00217A4B">
        <w:rPr>
          <w:i/>
          <w:iCs/>
          <w:sz w:val="18"/>
          <w:szCs w:val="18"/>
        </w:rPr>
        <w:t>files were sourced from</w:t>
      </w:r>
      <w:r w:rsidR="0093423C" w:rsidRPr="00217A4B">
        <w:rPr>
          <w:i/>
          <w:iCs/>
          <w:sz w:val="18"/>
          <w:szCs w:val="18"/>
        </w:rPr>
        <w:t xml:space="preserve"> the</w:t>
      </w:r>
      <w:r w:rsidR="00B51921" w:rsidRPr="00217A4B">
        <w:rPr>
          <w:i/>
          <w:iCs/>
          <w:sz w:val="18"/>
          <w:szCs w:val="18"/>
        </w:rPr>
        <w:t xml:space="preserve"> ABS.</w:t>
      </w:r>
      <w:r w:rsidR="00952FC7" w:rsidRPr="00217A4B">
        <w:rPr>
          <w:i/>
          <w:iCs/>
          <w:sz w:val="18"/>
          <w:szCs w:val="18"/>
        </w:rPr>
        <w:t xml:space="preserve"> </w:t>
      </w:r>
      <w:r w:rsidR="00B51921" w:rsidRPr="00217A4B">
        <w:rPr>
          <w:i/>
          <w:iCs/>
          <w:sz w:val="18"/>
          <w:szCs w:val="18"/>
        </w:rPr>
        <w:t>Note</w:t>
      </w:r>
      <w:r w:rsidR="00BE3211" w:rsidRPr="00217A4B">
        <w:rPr>
          <w:i/>
          <w:iCs/>
          <w:sz w:val="18"/>
          <w:szCs w:val="18"/>
        </w:rPr>
        <w:t xml:space="preserve"> that</w:t>
      </w:r>
      <w:r w:rsidR="00B51921" w:rsidRPr="00217A4B">
        <w:rPr>
          <w:i/>
          <w:iCs/>
          <w:sz w:val="18"/>
          <w:szCs w:val="18"/>
        </w:rPr>
        <w:t xml:space="preserve"> at the time of preparing this report, </w:t>
      </w:r>
      <w:r w:rsidR="00C14C0C" w:rsidRPr="00217A4B">
        <w:rPr>
          <w:i/>
          <w:iCs/>
          <w:sz w:val="18"/>
          <w:szCs w:val="18"/>
        </w:rPr>
        <w:t>the ABS had not yet finalised 20</w:t>
      </w:r>
      <w:r w:rsidR="003A7EB0" w:rsidRPr="00217A4B">
        <w:rPr>
          <w:i/>
          <w:iCs/>
          <w:sz w:val="18"/>
          <w:szCs w:val="18"/>
        </w:rPr>
        <w:t>2</w:t>
      </w:r>
      <w:r w:rsidR="00B84A56" w:rsidRPr="00217A4B">
        <w:rPr>
          <w:i/>
          <w:iCs/>
          <w:sz w:val="18"/>
          <w:szCs w:val="18"/>
        </w:rPr>
        <w:t>1</w:t>
      </w:r>
      <w:r w:rsidR="00C14C0C" w:rsidRPr="00217A4B">
        <w:rPr>
          <w:i/>
          <w:iCs/>
          <w:sz w:val="18"/>
          <w:szCs w:val="18"/>
        </w:rPr>
        <w:t xml:space="preserve"> ERP</w:t>
      </w:r>
      <w:r w:rsidR="00B51921" w:rsidRPr="00217A4B">
        <w:rPr>
          <w:i/>
          <w:iCs/>
          <w:sz w:val="18"/>
          <w:szCs w:val="18"/>
        </w:rPr>
        <w:t>.</w:t>
      </w:r>
      <w:r w:rsidR="005A0F87" w:rsidRPr="00217A4B">
        <w:rPr>
          <w:i/>
          <w:iCs/>
          <w:sz w:val="18"/>
          <w:szCs w:val="18"/>
        </w:rPr>
        <w:t xml:space="preserve"> The E</w:t>
      </w:r>
      <w:r w:rsidR="00044B95" w:rsidRPr="00217A4B">
        <w:rPr>
          <w:i/>
          <w:iCs/>
          <w:sz w:val="18"/>
          <w:szCs w:val="18"/>
        </w:rPr>
        <w:t>R</w:t>
      </w:r>
      <w:r w:rsidR="005A0F87" w:rsidRPr="00217A4B">
        <w:rPr>
          <w:i/>
          <w:iCs/>
          <w:sz w:val="18"/>
          <w:szCs w:val="18"/>
        </w:rPr>
        <w:t xml:space="preserve">P for the </w:t>
      </w:r>
      <w:r w:rsidR="00680DD3" w:rsidRPr="00217A4B">
        <w:rPr>
          <w:i/>
          <w:iCs/>
          <w:sz w:val="18"/>
          <w:szCs w:val="18"/>
        </w:rPr>
        <w:t>n</w:t>
      </w:r>
      <w:r w:rsidR="005A0F87" w:rsidRPr="00217A4B">
        <w:rPr>
          <w:i/>
          <w:iCs/>
          <w:sz w:val="18"/>
          <w:szCs w:val="18"/>
        </w:rPr>
        <w:t>on-</w:t>
      </w:r>
      <w:r w:rsidR="00DC7655" w:rsidRPr="00217A4B">
        <w:rPr>
          <w:i/>
          <w:iCs/>
          <w:sz w:val="18"/>
          <w:szCs w:val="18"/>
        </w:rPr>
        <w:t>A</w:t>
      </w:r>
      <w:r w:rsidR="005A0F87" w:rsidRPr="00217A4B">
        <w:rPr>
          <w:i/>
          <w:iCs/>
          <w:sz w:val="18"/>
          <w:szCs w:val="18"/>
        </w:rPr>
        <w:t>boriginal population</w:t>
      </w:r>
      <w:r w:rsidR="00C14C0C" w:rsidRPr="00217A4B">
        <w:rPr>
          <w:i/>
          <w:iCs/>
          <w:sz w:val="18"/>
          <w:szCs w:val="18"/>
        </w:rPr>
        <w:t xml:space="preserve"> in Victoria</w:t>
      </w:r>
      <w:r w:rsidR="005A0F87" w:rsidRPr="00217A4B">
        <w:rPr>
          <w:i/>
          <w:iCs/>
          <w:sz w:val="18"/>
          <w:szCs w:val="18"/>
        </w:rPr>
        <w:t xml:space="preserve"> was calculated by subtracting the</w:t>
      </w:r>
      <w:r w:rsidR="00BF714A" w:rsidRPr="00217A4B">
        <w:rPr>
          <w:i/>
          <w:iCs/>
          <w:sz w:val="18"/>
          <w:szCs w:val="18"/>
        </w:rPr>
        <w:t xml:space="preserve"> </w:t>
      </w:r>
      <w:r w:rsidR="00BF714A" w:rsidRPr="00217A4B">
        <w:rPr>
          <w:rFonts w:eastAsia="SourceSansPro-Regular"/>
          <w:i/>
          <w:iCs/>
          <w:sz w:val="18"/>
          <w:szCs w:val="18"/>
          <w:lang w:eastAsia="en-AU"/>
        </w:rPr>
        <w:t>Aboriginal and Torres Strait Islander</w:t>
      </w:r>
      <w:r w:rsidR="005A0F87" w:rsidRPr="00217A4B">
        <w:rPr>
          <w:i/>
          <w:iCs/>
          <w:sz w:val="18"/>
          <w:szCs w:val="18"/>
        </w:rPr>
        <w:t xml:space="preserve"> </w:t>
      </w:r>
      <w:r w:rsidR="005A0F87" w:rsidRPr="00217A4B">
        <w:rPr>
          <w:b/>
          <w:i/>
          <w:iCs/>
          <w:sz w:val="18"/>
          <w:szCs w:val="18"/>
        </w:rPr>
        <w:t>projected</w:t>
      </w:r>
      <w:r w:rsidR="005A0F87" w:rsidRPr="00217A4B">
        <w:rPr>
          <w:i/>
          <w:iCs/>
          <w:sz w:val="18"/>
          <w:szCs w:val="18"/>
        </w:rPr>
        <w:t xml:space="preserve"> population from the total ERP.</w:t>
      </w:r>
    </w:p>
    <w:p w14:paraId="6EE27799" w14:textId="03F57778" w:rsidR="00087406" w:rsidRPr="00217A4B" w:rsidRDefault="00087406" w:rsidP="002226C1">
      <w:pPr>
        <w:pStyle w:val="Tablecaption"/>
        <w:rPr>
          <w:sz w:val="20"/>
        </w:rPr>
      </w:pPr>
      <w:bookmarkStart w:id="313" w:name="_Toc18908723"/>
      <w:bookmarkStart w:id="314" w:name="_Toc132491520"/>
      <w:bookmarkStart w:id="315" w:name="_Toc140834911"/>
      <w:r w:rsidRPr="00217A4B">
        <w:rPr>
          <w:sz w:val="20"/>
        </w:rPr>
        <w:t>Table 4.3</w:t>
      </w:r>
      <w:r w:rsidR="001F7E28" w:rsidRPr="00217A4B">
        <w:rPr>
          <w:sz w:val="20"/>
        </w:rPr>
        <w:t>:</w:t>
      </w:r>
      <w:r w:rsidRPr="00217A4B">
        <w:rPr>
          <w:sz w:val="20"/>
        </w:rPr>
        <w:t xml:space="preserve"> Rate ratio of preventable cancer incidence </w:t>
      </w:r>
      <w:r w:rsidR="00831604" w:rsidRPr="00217A4B">
        <w:rPr>
          <w:sz w:val="20"/>
        </w:rPr>
        <w:t xml:space="preserve">(with confidence intervals) </w:t>
      </w:r>
      <w:r w:rsidRPr="00217A4B">
        <w:rPr>
          <w:sz w:val="20"/>
        </w:rPr>
        <w:t>between Aboriginal and non-Aboriginal Victorians</w:t>
      </w:r>
      <w:r w:rsidR="00C14C0C" w:rsidRPr="00217A4B">
        <w:rPr>
          <w:sz w:val="20"/>
        </w:rPr>
        <w:t>,</w:t>
      </w:r>
      <w:r w:rsidRPr="00217A4B">
        <w:rPr>
          <w:sz w:val="20"/>
        </w:rPr>
        <w:t xml:space="preserve"> by year of diagnosis, 201</w:t>
      </w:r>
      <w:r w:rsidR="00AB332F" w:rsidRPr="00217A4B">
        <w:rPr>
          <w:sz w:val="20"/>
        </w:rPr>
        <w:t>4</w:t>
      </w:r>
      <w:r w:rsidR="008D2095" w:rsidRPr="00217A4B">
        <w:rPr>
          <w:sz w:val="20"/>
        </w:rPr>
        <w:t>–</w:t>
      </w:r>
      <w:r w:rsidRPr="00217A4B">
        <w:rPr>
          <w:sz w:val="20"/>
        </w:rPr>
        <w:t>20</w:t>
      </w:r>
      <w:bookmarkEnd w:id="313"/>
      <w:r w:rsidR="00FC794A" w:rsidRPr="00217A4B">
        <w:rPr>
          <w:sz w:val="20"/>
        </w:rPr>
        <w:t>2</w:t>
      </w:r>
      <w:r w:rsidR="00811C31" w:rsidRPr="00217A4B">
        <w:rPr>
          <w:sz w:val="20"/>
        </w:rPr>
        <w:t>1</w:t>
      </w:r>
      <w:bookmarkEnd w:id="314"/>
      <w:bookmarkEnd w:id="315"/>
    </w:p>
    <w:tbl>
      <w:tblPr>
        <w:tblpPr w:leftFromText="180" w:rightFromText="180" w:vertAnchor="text" w:horzAnchor="margin" w:tblpY="145"/>
        <w:tblW w:w="9549" w:type="dxa"/>
        <w:tblBorders>
          <w:bottom w:val="single" w:sz="4" w:space="0" w:color="C00000"/>
          <w:insideH w:val="single" w:sz="4" w:space="0" w:color="C00000"/>
        </w:tblBorders>
        <w:shd w:val="clear" w:color="auto" w:fill="EDCDCF"/>
        <w:tblLook w:val="04A0" w:firstRow="1" w:lastRow="0" w:firstColumn="1" w:lastColumn="0" w:noHBand="0" w:noVBand="1"/>
      </w:tblPr>
      <w:tblGrid>
        <w:gridCol w:w="960"/>
        <w:gridCol w:w="1052"/>
        <w:gridCol w:w="1149"/>
        <w:gridCol w:w="1266"/>
        <w:gridCol w:w="1071"/>
        <w:gridCol w:w="1073"/>
        <w:gridCol w:w="1115"/>
        <w:gridCol w:w="963"/>
        <w:gridCol w:w="900"/>
      </w:tblGrid>
      <w:tr w:rsidR="00811C31" w:rsidRPr="007744CA" w14:paraId="4C2E750D" w14:textId="18F41131" w:rsidTr="00652E25">
        <w:trPr>
          <w:trHeight w:val="117"/>
          <w:tblHeader/>
        </w:trPr>
        <w:tc>
          <w:tcPr>
            <w:tcW w:w="960" w:type="dxa"/>
            <w:shd w:val="clear" w:color="auto" w:fill="EDCDCF"/>
            <w:vAlign w:val="center"/>
          </w:tcPr>
          <w:p w14:paraId="64F5F9D4" w14:textId="77777777" w:rsidR="00811C31" w:rsidRPr="007744CA" w:rsidRDefault="00811C31" w:rsidP="00CF10FF">
            <w:pPr>
              <w:pStyle w:val="Tablecolhead"/>
              <w:rPr>
                <w:sz w:val="16"/>
                <w:szCs w:val="16"/>
              </w:rPr>
            </w:pPr>
            <w:r w:rsidRPr="007744CA">
              <w:rPr>
                <w:sz w:val="16"/>
                <w:szCs w:val="16"/>
              </w:rPr>
              <w:t>Year</w:t>
            </w:r>
          </w:p>
        </w:tc>
        <w:tc>
          <w:tcPr>
            <w:tcW w:w="1052" w:type="dxa"/>
            <w:shd w:val="clear" w:color="auto" w:fill="EDCDCF"/>
            <w:vAlign w:val="center"/>
          </w:tcPr>
          <w:p w14:paraId="327D9AFE" w14:textId="77777777" w:rsidR="00811C31" w:rsidRPr="007744CA" w:rsidRDefault="00811C31" w:rsidP="00CF10FF">
            <w:pPr>
              <w:pStyle w:val="Tablecolhead"/>
              <w:rPr>
                <w:sz w:val="16"/>
                <w:szCs w:val="16"/>
              </w:rPr>
            </w:pPr>
            <w:r w:rsidRPr="007744CA">
              <w:rPr>
                <w:sz w:val="16"/>
                <w:szCs w:val="16"/>
              </w:rPr>
              <w:t>2014</w:t>
            </w:r>
          </w:p>
        </w:tc>
        <w:tc>
          <w:tcPr>
            <w:tcW w:w="1149" w:type="dxa"/>
            <w:shd w:val="clear" w:color="auto" w:fill="EDCDCF"/>
            <w:vAlign w:val="center"/>
          </w:tcPr>
          <w:p w14:paraId="17AFE3D5" w14:textId="77777777" w:rsidR="00811C31" w:rsidRPr="007744CA" w:rsidRDefault="00811C31" w:rsidP="00CF10FF">
            <w:pPr>
              <w:pStyle w:val="Tablecolhead"/>
              <w:rPr>
                <w:sz w:val="16"/>
                <w:szCs w:val="16"/>
              </w:rPr>
            </w:pPr>
            <w:r w:rsidRPr="007744CA">
              <w:rPr>
                <w:sz w:val="16"/>
                <w:szCs w:val="16"/>
              </w:rPr>
              <w:t>2015</w:t>
            </w:r>
          </w:p>
        </w:tc>
        <w:tc>
          <w:tcPr>
            <w:tcW w:w="1266" w:type="dxa"/>
            <w:shd w:val="clear" w:color="auto" w:fill="EDCDCF"/>
            <w:vAlign w:val="center"/>
          </w:tcPr>
          <w:p w14:paraId="51C428E3" w14:textId="77777777" w:rsidR="00811C31" w:rsidRPr="007744CA" w:rsidRDefault="00811C31" w:rsidP="00CF10FF">
            <w:pPr>
              <w:pStyle w:val="Tablecolhead"/>
              <w:rPr>
                <w:sz w:val="16"/>
                <w:szCs w:val="16"/>
              </w:rPr>
            </w:pPr>
            <w:r w:rsidRPr="007744CA">
              <w:rPr>
                <w:sz w:val="16"/>
                <w:szCs w:val="16"/>
              </w:rPr>
              <w:t>2016</w:t>
            </w:r>
          </w:p>
        </w:tc>
        <w:tc>
          <w:tcPr>
            <w:tcW w:w="1071" w:type="dxa"/>
            <w:shd w:val="clear" w:color="auto" w:fill="EDCDCF"/>
            <w:vAlign w:val="center"/>
          </w:tcPr>
          <w:p w14:paraId="6D616361" w14:textId="77777777" w:rsidR="00811C31" w:rsidRPr="007744CA" w:rsidRDefault="00811C31" w:rsidP="00CF10FF">
            <w:pPr>
              <w:pStyle w:val="Tablecolhead"/>
              <w:rPr>
                <w:sz w:val="16"/>
                <w:szCs w:val="16"/>
              </w:rPr>
            </w:pPr>
            <w:r w:rsidRPr="007744CA">
              <w:rPr>
                <w:sz w:val="16"/>
                <w:szCs w:val="16"/>
              </w:rPr>
              <w:t>2017</w:t>
            </w:r>
          </w:p>
        </w:tc>
        <w:tc>
          <w:tcPr>
            <w:tcW w:w="1073" w:type="dxa"/>
            <w:shd w:val="clear" w:color="auto" w:fill="EDCDCF"/>
          </w:tcPr>
          <w:p w14:paraId="606B597B" w14:textId="0C02C341" w:rsidR="00811C31" w:rsidRPr="007744CA" w:rsidRDefault="00811C31" w:rsidP="00FC794A">
            <w:pPr>
              <w:pStyle w:val="Tablecolhead"/>
              <w:rPr>
                <w:sz w:val="16"/>
                <w:szCs w:val="16"/>
              </w:rPr>
            </w:pPr>
            <w:r w:rsidRPr="007744CA">
              <w:rPr>
                <w:sz w:val="16"/>
                <w:szCs w:val="16"/>
              </w:rPr>
              <w:t>2018</w:t>
            </w:r>
          </w:p>
        </w:tc>
        <w:tc>
          <w:tcPr>
            <w:tcW w:w="1115" w:type="dxa"/>
            <w:shd w:val="clear" w:color="auto" w:fill="EDCDCF"/>
          </w:tcPr>
          <w:p w14:paraId="62365DE8" w14:textId="315F7087" w:rsidR="00811C31" w:rsidRPr="007744CA" w:rsidRDefault="00811C31" w:rsidP="00CF10FF">
            <w:pPr>
              <w:pStyle w:val="Tablecolhead"/>
              <w:rPr>
                <w:sz w:val="16"/>
                <w:szCs w:val="16"/>
              </w:rPr>
            </w:pPr>
            <w:r w:rsidRPr="007744CA">
              <w:rPr>
                <w:sz w:val="16"/>
                <w:szCs w:val="16"/>
              </w:rPr>
              <w:t>2019</w:t>
            </w:r>
          </w:p>
        </w:tc>
        <w:tc>
          <w:tcPr>
            <w:tcW w:w="963" w:type="dxa"/>
            <w:shd w:val="clear" w:color="auto" w:fill="EDCDCF"/>
          </w:tcPr>
          <w:p w14:paraId="4E2C7AC3" w14:textId="79A47902" w:rsidR="00811C31" w:rsidRPr="007744CA" w:rsidRDefault="00811C31" w:rsidP="00CF10FF">
            <w:pPr>
              <w:pStyle w:val="Tablecolhead"/>
              <w:rPr>
                <w:sz w:val="16"/>
                <w:szCs w:val="16"/>
              </w:rPr>
            </w:pPr>
            <w:r w:rsidRPr="007744CA">
              <w:rPr>
                <w:sz w:val="16"/>
                <w:szCs w:val="16"/>
              </w:rPr>
              <w:t>2020</w:t>
            </w:r>
          </w:p>
        </w:tc>
        <w:tc>
          <w:tcPr>
            <w:tcW w:w="900" w:type="dxa"/>
            <w:shd w:val="clear" w:color="auto" w:fill="EDCDCF"/>
          </w:tcPr>
          <w:p w14:paraId="6644331B" w14:textId="6DABC16E" w:rsidR="00811C31" w:rsidRPr="007744CA" w:rsidRDefault="00811C31" w:rsidP="00CF10FF">
            <w:pPr>
              <w:pStyle w:val="Tablecolhead"/>
              <w:rPr>
                <w:sz w:val="16"/>
                <w:szCs w:val="16"/>
              </w:rPr>
            </w:pPr>
            <w:r w:rsidRPr="007744CA">
              <w:rPr>
                <w:sz w:val="16"/>
                <w:szCs w:val="16"/>
              </w:rPr>
              <w:t>2021</w:t>
            </w:r>
          </w:p>
        </w:tc>
      </w:tr>
      <w:tr w:rsidR="00811C31" w:rsidRPr="007744CA" w14:paraId="3CDC8D14" w14:textId="61697663" w:rsidTr="007744CA">
        <w:trPr>
          <w:trHeight w:val="275"/>
        </w:trPr>
        <w:tc>
          <w:tcPr>
            <w:tcW w:w="960" w:type="dxa"/>
            <w:shd w:val="clear" w:color="auto" w:fill="auto"/>
            <w:vAlign w:val="center"/>
          </w:tcPr>
          <w:p w14:paraId="42E6C2E2" w14:textId="338EB140" w:rsidR="00811C31" w:rsidRPr="007744CA" w:rsidRDefault="00811C31" w:rsidP="00CF10FF">
            <w:pPr>
              <w:pStyle w:val="Tabletext"/>
              <w:rPr>
                <w:sz w:val="16"/>
                <w:szCs w:val="16"/>
              </w:rPr>
            </w:pPr>
            <w:r w:rsidRPr="007744CA">
              <w:rPr>
                <w:sz w:val="16"/>
                <w:szCs w:val="16"/>
              </w:rPr>
              <w:t>Result</w:t>
            </w:r>
          </w:p>
        </w:tc>
        <w:tc>
          <w:tcPr>
            <w:tcW w:w="1052" w:type="dxa"/>
            <w:shd w:val="clear" w:color="auto" w:fill="auto"/>
            <w:vAlign w:val="center"/>
          </w:tcPr>
          <w:p w14:paraId="29CF2A26" w14:textId="35906533" w:rsidR="00811C31" w:rsidRPr="007744CA" w:rsidRDefault="00811C31" w:rsidP="00CF10FF">
            <w:pPr>
              <w:pStyle w:val="Tabletext"/>
              <w:rPr>
                <w:sz w:val="16"/>
                <w:szCs w:val="16"/>
              </w:rPr>
            </w:pPr>
            <w:r w:rsidRPr="007744CA">
              <w:rPr>
                <w:sz w:val="16"/>
                <w:szCs w:val="16"/>
              </w:rPr>
              <w:t>1.4</w:t>
            </w:r>
          </w:p>
        </w:tc>
        <w:tc>
          <w:tcPr>
            <w:tcW w:w="1149" w:type="dxa"/>
            <w:shd w:val="clear" w:color="auto" w:fill="auto"/>
            <w:vAlign w:val="center"/>
          </w:tcPr>
          <w:p w14:paraId="0B90C9AD" w14:textId="6405AD14" w:rsidR="00811C31" w:rsidRPr="007744CA" w:rsidRDefault="00811C31" w:rsidP="00CF10FF">
            <w:pPr>
              <w:pStyle w:val="Tabletext"/>
              <w:rPr>
                <w:sz w:val="16"/>
                <w:szCs w:val="16"/>
              </w:rPr>
            </w:pPr>
            <w:r w:rsidRPr="007744CA">
              <w:rPr>
                <w:sz w:val="16"/>
                <w:szCs w:val="16"/>
              </w:rPr>
              <w:t>1.7</w:t>
            </w:r>
          </w:p>
        </w:tc>
        <w:tc>
          <w:tcPr>
            <w:tcW w:w="1266" w:type="dxa"/>
            <w:shd w:val="clear" w:color="auto" w:fill="auto"/>
            <w:vAlign w:val="center"/>
          </w:tcPr>
          <w:p w14:paraId="4C95AB78" w14:textId="32F9E518" w:rsidR="00811C31" w:rsidRPr="007744CA" w:rsidRDefault="00811C31" w:rsidP="00CF10FF">
            <w:pPr>
              <w:pStyle w:val="Tabletext"/>
              <w:rPr>
                <w:sz w:val="16"/>
                <w:szCs w:val="16"/>
              </w:rPr>
            </w:pPr>
            <w:r w:rsidRPr="007744CA">
              <w:rPr>
                <w:sz w:val="16"/>
                <w:szCs w:val="16"/>
              </w:rPr>
              <w:t>1.6</w:t>
            </w:r>
          </w:p>
        </w:tc>
        <w:tc>
          <w:tcPr>
            <w:tcW w:w="1071" w:type="dxa"/>
            <w:shd w:val="clear" w:color="auto" w:fill="auto"/>
            <w:vAlign w:val="center"/>
          </w:tcPr>
          <w:p w14:paraId="24DFE839" w14:textId="14CB0746" w:rsidR="00811C31" w:rsidRPr="007744CA" w:rsidRDefault="00811C31" w:rsidP="00CF10FF">
            <w:pPr>
              <w:pStyle w:val="Tabletext"/>
              <w:rPr>
                <w:sz w:val="16"/>
                <w:szCs w:val="16"/>
              </w:rPr>
            </w:pPr>
            <w:r w:rsidRPr="007744CA">
              <w:rPr>
                <w:sz w:val="16"/>
                <w:szCs w:val="16"/>
              </w:rPr>
              <w:t>1.8</w:t>
            </w:r>
          </w:p>
        </w:tc>
        <w:tc>
          <w:tcPr>
            <w:tcW w:w="1073" w:type="dxa"/>
          </w:tcPr>
          <w:p w14:paraId="7850F6A6" w14:textId="641C45CC" w:rsidR="00811C31" w:rsidRPr="007744CA" w:rsidRDefault="00811C31" w:rsidP="00CF10FF">
            <w:pPr>
              <w:pStyle w:val="Tabletext"/>
              <w:rPr>
                <w:sz w:val="16"/>
                <w:szCs w:val="16"/>
              </w:rPr>
            </w:pPr>
            <w:r w:rsidRPr="007744CA">
              <w:rPr>
                <w:sz w:val="16"/>
                <w:szCs w:val="16"/>
              </w:rPr>
              <w:t>1.4</w:t>
            </w:r>
          </w:p>
        </w:tc>
        <w:tc>
          <w:tcPr>
            <w:tcW w:w="1115" w:type="dxa"/>
          </w:tcPr>
          <w:p w14:paraId="33099551" w14:textId="43BC36A1" w:rsidR="00811C31" w:rsidRPr="007744CA" w:rsidRDefault="00811C31" w:rsidP="00CF10FF">
            <w:pPr>
              <w:pStyle w:val="Tabletext"/>
              <w:rPr>
                <w:sz w:val="16"/>
                <w:szCs w:val="16"/>
              </w:rPr>
            </w:pPr>
            <w:r w:rsidRPr="007744CA">
              <w:rPr>
                <w:sz w:val="16"/>
                <w:szCs w:val="16"/>
              </w:rPr>
              <w:t>1.6</w:t>
            </w:r>
          </w:p>
        </w:tc>
        <w:tc>
          <w:tcPr>
            <w:tcW w:w="963" w:type="dxa"/>
          </w:tcPr>
          <w:p w14:paraId="730570CE" w14:textId="08240D1F" w:rsidR="00811C31" w:rsidRPr="007744CA" w:rsidRDefault="00811C31" w:rsidP="00CF10FF">
            <w:pPr>
              <w:pStyle w:val="Tabletext"/>
              <w:rPr>
                <w:sz w:val="16"/>
                <w:szCs w:val="16"/>
              </w:rPr>
            </w:pPr>
            <w:r w:rsidRPr="007744CA">
              <w:rPr>
                <w:sz w:val="16"/>
                <w:szCs w:val="16"/>
              </w:rPr>
              <w:t>1.7</w:t>
            </w:r>
          </w:p>
        </w:tc>
        <w:tc>
          <w:tcPr>
            <w:tcW w:w="900" w:type="dxa"/>
          </w:tcPr>
          <w:p w14:paraId="25EF9D2B" w14:textId="48839C88" w:rsidR="00811C31" w:rsidRPr="007744CA" w:rsidRDefault="00811C31" w:rsidP="00CF10FF">
            <w:pPr>
              <w:pStyle w:val="Tabletext"/>
              <w:rPr>
                <w:sz w:val="16"/>
                <w:szCs w:val="16"/>
              </w:rPr>
            </w:pPr>
            <w:r w:rsidRPr="007744CA">
              <w:rPr>
                <w:sz w:val="16"/>
                <w:szCs w:val="16"/>
              </w:rPr>
              <w:t>1.4</w:t>
            </w:r>
          </w:p>
        </w:tc>
      </w:tr>
      <w:tr w:rsidR="00811C31" w:rsidRPr="007744CA" w14:paraId="7B5062C9" w14:textId="746D2EFE" w:rsidTr="007744CA">
        <w:trPr>
          <w:trHeight w:val="275"/>
        </w:trPr>
        <w:tc>
          <w:tcPr>
            <w:tcW w:w="960" w:type="dxa"/>
            <w:shd w:val="clear" w:color="auto" w:fill="auto"/>
            <w:vAlign w:val="center"/>
          </w:tcPr>
          <w:p w14:paraId="0AADD317" w14:textId="5588D6DB" w:rsidR="00811C31" w:rsidRPr="007744CA" w:rsidRDefault="00811C31" w:rsidP="00811C31">
            <w:pPr>
              <w:pStyle w:val="Tabletext"/>
              <w:rPr>
                <w:sz w:val="16"/>
                <w:szCs w:val="16"/>
              </w:rPr>
            </w:pPr>
            <w:r w:rsidRPr="007744CA">
              <w:rPr>
                <w:sz w:val="16"/>
                <w:szCs w:val="16"/>
              </w:rPr>
              <w:t>(95% CI)</w:t>
            </w:r>
          </w:p>
        </w:tc>
        <w:tc>
          <w:tcPr>
            <w:tcW w:w="1052" w:type="dxa"/>
            <w:shd w:val="clear" w:color="auto" w:fill="auto"/>
            <w:vAlign w:val="center"/>
          </w:tcPr>
          <w:p w14:paraId="1C64B282" w14:textId="25DD4853" w:rsidR="00811C31" w:rsidRPr="007744CA" w:rsidRDefault="00811C31" w:rsidP="00811C31">
            <w:pPr>
              <w:pStyle w:val="Tabletext"/>
              <w:rPr>
                <w:sz w:val="16"/>
                <w:szCs w:val="16"/>
              </w:rPr>
            </w:pPr>
            <w:r w:rsidRPr="007744CA">
              <w:rPr>
                <w:sz w:val="16"/>
                <w:szCs w:val="16"/>
              </w:rPr>
              <w:t>(1.2–1.8)</w:t>
            </w:r>
          </w:p>
        </w:tc>
        <w:tc>
          <w:tcPr>
            <w:tcW w:w="1149" w:type="dxa"/>
            <w:shd w:val="clear" w:color="auto" w:fill="auto"/>
            <w:vAlign w:val="center"/>
          </w:tcPr>
          <w:p w14:paraId="30B57A11" w14:textId="198B60FD" w:rsidR="00811C31" w:rsidRPr="007744CA" w:rsidRDefault="00811C31" w:rsidP="00811C31">
            <w:pPr>
              <w:pStyle w:val="Tabletext"/>
              <w:rPr>
                <w:sz w:val="16"/>
                <w:szCs w:val="16"/>
              </w:rPr>
            </w:pPr>
            <w:r w:rsidRPr="007744CA">
              <w:rPr>
                <w:sz w:val="16"/>
                <w:szCs w:val="16"/>
              </w:rPr>
              <w:t>(1.4–2.1)</w:t>
            </w:r>
          </w:p>
        </w:tc>
        <w:tc>
          <w:tcPr>
            <w:tcW w:w="1266" w:type="dxa"/>
            <w:shd w:val="clear" w:color="auto" w:fill="auto"/>
            <w:vAlign w:val="center"/>
          </w:tcPr>
          <w:p w14:paraId="77F96764" w14:textId="255C804F" w:rsidR="00811C31" w:rsidRPr="007744CA" w:rsidRDefault="00811C31" w:rsidP="00811C31">
            <w:pPr>
              <w:pStyle w:val="Tabletext"/>
              <w:rPr>
                <w:sz w:val="16"/>
                <w:szCs w:val="16"/>
              </w:rPr>
            </w:pPr>
            <w:r w:rsidRPr="007744CA">
              <w:rPr>
                <w:sz w:val="16"/>
                <w:szCs w:val="16"/>
              </w:rPr>
              <w:t>(1.9–2.1)</w:t>
            </w:r>
          </w:p>
        </w:tc>
        <w:tc>
          <w:tcPr>
            <w:tcW w:w="1071" w:type="dxa"/>
            <w:shd w:val="clear" w:color="auto" w:fill="auto"/>
            <w:vAlign w:val="center"/>
          </w:tcPr>
          <w:p w14:paraId="45E19CFD" w14:textId="66FBDE76" w:rsidR="00811C31" w:rsidRPr="007744CA" w:rsidRDefault="00811C31" w:rsidP="00811C31">
            <w:pPr>
              <w:pStyle w:val="Tabletext"/>
              <w:rPr>
                <w:sz w:val="16"/>
                <w:szCs w:val="16"/>
              </w:rPr>
            </w:pPr>
            <w:r w:rsidRPr="007744CA">
              <w:rPr>
                <w:sz w:val="16"/>
                <w:szCs w:val="16"/>
              </w:rPr>
              <w:t>(1.5–2.2)</w:t>
            </w:r>
          </w:p>
        </w:tc>
        <w:tc>
          <w:tcPr>
            <w:tcW w:w="1073" w:type="dxa"/>
          </w:tcPr>
          <w:p w14:paraId="5B46D5F2" w14:textId="19A6E35D" w:rsidR="00811C31" w:rsidRPr="007744CA" w:rsidRDefault="00811C31" w:rsidP="00811C31">
            <w:pPr>
              <w:pStyle w:val="Tabletext"/>
              <w:rPr>
                <w:sz w:val="16"/>
                <w:szCs w:val="16"/>
              </w:rPr>
            </w:pPr>
            <w:r w:rsidRPr="007744CA">
              <w:rPr>
                <w:sz w:val="16"/>
                <w:szCs w:val="16"/>
              </w:rPr>
              <w:t>(1.2–1.7)</w:t>
            </w:r>
          </w:p>
        </w:tc>
        <w:tc>
          <w:tcPr>
            <w:tcW w:w="1115" w:type="dxa"/>
          </w:tcPr>
          <w:p w14:paraId="78D58D28" w14:textId="21023214" w:rsidR="00811C31" w:rsidRPr="007744CA" w:rsidRDefault="00811C31" w:rsidP="00811C31">
            <w:pPr>
              <w:pStyle w:val="Tabletext"/>
              <w:rPr>
                <w:sz w:val="16"/>
                <w:szCs w:val="16"/>
              </w:rPr>
            </w:pPr>
            <w:r w:rsidRPr="007744CA">
              <w:rPr>
                <w:sz w:val="16"/>
                <w:szCs w:val="16"/>
              </w:rPr>
              <w:t>(1.3–1.9)</w:t>
            </w:r>
          </w:p>
        </w:tc>
        <w:tc>
          <w:tcPr>
            <w:tcW w:w="963" w:type="dxa"/>
          </w:tcPr>
          <w:p w14:paraId="5F412D7C" w14:textId="206FC2B5" w:rsidR="00811C31" w:rsidRPr="007744CA" w:rsidRDefault="00811C31" w:rsidP="00811C31">
            <w:pPr>
              <w:pStyle w:val="Tabletext"/>
              <w:rPr>
                <w:sz w:val="16"/>
                <w:szCs w:val="16"/>
              </w:rPr>
            </w:pPr>
            <w:r w:rsidRPr="007744CA">
              <w:rPr>
                <w:sz w:val="16"/>
                <w:szCs w:val="16"/>
              </w:rPr>
              <w:t>(1.4–2.0)</w:t>
            </w:r>
          </w:p>
        </w:tc>
        <w:tc>
          <w:tcPr>
            <w:tcW w:w="900" w:type="dxa"/>
          </w:tcPr>
          <w:p w14:paraId="1BB0C534" w14:textId="35D2CE36" w:rsidR="00811C31" w:rsidRPr="007744CA" w:rsidRDefault="00811C31" w:rsidP="00811C31">
            <w:pPr>
              <w:pStyle w:val="Tabletext"/>
              <w:rPr>
                <w:sz w:val="16"/>
                <w:szCs w:val="16"/>
              </w:rPr>
            </w:pPr>
            <w:r w:rsidRPr="007744CA">
              <w:rPr>
                <w:sz w:val="16"/>
                <w:szCs w:val="16"/>
              </w:rPr>
              <w:t>(1.1–1.6)</w:t>
            </w:r>
          </w:p>
        </w:tc>
      </w:tr>
    </w:tbl>
    <w:p w14:paraId="4FE4E781" w14:textId="77777777" w:rsidR="00F344A9" w:rsidRDefault="00F344A9" w:rsidP="00606436">
      <w:pPr>
        <w:pStyle w:val="Body"/>
        <w:rPr>
          <w:rFonts w:eastAsia="MS Mincho"/>
        </w:rPr>
      </w:pPr>
      <w:r>
        <w:br w:type="page"/>
      </w:r>
    </w:p>
    <w:p w14:paraId="669EEFBE" w14:textId="6F34992B" w:rsidR="00665D4B" w:rsidRPr="00E060C8" w:rsidRDefault="00665D4B" w:rsidP="007C7F00">
      <w:pPr>
        <w:pStyle w:val="Heading4"/>
      </w:pPr>
      <w:r w:rsidRPr="00E43803">
        <w:lastRenderedPageBreak/>
        <w:t>Measure assessment</w:t>
      </w:r>
    </w:p>
    <w:p w14:paraId="47F80D3C" w14:textId="1FA0E80D" w:rsidR="00FE5799" w:rsidRPr="00E060C8" w:rsidRDefault="00FE5799" w:rsidP="00606436">
      <w:pPr>
        <w:pStyle w:val="Body"/>
        <w:rPr>
          <w:color w:val="C00000"/>
        </w:rPr>
      </w:pPr>
      <w:r w:rsidRPr="009F01B1">
        <w:t>Traffic light rating</w:t>
      </w:r>
      <w:r w:rsidRPr="00587B78">
        <w:t>:</w:t>
      </w:r>
      <w:r w:rsidRPr="00B504AD">
        <w:rPr>
          <w:color w:val="AF272F"/>
        </w:rPr>
        <w:t xml:space="preserve"> </w:t>
      </w:r>
      <w:r w:rsidR="003A3878" w:rsidRPr="00B504AD">
        <w:rPr>
          <w:b/>
          <w:color w:val="AF272F"/>
        </w:rPr>
        <w:t>Red</w:t>
      </w:r>
      <w:r w:rsidR="00EC3B7A" w:rsidRPr="00B504AD">
        <w:rPr>
          <w:b/>
          <w:color w:val="AF272F"/>
        </w:rPr>
        <w:t xml:space="preserve"> </w:t>
      </w:r>
      <w:r w:rsidR="00EC3B7A" w:rsidRPr="00587B78">
        <w:t>(result is of concern)</w:t>
      </w:r>
    </w:p>
    <w:p w14:paraId="05F7D34A" w14:textId="7AF2F6E3" w:rsidR="00FE5799" w:rsidRPr="003E5FD3" w:rsidRDefault="00FE5799" w:rsidP="00606436">
      <w:pPr>
        <w:pStyle w:val="Body"/>
      </w:pPr>
      <w:r w:rsidRPr="00C15AE4">
        <w:t xml:space="preserve">Overall trend: </w:t>
      </w:r>
      <w:r w:rsidR="003A3878">
        <w:t>Static o</w:t>
      </w:r>
      <w:r w:rsidR="001D6235">
        <w:t>r</w:t>
      </w:r>
      <w:r w:rsidR="003A3878">
        <w:t xml:space="preserve"> unchanging</w:t>
      </w:r>
    </w:p>
    <w:p w14:paraId="52B0565F" w14:textId="33AC334C" w:rsidR="00BD19A0" w:rsidRPr="005A2A6E" w:rsidRDefault="00FE5799" w:rsidP="00E87AAA">
      <w:pPr>
        <w:pStyle w:val="Body"/>
        <w:rPr>
          <w:spacing w:val="7"/>
          <w:lang w:val="en"/>
        </w:rPr>
      </w:pPr>
      <w:r w:rsidRPr="005615CF">
        <w:t xml:space="preserve">Commentary: </w:t>
      </w:r>
      <w:r w:rsidR="000C6CA7" w:rsidRPr="005615CF">
        <w:t xml:space="preserve">Reducing the impact of </w:t>
      </w:r>
      <w:r w:rsidR="007C69DF" w:rsidRPr="005615CF">
        <w:t xml:space="preserve">preventable </w:t>
      </w:r>
      <w:r w:rsidR="000C6CA7" w:rsidRPr="005615CF">
        <w:t>cancer</w:t>
      </w:r>
      <w:r w:rsidR="0093423C">
        <w:t>s</w:t>
      </w:r>
      <w:r w:rsidR="000C6CA7" w:rsidRPr="005615CF">
        <w:t xml:space="preserve"> among Aboriginal and Torres Strait Islander people is a crucial aspect in ‘closing the gap’ in health outcomes.</w:t>
      </w:r>
      <w:r w:rsidR="0073144C" w:rsidRPr="005615CF">
        <w:t xml:space="preserve"> Although Aboriginal and Torres Strait Islander people are less likely to have some types of cancer, they are significantly more likely to have cancers that have a poor prognosis, but that are largely preventable, such as lung and liver cancer.</w:t>
      </w:r>
      <w:r w:rsidR="0073144C" w:rsidRPr="005615CF">
        <w:rPr>
          <w:rStyle w:val="FootnoteReference"/>
          <w:rFonts w:eastAsia="SourceSansPro-Regular" w:cs="Arial"/>
          <w:lang w:eastAsia="en-AU"/>
        </w:rPr>
        <w:footnoteReference w:id="60"/>
      </w:r>
      <w:r w:rsidR="00952FC7">
        <w:t xml:space="preserve"> </w:t>
      </w:r>
      <w:r w:rsidR="00D57065" w:rsidRPr="005615CF">
        <w:t>In the literature</w:t>
      </w:r>
      <w:r w:rsidR="007F6D1C" w:rsidRPr="005615CF">
        <w:t>,</w:t>
      </w:r>
      <w:r w:rsidR="00D57065" w:rsidRPr="005615CF">
        <w:t xml:space="preserve"> r</w:t>
      </w:r>
      <w:r w:rsidR="00622AEB" w:rsidRPr="005615CF">
        <w:t xml:space="preserve">isk factors for higher incidence of preventable cancers remain </w:t>
      </w:r>
      <w:r w:rsidR="00622AEB" w:rsidRPr="008A25BA">
        <w:t>prevalent</w:t>
      </w:r>
      <w:r w:rsidR="00622AEB" w:rsidRPr="005615CF">
        <w:t xml:space="preserve"> in </w:t>
      </w:r>
      <w:r w:rsidR="00FB32DE" w:rsidRPr="008A25BA">
        <w:t xml:space="preserve">Aboriginal and Torres Strait Islander </w:t>
      </w:r>
      <w:r w:rsidR="00680DD3" w:rsidRPr="008A25BA">
        <w:t>people</w:t>
      </w:r>
      <w:r w:rsidR="00C954B9">
        <w:t>. These</w:t>
      </w:r>
      <w:r w:rsidR="00FB32DE" w:rsidRPr="008A25BA">
        <w:t xml:space="preserve"> includ</w:t>
      </w:r>
      <w:r w:rsidR="00D57065" w:rsidRPr="008A25BA">
        <w:t>e</w:t>
      </w:r>
      <w:r w:rsidR="00FB32DE" w:rsidRPr="008A25BA">
        <w:t xml:space="preserve"> smoking, drinking</w:t>
      </w:r>
      <w:r w:rsidR="0093423C">
        <w:t xml:space="preserve"> at high-risk levels</w:t>
      </w:r>
      <w:r w:rsidR="00FB32DE" w:rsidRPr="008A25BA">
        <w:t xml:space="preserve"> and poor diet</w:t>
      </w:r>
      <w:r w:rsidR="00D57065" w:rsidRPr="008A25BA">
        <w:t>.</w:t>
      </w:r>
      <w:r w:rsidR="00304C4A">
        <w:rPr>
          <w:rStyle w:val="FootnoteReference"/>
        </w:rPr>
        <w:footnoteReference w:id="61"/>
      </w:r>
      <w:r w:rsidR="00FB32DE" w:rsidRPr="00304C4A">
        <w:rPr>
          <w:vertAlign w:val="superscript"/>
        </w:rPr>
        <w:t xml:space="preserve"> </w:t>
      </w:r>
      <w:r w:rsidR="007F6D1C" w:rsidRPr="008A25BA">
        <w:t xml:space="preserve">Figure </w:t>
      </w:r>
      <w:r w:rsidR="002507B8">
        <w:t xml:space="preserve">4.3 </w:t>
      </w:r>
      <w:r w:rsidR="007F6D1C" w:rsidRPr="00304C4A">
        <w:t>and Table 4.3 show that between 201</w:t>
      </w:r>
      <w:r w:rsidR="00E52688">
        <w:t>4</w:t>
      </w:r>
      <w:r w:rsidR="007F6D1C" w:rsidRPr="00304C4A">
        <w:t xml:space="preserve"> and 20</w:t>
      </w:r>
      <w:r w:rsidR="001047C3">
        <w:t>2</w:t>
      </w:r>
      <w:r w:rsidR="00811C31">
        <w:t>1</w:t>
      </w:r>
      <w:r w:rsidR="007F6D1C" w:rsidRPr="00304C4A">
        <w:t xml:space="preserve"> Aboriginal Victorians were between</w:t>
      </w:r>
      <w:r w:rsidR="0056722C" w:rsidRPr="00304C4A">
        <w:t xml:space="preserve"> one</w:t>
      </w:r>
      <w:r w:rsidR="007F6D1C" w:rsidRPr="00304C4A">
        <w:t xml:space="preserve"> and </w:t>
      </w:r>
      <w:r w:rsidR="009C6A0A" w:rsidRPr="00304C4A">
        <w:t xml:space="preserve">a half to over </w:t>
      </w:r>
      <w:r w:rsidR="007F6D1C" w:rsidRPr="00304C4A">
        <w:t xml:space="preserve">two times </w:t>
      </w:r>
      <w:r w:rsidR="009C6A0A" w:rsidRPr="00304C4A">
        <w:t xml:space="preserve">more </w:t>
      </w:r>
      <w:r w:rsidR="007F6D1C" w:rsidRPr="00304C4A">
        <w:t>likely to have a high incidence rate of preventable cancer than non-Aboriginal Victorians.</w:t>
      </w:r>
      <w:r w:rsidR="00952FC7" w:rsidRPr="00304C4A">
        <w:t xml:space="preserve"> </w:t>
      </w:r>
      <w:r w:rsidR="00DB1296" w:rsidRPr="00304C4A">
        <w:t>While a target has not been set for this measure</w:t>
      </w:r>
      <w:r w:rsidR="00AC6FBB" w:rsidRPr="00304C4A">
        <w:t>,</w:t>
      </w:r>
      <w:r w:rsidR="00DB1296" w:rsidRPr="00304C4A">
        <w:t xml:space="preserve"> it is recognised</w:t>
      </w:r>
      <w:r w:rsidR="009C6A19" w:rsidRPr="00304C4A">
        <w:t xml:space="preserve"> that </w:t>
      </w:r>
      <w:r w:rsidR="00AC6FBB" w:rsidRPr="00304C4A">
        <w:t>to</w:t>
      </w:r>
      <w:r w:rsidR="009C6A19" w:rsidRPr="00304C4A">
        <w:t xml:space="preserve"> </w:t>
      </w:r>
      <w:r w:rsidR="009C6A0A" w:rsidRPr="00304C4A">
        <w:t>address this disparity</w:t>
      </w:r>
      <w:r w:rsidR="00705E0C" w:rsidRPr="00304C4A">
        <w:t>,</w:t>
      </w:r>
      <w:r w:rsidR="005523D6" w:rsidRPr="00304C4A">
        <w:t xml:space="preserve"> programs</w:t>
      </w:r>
      <w:r w:rsidR="00A50DA5">
        <w:t xml:space="preserve"> (including screening programs)</w:t>
      </w:r>
      <w:r w:rsidR="005523D6" w:rsidRPr="00304C4A">
        <w:t xml:space="preserve"> </w:t>
      </w:r>
      <w:r w:rsidR="00705E0C" w:rsidRPr="00304C4A">
        <w:t xml:space="preserve">designed to </w:t>
      </w:r>
      <w:r w:rsidR="005523D6" w:rsidRPr="00304C4A">
        <w:t>improve equity in cancer outcomes for all Victorians</w:t>
      </w:r>
      <w:r w:rsidR="00705E0C" w:rsidRPr="00304C4A">
        <w:t xml:space="preserve"> are warranted.</w:t>
      </w:r>
      <w:r w:rsidR="00BD19A0">
        <w:rPr>
          <w:rFonts w:cs="Arial"/>
          <w:spacing w:val="7"/>
          <w:lang w:val="en"/>
        </w:rPr>
        <w:br w:type="page"/>
      </w:r>
    </w:p>
    <w:p w14:paraId="7D7598A7" w14:textId="7AC92CC2" w:rsidR="00473E5F" w:rsidRPr="00B91C4A" w:rsidRDefault="00473E5F" w:rsidP="006053E7">
      <w:pPr>
        <w:pStyle w:val="Heading2"/>
      </w:pPr>
      <w:bookmarkStart w:id="316" w:name="_Toc19008045"/>
      <w:bookmarkStart w:id="317" w:name="_Toc140843418"/>
      <w:r w:rsidRPr="00B91C4A">
        <w:lastRenderedPageBreak/>
        <w:t>Key result:</w:t>
      </w:r>
      <w:r w:rsidR="009B5026" w:rsidRPr="00B91C4A">
        <w:t xml:space="preserve"> Equitably reduce cancer deaths</w:t>
      </w:r>
      <w:bookmarkEnd w:id="316"/>
      <w:bookmarkEnd w:id="317"/>
    </w:p>
    <w:p w14:paraId="236E295E" w14:textId="07315101" w:rsidR="00E8458B" w:rsidRPr="003E6A0B" w:rsidRDefault="00E8458B" w:rsidP="00A451D4">
      <w:pPr>
        <w:pStyle w:val="Heading3"/>
        <w:rPr>
          <w:b/>
          <w:bCs w:val="0"/>
        </w:rPr>
      </w:pPr>
      <w:bookmarkStart w:id="318" w:name="_Measure_5.1_–"/>
      <w:bookmarkStart w:id="319" w:name="_Toc19008046"/>
      <w:bookmarkEnd w:id="318"/>
      <w:r w:rsidRPr="003E6A0B">
        <w:rPr>
          <w:b/>
          <w:bCs w:val="0"/>
        </w:rPr>
        <w:t>Measure 5.1 – Rate ratio of premature death rate due to cancer between Integrated Cancer Services</w:t>
      </w:r>
      <w:bookmarkEnd w:id="319"/>
    </w:p>
    <w:p w14:paraId="67216372" w14:textId="37AAAECE" w:rsidR="00C84A36" w:rsidRPr="00217A4B" w:rsidRDefault="00C84A36" w:rsidP="00A41066">
      <w:pPr>
        <w:pStyle w:val="Figurecaption"/>
        <w:rPr>
          <w:rFonts w:eastAsiaTheme="majorEastAsia"/>
          <w:sz w:val="20"/>
        </w:rPr>
      </w:pPr>
      <w:bookmarkStart w:id="320" w:name="_Toc19008047"/>
      <w:bookmarkStart w:id="321" w:name="_Toc19008291"/>
      <w:bookmarkStart w:id="322" w:name="_Toc19008438"/>
      <w:bookmarkStart w:id="323" w:name="_Toc19008585"/>
      <w:bookmarkStart w:id="324" w:name="_Toc132553019"/>
      <w:bookmarkStart w:id="325" w:name="_Toc140827627"/>
      <w:r w:rsidRPr="00217A4B">
        <w:rPr>
          <w:sz w:val="20"/>
        </w:rPr>
        <w:t>Figure 5.1</w:t>
      </w:r>
      <w:r w:rsidR="003B391F" w:rsidRPr="00217A4B">
        <w:rPr>
          <w:sz w:val="20"/>
        </w:rPr>
        <w:t>:</w:t>
      </w:r>
      <w:r w:rsidR="009E2CB6" w:rsidRPr="00217A4B">
        <w:rPr>
          <w:sz w:val="20"/>
        </w:rPr>
        <w:t xml:space="preserve"> </w:t>
      </w:r>
      <w:r w:rsidR="009E2CB6" w:rsidRPr="00217A4B">
        <w:rPr>
          <w:rFonts w:eastAsiaTheme="majorEastAsia"/>
          <w:sz w:val="20"/>
        </w:rPr>
        <w:t>Rate ratio of premature death</w:t>
      </w:r>
      <w:r w:rsidR="00C05912" w:rsidRPr="00217A4B">
        <w:rPr>
          <w:rFonts w:eastAsiaTheme="majorEastAsia"/>
          <w:sz w:val="20"/>
        </w:rPr>
        <w:t xml:space="preserve"> (with confidence intervals) </w:t>
      </w:r>
      <w:r w:rsidR="009E2CB6" w:rsidRPr="00217A4B">
        <w:rPr>
          <w:rFonts w:eastAsiaTheme="majorEastAsia"/>
          <w:sz w:val="20"/>
        </w:rPr>
        <w:t xml:space="preserve">due to cancer in ICS of residence compared </w:t>
      </w:r>
      <w:r w:rsidR="008D2095" w:rsidRPr="00217A4B">
        <w:rPr>
          <w:rFonts w:eastAsiaTheme="majorEastAsia"/>
          <w:sz w:val="20"/>
        </w:rPr>
        <w:t xml:space="preserve">with </w:t>
      </w:r>
      <w:r w:rsidR="009E2CB6" w:rsidRPr="00217A4B">
        <w:rPr>
          <w:rFonts w:eastAsiaTheme="majorEastAsia"/>
          <w:sz w:val="20"/>
        </w:rPr>
        <w:t>the ICS of residence with the lowest premature death rate, grouped by year of diagnosis</w:t>
      </w:r>
      <w:r w:rsidR="008D2095" w:rsidRPr="00217A4B">
        <w:rPr>
          <w:rFonts w:eastAsiaTheme="majorEastAsia"/>
          <w:sz w:val="20"/>
        </w:rPr>
        <w:t xml:space="preserve">, </w:t>
      </w:r>
      <w:r w:rsidR="009E2CB6" w:rsidRPr="00217A4B">
        <w:rPr>
          <w:rFonts w:eastAsiaTheme="majorEastAsia"/>
          <w:sz w:val="20"/>
        </w:rPr>
        <w:t>201</w:t>
      </w:r>
      <w:r w:rsidR="0034015B" w:rsidRPr="00217A4B">
        <w:rPr>
          <w:rFonts w:eastAsiaTheme="majorEastAsia"/>
          <w:sz w:val="20"/>
        </w:rPr>
        <w:t>4</w:t>
      </w:r>
      <w:r w:rsidR="008D2095" w:rsidRPr="00217A4B">
        <w:rPr>
          <w:rFonts w:eastAsiaTheme="majorEastAsia"/>
          <w:sz w:val="20"/>
        </w:rPr>
        <w:t>–</w:t>
      </w:r>
      <w:r w:rsidR="009E2CB6" w:rsidRPr="00217A4B">
        <w:rPr>
          <w:rFonts w:eastAsiaTheme="majorEastAsia"/>
          <w:sz w:val="20"/>
        </w:rPr>
        <w:t>20</w:t>
      </w:r>
      <w:bookmarkEnd w:id="320"/>
      <w:bookmarkEnd w:id="321"/>
      <w:bookmarkEnd w:id="322"/>
      <w:bookmarkEnd w:id="323"/>
      <w:r w:rsidR="000B60EA" w:rsidRPr="00217A4B">
        <w:rPr>
          <w:rFonts w:eastAsiaTheme="majorEastAsia"/>
          <w:sz w:val="20"/>
        </w:rPr>
        <w:t>2</w:t>
      </w:r>
      <w:r w:rsidR="002C3D5D" w:rsidRPr="00217A4B">
        <w:rPr>
          <w:rFonts w:eastAsiaTheme="majorEastAsia"/>
          <w:sz w:val="20"/>
        </w:rPr>
        <w:t>1</w:t>
      </w:r>
      <w:bookmarkEnd w:id="324"/>
      <w:bookmarkEnd w:id="325"/>
    </w:p>
    <w:p w14:paraId="6F0F0374" w14:textId="71F0C4D3" w:rsidR="00E8331B" w:rsidRPr="00793CC8" w:rsidRDefault="002C3D5D" w:rsidP="00E87AAA">
      <w:pPr>
        <w:pStyle w:val="Body"/>
      </w:pPr>
      <w:r>
        <w:rPr>
          <w:noProof/>
        </w:rPr>
        <w:drawing>
          <wp:inline distT="0" distB="0" distL="0" distR="0" wp14:anchorId="2F652A96" wp14:editId="53C79C40">
            <wp:extent cx="6259830" cy="4647951"/>
            <wp:effectExtent l="0" t="0" r="7620" b="635"/>
            <wp:docPr id="230" name="Picture 230" descr="This figure shows a summary of 'Measure 5.1 - Rate ratio of premature cancer incidence between Integrated Cancer Services'.  The data for this figure is available in this section for the study period 2014 to 2021 - refer to Tabl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This figure shows a summary of 'Measure 5.1 - Rate ratio of premature cancer incidence between Integrated Cancer Services'.  The data for this figure is available in this section for the study period 2014 to 2021 - refer to Table 5.1."/>
                    <pic:cNvPicPr/>
                  </pic:nvPicPr>
                  <pic:blipFill>
                    <a:blip r:embed="rId71"/>
                    <a:stretch>
                      <a:fillRect/>
                    </a:stretch>
                  </pic:blipFill>
                  <pic:spPr>
                    <a:xfrm>
                      <a:off x="0" y="0"/>
                      <a:ext cx="6275329" cy="4659459"/>
                    </a:xfrm>
                    <a:prstGeom prst="rect">
                      <a:avLst/>
                    </a:prstGeom>
                  </pic:spPr>
                </pic:pic>
              </a:graphicData>
            </a:graphic>
          </wp:inline>
        </w:drawing>
      </w:r>
    </w:p>
    <w:p w14:paraId="56EF072F" w14:textId="0249A368" w:rsidR="00E8331B" w:rsidRPr="00217A4B" w:rsidRDefault="00307506" w:rsidP="00FA1AAC">
      <w:pPr>
        <w:pStyle w:val="Tablefigurenote"/>
        <w:rPr>
          <w:rFonts w:cs="Arial"/>
          <w:i/>
          <w:sz w:val="18"/>
          <w:szCs w:val="18"/>
        </w:rPr>
      </w:pPr>
      <w:r w:rsidRPr="00217A4B">
        <w:rPr>
          <w:rFonts w:cs="Arial"/>
          <w:i/>
          <w:sz w:val="18"/>
          <w:szCs w:val="18"/>
          <w:lang w:eastAsia="en-AU"/>
        </w:rPr>
        <w:t xml:space="preserve">Note: </w:t>
      </w:r>
      <w:r w:rsidRPr="00217A4B">
        <w:rPr>
          <w:rFonts w:cs="Arial"/>
          <w:i/>
          <w:sz w:val="18"/>
          <w:szCs w:val="18"/>
        </w:rPr>
        <w:t>E</w:t>
      </w:r>
      <w:r w:rsidR="00044B95" w:rsidRPr="00217A4B">
        <w:rPr>
          <w:rFonts w:cs="Arial"/>
          <w:i/>
          <w:sz w:val="18"/>
          <w:szCs w:val="18"/>
        </w:rPr>
        <w:t>R</w:t>
      </w:r>
      <w:r w:rsidRPr="00217A4B">
        <w:rPr>
          <w:rFonts w:cs="Arial"/>
          <w:i/>
          <w:sz w:val="18"/>
          <w:szCs w:val="18"/>
        </w:rPr>
        <w:t>P files were sourced from</w:t>
      </w:r>
      <w:r w:rsidR="002507B8" w:rsidRPr="00217A4B">
        <w:rPr>
          <w:rFonts w:cs="Arial"/>
          <w:i/>
          <w:sz w:val="18"/>
          <w:szCs w:val="18"/>
        </w:rPr>
        <w:t xml:space="preserve"> the</w:t>
      </w:r>
      <w:r w:rsidRPr="00217A4B">
        <w:rPr>
          <w:rFonts w:cs="Arial"/>
          <w:i/>
          <w:sz w:val="18"/>
          <w:szCs w:val="18"/>
        </w:rPr>
        <w:t xml:space="preserve"> ABS.</w:t>
      </w:r>
      <w:r w:rsidR="00952FC7" w:rsidRPr="00217A4B">
        <w:rPr>
          <w:rFonts w:cs="Arial"/>
          <w:i/>
          <w:sz w:val="18"/>
          <w:szCs w:val="18"/>
        </w:rPr>
        <w:t xml:space="preserve"> </w:t>
      </w:r>
      <w:r w:rsidR="0007079F" w:rsidRPr="00217A4B">
        <w:rPr>
          <w:rFonts w:cs="Arial"/>
          <w:i/>
          <w:sz w:val="18"/>
          <w:szCs w:val="18"/>
        </w:rPr>
        <w:t xml:space="preserve">Note </w:t>
      </w:r>
      <w:r w:rsidR="00BE3211" w:rsidRPr="00217A4B">
        <w:rPr>
          <w:rFonts w:cs="Arial"/>
          <w:i/>
          <w:sz w:val="18"/>
          <w:szCs w:val="18"/>
        </w:rPr>
        <w:t xml:space="preserve">that </w:t>
      </w:r>
      <w:r w:rsidR="0007079F" w:rsidRPr="00217A4B">
        <w:rPr>
          <w:rFonts w:cs="Arial"/>
          <w:i/>
          <w:sz w:val="18"/>
          <w:szCs w:val="18"/>
        </w:rPr>
        <w:t xml:space="preserve">at the time of preparing this report, </w:t>
      </w:r>
      <w:r w:rsidR="002507B8" w:rsidRPr="00217A4B">
        <w:rPr>
          <w:rFonts w:cs="Arial"/>
          <w:i/>
          <w:sz w:val="18"/>
          <w:szCs w:val="18"/>
        </w:rPr>
        <w:t xml:space="preserve">the ABS had not yet finalised </w:t>
      </w:r>
      <w:r w:rsidR="0093423C" w:rsidRPr="00217A4B">
        <w:rPr>
          <w:rFonts w:cs="Arial"/>
          <w:i/>
          <w:sz w:val="18"/>
          <w:szCs w:val="18"/>
        </w:rPr>
        <w:t xml:space="preserve">the </w:t>
      </w:r>
      <w:r w:rsidR="002507B8" w:rsidRPr="00217A4B">
        <w:rPr>
          <w:rFonts w:cs="Arial"/>
          <w:i/>
          <w:sz w:val="18"/>
          <w:szCs w:val="18"/>
        </w:rPr>
        <w:t>20</w:t>
      </w:r>
      <w:r w:rsidR="000B60EA" w:rsidRPr="00217A4B">
        <w:rPr>
          <w:rFonts w:cs="Arial"/>
          <w:i/>
          <w:sz w:val="18"/>
          <w:szCs w:val="18"/>
        </w:rPr>
        <w:t>2</w:t>
      </w:r>
      <w:r w:rsidR="00217A4B">
        <w:rPr>
          <w:rFonts w:cs="Arial"/>
          <w:i/>
          <w:sz w:val="18"/>
          <w:szCs w:val="18"/>
        </w:rPr>
        <w:t>1</w:t>
      </w:r>
      <w:r w:rsidR="002507B8" w:rsidRPr="00217A4B">
        <w:rPr>
          <w:rFonts w:cs="Arial"/>
          <w:i/>
          <w:sz w:val="18"/>
          <w:szCs w:val="18"/>
        </w:rPr>
        <w:t xml:space="preserve"> ERP</w:t>
      </w:r>
      <w:r w:rsidR="0007079F" w:rsidRPr="00217A4B">
        <w:rPr>
          <w:rFonts w:cs="Arial"/>
          <w:i/>
          <w:sz w:val="18"/>
          <w:szCs w:val="18"/>
        </w:rPr>
        <w:t xml:space="preserve">. </w:t>
      </w:r>
    </w:p>
    <w:p w14:paraId="25A64439" w14:textId="7038B649" w:rsidR="00BD5267" w:rsidRPr="005A2A6E" w:rsidRDefault="00BD5267" w:rsidP="005A2A6E">
      <w:pPr>
        <w:pStyle w:val="Tablefigurenote"/>
        <w:rPr>
          <w:iCs/>
          <w:lang w:eastAsia="en-AU"/>
        </w:rPr>
      </w:pPr>
      <w:r w:rsidRPr="00217A4B">
        <w:rPr>
          <w:rFonts w:cs="Arial"/>
          <w:i/>
          <w:sz w:val="18"/>
          <w:szCs w:val="18"/>
        </w:rPr>
        <w:t xml:space="preserve">The baseline ICS for calculating the rate ratios for each year is the ICS with the lowest adjusted incidence rate for the year of interest and is highlighted in </w:t>
      </w:r>
      <w:r w:rsidRPr="00217A4B">
        <w:rPr>
          <w:rFonts w:cs="Arial"/>
          <w:i/>
          <w:color w:val="C00000"/>
          <w:sz w:val="18"/>
          <w:szCs w:val="18"/>
        </w:rPr>
        <w:t xml:space="preserve">red. </w:t>
      </w:r>
      <w:r w:rsidRPr="00217A4B">
        <w:rPr>
          <w:rFonts w:cs="Arial"/>
          <w:i/>
          <w:sz w:val="18"/>
          <w:szCs w:val="18"/>
        </w:rPr>
        <w:t xml:space="preserve">A rate ratio greater than </w:t>
      </w:r>
      <w:r w:rsidR="0093423C" w:rsidRPr="00217A4B">
        <w:rPr>
          <w:rFonts w:cs="Arial"/>
          <w:i/>
          <w:sz w:val="18"/>
          <w:szCs w:val="18"/>
        </w:rPr>
        <w:t xml:space="preserve">1 </w:t>
      </w:r>
      <w:r w:rsidRPr="00217A4B">
        <w:rPr>
          <w:rFonts w:cs="Arial"/>
          <w:i/>
          <w:sz w:val="18"/>
          <w:szCs w:val="18"/>
        </w:rPr>
        <w:t>indicates a higher incidence rate than the baseline ICS.</w:t>
      </w:r>
      <w:bookmarkStart w:id="326" w:name="_Toc18908724"/>
      <w:r>
        <w:br w:type="page"/>
      </w:r>
    </w:p>
    <w:p w14:paraId="29873657" w14:textId="50341629" w:rsidR="009974BB" w:rsidRPr="00217A4B" w:rsidRDefault="00E74213" w:rsidP="0091523F">
      <w:pPr>
        <w:pStyle w:val="Tablecaption"/>
        <w:rPr>
          <w:i/>
          <w:sz w:val="20"/>
        </w:rPr>
      </w:pPr>
      <w:bookmarkStart w:id="327" w:name="_Toc132491521"/>
      <w:bookmarkStart w:id="328" w:name="_Toc140834912"/>
      <w:r w:rsidRPr="00217A4B">
        <w:rPr>
          <w:sz w:val="20"/>
        </w:rPr>
        <w:lastRenderedPageBreak/>
        <w:t>Table</w:t>
      </w:r>
      <w:r w:rsidR="009974BB" w:rsidRPr="00217A4B">
        <w:rPr>
          <w:sz w:val="20"/>
        </w:rPr>
        <w:t xml:space="preserve"> 5.1</w:t>
      </w:r>
      <w:r w:rsidR="001F7E28" w:rsidRPr="00217A4B">
        <w:rPr>
          <w:sz w:val="20"/>
        </w:rPr>
        <w:t>:</w:t>
      </w:r>
      <w:r w:rsidR="009974BB" w:rsidRPr="00217A4B">
        <w:rPr>
          <w:sz w:val="20"/>
        </w:rPr>
        <w:t xml:space="preserve"> Rate ratio of premature death (with confidence intervals) due to cancer in ICS of residence compared </w:t>
      </w:r>
      <w:r w:rsidR="008D2095" w:rsidRPr="00217A4B">
        <w:rPr>
          <w:sz w:val="20"/>
        </w:rPr>
        <w:t xml:space="preserve">with </w:t>
      </w:r>
      <w:r w:rsidR="009974BB" w:rsidRPr="00217A4B">
        <w:rPr>
          <w:sz w:val="20"/>
        </w:rPr>
        <w:t>the ICS of residence with the lowest premature death rate, grouped by year of diagnosis</w:t>
      </w:r>
      <w:r w:rsidR="008D2095" w:rsidRPr="00217A4B">
        <w:rPr>
          <w:sz w:val="20"/>
        </w:rPr>
        <w:t>,</w:t>
      </w:r>
      <w:r w:rsidR="009974BB" w:rsidRPr="00217A4B">
        <w:rPr>
          <w:sz w:val="20"/>
        </w:rPr>
        <w:t xml:space="preserve"> 201</w:t>
      </w:r>
      <w:r w:rsidR="0034015B" w:rsidRPr="00217A4B">
        <w:rPr>
          <w:sz w:val="20"/>
        </w:rPr>
        <w:t>4</w:t>
      </w:r>
      <w:r w:rsidR="008D2095" w:rsidRPr="00217A4B">
        <w:rPr>
          <w:sz w:val="20"/>
        </w:rPr>
        <w:t>–</w:t>
      </w:r>
      <w:r w:rsidR="009974BB" w:rsidRPr="00217A4B">
        <w:rPr>
          <w:sz w:val="20"/>
        </w:rPr>
        <w:t>20</w:t>
      </w:r>
      <w:bookmarkEnd w:id="326"/>
      <w:r w:rsidR="000B60EA" w:rsidRPr="00217A4B">
        <w:rPr>
          <w:sz w:val="20"/>
        </w:rPr>
        <w:t>2</w:t>
      </w:r>
      <w:r w:rsidR="00F5145C" w:rsidRPr="00217A4B">
        <w:rPr>
          <w:sz w:val="20"/>
        </w:rPr>
        <w:t>1</w:t>
      </w:r>
      <w:bookmarkEnd w:id="327"/>
      <w:bookmarkEnd w:id="328"/>
    </w:p>
    <w:tbl>
      <w:tblPr>
        <w:tblStyle w:val="TableGrid"/>
        <w:tblW w:w="9205" w:type="dxa"/>
        <w:jc w:val="center"/>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shd w:val="clear" w:color="auto" w:fill="EDCDCF"/>
        <w:tblLook w:val="04A0" w:firstRow="1" w:lastRow="0" w:firstColumn="1" w:lastColumn="0" w:noHBand="0" w:noVBand="1"/>
      </w:tblPr>
      <w:tblGrid>
        <w:gridCol w:w="1134"/>
        <w:gridCol w:w="1134"/>
        <w:gridCol w:w="993"/>
        <w:gridCol w:w="992"/>
        <w:gridCol w:w="992"/>
        <w:gridCol w:w="992"/>
        <w:gridCol w:w="993"/>
        <w:gridCol w:w="992"/>
        <w:gridCol w:w="983"/>
      </w:tblGrid>
      <w:tr w:rsidR="00F5145C" w14:paraId="718F57C1" w14:textId="67E7ACF0" w:rsidTr="007744CA">
        <w:trPr>
          <w:trHeight w:val="475"/>
          <w:tblHeader/>
          <w:jc w:val="center"/>
        </w:trPr>
        <w:tc>
          <w:tcPr>
            <w:tcW w:w="1134" w:type="dxa"/>
            <w:shd w:val="clear" w:color="auto" w:fill="EDCDCF"/>
          </w:tcPr>
          <w:p w14:paraId="72CA6141" w14:textId="32DE8075" w:rsidR="00F5145C" w:rsidRPr="007744CA" w:rsidRDefault="00F5145C" w:rsidP="00D6450C">
            <w:pPr>
              <w:pStyle w:val="Tablecolhead"/>
              <w:rPr>
                <w:sz w:val="14"/>
                <w:szCs w:val="14"/>
              </w:rPr>
            </w:pPr>
            <w:r w:rsidRPr="007744CA">
              <w:rPr>
                <w:sz w:val="14"/>
                <w:szCs w:val="14"/>
              </w:rPr>
              <w:t>ICS</w:t>
            </w:r>
          </w:p>
        </w:tc>
        <w:tc>
          <w:tcPr>
            <w:tcW w:w="1134" w:type="dxa"/>
            <w:shd w:val="clear" w:color="auto" w:fill="EDCDCF"/>
          </w:tcPr>
          <w:p w14:paraId="31766346" w14:textId="77777777" w:rsidR="00F5145C" w:rsidRPr="007744CA" w:rsidRDefault="00F5145C" w:rsidP="00D6450C">
            <w:pPr>
              <w:pStyle w:val="Tablecolhead"/>
              <w:rPr>
                <w:sz w:val="14"/>
                <w:szCs w:val="14"/>
              </w:rPr>
            </w:pPr>
            <w:r w:rsidRPr="007744CA">
              <w:rPr>
                <w:sz w:val="14"/>
                <w:szCs w:val="14"/>
              </w:rPr>
              <w:t>2014</w:t>
            </w:r>
          </w:p>
          <w:p w14:paraId="2C2C0FDB" w14:textId="0A564BA6" w:rsidR="00F5145C" w:rsidRPr="007744CA" w:rsidRDefault="00F5145C" w:rsidP="00D6450C">
            <w:pPr>
              <w:pStyle w:val="Tablecolhead"/>
              <w:rPr>
                <w:sz w:val="14"/>
                <w:szCs w:val="14"/>
              </w:rPr>
            </w:pPr>
            <w:r w:rsidRPr="007744CA">
              <w:rPr>
                <w:sz w:val="14"/>
                <w:szCs w:val="14"/>
              </w:rPr>
              <w:t>(95% CI)</w:t>
            </w:r>
          </w:p>
        </w:tc>
        <w:tc>
          <w:tcPr>
            <w:tcW w:w="993" w:type="dxa"/>
            <w:shd w:val="clear" w:color="auto" w:fill="EDCDCF"/>
          </w:tcPr>
          <w:p w14:paraId="1B13DA15" w14:textId="77777777" w:rsidR="00F5145C" w:rsidRPr="007744CA" w:rsidRDefault="00F5145C" w:rsidP="00D6450C">
            <w:pPr>
              <w:pStyle w:val="Tablecolhead"/>
              <w:rPr>
                <w:sz w:val="14"/>
                <w:szCs w:val="14"/>
              </w:rPr>
            </w:pPr>
            <w:r w:rsidRPr="007744CA">
              <w:rPr>
                <w:sz w:val="14"/>
                <w:szCs w:val="14"/>
              </w:rPr>
              <w:t>2015</w:t>
            </w:r>
          </w:p>
          <w:p w14:paraId="31690260" w14:textId="63A21AEA" w:rsidR="00F5145C" w:rsidRPr="007744CA" w:rsidRDefault="00F5145C" w:rsidP="00D6450C">
            <w:pPr>
              <w:pStyle w:val="Tablecolhead"/>
              <w:rPr>
                <w:sz w:val="14"/>
                <w:szCs w:val="14"/>
              </w:rPr>
            </w:pPr>
            <w:r w:rsidRPr="007744CA">
              <w:rPr>
                <w:sz w:val="14"/>
                <w:szCs w:val="14"/>
              </w:rPr>
              <w:t>(95% CI)</w:t>
            </w:r>
          </w:p>
        </w:tc>
        <w:tc>
          <w:tcPr>
            <w:tcW w:w="992" w:type="dxa"/>
            <w:shd w:val="clear" w:color="auto" w:fill="EDCDCF"/>
          </w:tcPr>
          <w:p w14:paraId="69E2F34C" w14:textId="77777777" w:rsidR="00F5145C" w:rsidRPr="007744CA" w:rsidRDefault="00F5145C" w:rsidP="00D6450C">
            <w:pPr>
              <w:pStyle w:val="Tablecolhead"/>
              <w:rPr>
                <w:sz w:val="14"/>
                <w:szCs w:val="14"/>
              </w:rPr>
            </w:pPr>
            <w:r w:rsidRPr="007744CA">
              <w:rPr>
                <w:sz w:val="14"/>
                <w:szCs w:val="14"/>
              </w:rPr>
              <w:t>2016</w:t>
            </w:r>
          </w:p>
          <w:p w14:paraId="248CF119" w14:textId="429CA258" w:rsidR="00F5145C" w:rsidRPr="007744CA" w:rsidRDefault="00F5145C" w:rsidP="00D6450C">
            <w:pPr>
              <w:pStyle w:val="Tablecolhead"/>
              <w:rPr>
                <w:sz w:val="14"/>
                <w:szCs w:val="14"/>
              </w:rPr>
            </w:pPr>
            <w:r w:rsidRPr="007744CA">
              <w:rPr>
                <w:sz w:val="14"/>
                <w:szCs w:val="14"/>
              </w:rPr>
              <w:t>(95% CI)</w:t>
            </w:r>
          </w:p>
        </w:tc>
        <w:tc>
          <w:tcPr>
            <w:tcW w:w="992" w:type="dxa"/>
            <w:shd w:val="clear" w:color="auto" w:fill="EDCDCF"/>
          </w:tcPr>
          <w:p w14:paraId="210D7C8B" w14:textId="77777777" w:rsidR="00F5145C" w:rsidRPr="007744CA" w:rsidRDefault="00F5145C" w:rsidP="00D6450C">
            <w:pPr>
              <w:pStyle w:val="Tablecolhead"/>
              <w:rPr>
                <w:sz w:val="14"/>
                <w:szCs w:val="14"/>
              </w:rPr>
            </w:pPr>
            <w:r w:rsidRPr="007744CA">
              <w:rPr>
                <w:sz w:val="14"/>
                <w:szCs w:val="14"/>
              </w:rPr>
              <w:t>2017</w:t>
            </w:r>
          </w:p>
          <w:p w14:paraId="4E0A05DA" w14:textId="1D6FAAC1" w:rsidR="00F5145C" w:rsidRPr="007744CA" w:rsidRDefault="00F5145C" w:rsidP="00D6450C">
            <w:pPr>
              <w:pStyle w:val="Tablecolhead"/>
              <w:rPr>
                <w:sz w:val="14"/>
                <w:szCs w:val="14"/>
              </w:rPr>
            </w:pPr>
            <w:r w:rsidRPr="007744CA">
              <w:rPr>
                <w:sz w:val="14"/>
                <w:szCs w:val="14"/>
              </w:rPr>
              <w:t>(95% CI)</w:t>
            </w:r>
          </w:p>
        </w:tc>
        <w:tc>
          <w:tcPr>
            <w:tcW w:w="992" w:type="dxa"/>
            <w:shd w:val="clear" w:color="auto" w:fill="EDCDCF"/>
          </w:tcPr>
          <w:p w14:paraId="74119FA8" w14:textId="16E68B84" w:rsidR="00F5145C" w:rsidRPr="007744CA" w:rsidRDefault="00F5145C" w:rsidP="000B60EA">
            <w:pPr>
              <w:pStyle w:val="Tablecolhead"/>
              <w:rPr>
                <w:sz w:val="14"/>
                <w:szCs w:val="14"/>
              </w:rPr>
            </w:pPr>
            <w:r w:rsidRPr="007744CA">
              <w:rPr>
                <w:sz w:val="14"/>
                <w:szCs w:val="14"/>
              </w:rPr>
              <w:t>2018</w:t>
            </w:r>
          </w:p>
          <w:p w14:paraId="758F733D" w14:textId="6326F554" w:rsidR="00F5145C" w:rsidRPr="007744CA" w:rsidRDefault="00F5145C" w:rsidP="000B60EA">
            <w:pPr>
              <w:pStyle w:val="Tablecolhead"/>
              <w:rPr>
                <w:sz w:val="14"/>
                <w:szCs w:val="14"/>
              </w:rPr>
            </w:pPr>
            <w:r w:rsidRPr="007744CA">
              <w:rPr>
                <w:sz w:val="14"/>
                <w:szCs w:val="14"/>
              </w:rPr>
              <w:t>(95% CI)</w:t>
            </w:r>
          </w:p>
        </w:tc>
        <w:tc>
          <w:tcPr>
            <w:tcW w:w="993" w:type="dxa"/>
            <w:shd w:val="clear" w:color="auto" w:fill="EDCDCF"/>
          </w:tcPr>
          <w:p w14:paraId="689E76BF" w14:textId="30D33156" w:rsidR="00F5145C" w:rsidRPr="007744CA" w:rsidRDefault="00F5145C" w:rsidP="000B60EA">
            <w:pPr>
              <w:pStyle w:val="Tablecolhead"/>
              <w:rPr>
                <w:sz w:val="14"/>
                <w:szCs w:val="14"/>
              </w:rPr>
            </w:pPr>
            <w:r w:rsidRPr="007744CA">
              <w:rPr>
                <w:sz w:val="14"/>
                <w:szCs w:val="14"/>
              </w:rPr>
              <w:t>2019</w:t>
            </w:r>
          </w:p>
          <w:p w14:paraId="3B23DA5A" w14:textId="223E786C" w:rsidR="00F5145C" w:rsidRPr="007744CA" w:rsidRDefault="00F5145C" w:rsidP="000B60EA">
            <w:pPr>
              <w:pStyle w:val="Tablecolhead"/>
              <w:rPr>
                <w:sz w:val="14"/>
                <w:szCs w:val="14"/>
              </w:rPr>
            </w:pPr>
            <w:r w:rsidRPr="007744CA">
              <w:rPr>
                <w:sz w:val="14"/>
                <w:szCs w:val="14"/>
              </w:rPr>
              <w:t>(95% CI)</w:t>
            </w:r>
          </w:p>
        </w:tc>
        <w:tc>
          <w:tcPr>
            <w:tcW w:w="992" w:type="dxa"/>
            <w:shd w:val="clear" w:color="auto" w:fill="EDCDCF"/>
          </w:tcPr>
          <w:p w14:paraId="519E8473" w14:textId="2B4C2559" w:rsidR="00F5145C" w:rsidRPr="007744CA" w:rsidRDefault="00F5145C" w:rsidP="000B60EA">
            <w:pPr>
              <w:pStyle w:val="Tablecolhead"/>
              <w:rPr>
                <w:sz w:val="14"/>
                <w:szCs w:val="14"/>
              </w:rPr>
            </w:pPr>
            <w:r w:rsidRPr="007744CA">
              <w:rPr>
                <w:sz w:val="14"/>
                <w:szCs w:val="14"/>
              </w:rPr>
              <w:t>2020</w:t>
            </w:r>
          </w:p>
          <w:p w14:paraId="699AD3FF" w14:textId="494C18FA" w:rsidR="00F5145C" w:rsidRPr="007744CA" w:rsidRDefault="00F5145C" w:rsidP="000B60EA">
            <w:pPr>
              <w:pStyle w:val="Tablecolhead"/>
              <w:rPr>
                <w:sz w:val="14"/>
                <w:szCs w:val="14"/>
              </w:rPr>
            </w:pPr>
            <w:r w:rsidRPr="007744CA">
              <w:rPr>
                <w:sz w:val="14"/>
                <w:szCs w:val="14"/>
              </w:rPr>
              <w:t>(95% CI)</w:t>
            </w:r>
          </w:p>
        </w:tc>
        <w:tc>
          <w:tcPr>
            <w:tcW w:w="983" w:type="dxa"/>
            <w:shd w:val="clear" w:color="auto" w:fill="EDCDCF"/>
          </w:tcPr>
          <w:p w14:paraId="24705E14" w14:textId="3968E41E" w:rsidR="00F5145C" w:rsidRPr="007744CA" w:rsidRDefault="00F5145C" w:rsidP="00F5145C">
            <w:pPr>
              <w:pStyle w:val="Tablecolhead"/>
              <w:rPr>
                <w:sz w:val="14"/>
                <w:szCs w:val="14"/>
              </w:rPr>
            </w:pPr>
            <w:r w:rsidRPr="007744CA">
              <w:rPr>
                <w:sz w:val="14"/>
                <w:szCs w:val="14"/>
              </w:rPr>
              <w:t>2021</w:t>
            </w:r>
          </w:p>
          <w:p w14:paraId="3DE267ED" w14:textId="05D5DB71" w:rsidR="00F5145C" w:rsidRPr="007744CA" w:rsidRDefault="00F5145C" w:rsidP="00F5145C">
            <w:pPr>
              <w:pStyle w:val="Tablecolhead"/>
              <w:rPr>
                <w:sz w:val="14"/>
                <w:szCs w:val="14"/>
              </w:rPr>
            </w:pPr>
            <w:r w:rsidRPr="007744CA">
              <w:rPr>
                <w:sz w:val="14"/>
                <w:szCs w:val="14"/>
              </w:rPr>
              <w:t>(95% CI)</w:t>
            </w:r>
          </w:p>
        </w:tc>
      </w:tr>
      <w:tr w:rsidR="00F5145C" w14:paraId="400F4D4B" w14:textId="31B9C8CA" w:rsidTr="007744CA">
        <w:trPr>
          <w:trHeight w:val="356"/>
          <w:jc w:val="center"/>
        </w:trPr>
        <w:tc>
          <w:tcPr>
            <w:tcW w:w="1134" w:type="dxa"/>
            <w:shd w:val="clear" w:color="auto" w:fill="auto"/>
            <w:vAlign w:val="center"/>
          </w:tcPr>
          <w:p w14:paraId="17EE4281" w14:textId="77777777" w:rsidR="00F5145C" w:rsidRPr="007744CA" w:rsidRDefault="00F5145C" w:rsidP="001F1EA2">
            <w:pPr>
              <w:pStyle w:val="Tabletext"/>
              <w:rPr>
                <w:sz w:val="14"/>
                <w:szCs w:val="14"/>
              </w:rPr>
            </w:pPr>
            <w:r w:rsidRPr="007744CA">
              <w:rPr>
                <w:sz w:val="14"/>
                <w:szCs w:val="14"/>
              </w:rPr>
              <w:t>NEMICS</w:t>
            </w:r>
          </w:p>
        </w:tc>
        <w:tc>
          <w:tcPr>
            <w:tcW w:w="1134" w:type="dxa"/>
            <w:shd w:val="clear" w:color="auto" w:fill="auto"/>
            <w:vAlign w:val="center"/>
          </w:tcPr>
          <w:p w14:paraId="193171CB" w14:textId="77777777" w:rsidR="00F5145C" w:rsidRPr="007744CA" w:rsidRDefault="00F5145C" w:rsidP="001F1EA2">
            <w:pPr>
              <w:pStyle w:val="Tabletext"/>
              <w:rPr>
                <w:sz w:val="14"/>
                <w:szCs w:val="14"/>
              </w:rPr>
            </w:pPr>
            <w:r w:rsidRPr="007744CA">
              <w:rPr>
                <w:sz w:val="14"/>
                <w:szCs w:val="14"/>
              </w:rPr>
              <w:t>1.0</w:t>
            </w:r>
          </w:p>
          <w:p w14:paraId="7A22BAED" w14:textId="3A514E2D" w:rsidR="00F5145C" w:rsidRPr="007744CA" w:rsidRDefault="00F5145C" w:rsidP="001F1EA2">
            <w:pPr>
              <w:pStyle w:val="Tabletext"/>
              <w:rPr>
                <w:sz w:val="14"/>
                <w:szCs w:val="14"/>
              </w:rPr>
            </w:pPr>
            <w:r w:rsidRPr="007744CA">
              <w:rPr>
                <w:sz w:val="14"/>
                <w:szCs w:val="14"/>
              </w:rPr>
              <w:t>(0.9–1.1)</w:t>
            </w:r>
          </w:p>
        </w:tc>
        <w:tc>
          <w:tcPr>
            <w:tcW w:w="993" w:type="dxa"/>
            <w:shd w:val="clear" w:color="auto" w:fill="auto"/>
            <w:vAlign w:val="center"/>
          </w:tcPr>
          <w:p w14:paraId="216A049E" w14:textId="669D56D7" w:rsidR="00F5145C" w:rsidRPr="007744CA" w:rsidRDefault="00F5145C" w:rsidP="001F1EA2">
            <w:pPr>
              <w:pStyle w:val="Tabletext"/>
              <w:rPr>
                <w:sz w:val="14"/>
                <w:szCs w:val="14"/>
              </w:rPr>
            </w:pPr>
            <w:r w:rsidRPr="007744CA">
              <w:rPr>
                <w:sz w:val="14"/>
                <w:szCs w:val="14"/>
              </w:rPr>
              <w:t xml:space="preserve">Ref </w:t>
            </w:r>
            <w:r w:rsidR="00DC3DA4">
              <w:rPr>
                <w:sz w:val="14"/>
                <w:szCs w:val="14"/>
              </w:rPr>
              <w:t>p</w:t>
            </w:r>
            <w:r w:rsidRPr="007744CA">
              <w:rPr>
                <w:sz w:val="14"/>
                <w:szCs w:val="14"/>
              </w:rPr>
              <w:t>oint</w:t>
            </w:r>
          </w:p>
        </w:tc>
        <w:tc>
          <w:tcPr>
            <w:tcW w:w="992" w:type="dxa"/>
            <w:shd w:val="clear" w:color="auto" w:fill="auto"/>
            <w:vAlign w:val="center"/>
          </w:tcPr>
          <w:p w14:paraId="36E98D0C" w14:textId="77777777" w:rsidR="00F5145C" w:rsidRPr="007744CA" w:rsidRDefault="00F5145C" w:rsidP="001F1EA2">
            <w:pPr>
              <w:pStyle w:val="Tabletext"/>
              <w:rPr>
                <w:sz w:val="14"/>
                <w:szCs w:val="14"/>
              </w:rPr>
            </w:pPr>
            <w:r w:rsidRPr="007744CA">
              <w:rPr>
                <w:sz w:val="14"/>
                <w:szCs w:val="14"/>
              </w:rPr>
              <w:t>1.0</w:t>
            </w:r>
          </w:p>
          <w:p w14:paraId="7B3FF83D" w14:textId="2970FE4F" w:rsidR="00F5145C" w:rsidRPr="007744CA" w:rsidRDefault="00F5145C" w:rsidP="001F1EA2">
            <w:pPr>
              <w:pStyle w:val="Tabletext"/>
              <w:rPr>
                <w:sz w:val="14"/>
                <w:szCs w:val="14"/>
              </w:rPr>
            </w:pPr>
            <w:r w:rsidRPr="007744CA">
              <w:rPr>
                <w:sz w:val="14"/>
                <w:szCs w:val="14"/>
              </w:rPr>
              <w:t>(0.8–1.2)</w:t>
            </w:r>
          </w:p>
        </w:tc>
        <w:tc>
          <w:tcPr>
            <w:tcW w:w="992" w:type="dxa"/>
            <w:shd w:val="clear" w:color="auto" w:fill="auto"/>
            <w:vAlign w:val="center"/>
          </w:tcPr>
          <w:p w14:paraId="60232A01" w14:textId="731C48CC" w:rsidR="00F5145C" w:rsidRPr="007744CA" w:rsidRDefault="00F5145C" w:rsidP="001F1EA2">
            <w:pPr>
              <w:pStyle w:val="Tabletext"/>
              <w:rPr>
                <w:sz w:val="14"/>
                <w:szCs w:val="14"/>
              </w:rPr>
            </w:pPr>
            <w:r w:rsidRPr="007744CA">
              <w:rPr>
                <w:sz w:val="14"/>
                <w:szCs w:val="14"/>
              </w:rPr>
              <w:t xml:space="preserve">Ref </w:t>
            </w:r>
            <w:r w:rsidR="00DC3DA4">
              <w:rPr>
                <w:sz w:val="14"/>
                <w:szCs w:val="14"/>
              </w:rPr>
              <w:t>p</w:t>
            </w:r>
            <w:r w:rsidRPr="007744CA">
              <w:rPr>
                <w:sz w:val="14"/>
                <w:szCs w:val="14"/>
              </w:rPr>
              <w:t>oint</w:t>
            </w:r>
          </w:p>
        </w:tc>
        <w:tc>
          <w:tcPr>
            <w:tcW w:w="992" w:type="dxa"/>
            <w:vAlign w:val="center"/>
          </w:tcPr>
          <w:p w14:paraId="3DAD0477" w14:textId="3E813C83" w:rsidR="00F5145C" w:rsidRPr="007744CA" w:rsidRDefault="00F5145C" w:rsidP="001F1EA2">
            <w:pPr>
              <w:pStyle w:val="Tabletext"/>
              <w:rPr>
                <w:sz w:val="14"/>
                <w:szCs w:val="14"/>
              </w:rPr>
            </w:pPr>
            <w:r w:rsidRPr="007744CA">
              <w:rPr>
                <w:sz w:val="14"/>
                <w:szCs w:val="14"/>
              </w:rPr>
              <w:t xml:space="preserve">Ref </w:t>
            </w:r>
            <w:r w:rsidR="00DC3DA4">
              <w:rPr>
                <w:sz w:val="14"/>
                <w:szCs w:val="14"/>
              </w:rPr>
              <w:t>p</w:t>
            </w:r>
            <w:r w:rsidRPr="007744CA">
              <w:rPr>
                <w:sz w:val="14"/>
                <w:szCs w:val="14"/>
              </w:rPr>
              <w:t>oint</w:t>
            </w:r>
          </w:p>
        </w:tc>
        <w:tc>
          <w:tcPr>
            <w:tcW w:w="993" w:type="dxa"/>
            <w:vAlign w:val="center"/>
          </w:tcPr>
          <w:p w14:paraId="0FB5331E" w14:textId="77777777" w:rsidR="00F5145C" w:rsidRPr="007744CA" w:rsidRDefault="00F5145C" w:rsidP="001F1EA2">
            <w:pPr>
              <w:pStyle w:val="Tabletext"/>
              <w:rPr>
                <w:sz w:val="14"/>
                <w:szCs w:val="14"/>
              </w:rPr>
            </w:pPr>
            <w:r w:rsidRPr="007744CA">
              <w:rPr>
                <w:sz w:val="14"/>
                <w:szCs w:val="14"/>
              </w:rPr>
              <w:t>1.0</w:t>
            </w:r>
          </w:p>
          <w:p w14:paraId="66A642EF" w14:textId="24B2EBFC" w:rsidR="00F5145C" w:rsidRPr="007744CA" w:rsidRDefault="00F5145C" w:rsidP="001F1EA2">
            <w:pPr>
              <w:pStyle w:val="Tabletext"/>
              <w:rPr>
                <w:sz w:val="14"/>
                <w:szCs w:val="14"/>
              </w:rPr>
            </w:pPr>
            <w:r w:rsidRPr="007744CA">
              <w:rPr>
                <w:sz w:val="14"/>
                <w:szCs w:val="14"/>
              </w:rPr>
              <w:t>(0.9–1.1)</w:t>
            </w:r>
          </w:p>
        </w:tc>
        <w:tc>
          <w:tcPr>
            <w:tcW w:w="992" w:type="dxa"/>
            <w:vAlign w:val="center"/>
          </w:tcPr>
          <w:p w14:paraId="6E05BFC8" w14:textId="29056EC7" w:rsidR="00F5145C" w:rsidRPr="007744CA" w:rsidRDefault="00F5145C" w:rsidP="001F1EA2">
            <w:pPr>
              <w:pStyle w:val="Tabletext"/>
              <w:rPr>
                <w:sz w:val="14"/>
                <w:szCs w:val="14"/>
              </w:rPr>
            </w:pPr>
            <w:r w:rsidRPr="007744CA">
              <w:rPr>
                <w:sz w:val="14"/>
                <w:szCs w:val="14"/>
              </w:rPr>
              <w:t>1.0</w:t>
            </w:r>
          </w:p>
          <w:p w14:paraId="3A5F0715" w14:textId="3A0E92EF" w:rsidR="00F5145C" w:rsidRPr="007744CA" w:rsidRDefault="00F5145C" w:rsidP="001F1EA2">
            <w:pPr>
              <w:pStyle w:val="Tabletext"/>
              <w:rPr>
                <w:sz w:val="14"/>
                <w:szCs w:val="14"/>
              </w:rPr>
            </w:pPr>
            <w:r w:rsidRPr="007744CA">
              <w:rPr>
                <w:sz w:val="14"/>
                <w:szCs w:val="14"/>
              </w:rPr>
              <w:t>(0.9–1.1)</w:t>
            </w:r>
          </w:p>
        </w:tc>
        <w:tc>
          <w:tcPr>
            <w:tcW w:w="983" w:type="dxa"/>
            <w:vAlign w:val="center"/>
          </w:tcPr>
          <w:p w14:paraId="3F58B11E" w14:textId="441BCD19" w:rsidR="00F5145C" w:rsidRPr="007744CA" w:rsidRDefault="000D3CDA" w:rsidP="001F1EA2">
            <w:pPr>
              <w:pStyle w:val="Tabletext"/>
              <w:rPr>
                <w:sz w:val="14"/>
                <w:szCs w:val="14"/>
              </w:rPr>
            </w:pPr>
            <w:r w:rsidRPr="007744CA">
              <w:rPr>
                <w:sz w:val="14"/>
                <w:szCs w:val="14"/>
              </w:rPr>
              <w:t xml:space="preserve">Ref </w:t>
            </w:r>
            <w:r w:rsidR="00DC3DA4">
              <w:rPr>
                <w:sz w:val="14"/>
                <w:szCs w:val="14"/>
              </w:rPr>
              <w:t>p</w:t>
            </w:r>
            <w:r w:rsidRPr="007744CA">
              <w:rPr>
                <w:sz w:val="14"/>
                <w:szCs w:val="14"/>
              </w:rPr>
              <w:t>oint</w:t>
            </w:r>
          </w:p>
        </w:tc>
      </w:tr>
      <w:tr w:rsidR="00F5145C" w14:paraId="1A1771EC" w14:textId="488FAD88" w:rsidTr="007744CA">
        <w:trPr>
          <w:trHeight w:val="404"/>
          <w:jc w:val="center"/>
        </w:trPr>
        <w:tc>
          <w:tcPr>
            <w:tcW w:w="1134" w:type="dxa"/>
            <w:shd w:val="clear" w:color="auto" w:fill="auto"/>
            <w:vAlign w:val="center"/>
          </w:tcPr>
          <w:p w14:paraId="0F312386" w14:textId="77777777" w:rsidR="00F5145C" w:rsidRPr="007744CA" w:rsidRDefault="00F5145C" w:rsidP="001F1EA2">
            <w:pPr>
              <w:pStyle w:val="Tabletext"/>
              <w:rPr>
                <w:sz w:val="14"/>
                <w:szCs w:val="14"/>
              </w:rPr>
            </w:pPr>
            <w:r w:rsidRPr="007744CA">
              <w:rPr>
                <w:sz w:val="14"/>
                <w:szCs w:val="14"/>
              </w:rPr>
              <w:t>SMICS</w:t>
            </w:r>
          </w:p>
        </w:tc>
        <w:tc>
          <w:tcPr>
            <w:tcW w:w="1134" w:type="dxa"/>
            <w:shd w:val="clear" w:color="auto" w:fill="auto"/>
            <w:vAlign w:val="center"/>
          </w:tcPr>
          <w:p w14:paraId="425178DD" w14:textId="22CFC205" w:rsidR="00F5145C" w:rsidRPr="007744CA" w:rsidRDefault="00F5145C" w:rsidP="001F1EA2">
            <w:pPr>
              <w:pStyle w:val="Tabletext"/>
              <w:rPr>
                <w:sz w:val="14"/>
                <w:szCs w:val="14"/>
              </w:rPr>
            </w:pPr>
            <w:r w:rsidRPr="007744CA">
              <w:rPr>
                <w:sz w:val="14"/>
                <w:szCs w:val="14"/>
              </w:rPr>
              <w:t xml:space="preserve">Ref </w:t>
            </w:r>
            <w:r w:rsidR="00DC3DA4">
              <w:rPr>
                <w:sz w:val="14"/>
                <w:szCs w:val="14"/>
              </w:rPr>
              <w:t>p</w:t>
            </w:r>
            <w:r w:rsidRPr="007744CA">
              <w:rPr>
                <w:sz w:val="14"/>
                <w:szCs w:val="14"/>
              </w:rPr>
              <w:t>oint</w:t>
            </w:r>
          </w:p>
        </w:tc>
        <w:tc>
          <w:tcPr>
            <w:tcW w:w="993" w:type="dxa"/>
            <w:shd w:val="clear" w:color="auto" w:fill="auto"/>
            <w:vAlign w:val="center"/>
          </w:tcPr>
          <w:p w14:paraId="5AEE7227" w14:textId="620EC15F" w:rsidR="00F5145C" w:rsidRPr="007744CA" w:rsidRDefault="00F5145C" w:rsidP="001F1EA2">
            <w:pPr>
              <w:pStyle w:val="Tabletext"/>
              <w:rPr>
                <w:sz w:val="14"/>
                <w:szCs w:val="14"/>
              </w:rPr>
            </w:pPr>
            <w:r w:rsidRPr="007744CA">
              <w:rPr>
                <w:sz w:val="14"/>
                <w:szCs w:val="14"/>
              </w:rPr>
              <w:t>1.</w:t>
            </w:r>
            <w:r w:rsidR="00C9484C" w:rsidRPr="007744CA">
              <w:rPr>
                <w:sz w:val="14"/>
                <w:szCs w:val="14"/>
              </w:rPr>
              <w:t>0</w:t>
            </w:r>
          </w:p>
          <w:p w14:paraId="09FC31A4" w14:textId="4749260D" w:rsidR="00F5145C" w:rsidRPr="007744CA" w:rsidRDefault="00F5145C" w:rsidP="001F1EA2">
            <w:pPr>
              <w:pStyle w:val="Tabletext"/>
              <w:rPr>
                <w:sz w:val="14"/>
                <w:szCs w:val="14"/>
              </w:rPr>
            </w:pPr>
            <w:r w:rsidRPr="007744CA">
              <w:rPr>
                <w:sz w:val="14"/>
                <w:szCs w:val="14"/>
              </w:rPr>
              <w:t>(</w:t>
            </w:r>
            <w:r w:rsidR="00C9484C" w:rsidRPr="007744CA">
              <w:rPr>
                <w:sz w:val="14"/>
                <w:szCs w:val="14"/>
              </w:rPr>
              <w:t>0</w:t>
            </w:r>
            <w:r w:rsidRPr="007744CA">
              <w:rPr>
                <w:sz w:val="14"/>
                <w:szCs w:val="14"/>
              </w:rPr>
              <w:t>.</w:t>
            </w:r>
            <w:r w:rsidR="00C9484C" w:rsidRPr="007744CA">
              <w:rPr>
                <w:sz w:val="14"/>
                <w:szCs w:val="14"/>
              </w:rPr>
              <w:t>9</w:t>
            </w:r>
            <w:r w:rsidRPr="007744CA">
              <w:rPr>
                <w:sz w:val="14"/>
                <w:szCs w:val="14"/>
              </w:rPr>
              <w:t>–1.</w:t>
            </w:r>
            <w:r w:rsidR="00C9484C" w:rsidRPr="007744CA">
              <w:rPr>
                <w:sz w:val="14"/>
                <w:szCs w:val="14"/>
              </w:rPr>
              <w:t>1</w:t>
            </w:r>
            <w:r w:rsidRPr="007744CA">
              <w:rPr>
                <w:sz w:val="14"/>
                <w:szCs w:val="14"/>
              </w:rPr>
              <w:t>)</w:t>
            </w:r>
          </w:p>
        </w:tc>
        <w:tc>
          <w:tcPr>
            <w:tcW w:w="992" w:type="dxa"/>
            <w:shd w:val="clear" w:color="auto" w:fill="auto"/>
            <w:vAlign w:val="center"/>
          </w:tcPr>
          <w:p w14:paraId="53A6F247" w14:textId="77777777" w:rsidR="00F5145C" w:rsidRPr="007744CA" w:rsidRDefault="00F5145C" w:rsidP="001F1EA2">
            <w:pPr>
              <w:pStyle w:val="Tabletext"/>
              <w:rPr>
                <w:sz w:val="14"/>
                <w:szCs w:val="14"/>
              </w:rPr>
            </w:pPr>
            <w:r w:rsidRPr="007744CA">
              <w:rPr>
                <w:sz w:val="14"/>
                <w:szCs w:val="14"/>
              </w:rPr>
              <w:t>1.1</w:t>
            </w:r>
          </w:p>
          <w:p w14:paraId="17530340" w14:textId="6ED8D9C3" w:rsidR="00F5145C" w:rsidRPr="007744CA" w:rsidRDefault="00F5145C" w:rsidP="001F1EA2">
            <w:pPr>
              <w:pStyle w:val="Tabletext"/>
              <w:rPr>
                <w:sz w:val="14"/>
                <w:szCs w:val="14"/>
              </w:rPr>
            </w:pPr>
            <w:r w:rsidRPr="007744CA">
              <w:rPr>
                <w:sz w:val="14"/>
                <w:szCs w:val="14"/>
              </w:rPr>
              <w:t>(0.9–1.2)</w:t>
            </w:r>
          </w:p>
        </w:tc>
        <w:tc>
          <w:tcPr>
            <w:tcW w:w="992" w:type="dxa"/>
            <w:shd w:val="clear" w:color="auto" w:fill="auto"/>
            <w:vAlign w:val="center"/>
          </w:tcPr>
          <w:p w14:paraId="02F6873B" w14:textId="77777777" w:rsidR="00F5145C" w:rsidRPr="007744CA" w:rsidRDefault="00F5145C" w:rsidP="001F1EA2">
            <w:pPr>
              <w:pStyle w:val="Tabletext"/>
              <w:rPr>
                <w:sz w:val="14"/>
                <w:szCs w:val="14"/>
              </w:rPr>
            </w:pPr>
            <w:r w:rsidRPr="007744CA">
              <w:rPr>
                <w:sz w:val="14"/>
                <w:szCs w:val="14"/>
              </w:rPr>
              <w:t>1.0</w:t>
            </w:r>
          </w:p>
          <w:p w14:paraId="66B07222" w14:textId="45892B5C" w:rsidR="00F5145C" w:rsidRPr="007744CA" w:rsidRDefault="00F5145C" w:rsidP="001F1EA2">
            <w:pPr>
              <w:pStyle w:val="Tabletext"/>
              <w:rPr>
                <w:sz w:val="14"/>
                <w:szCs w:val="14"/>
              </w:rPr>
            </w:pPr>
            <w:r w:rsidRPr="007744CA">
              <w:rPr>
                <w:sz w:val="14"/>
                <w:szCs w:val="14"/>
              </w:rPr>
              <w:t>(0.9–1.1)</w:t>
            </w:r>
          </w:p>
        </w:tc>
        <w:tc>
          <w:tcPr>
            <w:tcW w:w="992" w:type="dxa"/>
            <w:vAlign w:val="center"/>
          </w:tcPr>
          <w:p w14:paraId="354A224F" w14:textId="77777777" w:rsidR="00F5145C" w:rsidRPr="007744CA" w:rsidRDefault="00F5145C" w:rsidP="001F1EA2">
            <w:pPr>
              <w:pStyle w:val="Tabletext"/>
              <w:rPr>
                <w:sz w:val="14"/>
                <w:szCs w:val="14"/>
              </w:rPr>
            </w:pPr>
            <w:r w:rsidRPr="007744CA">
              <w:rPr>
                <w:sz w:val="14"/>
                <w:szCs w:val="14"/>
              </w:rPr>
              <w:t>1.1</w:t>
            </w:r>
          </w:p>
          <w:p w14:paraId="29CFC622" w14:textId="3D5ACC24" w:rsidR="00F5145C" w:rsidRPr="007744CA" w:rsidRDefault="00F5145C" w:rsidP="001F1EA2">
            <w:pPr>
              <w:pStyle w:val="Tabletext"/>
              <w:rPr>
                <w:sz w:val="14"/>
                <w:szCs w:val="14"/>
              </w:rPr>
            </w:pPr>
            <w:r w:rsidRPr="007744CA">
              <w:rPr>
                <w:sz w:val="14"/>
                <w:szCs w:val="14"/>
              </w:rPr>
              <w:t>(1.0–1.2)</w:t>
            </w:r>
          </w:p>
        </w:tc>
        <w:tc>
          <w:tcPr>
            <w:tcW w:w="993" w:type="dxa"/>
            <w:vAlign w:val="center"/>
          </w:tcPr>
          <w:p w14:paraId="4EFCC9C2" w14:textId="5796F698" w:rsidR="00F5145C" w:rsidRPr="007744CA" w:rsidRDefault="00F5145C" w:rsidP="001F1EA2">
            <w:pPr>
              <w:pStyle w:val="Tabletext"/>
              <w:rPr>
                <w:sz w:val="14"/>
                <w:szCs w:val="14"/>
              </w:rPr>
            </w:pPr>
            <w:r w:rsidRPr="007744CA">
              <w:rPr>
                <w:sz w:val="14"/>
                <w:szCs w:val="14"/>
              </w:rPr>
              <w:t xml:space="preserve">Ref </w:t>
            </w:r>
            <w:r w:rsidR="00DC3DA4">
              <w:rPr>
                <w:sz w:val="14"/>
                <w:szCs w:val="14"/>
              </w:rPr>
              <w:t>p</w:t>
            </w:r>
            <w:r w:rsidRPr="007744CA">
              <w:rPr>
                <w:sz w:val="14"/>
                <w:szCs w:val="14"/>
              </w:rPr>
              <w:t>oint</w:t>
            </w:r>
          </w:p>
        </w:tc>
        <w:tc>
          <w:tcPr>
            <w:tcW w:w="992" w:type="dxa"/>
            <w:vAlign w:val="center"/>
          </w:tcPr>
          <w:p w14:paraId="04BB38D7" w14:textId="487C669E" w:rsidR="00F5145C" w:rsidRPr="007744CA" w:rsidRDefault="00F5145C" w:rsidP="001F1EA2">
            <w:pPr>
              <w:pStyle w:val="Tabletext"/>
              <w:rPr>
                <w:sz w:val="14"/>
                <w:szCs w:val="14"/>
              </w:rPr>
            </w:pPr>
            <w:r w:rsidRPr="007744CA">
              <w:rPr>
                <w:sz w:val="14"/>
                <w:szCs w:val="14"/>
              </w:rPr>
              <w:t xml:space="preserve">Ref </w:t>
            </w:r>
            <w:r w:rsidR="00DC3DA4">
              <w:rPr>
                <w:sz w:val="14"/>
                <w:szCs w:val="14"/>
              </w:rPr>
              <w:t>p</w:t>
            </w:r>
            <w:r w:rsidRPr="007744CA">
              <w:rPr>
                <w:sz w:val="14"/>
                <w:szCs w:val="14"/>
              </w:rPr>
              <w:t>oint</w:t>
            </w:r>
          </w:p>
        </w:tc>
        <w:tc>
          <w:tcPr>
            <w:tcW w:w="983" w:type="dxa"/>
            <w:vAlign w:val="center"/>
          </w:tcPr>
          <w:p w14:paraId="04DE3F78" w14:textId="77777777" w:rsidR="007264CB" w:rsidRPr="007744CA" w:rsidRDefault="007264CB" w:rsidP="001F1EA2">
            <w:pPr>
              <w:pStyle w:val="Tabletext"/>
              <w:rPr>
                <w:sz w:val="14"/>
                <w:szCs w:val="14"/>
              </w:rPr>
            </w:pPr>
            <w:r w:rsidRPr="007744CA">
              <w:rPr>
                <w:sz w:val="14"/>
                <w:szCs w:val="14"/>
              </w:rPr>
              <w:t xml:space="preserve">1.0 </w:t>
            </w:r>
          </w:p>
          <w:p w14:paraId="4B0107E2" w14:textId="6168B7DE" w:rsidR="00F5145C" w:rsidRPr="007744CA" w:rsidRDefault="007264CB" w:rsidP="001F1EA2">
            <w:pPr>
              <w:pStyle w:val="Tabletext"/>
              <w:rPr>
                <w:sz w:val="14"/>
                <w:szCs w:val="14"/>
              </w:rPr>
            </w:pPr>
            <w:r w:rsidRPr="007744CA">
              <w:rPr>
                <w:sz w:val="14"/>
                <w:szCs w:val="14"/>
              </w:rPr>
              <w:t>(0.9–1.1)</w:t>
            </w:r>
          </w:p>
        </w:tc>
      </w:tr>
      <w:tr w:rsidR="00F5145C" w14:paraId="2BB1D3E8" w14:textId="01983BE7" w:rsidTr="007744CA">
        <w:trPr>
          <w:trHeight w:val="404"/>
          <w:jc w:val="center"/>
        </w:trPr>
        <w:tc>
          <w:tcPr>
            <w:tcW w:w="1134" w:type="dxa"/>
            <w:shd w:val="clear" w:color="auto" w:fill="auto"/>
            <w:vAlign w:val="center"/>
          </w:tcPr>
          <w:p w14:paraId="3A8F10A4" w14:textId="77777777" w:rsidR="00F5145C" w:rsidRPr="007744CA" w:rsidRDefault="00F5145C" w:rsidP="001F1EA2">
            <w:pPr>
              <w:pStyle w:val="Tabletext"/>
              <w:rPr>
                <w:sz w:val="14"/>
                <w:szCs w:val="14"/>
              </w:rPr>
            </w:pPr>
            <w:r w:rsidRPr="007744CA">
              <w:rPr>
                <w:sz w:val="14"/>
                <w:szCs w:val="14"/>
              </w:rPr>
              <w:t>WCMICS</w:t>
            </w:r>
          </w:p>
        </w:tc>
        <w:tc>
          <w:tcPr>
            <w:tcW w:w="1134" w:type="dxa"/>
            <w:shd w:val="clear" w:color="auto" w:fill="auto"/>
            <w:vAlign w:val="center"/>
          </w:tcPr>
          <w:p w14:paraId="7C3F7555" w14:textId="77777777" w:rsidR="00F5145C" w:rsidRPr="007744CA" w:rsidRDefault="00F5145C" w:rsidP="001F1EA2">
            <w:pPr>
              <w:pStyle w:val="Tabletext"/>
              <w:rPr>
                <w:sz w:val="14"/>
                <w:szCs w:val="14"/>
              </w:rPr>
            </w:pPr>
            <w:r w:rsidRPr="007744CA">
              <w:rPr>
                <w:sz w:val="14"/>
                <w:szCs w:val="14"/>
              </w:rPr>
              <w:t>1.1</w:t>
            </w:r>
          </w:p>
          <w:p w14:paraId="68FD71B7" w14:textId="5A45CF18" w:rsidR="00F5145C" w:rsidRPr="007744CA" w:rsidRDefault="00F5145C" w:rsidP="001F1EA2">
            <w:pPr>
              <w:pStyle w:val="Tabletext"/>
              <w:rPr>
                <w:sz w:val="14"/>
                <w:szCs w:val="14"/>
              </w:rPr>
            </w:pPr>
            <w:r w:rsidRPr="007744CA">
              <w:rPr>
                <w:sz w:val="14"/>
                <w:szCs w:val="14"/>
              </w:rPr>
              <w:t>(1.0–1.2)</w:t>
            </w:r>
          </w:p>
        </w:tc>
        <w:tc>
          <w:tcPr>
            <w:tcW w:w="993" w:type="dxa"/>
            <w:shd w:val="clear" w:color="auto" w:fill="auto"/>
            <w:vAlign w:val="center"/>
          </w:tcPr>
          <w:p w14:paraId="4EC54CEC" w14:textId="77777777" w:rsidR="00F5145C" w:rsidRPr="007744CA" w:rsidRDefault="00F5145C" w:rsidP="001F1EA2">
            <w:pPr>
              <w:pStyle w:val="Tabletext"/>
              <w:rPr>
                <w:sz w:val="14"/>
                <w:szCs w:val="14"/>
              </w:rPr>
            </w:pPr>
            <w:r w:rsidRPr="007744CA">
              <w:rPr>
                <w:sz w:val="14"/>
                <w:szCs w:val="14"/>
              </w:rPr>
              <w:t>1.1</w:t>
            </w:r>
          </w:p>
          <w:p w14:paraId="4E2A3B38" w14:textId="0C22BECB" w:rsidR="00F5145C" w:rsidRPr="007744CA" w:rsidRDefault="00F5145C" w:rsidP="001F1EA2">
            <w:pPr>
              <w:pStyle w:val="Tabletext"/>
              <w:rPr>
                <w:sz w:val="14"/>
                <w:szCs w:val="14"/>
              </w:rPr>
            </w:pPr>
            <w:r w:rsidRPr="007744CA">
              <w:rPr>
                <w:sz w:val="14"/>
                <w:szCs w:val="14"/>
              </w:rPr>
              <w:t>(1.0–1.2)</w:t>
            </w:r>
          </w:p>
        </w:tc>
        <w:tc>
          <w:tcPr>
            <w:tcW w:w="992" w:type="dxa"/>
            <w:shd w:val="clear" w:color="auto" w:fill="auto"/>
            <w:vAlign w:val="center"/>
          </w:tcPr>
          <w:p w14:paraId="480553D3" w14:textId="77777777" w:rsidR="00F5145C" w:rsidRPr="007744CA" w:rsidRDefault="00F5145C" w:rsidP="001F1EA2">
            <w:pPr>
              <w:pStyle w:val="Tabletext"/>
              <w:rPr>
                <w:sz w:val="14"/>
                <w:szCs w:val="14"/>
              </w:rPr>
            </w:pPr>
            <w:r w:rsidRPr="007744CA">
              <w:rPr>
                <w:sz w:val="14"/>
                <w:szCs w:val="14"/>
              </w:rPr>
              <w:t>1.1</w:t>
            </w:r>
          </w:p>
          <w:p w14:paraId="2A8E778F" w14:textId="012F3C23" w:rsidR="00F5145C" w:rsidRPr="007744CA" w:rsidRDefault="00F5145C" w:rsidP="001F1EA2">
            <w:pPr>
              <w:pStyle w:val="Tabletext"/>
              <w:rPr>
                <w:sz w:val="14"/>
                <w:szCs w:val="14"/>
              </w:rPr>
            </w:pPr>
            <w:r w:rsidRPr="007744CA">
              <w:rPr>
                <w:sz w:val="14"/>
                <w:szCs w:val="14"/>
              </w:rPr>
              <w:t>(1.0–1.3)</w:t>
            </w:r>
          </w:p>
        </w:tc>
        <w:tc>
          <w:tcPr>
            <w:tcW w:w="992" w:type="dxa"/>
            <w:shd w:val="clear" w:color="auto" w:fill="auto"/>
            <w:vAlign w:val="center"/>
          </w:tcPr>
          <w:p w14:paraId="358F4C97" w14:textId="7622C952" w:rsidR="00F5145C" w:rsidRPr="007744CA" w:rsidRDefault="00F5145C" w:rsidP="001F1EA2">
            <w:pPr>
              <w:pStyle w:val="Tabletext"/>
              <w:rPr>
                <w:sz w:val="14"/>
                <w:szCs w:val="14"/>
              </w:rPr>
            </w:pPr>
            <w:r w:rsidRPr="007744CA">
              <w:rPr>
                <w:sz w:val="14"/>
                <w:szCs w:val="14"/>
              </w:rPr>
              <w:t>1.</w:t>
            </w:r>
            <w:r w:rsidR="003500DA" w:rsidRPr="007744CA">
              <w:rPr>
                <w:sz w:val="14"/>
                <w:szCs w:val="14"/>
              </w:rPr>
              <w:t>2</w:t>
            </w:r>
          </w:p>
          <w:p w14:paraId="6AF3F2AD" w14:textId="17504F9D" w:rsidR="00F5145C" w:rsidRPr="007744CA" w:rsidRDefault="00F5145C" w:rsidP="001F1EA2">
            <w:pPr>
              <w:pStyle w:val="Tabletext"/>
              <w:rPr>
                <w:sz w:val="14"/>
                <w:szCs w:val="14"/>
              </w:rPr>
            </w:pPr>
            <w:r w:rsidRPr="007744CA">
              <w:rPr>
                <w:sz w:val="14"/>
                <w:szCs w:val="14"/>
              </w:rPr>
              <w:t>(1.</w:t>
            </w:r>
            <w:r w:rsidR="003500DA" w:rsidRPr="007744CA">
              <w:rPr>
                <w:sz w:val="14"/>
                <w:szCs w:val="14"/>
              </w:rPr>
              <w:t>1</w:t>
            </w:r>
            <w:r w:rsidRPr="007744CA">
              <w:rPr>
                <w:sz w:val="14"/>
                <w:szCs w:val="14"/>
              </w:rPr>
              <w:t>–1.</w:t>
            </w:r>
            <w:r w:rsidR="003500DA" w:rsidRPr="007744CA">
              <w:rPr>
                <w:sz w:val="14"/>
                <w:szCs w:val="14"/>
              </w:rPr>
              <w:t>3</w:t>
            </w:r>
            <w:r w:rsidRPr="007744CA">
              <w:rPr>
                <w:sz w:val="14"/>
                <w:szCs w:val="14"/>
              </w:rPr>
              <w:t>)</w:t>
            </w:r>
          </w:p>
        </w:tc>
        <w:tc>
          <w:tcPr>
            <w:tcW w:w="992" w:type="dxa"/>
            <w:vAlign w:val="center"/>
          </w:tcPr>
          <w:p w14:paraId="0301A831" w14:textId="77777777" w:rsidR="00F5145C" w:rsidRPr="007744CA" w:rsidRDefault="00F5145C" w:rsidP="001F1EA2">
            <w:pPr>
              <w:pStyle w:val="Tabletext"/>
              <w:rPr>
                <w:sz w:val="14"/>
                <w:szCs w:val="14"/>
              </w:rPr>
            </w:pPr>
            <w:r w:rsidRPr="007744CA">
              <w:rPr>
                <w:sz w:val="14"/>
                <w:szCs w:val="14"/>
              </w:rPr>
              <w:t>1.1</w:t>
            </w:r>
          </w:p>
          <w:p w14:paraId="0AD60C02" w14:textId="5FF1EC83" w:rsidR="00F5145C" w:rsidRPr="007744CA" w:rsidRDefault="00F5145C" w:rsidP="001F1EA2">
            <w:pPr>
              <w:pStyle w:val="Tabletext"/>
              <w:rPr>
                <w:sz w:val="14"/>
                <w:szCs w:val="14"/>
              </w:rPr>
            </w:pPr>
            <w:r w:rsidRPr="007744CA">
              <w:rPr>
                <w:sz w:val="14"/>
                <w:szCs w:val="14"/>
              </w:rPr>
              <w:t>(1.0–1.2)</w:t>
            </w:r>
          </w:p>
        </w:tc>
        <w:tc>
          <w:tcPr>
            <w:tcW w:w="993" w:type="dxa"/>
            <w:vAlign w:val="center"/>
          </w:tcPr>
          <w:p w14:paraId="3FD104FA" w14:textId="77777777" w:rsidR="00F5145C" w:rsidRPr="007744CA" w:rsidRDefault="00F5145C" w:rsidP="001F1EA2">
            <w:pPr>
              <w:pStyle w:val="Tabletext"/>
              <w:rPr>
                <w:sz w:val="14"/>
                <w:szCs w:val="14"/>
              </w:rPr>
            </w:pPr>
            <w:r w:rsidRPr="007744CA">
              <w:rPr>
                <w:sz w:val="14"/>
                <w:szCs w:val="14"/>
              </w:rPr>
              <w:t>1.1</w:t>
            </w:r>
          </w:p>
          <w:p w14:paraId="50934711" w14:textId="4EAA6DFE" w:rsidR="00F5145C" w:rsidRPr="007744CA" w:rsidRDefault="00F5145C" w:rsidP="001F1EA2">
            <w:pPr>
              <w:pStyle w:val="Tabletext"/>
              <w:rPr>
                <w:sz w:val="14"/>
                <w:szCs w:val="14"/>
              </w:rPr>
            </w:pPr>
            <w:r w:rsidRPr="007744CA">
              <w:rPr>
                <w:sz w:val="14"/>
                <w:szCs w:val="14"/>
              </w:rPr>
              <w:t>(1.0–1.2)</w:t>
            </w:r>
          </w:p>
        </w:tc>
        <w:tc>
          <w:tcPr>
            <w:tcW w:w="992" w:type="dxa"/>
            <w:vAlign w:val="center"/>
          </w:tcPr>
          <w:p w14:paraId="41E380ED" w14:textId="77777777" w:rsidR="00F5145C" w:rsidRPr="007744CA" w:rsidRDefault="00F5145C" w:rsidP="001F1EA2">
            <w:pPr>
              <w:pStyle w:val="Tabletext"/>
              <w:rPr>
                <w:sz w:val="14"/>
                <w:szCs w:val="14"/>
              </w:rPr>
            </w:pPr>
            <w:r w:rsidRPr="007744CA">
              <w:rPr>
                <w:sz w:val="14"/>
                <w:szCs w:val="14"/>
              </w:rPr>
              <w:t>1.2</w:t>
            </w:r>
          </w:p>
          <w:p w14:paraId="5C5180F0" w14:textId="73C5CA84" w:rsidR="00F5145C" w:rsidRPr="007744CA" w:rsidRDefault="00F5145C" w:rsidP="001F1EA2">
            <w:pPr>
              <w:pStyle w:val="Tabletext"/>
              <w:rPr>
                <w:sz w:val="14"/>
                <w:szCs w:val="14"/>
              </w:rPr>
            </w:pPr>
            <w:r w:rsidRPr="007744CA">
              <w:rPr>
                <w:sz w:val="14"/>
                <w:szCs w:val="14"/>
              </w:rPr>
              <w:t>(1.1–1.3)</w:t>
            </w:r>
          </w:p>
        </w:tc>
        <w:tc>
          <w:tcPr>
            <w:tcW w:w="983" w:type="dxa"/>
            <w:vAlign w:val="center"/>
          </w:tcPr>
          <w:p w14:paraId="223A3AB3" w14:textId="77777777" w:rsidR="007264CB" w:rsidRPr="007744CA" w:rsidRDefault="007264CB" w:rsidP="007264CB">
            <w:pPr>
              <w:pStyle w:val="Tabletext"/>
              <w:rPr>
                <w:sz w:val="14"/>
                <w:szCs w:val="14"/>
              </w:rPr>
            </w:pPr>
            <w:r w:rsidRPr="007744CA">
              <w:rPr>
                <w:sz w:val="14"/>
                <w:szCs w:val="14"/>
              </w:rPr>
              <w:t>1.2</w:t>
            </w:r>
          </w:p>
          <w:p w14:paraId="483EB561" w14:textId="2EEA9F06" w:rsidR="00F5145C" w:rsidRPr="007744CA" w:rsidRDefault="007264CB" w:rsidP="007264CB">
            <w:pPr>
              <w:pStyle w:val="Tabletext"/>
              <w:rPr>
                <w:sz w:val="14"/>
                <w:szCs w:val="14"/>
              </w:rPr>
            </w:pPr>
            <w:r w:rsidRPr="007744CA">
              <w:rPr>
                <w:sz w:val="14"/>
                <w:szCs w:val="14"/>
              </w:rPr>
              <w:t>(1.1–1.3)</w:t>
            </w:r>
          </w:p>
        </w:tc>
      </w:tr>
      <w:tr w:rsidR="007264CB" w14:paraId="434531AC" w14:textId="28C12761" w:rsidTr="007744CA">
        <w:trPr>
          <w:trHeight w:val="390"/>
          <w:jc w:val="center"/>
        </w:trPr>
        <w:tc>
          <w:tcPr>
            <w:tcW w:w="1134" w:type="dxa"/>
            <w:shd w:val="clear" w:color="auto" w:fill="auto"/>
            <w:vAlign w:val="center"/>
          </w:tcPr>
          <w:p w14:paraId="0C637F8C" w14:textId="77777777" w:rsidR="007264CB" w:rsidRPr="007744CA" w:rsidRDefault="007264CB" w:rsidP="007264CB">
            <w:pPr>
              <w:pStyle w:val="Tabletext"/>
              <w:rPr>
                <w:sz w:val="14"/>
                <w:szCs w:val="14"/>
              </w:rPr>
            </w:pPr>
            <w:r w:rsidRPr="007744CA">
              <w:rPr>
                <w:sz w:val="14"/>
                <w:szCs w:val="14"/>
              </w:rPr>
              <w:t>BSWRICS</w:t>
            </w:r>
          </w:p>
        </w:tc>
        <w:tc>
          <w:tcPr>
            <w:tcW w:w="1134" w:type="dxa"/>
            <w:shd w:val="clear" w:color="auto" w:fill="auto"/>
            <w:vAlign w:val="center"/>
          </w:tcPr>
          <w:p w14:paraId="13179E72" w14:textId="77777777" w:rsidR="007264CB" w:rsidRPr="007744CA" w:rsidRDefault="007264CB" w:rsidP="007264CB">
            <w:pPr>
              <w:pStyle w:val="Tabletext"/>
              <w:rPr>
                <w:sz w:val="14"/>
                <w:szCs w:val="14"/>
              </w:rPr>
            </w:pPr>
            <w:r w:rsidRPr="007744CA">
              <w:rPr>
                <w:sz w:val="14"/>
                <w:szCs w:val="14"/>
              </w:rPr>
              <w:t>1.2</w:t>
            </w:r>
          </w:p>
          <w:p w14:paraId="229F1768" w14:textId="4326AF26" w:rsidR="007264CB" w:rsidRPr="007744CA" w:rsidRDefault="007264CB" w:rsidP="007264CB">
            <w:pPr>
              <w:pStyle w:val="Tabletext"/>
              <w:rPr>
                <w:sz w:val="14"/>
                <w:szCs w:val="14"/>
              </w:rPr>
            </w:pPr>
            <w:r w:rsidRPr="007744CA">
              <w:rPr>
                <w:sz w:val="14"/>
                <w:szCs w:val="14"/>
              </w:rPr>
              <w:t>(1.1–1.3)</w:t>
            </w:r>
          </w:p>
        </w:tc>
        <w:tc>
          <w:tcPr>
            <w:tcW w:w="993" w:type="dxa"/>
            <w:shd w:val="clear" w:color="auto" w:fill="auto"/>
            <w:vAlign w:val="center"/>
          </w:tcPr>
          <w:p w14:paraId="6C408F2C" w14:textId="77777777" w:rsidR="007264CB" w:rsidRPr="007744CA" w:rsidRDefault="007264CB" w:rsidP="007264CB">
            <w:pPr>
              <w:pStyle w:val="Tabletext"/>
              <w:rPr>
                <w:sz w:val="14"/>
                <w:szCs w:val="14"/>
              </w:rPr>
            </w:pPr>
            <w:r w:rsidRPr="007744CA">
              <w:rPr>
                <w:sz w:val="14"/>
                <w:szCs w:val="14"/>
              </w:rPr>
              <w:t>1.3</w:t>
            </w:r>
          </w:p>
          <w:p w14:paraId="78194FF7" w14:textId="2BFE2E71" w:rsidR="007264CB" w:rsidRPr="007744CA" w:rsidRDefault="007264CB" w:rsidP="007264CB">
            <w:pPr>
              <w:pStyle w:val="Tabletext"/>
              <w:rPr>
                <w:sz w:val="14"/>
                <w:szCs w:val="14"/>
              </w:rPr>
            </w:pPr>
            <w:r w:rsidRPr="007744CA">
              <w:rPr>
                <w:sz w:val="14"/>
                <w:szCs w:val="14"/>
              </w:rPr>
              <w:t>(1.2–1.4)</w:t>
            </w:r>
          </w:p>
        </w:tc>
        <w:tc>
          <w:tcPr>
            <w:tcW w:w="992" w:type="dxa"/>
            <w:shd w:val="clear" w:color="auto" w:fill="auto"/>
            <w:vAlign w:val="center"/>
          </w:tcPr>
          <w:p w14:paraId="653E9CC2" w14:textId="77777777" w:rsidR="007264CB" w:rsidRPr="007744CA" w:rsidRDefault="007264CB" w:rsidP="007264CB">
            <w:pPr>
              <w:pStyle w:val="Tabletext"/>
              <w:rPr>
                <w:sz w:val="14"/>
                <w:szCs w:val="14"/>
              </w:rPr>
            </w:pPr>
            <w:r w:rsidRPr="007744CA">
              <w:rPr>
                <w:sz w:val="14"/>
                <w:szCs w:val="14"/>
              </w:rPr>
              <w:t>1.1</w:t>
            </w:r>
          </w:p>
          <w:p w14:paraId="5572BB66" w14:textId="34D8EE00" w:rsidR="007264CB" w:rsidRPr="007744CA" w:rsidRDefault="007264CB" w:rsidP="007264CB">
            <w:pPr>
              <w:pStyle w:val="Tabletext"/>
              <w:rPr>
                <w:sz w:val="14"/>
                <w:szCs w:val="14"/>
              </w:rPr>
            </w:pPr>
            <w:r w:rsidRPr="007744CA">
              <w:rPr>
                <w:sz w:val="14"/>
                <w:szCs w:val="14"/>
              </w:rPr>
              <w:t>(1.0–1.3)</w:t>
            </w:r>
          </w:p>
        </w:tc>
        <w:tc>
          <w:tcPr>
            <w:tcW w:w="992" w:type="dxa"/>
            <w:shd w:val="clear" w:color="auto" w:fill="auto"/>
            <w:vAlign w:val="center"/>
          </w:tcPr>
          <w:p w14:paraId="2F7FA5BA" w14:textId="77777777" w:rsidR="007264CB" w:rsidRPr="007744CA" w:rsidRDefault="007264CB" w:rsidP="007264CB">
            <w:pPr>
              <w:pStyle w:val="Tabletext"/>
              <w:rPr>
                <w:sz w:val="14"/>
                <w:szCs w:val="14"/>
              </w:rPr>
            </w:pPr>
            <w:r w:rsidRPr="007744CA">
              <w:rPr>
                <w:sz w:val="14"/>
                <w:szCs w:val="14"/>
              </w:rPr>
              <w:t>1.1</w:t>
            </w:r>
          </w:p>
          <w:p w14:paraId="70DF5823" w14:textId="264B4959" w:rsidR="007264CB" w:rsidRPr="007744CA" w:rsidRDefault="007264CB" w:rsidP="007264CB">
            <w:pPr>
              <w:pStyle w:val="Tabletext"/>
              <w:rPr>
                <w:sz w:val="14"/>
                <w:szCs w:val="14"/>
              </w:rPr>
            </w:pPr>
            <w:r w:rsidRPr="007744CA">
              <w:rPr>
                <w:sz w:val="14"/>
                <w:szCs w:val="14"/>
              </w:rPr>
              <w:t>(1.0–1.2)</w:t>
            </w:r>
          </w:p>
        </w:tc>
        <w:tc>
          <w:tcPr>
            <w:tcW w:w="992" w:type="dxa"/>
            <w:vAlign w:val="center"/>
          </w:tcPr>
          <w:p w14:paraId="7CA9BE79" w14:textId="77777777" w:rsidR="007264CB" w:rsidRPr="007744CA" w:rsidRDefault="007264CB" w:rsidP="007264CB">
            <w:pPr>
              <w:pStyle w:val="Tabletext"/>
              <w:rPr>
                <w:sz w:val="14"/>
                <w:szCs w:val="14"/>
              </w:rPr>
            </w:pPr>
            <w:r w:rsidRPr="007744CA">
              <w:rPr>
                <w:sz w:val="14"/>
                <w:szCs w:val="14"/>
              </w:rPr>
              <w:t>1.2</w:t>
            </w:r>
          </w:p>
          <w:p w14:paraId="57D33E6B" w14:textId="0F823AA6" w:rsidR="007264CB" w:rsidRPr="007744CA" w:rsidRDefault="007264CB" w:rsidP="007264CB">
            <w:pPr>
              <w:pStyle w:val="Tabletext"/>
              <w:rPr>
                <w:sz w:val="14"/>
                <w:szCs w:val="14"/>
              </w:rPr>
            </w:pPr>
            <w:r w:rsidRPr="007744CA">
              <w:rPr>
                <w:sz w:val="14"/>
                <w:szCs w:val="14"/>
              </w:rPr>
              <w:t>(1.1–1.3)</w:t>
            </w:r>
          </w:p>
        </w:tc>
        <w:tc>
          <w:tcPr>
            <w:tcW w:w="993" w:type="dxa"/>
            <w:vAlign w:val="center"/>
          </w:tcPr>
          <w:p w14:paraId="3EDB3715" w14:textId="7A53DC31" w:rsidR="007264CB" w:rsidRPr="007744CA" w:rsidRDefault="007264CB" w:rsidP="007264CB">
            <w:pPr>
              <w:pStyle w:val="Tabletext"/>
              <w:rPr>
                <w:sz w:val="14"/>
                <w:szCs w:val="14"/>
              </w:rPr>
            </w:pPr>
            <w:r w:rsidRPr="007744CA">
              <w:rPr>
                <w:sz w:val="14"/>
                <w:szCs w:val="14"/>
              </w:rPr>
              <w:t>1.2</w:t>
            </w:r>
          </w:p>
          <w:p w14:paraId="33EDB490" w14:textId="05F085D0" w:rsidR="007264CB" w:rsidRPr="007744CA" w:rsidRDefault="007264CB" w:rsidP="007264CB">
            <w:pPr>
              <w:pStyle w:val="Tabletext"/>
              <w:rPr>
                <w:sz w:val="14"/>
                <w:szCs w:val="14"/>
              </w:rPr>
            </w:pPr>
            <w:r w:rsidRPr="007744CA">
              <w:rPr>
                <w:sz w:val="14"/>
                <w:szCs w:val="14"/>
              </w:rPr>
              <w:t>(1.1–1.4)</w:t>
            </w:r>
          </w:p>
        </w:tc>
        <w:tc>
          <w:tcPr>
            <w:tcW w:w="992" w:type="dxa"/>
            <w:vAlign w:val="center"/>
          </w:tcPr>
          <w:p w14:paraId="7C25E5D4" w14:textId="77777777" w:rsidR="007264CB" w:rsidRPr="007744CA" w:rsidRDefault="007264CB" w:rsidP="007264CB">
            <w:pPr>
              <w:pStyle w:val="Tabletext"/>
              <w:rPr>
                <w:sz w:val="14"/>
                <w:szCs w:val="14"/>
              </w:rPr>
            </w:pPr>
            <w:r w:rsidRPr="007744CA">
              <w:rPr>
                <w:sz w:val="14"/>
                <w:szCs w:val="14"/>
              </w:rPr>
              <w:t>1.2</w:t>
            </w:r>
          </w:p>
          <w:p w14:paraId="64BFEF05" w14:textId="73CE650D" w:rsidR="007264CB" w:rsidRPr="007744CA" w:rsidRDefault="007264CB" w:rsidP="007264CB">
            <w:pPr>
              <w:pStyle w:val="Tabletext"/>
              <w:rPr>
                <w:sz w:val="14"/>
                <w:szCs w:val="14"/>
              </w:rPr>
            </w:pPr>
            <w:r w:rsidRPr="007744CA">
              <w:rPr>
                <w:sz w:val="14"/>
                <w:szCs w:val="14"/>
              </w:rPr>
              <w:t>(1.1–1.4)</w:t>
            </w:r>
          </w:p>
        </w:tc>
        <w:tc>
          <w:tcPr>
            <w:tcW w:w="983" w:type="dxa"/>
            <w:vAlign w:val="center"/>
          </w:tcPr>
          <w:p w14:paraId="664A61A6" w14:textId="77777777" w:rsidR="007264CB" w:rsidRPr="007744CA" w:rsidRDefault="007264CB" w:rsidP="007264CB">
            <w:pPr>
              <w:pStyle w:val="Tabletext"/>
              <w:rPr>
                <w:sz w:val="14"/>
                <w:szCs w:val="14"/>
              </w:rPr>
            </w:pPr>
            <w:r w:rsidRPr="007744CA">
              <w:rPr>
                <w:sz w:val="14"/>
                <w:szCs w:val="14"/>
              </w:rPr>
              <w:t>1.2</w:t>
            </w:r>
          </w:p>
          <w:p w14:paraId="15106AB7" w14:textId="781AB582" w:rsidR="007264CB" w:rsidRPr="007744CA" w:rsidRDefault="007264CB" w:rsidP="007264CB">
            <w:pPr>
              <w:pStyle w:val="Tabletext"/>
              <w:rPr>
                <w:sz w:val="14"/>
                <w:szCs w:val="14"/>
              </w:rPr>
            </w:pPr>
            <w:r w:rsidRPr="007744CA">
              <w:rPr>
                <w:sz w:val="14"/>
                <w:szCs w:val="14"/>
              </w:rPr>
              <w:t>(1.1–1.3)</w:t>
            </w:r>
          </w:p>
        </w:tc>
      </w:tr>
      <w:tr w:rsidR="007264CB" w14:paraId="0E305A16" w14:textId="31DAA3FB" w:rsidTr="007744CA">
        <w:trPr>
          <w:trHeight w:val="404"/>
          <w:jc w:val="center"/>
        </w:trPr>
        <w:tc>
          <w:tcPr>
            <w:tcW w:w="1134" w:type="dxa"/>
            <w:shd w:val="clear" w:color="auto" w:fill="auto"/>
            <w:vAlign w:val="center"/>
          </w:tcPr>
          <w:p w14:paraId="29CF15E9" w14:textId="77777777" w:rsidR="007264CB" w:rsidRPr="007744CA" w:rsidRDefault="007264CB" w:rsidP="007264CB">
            <w:pPr>
              <w:pStyle w:val="Tabletext"/>
              <w:rPr>
                <w:sz w:val="14"/>
                <w:szCs w:val="14"/>
              </w:rPr>
            </w:pPr>
            <w:r w:rsidRPr="007744CA">
              <w:rPr>
                <w:sz w:val="14"/>
                <w:szCs w:val="14"/>
              </w:rPr>
              <w:t>GRICS</w:t>
            </w:r>
          </w:p>
        </w:tc>
        <w:tc>
          <w:tcPr>
            <w:tcW w:w="1134" w:type="dxa"/>
            <w:shd w:val="clear" w:color="auto" w:fill="auto"/>
            <w:vAlign w:val="center"/>
          </w:tcPr>
          <w:p w14:paraId="6EAEDBFD" w14:textId="77777777" w:rsidR="007264CB" w:rsidRPr="007744CA" w:rsidRDefault="007264CB" w:rsidP="007264CB">
            <w:pPr>
              <w:pStyle w:val="Tabletext"/>
              <w:rPr>
                <w:sz w:val="14"/>
                <w:szCs w:val="14"/>
              </w:rPr>
            </w:pPr>
            <w:r w:rsidRPr="007744CA">
              <w:rPr>
                <w:sz w:val="14"/>
                <w:szCs w:val="14"/>
              </w:rPr>
              <w:t>1.1</w:t>
            </w:r>
          </w:p>
          <w:p w14:paraId="2C2BEB8F" w14:textId="3E1A2011" w:rsidR="007264CB" w:rsidRPr="007744CA" w:rsidRDefault="007264CB" w:rsidP="007264CB">
            <w:pPr>
              <w:pStyle w:val="Tabletext"/>
              <w:rPr>
                <w:sz w:val="14"/>
                <w:szCs w:val="14"/>
              </w:rPr>
            </w:pPr>
            <w:r w:rsidRPr="007744CA">
              <w:rPr>
                <w:sz w:val="14"/>
                <w:szCs w:val="14"/>
              </w:rPr>
              <w:t>(1.0–1.3)</w:t>
            </w:r>
          </w:p>
        </w:tc>
        <w:tc>
          <w:tcPr>
            <w:tcW w:w="993" w:type="dxa"/>
            <w:shd w:val="clear" w:color="auto" w:fill="auto"/>
            <w:vAlign w:val="center"/>
          </w:tcPr>
          <w:p w14:paraId="120866D1" w14:textId="77777777" w:rsidR="007264CB" w:rsidRPr="007744CA" w:rsidRDefault="007264CB" w:rsidP="007264CB">
            <w:pPr>
              <w:pStyle w:val="Tabletext"/>
              <w:rPr>
                <w:sz w:val="14"/>
                <w:szCs w:val="14"/>
              </w:rPr>
            </w:pPr>
            <w:r w:rsidRPr="007744CA">
              <w:rPr>
                <w:sz w:val="14"/>
                <w:szCs w:val="14"/>
              </w:rPr>
              <w:t>1.3</w:t>
            </w:r>
          </w:p>
          <w:p w14:paraId="7B6B98D7" w14:textId="73D488AA" w:rsidR="007264CB" w:rsidRPr="007744CA" w:rsidRDefault="007264CB" w:rsidP="007264CB">
            <w:pPr>
              <w:pStyle w:val="Tabletext"/>
              <w:rPr>
                <w:sz w:val="14"/>
                <w:szCs w:val="14"/>
              </w:rPr>
            </w:pPr>
            <w:r w:rsidRPr="007744CA">
              <w:rPr>
                <w:sz w:val="14"/>
                <w:szCs w:val="14"/>
              </w:rPr>
              <w:t>(1.2–1.5)</w:t>
            </w:r>
          </w:p>
        </w:tc>
        <w:tc>
          <w:tcPr>
            <w:tcW w:w="992" w:type="dxa"/>
            <w:shd w:val="clear" w:color="auto" w:fill="auto"/>
            <w:vAlign w:val="center"/>
          </w:tcPr>
          <w:p w14:paraId="0C993792" w14:textId="77777777" w:rsidR="007264CB" w:rsidRPr="007744CA" w:rsidRDefault="007264CB" w:rsidP="007264CB">
            <w:pPr>
              <w:pStyle w:val="Tabletext"/>
              <w:rPr>
                <w:sz w:val="14"/>
                <w:szCs w:val="14"/>
              </w:rPr>
            </w:pPr>
            <w:r w:rsidRPr="007744CA">
              <w:rPr>
                <w:sz w:val="14"/>
                <w:szCs w:val="14"/>
              </w:rPr>
              <w:t>1.3</w:t>
            </w:r>
          </w:p>
          <w:p w14:paraId="6C385E85" w14:textId="3984C07A" w:rsidR="007264CB" w:rsidRPr="007744CA" w:rsidRDefault="007264CB" w:rsidP="007264CB">
            <w:pPr>
              <w:pStyle w:val="Tabletext"/>
              <w:rPr>
                <w:sz w:val="14"/>
                <w:szCs w:val="14"/>
              </w:rPr>
            </w:pPr>
            <w:r w:rsidRPr="007744CA">
              <w:rPr>
                <w:sz w:val="14"/>
                <w:szCs w:val="14"/>
              </w:rPr>
              <w:t>(1.1–1.5)</w:t>
            </w:r>
          </w:p>
        </w:tc>
        <w:tc>
          <w:tcPr>
            <w:tcW w:w="992" w:type="dxa"/>
            <w:shd w:val="clear" w:color="auto" w:fill="auto"/>
            <w:vAlign w:val="center"/>
          </w:tcPr>
          <w:p w14:paraId="730B12BA" w14:textId="6434CA81" w:rsidR="007264CB" w:rsidRPr="007744CA" w:rsidRDefault="007264CB" w:rsidP="007264CB">
            <w:pPr>
              <w:pStyle w:val="Tabletext"/>
              <w:rPr>
                <w:sz w:val="14"/>
                <w:szCs w:val="14"/>
              </w:rPr>
            </w:pPr>
            <w:r w:rsidRPr="007744CA">
              <w:rPr>
                <w:sz w:val="14"/>
                <w:szCs w:val="14"/>
              </w:rPr>
              <w:t>1.5</w:t>
            </w:r>
          </w:p>
          <w:p w14:paraId="0F38B97B" w14:textId="3149B0AD" w:rsidR="007264CB" w:rsidRPr="007744CA" w:rsidRDefault="007264CB" w:rsidP="007264CB">
            <w:pPr>
              <w:pStyle w:val="Tabletext"/>
              <w:rPr>
                <w:sz w:val="14"/>
                <w:szCs w:val="14"/>
              </w:rPr>
            </w:pPr>
            <w:r w:rsidRPr="007744CA">
              <w:rPr>
                <w:sz w:val="14"/>
                <w:szCs w:val="14"/>
              </w:rPr>
              <w:t>(1.3–1.6)</w:t>
            </w:r>
          </w:p>
        </w:tc>
        <w:tc>
          <w:tcPr>
            <w:tcW w:w="992" w:type="dxa"/>
            <w:vAlign w:val="center"/>
          </w:tcPr>
          <w:p w14:paraId="1D2B4048" w14:textId="77777777" w:rsidR="007264CB" w:rsidRPr="007744CA" w:rsidRDefault="007264CB" w:rsidP="007264CB">
            <w:pPr>
              <w:pStyle w:val="Tabletext"/>
              <w:rPr>
                <w:sz w:val="14"/>
                <w:szCs w:val="14"/>
              </w:rPr>
            </w:pPr>
            <w:r w:rsidRPr="007744CA">
              <w:rPr>
                <w:sz w:val="14"/>
                <w:szCs w:val="14"/>
              </w:rPr>
              <w:t>1.4</w:t>
            </w:r>
          </w:p>
          <w:p w14:paraId="6AA5B659" w14:textId="4955FAFB" w:rsidR="007264CB" w:rsidRPr="007744CA" w:rsidRDefault="007264CB" w:rsidP="007264CB">
            <w:pPr>
              <w:pStyle w:val="Tabletext"/>
              <w:rPr>
                <w:sz w:val="14"/>
                <w:szCs w:val="14"/>
              </w:rPr>
            </w:pPr>
            <w:r w:rsidRPr="007744CA">
              <w:rPr>
                <w:sz w:val="14"/>
                <w:szCs w:val="14"/>
              </w:rPr>
              <w:t>(1.2–1.5)</w:t>
            </w:r>
          </w:p>
        </w:tc>
        <w:tc>
          <w:tcPr>
            <w:tcW w:w="993" w:type="dxa"/>
            <w:vAlign w:val="center"/>
          </w:tcPr>
          <w:p w14:paraId="5B841E9D" w14:textId="0CC24EC6" w:rsidR="007264CB" w:rsidRPr="007744CA" w:rsidRDefault="007264CB" w:rsidP="007264CB">
            <w:pPr>
              <w:pStyle w:val="Tabletext"/>
              <w:rPr>
                <w:sz w:val="14"/>
                <w:szCs w:val="14"/>
              </w:rPr>
            </w:pPr>
            <w:r w:rsidRPr="007744CA">
              <w:rPr>
                <w:sz w:val="14"/>
                <w:szCs w:val="14"/>
              </w:rPr>
              <w:t>1.4</w:t>
            </w:r>
          </w:p>
          <w:p w14:paraId="1F417871" w14:textId="325B0443" w:rsidR="007264CB" w:rsidRPr="007744CA" w:rsidRDefault="007264CB" w:rsidP="007264CB">
            <w:pPr>
              <w:pStyle w:val="Tabletext"/>
              <w:rPr>
                <w:sz w:val="14"/>
                <w:szCs w:val="14"/>
              </w:rPr>
            </w:pPr>
            <w:r w:rsidRPr="007744CA">
              <w:rPr>
                <w:sz w:val="14"/>
                <w:szCs w:val="14"/>
              </w:rPr>
              <w:t>(1.3–1.6)</w:t>
            </w:r>
          </w:p>
        </w:tc>
        <w:tc>
          <w:tcPr>
            <w:tcW w:w="992" w:type="dxa"/>
            <w:vAlign w:val="center"/>
          </w:tcPr>
          <w:p w14:paraId="69FBB740" w14:textId="77777777" w:rsidR="007264CB" w:rsidRPr="007744CA" w:rsidRDefault="007264CB" w:rsidP="007264CB">
            <w:pPr>
              <w:pStyle w:val="Tabletext"/>
              <w:rPr>
                <w:sz w:val="14"/>
                <w:szCs w:val="14"/>
              </w:rPr>
            </w:pPr>
            <w:r w:rsidRPr="007744CA">
              <w:rPr>
                <w:sz w:val="14"/>
                <w:szCs w:val="14"/>
              </w:rPr>
              <w:t>1.4</w:t>
            </w:r>
          </w:p>
          <w:p w14:paraId="163994F1" w14:textId="0FF44AE5" w:rsidR="007264CB" w:rsidRPr="007744CA" w:rsidRDefault="007264CB" w:rsidP="007264CB">
            <w:pPr>
              <w:pStyle w:val="Tabletext"/>
              <w:rPr>
                <w:sz w:val="14"/>
                <w:szCs w:val="14"/>
              </w:rPr>
            </w:pPr>
            <w:r w:rsidRPr="007744CA">
              <w:rPr>
                <w:sz w:val="14"/>
                <w:szCs w:val="14"/>
              </w:rPr>
              <w:t>(1.2–1.6)</w:t>
            </w:r>
          </w:p>
        </w:tc>
        <w:tc>
          <w:tcPr>
            <w:tcW w:w="983" w:type="dxa"/>
            <w:vAlign w:val="center"/>
          </w:tcPr>
          <w:p w14:paraId="691C61F3" w14:textId="179F469F" w:rsidR="007264CB" w:rsidRPr="007744CA" w:rsidRDefault="007264CB" w:rsidP="007264CB">
            <w:pPr>
              <w:pStyle w:val="Tabletext"/>
              <w:rPr>
                <w:sz w:val="14"/>
                <w:szCs w:val="14"/>
              </w:rPr>
            </w:pPr>
            <w:r w:rsidRPr="007744CA">
              <w:rPr>
                <w:sz w:val="14"/>
                <w:szCs w:val="14"/>
              </w:rPr>
              <w:t>1.2</w:t>
            </w:r>
          </w:p>
          <w:p w14:paraId="2BD1A22F" w14:textId="69A89207" w:rsidR="007264CB" w:rsidRPr="007744CA" w:rsidRDefault="007264CB" w:rsidP="007264CB">
            <w:pPr>
              <w:pStyle w:val="Tabletext"/>
              <w:rPr>
                <w:sz w:val="14"/>
                <w:szCs w:val="14"/>
              </w:rPr>
            </w:pPr>
            <w:r w:rsidRPr="007744CA">
              <w:rPr>
                <w:sz w:val="14"/>
                <w:szCs w:val="14"/>
              </w:rPr>
              <w:t>(1.1–1.4)</w:t>
            </w:r>
          </w:p>
        </w:tc>
      </w:tr>
      <w:tr w:rsidR="007264CB" w14:paraId="7175A6DC" w14:textId="2447C249" w:rsidTr="007744CA">
        <w:trPr>
          <w:trHeight w:val="404"/>
          <w:jc w:val="center"/>
        </w:trPr>
        <w:tc>
          <w:tcPr>
            <w:tcW w:w="1134" w:type="dxa"/>
            <w:shd w:val="clear" w:color="auto" w:fill="auto"/>
            <w:vAlign w:val="center"/>
          </w:tcPr>
          <w:p w14:paraId="4B7362CD" w14:textId="77777777" w:rsidR="007264CB" w:rsidRPr="007744CA" w:rsidRDefault="007264CB" w:rsidP="007264CB">
            <w:pPr>
              <w:pStyle w:val="Tabletext"/>
              <w:rPr>
                <w:sz w:val="14"/>
                <w:szCs w:val="14"/>
              </w:rPr>
            </w:pPr>
            <w:r w:rsidRPr="007744CA">
              <w:rPr>
                <w:sz w:val="14"/>
                <w:szCs w:val="14"/>
              </w:rPr>
              <w:t>HRICS</w:t>
            </w:r>
          </w:p>
        </w:tc>
        <w:tc>
          <w:tcPr>
            <w:tcW w:w="1134" w:type="dxa"/>
            <w:shd w:val="clear" w:color="auto" w:fill="auto"/>
            <w:vAlign w:val="center"/>
          </w:tcPr>
          <w:p w14:paraId="5AC8DCB3" w14:textId="77777777" w:rsidR="007264CB" w:rsidRPr="007744CA" w:rsidRDefault="007264CB" w:rsidP="007264CB">
            <w:pPr>
              <w:pStyle w:val="Tabletext"/>
              <w:rPr>
                <w:sz w:val="14"/>
                <w:szCs w:val="14"/>
              </w:rPr>
            </w:pPr>
            <w:r w:rsidRPr="007744CA">
              <w:rPr>
                <w:sz w:val="14"/>
                <w:szCs w:val="14"/>
              </w:rPr>
              <w:t>1.0</w:t>
            </w:r>
          </w:p>
          <w:p w14:paraId="647A2AE8" w14:textId="5C30E173" w:rsidR="007264CB" w:rsidRPr="007744CA" w:rsidRDefault="007264CB" w:rsidP="007264CB">
            <w:pPr>
              <w:pStyle w:val="Tabletext"/>
              <w:rPr>
                <w:sz w:val="14"/>
                <w:szCs w:val="14"/>
              </w:rPr>
            </w:pPr>
            <w:r w:rsidRPr="007744CA">
              <w:rPr>
                <w:sz w:val="14"/>
                <w:szCs w:val="14"/>
              </w:rPr>
              <w:t>(0.9–1.2)</w:t>
            </w:r>
          </w:p>
        </w:tc>
        <w:tc>
          <w:tcPr>
            <w:tcW w:w="993" w:type="dxa"/>
            <w:shd w:val="clear" w:color="auto" w:fill="auto"/>
            <w:vAlign w:val="center"/>
          </w:tcPr>
          <w:p w14:paraId="7F465B51" w14:textId="77777777" w:rsidR="007264CB" w:rsidRPr="007744CA" w:rsidRDefault="007264CB" w:rsidP="007264CB">
            <w:pPr>
              <w:pStyle w:val="Tabletext"/>
              <w:rPr>
                <w:sz w:val="14"/>
                <w:szCs w:val="14"/>
              </w:rPr>
            </w:pPr>
            <w:r w:rsidRPr="007744CA">
              <w:rPr>
                <w:sz w:val="14"/>
                <w:szCs w:val="14"/>
              </w:rPr>
              <w:t>1.1</w:t>
            </w:r>
          </w:p>
          <w:p w14:paraId="7C0EA545" w14:textId="73CDB548" w:rsidR="007264CB" w:rsidRPr="007744CA" w:rsidRDefault="007264CB" w:rsidP="007264CB">
            <w:pPr>
              <w:pStyle w:val="Tabletext"/>
              <w:rPr>
                <w:sz w:val="14"/>
                <w:szCs w:val="14"/>
              </w:rPr>
            </w:pPr>
            <w:r w:rsidRPr="007744CA">
              <w:rPr>
                <w:sz w:val="14"/>
                <w:szCs w:val="14"/>
              </w:rPr>
              <w:t>(1.0–1.3)</w:t>
            </w:r>
          </w:p>
        </w:tc>
        <w:tc>
          <w:tcPr>
            <w:tcW w:w="992" w:type="dxa"/>
            <w:shd w:val="clear" w:color="auto" w:fill="auto"/>
            <w:vAlign w:val="center"/>
          </w:tcPr>
          <w:p w14:paraId="3A4B2225" w14:textId="5C383DCC" w:rsidR="007264CB" w:rsidRPr="007744CA" w:rsidRDefault="007264CB" w:rsidP="007264CB">
            <w:pPr>
              <w:pStyle w:val="Tabletext"/>
              <w:rPr>
                <w:sz w:val="14"/>
                <w:szCs w:val="14"/>
              </w:rPr>
            </w:pPr>
            <w:r w:rsidRPr="007744CA">
              <w:rPr>
                <w:sz w:val="14"/>
                <w:szCs w:val="14"/>
              </w:rPr>
              <w:t xml:space="preserve">Ref </w:t>
            </w:r>
            <w:r w:rsidR="00DC3DA4">
              <w:rPr>
                <w:sz w:val="14"/>
                <w:szCs w:val="14"/>
              </w:rPr>
              <w:t>p</w:t>
            </w:r>
            <w:r w:rsidRPr="007744CA">
              <w:rPr>
                <w:sz w:val="14"/>
                <w:szCs w:val="14"/>
              </w:rPr>
              <w:t>oint</w:t>
            </w:r>
          </w:p>
        </w:tc>
        <w:tc>
          <w:tcPr>
            <w:tcW w:w="992" w:type="dxa"/>
            <w:shd w:val="clear" w:color="auto" w:fill="auto"/>
            <w:vAlign w:val="center"/>
          </w:tcPr>
          <w:p w14:paraId="313D2043" w14:textId="77777777" w:rsidR="007264CB" w:rsidRPr="007744CA" w:rsidRDefault="007264CB" w:rsidP="007264CB">
            <w:pPr>
              <w:pStyle w:val="Tabletext"/>
              <w:rPr>
                <w:sz w:val="14"/>
                <w:szCs w:val="14"/>
              </w:rPr>
            </w:pPr>
            <w:r w:rsidRPr="007744CA">
              <w:rPr>
                <w:sz w:val="14"/>
                <w:szCs w:val="14"/>
              </w:rPr>
              <w:t>1.1</w:t>
            </w:r>
          </w:p>
          <w:p w14:paraId="445AFBAB" w14:textId="730BB26A" w:rsidR="007264CB" w:rsidRPr="007744CA" w:rsidRDefault="007264CB" w:rsidP="007264CB">
            <w:pPr>
              <w:pStyle w:val="Tabletext"/>
              <w:rPr>
                <w:sz w:val="14"/>
                <w:szCs w:val="14"/>
              </w:rPr>
            </w:pPr>
            <w:r w:rsidRPr="007744CA">
              <w:rPr>
                <w:sz w:val="14"/>
                <w:szCs w:val="14"/>
              </w:rPr>
              <w:t>(0.9–1.2)</w:t>
            </w:r>
          </w:p>
        </w:tc>
        <w:tc>
          <w:tcPr>
            <w:tcW w:w="992" w:type="dxa"/>
            <w:vAlign w:val="center"/>
          </w:tcPr>
          <w:p w14:paraId="52B44E7C" w14:textId="77777777" w:rsidR="007264CB" w:rsidRPr="007744CA" w:rsidRDefault="007264CB" w:rsidP="007264CB">
            <w:pPr>
              <w:pStyle w:val="Tabletext"/>
              <w:rPr>
                <w:sz w:val="14"/>
                <w:szCs w:val="14"/>
              </w:rPr>
            </w:pPr>
            <w:r w:rsidRPr="007744CA">
              <w:rPr>
                <w:sz w:val="14"/>
                <w:szCs w:val="14"/>
              </w:rPr>
              <w:t>1.2</w:t>
            </w:r>
          </w:p>
          <w:p w14:paraId="350855F5" w14:textId="0DC1611F" w:rsidR="007264CB" w:rsidRPr="007744CA" w:rsidRDefault="007264CB" w:rsidP="007264CB">
            <w:pPr>
              <w:pStyle w:val="Tabletext"/>
              <w:rPr>
                <w:sz w:val="14"/>
                <w:szCs w:val="14"/>
              </w:rPr>
            </w:pPr>
            <w:r w:rsidRPr="007744CA">
              <w:rPr>
                <w:sz w:val="14"/>
                <w:szCs w:val="14"/>
              </w:rPr>
              <w:t>(1.0–1.4)</w:t>
            </w:r>
          </w:p>
        </w:tc>
        <w:tc>
          <w:tcPr>
            <w:tcW w:w="993" w:type="dxa"/>
            <w:vAlign w:val="center"/>
          </w:tcPr>
          <w:p w14:paraId="3D95656F" w14:textId="77777777" w:rsidR="007264CB" w:rsidRPr="007744CA" w:rsidRDefault="007264CB" w:rsidP="007264CB">
            <w:pPr>
              <w:pStyle w:val="Tabletext"/>
              <w:rPr>
                <w:sz w:val="14"/>
                <w:szCs w:val="14"/>
              </w:rPr>
            </w:pPr>
            <w:r w:rsidRPr="007744CA">
              <w:rPr>
                <w:sz w:val="14"/>
                <w:szCs w:val="14"/>
              </w:rPr>
              <w:t>1.0</w:t>
            </w:r>
          </w:p>
          <w:p w14:paraId="452C24FB" w14:textId="43A85006" w:rsidR="007264CB" w:rsidRPr="007744CA" w:rsidRDefault="007264CB" w:rsidP="007264CB">
            <w:pPr>
              <w:pStyle w:val="Tabletext"/>
              <w:rPr>
                <w:sz w:val="14"/>
                <w:szCs w:val="14"/>
              </w:rPr>
            </w:pPr>
            <w:r w:rsidRPr="007744CA">
              <w:rPr>
                <w:sz w:val="14"/>
                <w:szCs w:val="14"/>
              </w:rPr>
              <w:t>(0.9–1.1)</w:t>
            </w:r>
          </w:p>
        </w:tc>
        <w:tc>
          <w:tcPr>
            <w:tcW w:w="992" w:type="dxa"/>
            <w:vAlign w:val="center"/>
          </w:tcPr>
          <w:p w14:paraId="6B3263B6" w14:textId="77777777" w:rsidR="007264CB" w:rsidRPr="007744CA" w:rsidRDefault="007264CB" w:rsidP="007264CB">
            <w:pPr>
              <w:pStyle w:val="Tabletext"/>
              <w:rPr>
                <w:sz w:val="14"/>
                <w:szCs w:val="14"/>
              </w:rPr>
            </w:pPr>
            <w:r w:rsidRPr="007744CA">
              <w:rPr>
                <w:sz w:val="14"/>
                <w:szCs w:val="14"/>
              </w:rPr>
              <w:t>1.1</w:t>
            </w:r>
          </w:p>
          <w:p w14:paraId="1FDB1617" w14:textId="359110F7" w:rsidR="007264CB" w:rsidRPr="007744CA" w:rsidRDefault="007264CB" w:rsidP="007264CB">
            <w:pPr>
              <w:pStyle w:val="Tabletext"/>
              <w:rPr>
                <w:sz w:val="14"/>
                <w:szCs w:val="14"/>
              </w:rPr>
            </w:pPr>
            <w:r w:rsidRPr="007744CA">
              <w:rPr>
                <w:sz w:val="14"/>
                <w:szCs w:val="14"/>
              </w:rPr>
              <w:t>(1.0–1.3)</w:t>
            </w:r>
          </w:p>
        </w:tc>
        <w:tc>
          <w:tcPr>
            <w:tcW w:w="983" w:type="dxa"/>
            <w:vAlign w:val="center"/>
          </w:tcPr>
          <w:p w14:paraId="45E351B0" w14:textId="0643D3F6" w:rsidR="007264CB" w:rsidRPr="007744CA" w:rsidRDefault="007264CB" w:rsidP="007264CB">
            <w:pPr>
              <w:pStyle w:val="Tabletext"/>
              <w:rPr>
                <w:sz w:val="14"/>
                <w:szCs w:val="14"/>
              </w:rPr>
            </w:pPr>
            <w:r w:rsidRPr="007744CA">
              <w:rPr>
                <w:sz w:val="14"/>
                <w:szCs w:val="14"/>
              </w:rPr>
              <w:t>1.2</w:t>
            </w:r>
          </w:p>
          <w:p w14:paraId="6FF542DB" w14:textId="732943F5" w:rsidR="007264CB" w:rsidRPr="007744CA" w:rsidRDefault="007264CB" w:rsidP="007264CB">
            <w:pPr>
              <w:pStyle w:val="Tabletext"/>
              <w:rPr>
                <w:sz w:val="14"/>
                <w:szCs w:val="14"/>
              </w:rPr>
            </w:pPr>
            <w:r w:rsidRPr="007744CA">
              <w:rPr>
                <w:sz w:val="14"/>
                <w:szCs w:val="14"/>
              </w:rPr>
              <w:t>(1.1–1.4)</w:t>
            </w:r>
          </w:p>
        </w:tc>
      </w:tr>
      <w:tr w:rsidR="007264CB" w14:paraId="283CD1C9" w14:textId="2F12D1AE" w:rsidTr="007744CA">
        <w:trPr>
          <w:trHeight w:val="390"/>
          <w:jc w:val="center"/>
        </w:trPr>
        <w:tc>
          <w:tcPr>
            <w:tcW w:w="1134" w:type="dxa"/>
            <w:shd w:val="clear" w:color="auto" w:fill="auto"/>
            <w:vAlign w:val="center"/>
          </w:tcPr>
          <w:p w14:paraId="16CA3F3D" w14:textId="77777777" w:rsidR="007264CB" w:rsidRPr="007744CA" w:rsidRDefault="007264CB" w:rsidP="007264CB">
            <w:pPr>
              <w:pStyle w:val="Tabletext"/>
              <w:rPr>
                <w:sz w:val="14"/>
                <w:szCs w:val="14"/>
              </w:rPr>
            </w:pPr>
            <w:r w:rsidRPr="007744CA">
              <w:rPr>
                <w:sz w:val="14"/>
                <w:szCs w:val="14"/>
              </w:rPr>
              <w:t>LMICS</w:t>
            </w:r>
          </w:p>
        </w:tc>
        <w:tc>
          <w:tcPr>
            <w:tcW w:w="1134" w:type="dxa"/>
            <w:shd w:val="clear" w:color="auto" w:fill="auto"/>
            <w:vAlign w:val="center"/>
          </w:tcPr>
          <w:p w14:paraId="00BA9B22" w14:textId="77777777" w:rsidR="007264CB" w:rsidRPr="007744CA" w:rsidRDefault="007264CB" w:rsidP="007264CB">
            <w:pPr>
              <w:pStyle w:val="Tabletext"/>
              <w:rPr>
                <w:sz w:val="14"/>
                <w:szCs w:val="14"/>
              </w:rPr>
            </w:pPr>
            <w:r w:rsidRPr="007744CA">
              <w:rPr>
                <w:sz w:val="14"/>
                <w:szCs w:val="14"/>
              </w:rPr>
              <w:t>1.2</w:t>
            </w:r>
          </w:p>
          <w:p w14:paraId="1F3D2E73" w14:textId="0C285A77" w:rsidR="007264CB" w:rsidRPr="007744CA" w:rsidRDefault="007264CB" w:rsidP="007264CB">
            <w:pPr>
              <w:pStyle w:val="Tabletext"/>
              <w:rPr>
                <w:sz w:val="14"/>
                <w:szCs w:val="14"/>
              </w:rPr>
            </w:pPr>
            <w:r w:rsidRPr="007744CA">
              <w:rPr>
                <w:sz w:val="14"/>
                <w:szCs w:val="14"/>
              </w:rPr>
              <w:t>(1.1–1.3)</w:t>
            </w:r>
          </w:p>
        </w:tc>
        <w:tc>
          <w:tcPr>
            <w:tcW w:w="993" w:type="dxa"/>
            <w:shd w:val="clear" w:color="auto" w:fill="auto"/>
            <w:vAlign w:val="center"/>
          </w:tcPr>
          <w:p w14:paraId="2DC1209C" w14:textId="77777777" w:rsidR="007264CB" w:rsidRPr="007744CA" w:rsidRDefault="007264CB" w:rsidP="007264CB">
            <w:pPr>
              <w:pStyle w:val="Tabletext"/>
              <w:rPr>
                <w:sz w:val="14"/>
                <w:szCs w:val="14"/>
              </w:rPr>
            </w:pPr>
            <w:r w:rsidRPr="007744CA">
              <w:rPr>
                <w:sz w:val="14"/>
                <w:szCs w:val="14"/>
              </w:rPr>
              <w:t>1.1</w:t>
            </w:r>
          </w:p>
          <w:p w14:paraId="6B4CD653" w14:textId="4E1684D5" w:rsidR="007264CB" w:rsidRPr="007744CA" w:rsidRDefault="007264CB" w:rsidP="007264CB">
            <w:pPr>
              <w:pStyle w:val="Tabletext"/>
              <w:rPr>
                <w:sz w:val="14"/>
                <w:szCs w:val="14"/>
              </w:rPr>
            </w:pPr>
            <w:r w:rsidRPr="007744CA">
              <w:rPr>
                <w:sz w:val="14"/>
                <w:szCs w:val="14"/>
              </w:rPr>
              <w:t>(1.0–1.3)</w:t>
            </w:r>
          </w:p>
        </w:tc>
        <w:tc>
          <w:tcPr>
            <w:tcW w:w="992" w:type="dxa"/>
            <w:shd w:val="clear" w:color="auto" w:fill="auto"/>
            <w:vAlign w:val="center"/>
          </w:tcPr>
          <w:p w14:paraId="4F8E4D97" w14:textId="77777777" w:rsidR="007264CB" w:rsidRPr="007744CA" w:rsidRDefault="007264CB" w:rsidP="007264CB">
            <w:pPr>
              <w:pStyle w:val="Tabletext"/>
              <w:rPr>
                <w:sz w:val="14"/>
                <w:szCs w:val="14"/>
              </w:rPr>
            </w:pPr>
            <w:r w:rsidRPr="007744CA">
              <w:rPr>
                <w:sz w:val="14"/>
                <w:szCs w:val="14"/>
              </w:rPr>
              <w:t>1.3</w:t>
            </w:r>
          </w:p>
          <w:p w14:paraId="5BA95DA2" w14:textId="65DBBA3E" w:rsidR="007264CB" w:rsidRPr="007744CA" w:rsidRDefault="007264CB" w:rsidP="007264CB">
            <w:pPr>
              <w:pStyle w:val="Tabletext"/>
              <w:rPr>
                <w:sz w:val="14"/>
                <w:szCs w:val="14"/>
              </w:rPr>
            </w:pPr>
            <w:r w:rsidRPr="007744CA">
              <w:rPr>
                <w:sz w:val="14"/>
                <w:szCs w:val="14"/>
              </w:rPr>
              <w:t>(1.1–1.5)</w:t>
            </w:r>
          </w:p>
        </w:tc>
        <w:tc>
          <w:tcPr>
            <w:tcW w:w="992" w:type="dxa"/>
            <w:shd w:val="clear" w:color="auto" w:fill="auto"/>
            <w:vAlign w:val="center"/>
          </w:tcPr>
          <w:p w14:paraId="3EAE2F0E" w14:textId="77777777" w:rsidR="007264CB" w:rsidRPr="007744CA" w:rsidRDefault="007264CB" w:rsidP="007264CB">
            <w:pPr>
              <w:pStyle w:val="Tabletext"/>
              <w:rPr>
                <w:sz w:val="14"/>
                <w:szCs w:val="14"/>
              </w:rPr>
            </w:pPr>
            <w:r w:rsidRPr="007744CA">
              <w:rPr>
                <w:sz w:val="14"/>
                <w:szCs w:val="14"/>
              </w:rPr>
              <w:t>1.3</w:t>
            </w:r>
          </w:p>
          <w:p w14:paraId="5E9F81A0" w14:textId="1EBBDBF4" w:rsidR="007264CB" w:rsidRPr="007744CA" w:rsidRDefault="007264CB" w:rsidP="007264CB">
            <w:pPr>
              <w:pStyle w:val="Tabletext"/>
              <w:rPr>
                <w:sz w:val="14"/>
                <w:szCs w:val="14"/>
              </w:rPr>
            </w:pPr>
            <w:r w:rsidRPr="007744CA">
              <w:rPr>
                <w:sz w:val="14"/>
                <w:szCs w:val="14"/>
              </w:rPr>
              <w:t>(1.2–1.5)</w:t>
            </w:r>
          </w:p>
        </w:tc>
        <w:tc>
          <w:tcPr>
            <w:tcW w:w="992" w:type="dxa"/>
            <w:vAlign w:val="center"/>
          </w:tcPr>
          <w:p w14:paraId="3CBD5E1A" w14:textId="77777777" w:rsidR="007264CB" w:rsidRPr="007744CA" w:rsidRDefault="007264CB" w:rsidP="007264CB">
            <w:pPr>
              <w:pStyle w:val="Tabletext"/>
              <w:rPr>
                <w:sz w:val="14"/>
                <w:szCs w:val="14"/>
              </w:rPr>
            </w:pPr>
            <w:r w:rsidRPr="007744CA">
              <w:rPr>
                <w:sz w:val="14"/>
                <w:szCs w:val="14"/>
              </w:rPr>
              <w:t>1.4</w:t>
            </w:r>
          </w:p>
          <w:p w14:paraId="0C78818B" w14:textId="3CA7CD16" w:rsidR="007264CB" w:rsidRPr="007744CA" w:rsidRDefault="007264CB" w:rsidP="007264CB">
            <w:pPr>
              <w:pStyle w:val="Tabletext"/>
              <w:rPr>
                <w:sz w:val="14"/>
                <w:szCs w:val="14"/>
              </w:rPr>
            </w:pPr>
            <w:r w:rsidRPr="007744CA">
              <w:rPr>
                <w:sz w:val="14"/>
                <w:szCs w:val="14"/>
              </w:rPr>
              <w:t>(1.2–1.5)</w:t>
            </w:r>
          </w:p>
        </w:tc>
        <w:tc>
          <w:tcPr>
            <w:tcW w:w="993" w:type="dxa"/>
            <w:vAlign w:val="center"/>
          </w:tcPr>
          <w:p w14:paraId="13637CAF" w14:textId="77777777" w:rsidR="007264CB" w:rsidRPr="007744CA" w:rsidRDefault="007264CB" w:rsidP="007264CB">
            <w:pPr>
              <w:pStyle w:val="Tabletext"/>
              <w:rPr>
                <w:sz w:val="14"/>
                <w:szCs w:val="14"/>
              </w:rPr>
            </w:pPr>
            <w:r w:rsidRPr="007744CA">
              <w:rPr>
                <w:sz w:val="14"/>
                <w:szCs w:val="14"/>
              </w:rPr>
              <w:t>1.1</w:t>
            </w:r>
          </w:p>
          <w:p w14:paraId="3A0D3097" w14:textId="47BE644A" w:rsidR="007264CB" w:rsidRPr="007744CA" w:rsidRDefault="007264CB" w:rsidP="007264CB">
            <w:pPr>
              <w:pStyle w:val="Tabletext"/>
              <w:rPr>
                <w:sz w:val="14"/>
                <w:szCs w:val="14"/>
              </w:rPr>
            </w:pPr>
            <w:r w:rsidRPr="007744CA">
              <w:rPr>
                <w:sz w:val="14"/>
                <w:szCs w:val="14"/>
              </w:rPr>
              <w:t>(1.0–1.3)</w:t>
            </w:r>
          </w:p>
        </w:tc>
        <w:tc>
          <w:tcPr>
            <w:tcW w:w="992" w:type="dxa"/>
            <w:vAlign w:val="center"/>
          </w:tcPr>
          <w:p w14:paraId="1BD0B2BB" w14:textId="77777777" w:rsidR="007264CB" w:rsidRPr="007744CA" w:rsidRDefault="007264CB" w:rsidP="007264CB">
            <w:pPr>
              <w:pStyle w:val="Tabletext"/>
              <w:rPr>
                <w:sz w:val="14"/>
                <w:szCs w:val="14"/>
              </w:rPr>
            </w:pPr>
            <w:r w:rsidRPr="007744CA">
              <w:rPr>
                <w:sz w:val="14"/>
                <w:szCs w:val="14"/>
              </w:rPr>
              <w:t>1.4</w:t>
            </w:r>
          </w:p>
          <w:p w14:paraId="068D3D38" w14:textId="7E7839A5" w:rsidR="007264CB" w:rsidRPr="007744CA" w:rsidRDefault="007264CB" w:rsidP="007264CB">
            <w:pPr>
              <w:pStyle w:val="Tabletext"/>
              <w:rPr>
                <w:sz w:val="14"/>
                <w:szCs w:val="14"/>
              </w:rPr>
            </w:pPr>
            <w:r w:rsidRPr="007744CA">
              <w:rPr>
                <w:sz w:val="14"/>
                <w:szCs w:val="14"/>
              </w:rPr>
              <w:t>(1.2–1.5)</w:t>
            </w:r>
          </w:p>
        </w:tc>
        <w:tc>
          <w:tcPr>
            <w:tcW w:w="983" w:type="dxa"/>
            <w:vAlign w:val="center"/>
          </w:tcPr>
          <w:p w14:paraId="4D0DB75D" w14:textId="54AA407D" w:rsidR="007264CB" w:rsidRPr="007744CA" w:rsidRDefault="007264CB" w:rsidP="007264CB">
            <w:pPr>
              <w:pStyle w:val="Tabletext"/>
              <w:rPr>
                <w:sz w:val="14"/>
                <w:szCs w:val="14"/>
              </w:rPr>
            </w:pPr>
            <w:r w:rsidRPr="007744CA">
              <w:rPr>
                <w:sz w:val="14"/>
                <w:szCs w:val="14"/>
              </w:rPr>
              <w:t>1.3</w:t>
            </w:r>
          </w:p>
          <w:p w14:paraId="0002DF73" w14:textId="1362A9DA" w:rsidR="007264CB" w:rsidRPr="007744CA" w:rsidRDefault="007264CB" w:rsidP="007264CB">
            <w:pPr>
              <w:pStyle w:val="Tabletext"/>
              <w:rPr>
                <w:sz w:val="14"/>
                <w:szCs w:val="14"/>
              </w:rPr>
            </w:pPr>
            <w:r w:rsidRPr="007744CA">
              <w:rPr>
                <w:sz w:val="14"/>
                <w:szCs w:val="14"/>
              </w:rPr>
              <w:t>(1.1–1.5)</w:t>
            </w:r>
          </w:p>
        </w:tc>
      </w:tr>
      <w:tr w:rsidR="007264CB" w14:paraId="79507BEB" w14:textId="0942ED16" w:rsidTr="007744CA">
        <w:trPr>
          <w:trHeight w:val="37"/>
          <w:jc w:val="center"/>
        </w:trPr>
        <w:tc>
          <w:tcPr>
            <w:tcW w:w="1134" w:type="dxa"/>
            <w:shd w:val="clear" w:color="auto" w:fill="auto"/>
            <w:vAlign w:val="center"/>
          </w:tcPr>
          <w:p w14:paraId="43E405EB" w14:textId="77777777" w:rsidR="007264CB" w:rsidRPr="007744CA" w:rsidRDefault="007264CB" w:rsidP="007264CB">
            <w:pPr>
              <w:pStyle w:val="Tabletext"/>
              <w:rPr>
                <w:sz w:val="14"/>
                <w:szCs w:val="14"/>
              </w:rPr>
            </w:pPr>
            <w:r w:rsidRPr="007744CA">
              <w:rPr>
                <w:sz w:val="14"/>
                <w:szCs w:val="14"/>
              </w:rPr>
              <w:t>GICS</w:t>
            </w:r>
          </w:p>
        </w:tc>
        <w:tc>
          <w:tcPr>
            <w:tcW w:w="1134" w:type="dxa"/>
            <w:shd w:val="clear" w:color="auto" w:fill="auto"/>
            <w:vAlign w:val="center"/>
          </w:tcPr>
          <w:p w14:paraId="15EEFD61" w14:textId="77777777" w:rsidR="007264CB" w:rsidRPr="007744CA" w:rsidRDefault="007264CB" w:rsidP="007264CB">
            <w:pPr>
              <w:pStyle w:val="Tabletext"/>
              <w:rPr>
                <w:sz w:val="14"/>
                <w:szCs w:val="14"/>
              </w:rPr>
            </w:pPr>
            <w:r w:rsidRPr="007744CA">
              <w:rPr>
                <w:sz w:val="14"/>
                <w:szCs w:val="14"/>
              </w:rPr>
              <w:t>1.1</w:t>
            </w:r>
          </w:p>
          <w:p w14:paraId="19BC76DE" w14:textId="032343DA" w:rsidR="007264CB" w:rsidRPr="007744CA" w:rsidRDefault="007264CB" w:rsidP="007264CB">
            <w:pPr>
              <w:pStyle w:val="Tabletext"/>
              <w:rPr>
                <w:sz w:val="14"/>
                <w:szCs w:val="14"/>
              </w:rPr>
            </w:pPr>
            <w:r w:rsidRPr="007744CA">
              <w:rPr>
                <w:sz w:val="14"/>
                <w:szCs w:val="14"/>
              </w:rPr>
              <w:t>(1.0–1.3)</w:t>
            </w:r>
          </w:p>
        </w:tc>
        <w:tc>
          <w:tcPr>
            <w:tcW w:w="993" w:type="dxa"/>
            <w:shd w:val="clear" w:color="auto" w:fill="auto"/>
            <w:vAlign w:val="center"/>
          </w:tcPr>
          <w:p w14:paraId="165CE8CD" w14:textId="77777777" w:rsidR="007264CB" w:rsidRPr="007744CA" w:rsidRDefault="007264CB" w:rsidP="007264CB">
            <w:pPr>
              <w:pStyle w:val="Tabletext"/>
              <w:rPr>
                <w:sz w:val="14"/>
                <w:szCs w:val="14"/>
              </w:rPr>
            </w:pPr>
            <w:r w:rsidRPr="007744CA">
              <w:rPr>
                <w:sz w:val="14"/>
                <w:szCs w:val="14"/>
              </w:rPr>
              <w:t>1.2</w:t>
            </w:r>
          </w:p>
          <w:p w14:paraId="2EBCC608" w14:textId="4D3EA3DE" w:rsidR="007264CB" w:rsidRPr="007744CA" w:rsidRDefault="007264CB" w:rsidP="007264CB">
            <w:pPr>
              <w:pStyle w:val="Tabletext"/>
              <w:rPr>
                <w:sz w:val="14"/>
                <w:szCs w:val="14"/>
              </w:rPr>
            </w:pPr>
            <w:r w:rsidRPr="007744CA">
              <w:rPr>
                <w:sz w:val="14"/>
                <w:szCs w:val="14"/>
              </w:rPr>
              <w:t>(1.1–1.4)</w:t>
            </w:r>
          </w:p>
        </w:tc>
        <w:tc>
          <w:tcPr>
            <w:tcW w:w="992" w:type="dxa"/>
            <w:shd w:val="clear" w:color="auto" w:fill="auto"/>
            <w:vAlign w:val="center"/>
          </w:tcPr>
          <w:p w14:paraId="2BA831B9" w14:textId="1597EE25" w:rsidR="007264CB" w:rsidRPr="007744CA" w:rsidRDefault="007264CB" w:rsidP="007264CB">
            <w:pPr>
              <w:pStyle w:val="Tabletext"/>
              <w:rPr>
                <w:sz w:val="14"/>
                <w:szCs w:val="14"/>
              </w:rPr>
            </w:pPr>
            <w:r w:rsidRPr="007744CA">
              <w:rPr>
                <w:sz w:val="14"/>
                <w:szCs w:val="14"/>
              </w:rPr>
              <w:t>1.3</w:t>
            </w:r>
          </w:p>
          <w:p w14:paraId="4EE74944" w14:textId="60467CC7" w:rsidR="007264CB" w:rsidRPr="007744CA" w:rsidRDefault="007264CB" w:rsidP="007264CB">
            <w:pPr>
              <w:pStyle w:val="Tabletext"/>
              <w:rPr>
                <w:sz w:val="14"/>
                <w:szCs w:val="14"/>
              </w:rPr>
            </w:pPr>
            <w:r w:rsidRPr="007744CA">
              <w:rPr>
                <w:sz w:val="14"/>
                <w:szCs w:val="14"/>
              </w:rPr>
              <w:t>(1.2–1.5)</w:t>
            </w:r>
          </w:p>
        </w:tc>
        <w:tc>
          <w:tcPr>
            <w:tcW w:w="992" w:type="dxa"/>
            <w:shd w:val="clear" w:color="auto" w:fill="auto"/>
            <w:vAlign w:val="center"/>
          </w:tcPr>
          <w:p w14:paraId="512EFC85" w14:textId="77777777" w:rsidR="007264CB" w:rsidRPr="007744CA" w:rsidRDefault="007264CB" w:rsidP="007264CB">
            <w:pPr>
              <w:pStyle w:val="Tabletext"/>
              <w:rPr>
                <w:sz w:val="14"/>
                <w:szCs w:val="14"/>
              </w:rPr>
            </w:pPr>
            <w:r w:rsidRPr="007744CA">
              <w:rPr>
                <w:sz w:val="14"/>
                <w:szCs w:val="14"/>
              </w:rPr>
              <w:t>1.3</w:t>
            </w:r>
          </w:p>
          <w:p w14:paraId="0A4E4F9A" w14:textId="3102A5FD" w:rsidR="007264CB" w:rsidRPr="007744CA" w:rsidRDefault="007264CB" w:rsidP="007264CB">
            <w:pPr>
              <w:pStyle w:val="Tabletext"/>
              <w:rPr>
                <w:sz w:val="14"/>
                <w:szCs w:val="14"/>
              </w:rPr>
            </w:pPr>
            <w:r w:rsidRPr="007744CA">
              <w:rPr>
                <w:sz w:val="14"/>
                <w:szCs w:val="14"/>
              </w:rPr>
              <w:t>(1.1–1.5)</w:t>
            </w:r>
          </w:p>
        </w:tc>
        <w:tc>
          <w:tcPr>
            <w:tcW w:w="992" w:type="dxa"/>
            <w:vAlign w:val="center"/>
          </w:tcPr>
          <w:p w14:paraId="1D653710" w14:textId="77777777" w:rsidR="007264CB" w:rsidRPr="007744CA" w:rsidRDefault="007264CB" w:rsidP="007264CB">
            <w:pPr>
              <w:pStyle w:val="Tabletext"/>
              <w:rPr>
                <w:sz w:val="14"/>
                <w:szCs w:val="14"/>
              </w:rPr>
            </w:pPr>
            <w:r w:rsidRPr="007744CA">
              <w:rPr>
                <w:sz w:val="14"/>
                <w:szCs w:val="14"/>
              </w:rPr>
              <w:t>1.3</w:t>
            </w:r>
          </w:p>
          <w:p w14:paraId="6F338DEC" w14:textId="25AEA492" w:rsidR="007264CB" w:rsidRPr="007744CA" w:rsidRDefault="007264CB" w:rsidP="007264CB">
            <w:pPr>
              <w:pStyle w:val="Tabletext"/>
              <w:rPr>
                <w:sz w:val="14"/>
                <w:szCs w:val="14"/>
              </w:rPr>
            </w:pPr>
            <w:r w:rsidRPr="007744CA">
              <w:rPr>
                <w:sz w:val="14"/>
                <w:szCs w:val="14"/>
              </w:rPr>
              <w:t>(1.2–1.6)</w:t>
            </w:r>
          </w:p>
        </w:tc>
        <w:tc>
          <w:tcPr>
            <w:tcW w:w="993" w:type="dxa"/>
            <w:vAlign w:val="center"/>
          </w:tcPr>
          <w:p w14:paraId="592FEB2F" w14:textId="77777777" w:rsidR="007264CB" w:rsidRPr="007744CA" w:rsidRDefault="007264CB" w:rsidP="007264CB">
            <w:pPr>
              <w:pStyle w:val="Tabletext"/>
              <w:rPr>
                <w:sz w:val="14"/>
                <w:szCs w:val="14"/>
              </w:rPr>
            </w:pPr>
            <w:r w:rsidRPr="007744CA">
              <w:rPr>
                <w:sz w:val="14"/>
                <w:szCs w:val="14"/>
              </w:rPr>
              <w:t>1.2</w:t>
            </w:r>
          </w:p>
          <w:p w14:paraId="584B4A5E" w14:textId="092A9215" w:rsidR="007264CB" w:rsidRPr="007744CA" w:rsidRDefault="007264CB" w:rsidP="007264CB">
            <w:pPr>
              <w:pStyle w:val="Tabletext"/>
              <w:rPr>
                <w:sz w:val="14"/>
                <w:szCs w:val="14"/>
              </w:rPr>
            </w:pPr>
            <w:r w:rsidRPr="007744CA">
              <w:rPr>
                <w:sz w:val="14"/>
                <w:szCs w:val="14"/>
              </w:rPr>
              <w:t>(1.1–1.4)</w:t>
            </w:r>
          </w:p>
        </w:tc>
        <w:tc>
          <w:tcPr>
            <w:tcW w:w="992" w:type="dxa"/>
            <w:vAlign w:val="center"/>
          </w:tcPr>
          <w:p w14:paraId="5284A3F8" w14:textId="77777777" w:rsidR="007264CB" w:rsidRPr="007744CA" w:rsidRDefault="007264CB" w:rsidP="007264CB">
            <w:pPr>
              <w:pStyle w:val="Tabletext"/>
              <w:rPr>
                <w:sz w:val="14"/>
                <w:szCs w:val="14"/>
              </w:rPr>
            </w:pPr>
            <w:r w:rsidRPr="007744CA">
              <w:rPr>
                <w:sz w:val="14"/>
                <w:szCs w:val="14"/>
              </w:rPr>
              <w:t>1.4</w:t>
            </w:r>
          </w:p>
          <w:p w14:paraId="03B72CBD" w14:textId="5B4D314D" w:rsidR="007264CB" w:rsidRPr="007744CA" w:rsidRDefault="007264CB" w:rsidP="007264CB">
            <w:pPr>
              <w:pStyle w:val="Tabletext"/>
              <w:rPr>
                <w:sz w:val="14"/>
                <w:szCs w:val="14"/>
              </w:rPr>
            </w:pPr>
            <w:r w:rsidRPr="007744CA">
              <w:rPr>
                <w:sz w:val="14"/>
                <w:szCs w:val="14"/>
              </w:rPr>
              <w:t>(1.2–1.6)</w:t>
            </w:r>
          </w:p>
        </w:tc>
        <w:tc>
          <w:tcPr>
            <w:tcW w:w="983" w:type="dxa"/>
            <w:vAlign w:val="center"/>
          </w:tcPr>
          <w:p w14:paraId="5865320D" w14:textId="0D357F8A" w:rsidR="007264CB" w:rsidRPr="007744CA" w:rsidRDefault="007264CB" w:rsidP="007264CB">
            <w:pPr>
              <w:pStyle w:val="Tabletext"/>
              <w:rPr>
                <w:sz w:val="14"/>
                <w:szCs w:val="14"/>
              </w:rPr>
            </w:pPr>
            <w:r w:rsidRPr="007744CA">
              <w:rPr>
                <w:sz w:val="14"/>
                <w:szCs w:val="14"/>
              </w:rPr>
              <w:t>1.3</w:t>
            </w:r>
          </w:p>
          <w:p w14:paraId="678E2235" w14:textId="762DB379" w:rsidR="007264CB" w:rsidRPr="007744CA" w:rsidRDefault="007264CB" w:rsidP="007264CB">
            <w:pPr>
              <w:pStyle w:val="Tabletext"/>
              <w:rPr>
                <w:sz w:val="14"/>
                <w:szCs w:val="14"/>
              </w:rPr>
            </w:pPr>
            <w:r w:rsidRPr="007744CA">
              <w:rPr>
                <w:sz w:val="14"/>
                <w:szCs w:val="14"/>
              </w:rPr>
              <w:t>(1.1–1.5)</w:t>
            </w:r>
          </w:p>
        </w:tc>
      </w:tr>
    </w:tbl>
    <w:p w14:paraId="0565440B" w14:textId="11A8D4B9" w:rsidR="00767C76" w:rsidRPr="00217A4B" w:rsidRDefault="00215280" w:rsidP="00FA1AAC">
      <w:pPr>
        <w:pStyle w:val="Tablefigurenote"/>
        <w:rPr>
          <w:i/>
          <w:iCs/>
          <w:sz w:val="18"/>
          <w:szCs w:val="18"/>
        </w:rPr>
      </w:pPr>
      <w:r w:rsidRPr="00217A4B">
        <w:rPr>
          <w:i/>
          <w:iCs/>
          <w:sz w:val="18"/>
          <w:szCs w:val="18"/>
        </w:rPr>
        <w:t xml:space="preserve">Note: </w:t>
      </w:r>
      <w:r w:rsidR="006F570F" w:rsidRPr="00217A4B">
        <w:rPr>
          <w:i/>
          <w:iCs/>
          <w:sz w:val="18"/>
          <w:szCs w:val="18"/>
        </w:rPr>
        <w:t xml:space="preserve">Ref </w:t>
      </w:r>
      <w:r w:rsidR="00DC3DA4" w:rsidRPr="00217A4B">
        <w:rPr>
          <w:i/>
          <w:iCs/>
          <w:sz w:val="18"/>
          <w:szCs w:val="18"/>
        </w:rPr>
        <w:t>p</w:t>
      </w:r>
      <w:r w:rsidR="006F570F" w:rsidRPr="00217A4B">
        <w:rPr>
          <w:i/>
          <w:iCs/>
          <w:sz w:val="18"/>
          <w:szCs w:val="18"/>
        </w:rPr>
        <w:t>oint</w:t>
      </w:r>
      <w:r w:rsidR="00C742BA" w:rsidRPr="00217A4B">
        <w:rPr>
          <w:i/>
          <w:iCs/>
          <w:sz w:val="18"/>
          <w:szCs w:val="18"/>
        </w:rPr>
        <w:t xml:space="preserve"> </w:t>
      </w:r>
      <w:r w:rsidRPr="00217A4B">
        <w:rPr>
          <w:i/>
          <w:iCs/>
          <w:sz w:val="18"/>
          <w:szCs w:val="18"/>
        </w:rPr>
        <w:t>=</w:t>
      </w:r>
      <w:r w:rsidR="00C742BA" w:rsidRPr="00217A4B">
        <w:rPr>
          <w:i/>
          <w:iCs/>
          <w:sz w:val="18"/>
          <w:szCs w:val="18"/>
        </w:rPr>
        <w:t xml:space="preserve"> the reference</w:t>
      </w:r>
      <w:r w:rsidRPr="00217A4B">
        <w:rPr>
          <w:i/>
          <w:iCs/>
          <w:sz w:val="18"/>
          <w:szCs w:val="18"/>
        </w:rPr>
        <w:t xml:space="preserve"> point </w:t>
      </w:r>
      <w:r w:rsidR="002507B8" w:rsidRPr="00217A4B">
        <w:rPr>
          <w:i/>
          <w:iCs/>
          <w:sz w:val="18"/>
          <w:szCs w:val="18"/>
        </w:rPr>
        <w:t xml:space="preserve">– </w:t>
      </w:r>
      <w:r w:rsidRPr="00217A4B">
        <w:rPr>
          <w:i/>
          <w:iCs/>
          <w:sz w:val="18"/>
          <w:szCs w:val="18"/>
        </w:rPr>
        <w:t>that is</w:t>
      </w:r>
      <w:r w:rsidR="002507B8" w:rsidRPr="00217A4B">
        <w:rPr>
          <w:i/>
          <w:iCs/>
          <w:sz w:val="18"/>
          <w:szCs w:val="18"/>
        </w:rPr>
        <w:t>,</w:t>
      </w:r>
      <w:r w:rsidRPr="00217A4B">
        <w:rPr>
          <w:i/>
          <w:iCs/>
          <w:sz w:val="18"/>
          <w:szCs w:val="18"/>
        </w:rPr>
        <w:t xml:space="preserve"> the ICS residents with the lowest premature death rate for that particular year</w:t>
      </w:r>
      <w:r w:rsidR="00DC3DA4" w:rsidRPr="00217A4B">
        <w:rPr>
          <w:i/>
          <w:iCs/>
          <w:sz w:val="18"/>
          <w:szCs w:val="18"/>
        </w:rPr>
        <w:t>.</w:t>
      </w:r>
    </w:p>
    <w:p w14:paraId="52631761" w14:textId="3FC6557C" w:rsidR="00665D4B" w:rsidRPr="00E060C8" w:rsidRDefault="00665D4B" w:rsidP="007C7F00">
      <w:pPr>
        <w:pStyle w:val="Heading4"/>
      </w:pPr>
      <w:r w:rsidRPr="00E43803">
        <w:t>Measure assessment</w:t>
      </w:r>
    </w:p>
    <w:p w14:paraId="2ABC08DF" w14:textId="463D7BE2" w:rsidR="00FE5799" w:rsidRPr="00E060C8" w:rsidRDefault="00FE5799" w:rsidP="00606436">
      <w:pPr>
        <w:pStyle w:val="Body"/>
      </w:pPr>
      <w:r w:rsidRPr="009F01B1">
        <w:t>Traffic light rating:</w:t>
      </w:r>
      <w:r w:rsidRPr="00B504AD">
        <w:rPr>
          <w:color w:val="AF272F"/>
        </w:rPr>
        <w:t xml:space="preserve"> </w:t>
      </w:r>
      <w:r w:rsidR="00902763" w:rsidRPr="008D14E5">
        <w:rPr>
          <w:b/>
          <w:color w:val="C5511A"/>
        </w:rPr>
        <w:t>Amber</w:t>
      </w:r>
      <w:r w:rsidR="00EA3932">
        <w:rPr>
          <w:b/>
        </w:rPr>
        <w:t xml:space="preserve"> </w:t>
      </w:r>
      <w:r w:rsidR="00EA3932" w:rsidRPr="00EA3932">
        <w:t>(desired result not yet evident)</w:t>
      </w:r>
    </w:p>
    <w:p w14:paraId="2E0C367C" w14:textId="45C8DFC6" w:rsidR="00FE5799" w:rsidRPr="003E5FD3" w:rsidRDefault="00FE5799" w:rsidP="00606436">
      <w:pPr>
        <w:pStyle w:val="Body"/>
      </w:pPr>
      <w:r w:rsidRPr="00C15AE4">
        <w:t xml:space="preserve">Overall trend: </w:t>
      </w:r>
      <w:r w:rsidR="00902763">
        <w:t>Static or unchanging</w:t>
      </w:r>
    </w:p>
    <w:p w14:paraId="603B8BE3" w14:textId="56D3AD36" w:rsidR="009F7530" w:rsidRPr="00223D80" w:rsidRDefault="00FE5799" w:rsidP="00E87AAA">
      <w:pPr>
        <w:pStyle w:val="Body"/>
      </w:pPr>
      <w:r w:rsidRPr="00657C18">
        <w:t xml:space="preserve">Commentary: </w:t>
      </w:r>
      <w:r w:rsidR="008C3A64">
        <w:t>Figure</w:t>
      </w:r>
      <w:r w:rsidR="00C66555">
        <w:t xml:space="preserve"> </w:t>
      </w:r>
      <w:r w:rsidR="002507B8">
        <w:t xml:space="preserve">5.1 </w:t>
      </w:r>
      <w:r w:rsidR="00C66555">
        <w:t>and Table</w:t>
      </w:r>
      <w:r w:rsidR="008C3A64">
        <w:t xml:space="preserve"> 5.1 show that </w:t>
      </w:r>
      <w:r w:rsidR="00C45622">
        <w:t>between 201</w:t>
      </w:r>
      <w:r w:rsidR="0034015B">
        <w:t>4</w:t>
      </w:r>
      <w:r w:rsidR="00C45622">
        <w:t xml:space="preserve"> and 20</w:t>
      </w:r>
      <w:r w:rsidR="009B6AEF">
        <w:t>2</w:t>
      </w:r>
      <w:r w:rsidR="003F427E">
        <w:t>1</w:t>
      </w:r>
      <w:r w:rsidR="00C45622">
        <w:t xml:space="preserve">, </w:t>
      </w:r>
      <w:r w:rsidR="008C3A64">
        <w:t xml:space="preserve">regional ICSs </w:t>
      </w:r>
      <w:r w:rsidR="00C45622">
        <w:t>ha</w:t>
      </w:r>
      <w:r w:rsidR="002507B8">
        <w:t>d</w:t>
      </w:r>
      <w:r w:rsidR="00C45622">
        <w:t xml:space="preserve"> populations that </w:t>
      </w:r>
      <w:r w:rsidR="002507B8">
        <w:t>we</w:t>
      </w:r>
      <w:r w:rsidR="00C45622">
        <w:t>re experiencing a greater burden of disease due to cancer</w:t>
      </w:r>
      <w:r w:rsidR="002507B8">
        <w:t>,</w:t>
      </w:r>
      <w:r w:rsidR="00C45622">
        <w:t xml:space="preserve"> in particular </w:t>
      </w:r>
      <w:r w:rsidR="00DC3DA4">
        <w:t>GR</w:t>
      </w:r>
      <w:r w:rsidR="00C45622">
        <w:t xml:space="preserve">ICS, </w:t>
      </w:r>
      <w:r w:rsidR="00DC3DA4">
        <w:t>LM</w:t>
      </w:r>
      <w:r w:rsidR="00C45622">
        <w:t xml:space="preserve">ICS and </w:t>
      </w:r>
      <w:r w:rsidR="00DC3DA4">
        <w:t>G</w:t>
      </w:r>
      <w:r w:rsidR="00C45622">
        <w:t>ICS</w:t>
      </w:r>
      <w:r w:rsidR="002507B8">
        <w:t>,</w:t>
      </w:r>
      <w:r w:rsidR="00C45622">
        <w:t xml:space="preserve"> which on average ha</w:t>
      </w:r>
      <w:r w:rsidR="002507B8">
        <w:t>d</w:t>
      </w:r>
      <w:r w:rsidR="00C45622">
        <w:t xml:space="preserve"> a higher rate of premature death.</w:t>
      </w:r>
      <w:r w:rsidR="00952FC7">
        <w:t xml:space="preserve"> </w:t>
      </w:r>
      <w:r w:rsidR="00C45622">
        <w:t>No target has been set for this measure</w:t>
      </w:r>
      <w:r w:rsidR="00B40166">
        <w:t>;</w:t>
      </w:r>
      <w:r w:rsidR="00C45622">
        <w:t xml:space="preserve"> however</w:t>
      </w:r>
      <w:r w:rsidR="00B40166">
        <w:t>,</w:t>
      </w:r>
      <w:r w:rsidR="00C45622">
        <w:t xml:space="preserve"> </w:t>
      </w:r>
      <w:r w:rsidR="004F0020">
        <w:t xml:space="preserve">what these results show is that initiatives designed to address this disparity faced by Victorians in rural and remote regions who are diagnosed with cancer are </w:t>
      </w:r>
      <w:r w:rsidR="009B6AEF">
        <w:t xml:space="preserve">still </w:t>
      </w:r>
      <w:r w:rsidR="004F0020">
        <w:t>warranted.</w:t>
      </w:r>
      <w:r w:rsidR="009F7530">
        <w:br w:type="page"/>
      </w:r>
    </w:p>
    <w:p w14:paraId="5435C7CD" w14:textId="4967935B" w:rsidR="00E8458B" w:rsidRPr="003E6A0B" w:rsidRDefault="00E8458B" w:rsidP="00A451D4">
      <w:pPr>
        <w:pStyle w:val="Heading3"/>
        <w:rPr>
          <w:b/>
          <w:bCs w:val="0"/>
        </w:rPr>
      </w:pPr>
      <w:bookmarkStart w:id="329" w:name="_Measure_5.2_–"/>
      <w:bookmarkStart w:id="330" w:name="_Toc19008048"/>
      <w:bookmarkEnd w:id="329"/>
      <w:r w:rsidRPr="003E6A0B">
        <w:rPr>
          <w:b/>
          <w:bCs w:val="0"/>
        </w:rPr>
        <w:lastRenderedPageBreak/>
        <w:t xml:space="preserve">Measure 5.2 – Rate ratio of premature death rate due to cancer between </w:t>
      </w:r>
      <w:r w:rsidR="002C35B2" w:rsidRPr="003E6A0B">
        <w:rPr>
          <w:b/>
          <w:bCs w:val="0"/>
        </w:rPr>
        <w:t>socioeconomic</w:t>
      </w:r>
      <w:r w:rsidRPr="003E6A0B">
        <w:rPr>
          <w:b/>
          <w:bCs w:val="0"/>
        </w:rPr>
        <w:t xml:space="preserve"> quintiles</w:t>
      </w:r>
      <w:bookmarkEnd w:id="330"/>
    </w:p>
    <w:p w14:paraId="7D322842" w14:textId="14F58A76" w:rsidR="004E1F9D" w:rsidRPr="00217A4B" w:rsidRDefault="004E1F9D" w:rsidP="00A41066">
      <w:pPr>
        <w:pStyle w:val="Figurecaption"/>
        <w:rPr>
          <w:rFonts w:eastAsiaTheme="majorEastAsia"/>
          <w:sz w:val="20"/>
        </w:rPr>
      </w:pPr>
      <w:bookmarkStart w:id="331" w:name="_Toc19008049"/>
      <w:bookmarkStart w:id="332" w:name="_Toc19008292"/>
      <w:bookmarkStart w:id="333" w:name="_Toc19008439"/>
      <w:bookmarkStart w:id="334" w:name="_Toc19008586"/>
      <w:bookmarkStart w:id="335" w:name="_Toc132553020"/>
      <w:bookmarkStart w:id="336" w:name="_Toc140827628"/>
      <w:r w:rsidRPr="00217A4B">
        <w:rPr>
          <w:rFonts w:eastAsiaTheme="majorEastAsia"/>
          <w:sz w:val="20"/>
        </w:rPr>
        <w:t>Figure 5.2</w:t>
      </w:r>
      <w:r w:rsidR="003B391F" w:rsidRPr="00217A4B">
        <w:rPr>
          <w:sz w:val="20"/>
        </w:rPr>
        <w:t>:</w:t>
      </w:r>
      <w:r w:rsidRPr="00217A4B">
        <w:rPr>
          <w:rFonts w:eastAsiaTheme="majorEastAsia"/>
          <w:sz w:val="20"/>
        </w:rPr>
        <w:t xml:space="preserve"> Rate ratio of premature death </w:t>
      </w:r>
      <w:r w:rsidR="00DD11EF" w:rsidRPr="00217A4B">
        <w:rPr>
          <w:rFonts w:eastAsiaTheme="majorEastAsia"/>
          <w:sz w:val="20"/>
        </w:rPr>
        <w:t xml:space="preserve">(with confidence intervals) </w:t>
      </w:r>
      <w:r w:rsidRPr="00217A4B">
        <w:rPr>
          <w:rFonts w:eastAsiaTheme="majorEastAsia"/>
          <w:sz w:val="20"/>
        </w:rPr>
        <w:t xml:space="preserve">due to cancer in </w:t>
      </w:r>
      <w:r w:rsidR="008D2095" w:rsidRPr="00217A4B">
        <w:rPr>
          <w:rFonts w:eastAsiaTheme="majorEastAsia"/>
          <w:sz w:val="20"/>
        </w:rPr>
        <w:t>SES</w:t>
      </w:r>
      <w:r w:rsidRPr="00217A4B">
        <w:rPr>
          <w:rFonts w:eastAsiaTheme="majorEastAsia"/>
          <w:sz w:val="20"/>
        </w:rPr>
        <w:t xml:space="preserve"> quintiles 1</w:t>
      </w:r>
      <w:r w:rsidR="008D2095" w:rsidRPr="00217A4B">
        <w:rPr>
          <w:rFonts w:eastAsiaTheme="majorEastAsia"/>
          <w:sz w:val="20"/>
        </w:rPr>
        <w:t>–</w:t>
      </w:r>
      <w:r w:rsidRPr="00217A4B">
        <w:rPr>
          <w:rFonts w:eastAsiaTheme="majorEastAsia"/>
          <w:sz w:val="20"/>
        </w:rPr>
        <w:t xml:space="preserve">4 (where SES 1 is most disadvantaged) compared </w:t>
      </w:r>
      <w:r w:rsidR="008D2095" w:rsidRPr="00217A4B">
        <w:rPr>
          <w:rFonts w:eastAsiaTheme="majorEastAsia"/>
          <w:sz w:val="20"/>
        </w:rPr>
        <w:t>with</w:t>
      </w:r>
      <w:r w:rsidRPr="00217A4B">
        <w:rPr>
          <w:rFonts w:eastAsiaTheme="majorEastAsia"/>
          <w:sz w:val="20"/>
        </w:rPr>
        <w:t xml:space="preserve"> the least disadvantaged </w:t>
      </w:r>
      <w:r w:rsidR="00DC3DA4" w:rsidRPr="00217A4B">
        <w:rPr>
          <w:rFonts w:eastAsiaTheme="majorEastAsia"/>
          <w:sz w:val="20"/>
        </w:rPr>
        <w:t>quintile</w:t>
      </w:r>
      <w:r w:rsidRPr="00217A4B">
        <w:rPr>
          <w:rFonts w:eastAsiaTheme="majorEastAsia"/>
          <w:sz w:val="20"/>
        </w:rPr>
        <w:t>, grouped by year of diagnosis</w:t>
      </w:r>
      <w:r w:rsidR="008D2095" w:rsidRPr="00217A4B">
        <w:rPr>
          <w:rFonts w:eastAsiaTheme="majorEastAsia"/>
          <w:sz w:val="20"/>
        </w:rPr>
        <w:t>,</w:t>
      </w:r>
      <w:r w:rsidRPr="00217A4B">
        <w:rPr>
          <w:rFonts w:eastAsiaTheme="majorEastAsia"/>
          <w:sz w:val="20"/>
        </w:rPr>
        <w:t xml:space="preserve"> 201</w:t>
      </w:r>
      <w:r w:rsidR="002350EC" w:rsidRPr="00217A4B">
        <w:rPr>
          <w:rFonts w:eastAsiaTheme="majorEastAsia"/>
          <w:sz w:val="20"/>
        </w:rPr>
        <w:t>4</w:t>
      </w:r>
      <w:r w:rsidR="008D2095" w:rsidRPr="00217A4B">
        <w:rPr>
          <w:rFonts w:eastAsiaTheme="majorEastAsia"/>
          <w:sz w:val="20"/>
        </w:rPr>
        <w:t>–</w:t>
      </w:r>
      <w:r w:rsidRPr="00217A4B">
        <w:rPr>
          <w:rFonts w:eastAsiaTheme="majorEastAsia"/>
          <w:sz w:val="20"/>
        </w:rPr>
        <w:t>20</w:t>
      </w:r>
      <w:bookmarkEnd w:id="331"/>
      <w:bookmarkEnd w:id="332"/>
      <w:bookmarkEnd w:id="333"/>
      <w:bookmarkEnd w:id="334"/>
      <w:r w:rsidR="00DF490B" w:rsidRPr="00217A4B">
        <w:rPr>
          <w:rFonts w:eastAsiaTheme="majorEastAsia"/>
          <w:sz w:val="20"/>
        </w:rPr>
        <w:t>2</w:t>
      </w:r>
      <w:r w:rsidR="00640E45" w:rsidRPr="00217A4B">
        <w:rPr>
          <w:rFonts w:eastAsiaTheme="majorEastAsia"/>
          <w:sz w:val="20"/>
        </w:rPr>
        <w:t>1</w:t>
      </w:r>
      <w:bookmarkEnd w:id="335"/>
      <w:bookmarkEnd w:id="336"/>
    </w:p>
    <w:p w14:paraId="29809A53" w14:textId="1F766CE2" w:rsidR="00640E45" w:rsidRPr="00640E45" w:rsidRDefault="00640E45" w:rsidP="00E87AAA">
      <w:pPr>
        <w:pStyle w:val="Body"/>
      </w:pPr>
      <w:r>
        <w:rPr>
          <w:noProof/>
        </w:rPr>
        <w:drawing>
          <wp:inline distT="0" distB="0" distL="0" distR="0" wp14:anchorId="1D3BD4EC" wp14:editId="3B61BC00">
            <wp:extent cx="6011585" cy="4492645"/>
            <wp:effectExtent l="0" t="0" r="8255" b="3175"/>
            <wp:docPr id="231" name="Picture 231" descr="This figure shows a summary of 'Measure 5.2 - Rate ratio of premature cancer incidence between socioeconomic quintiles'.  The data for this figure is available in this section for the study period 2014 to 2021 - refer to Tabl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This figure shows a summary of 'Measure 5.2 - Rate ratio of premature cancer incidence between socioeconomic quintiles'.  The data for this figure is available in this section for the study period 2014 to 2021 - refer to Table 5.2."/>
                    <pic:cNvPicPr/>
                  </pic:nvPicPr>
                  <pic:blipFill>
                    <a:blip r:embed="rId72"/>
                    <a:stretch>
                      <a:fillRect/>
                    </a:stretch>
                  </pic:blipFill>
                  <pic:spPr>
                    <a:xfrm>
                      <a:off x="0" y="0"/>
                      <a:ext cx="6035127" cy="4510239"/>
                    </a:xfrm>
                    <a:prstGeom prst="rect">
                      <a:avLst/>
                    </a:prstGeom>
                  </pic:spPr>
                </pic:pic>
              </a:graphicData>
            </a:graphic>
          </wp:inline>
        </w:drawing>
      </w:r>
    </w:p>
    <w:p w14:paraId="07ADCB14" w14:textId="10046D07" w:rsidR="00FB079F" w:rsidRPr="00217A4B" w:rsidRDefault="00C161E8" w:rsidP="00FA1AAC">
      <w:pPr>
        <w:pStyle w:val="Tablefigurenote"/>
        <w:rPr>
          <w:rFonts w:cs="Arial"/>
          <w:i/>
          <w:iCs/>
          <w:sz w:val="18"/>
          <w:szCs w:val="18"/>
        </w:rPr>
      </w:pPr>
      <w:r w:rsidRPr="00217A4B">
        <w:rPr>
          <w:rFonts w:cs="Arial"/>
          <w:i/>
          <w:iCs/>
          <w:sz w:val="18"/>
          <w:szCs w:val="18"/>
        </w:rPr>
        <w:t>Note: E</w:t>
      </w:r>
      <w:r w:rsidR="00044B95" w:rsidRPr="00217A4B">
        <w:rPr>
          <w:rFonts w:cs="Arial"/>
          <w:i/>
          <w:iCs/>
          <w:sz w:val="18"/>
          <w:szCs w:val="18"/>
        </w:rPr>
        <w:t>R</w:t>
      </w:r>
      <w:r w:rsidRPr="00217A4B">
        <w:rPr>
          <w:rFonts w:cs="Arial"/>
          <w:i/>
          <w:iCs/>
          <w:sz w:val="18"/>
          <w:szCs w:val="18"/>
        </w:rPr>
        <w:t xml:space="preserve">P files were sourced from </w:t>
      </w:r>
      <w:r w:rsidR="00DC3DA4" w:rsidRPr="00217A4B">
        <w:rPr>
          <w:rFonts w:cs="Arial"/>
          <w:i/>
          <w:iCs/>
          <w:sz w:val="18"/>
          <w:szCs w:val="18"/>
        </w:rPr>
        <w:t xml:space="preserve">the </w:t>
      </w:r>
      <w:r w:rsidRPr="00217A4B">
        <w:rPr>
          <w:rFonts w:cs="Arial"/>
          <w:i/>
          <w:iCs/>
          <w:sz w:val="18"/>
          <w:szCs w:val="18"/>
        </w:rPr>
        <w:t>ABS.</w:t>
      </w:r>
      <w:r w:rsidR="00317888" w:rsidRPr="00217A4B">
        <w:rPr>
          <w:rFonts w:cs="Arial"/>
          <w:i/>
          <w:iCs/>
          <w:sz w:val="18"/>
          <w:szCs w:val="18"/>
        </w:rPr>
        <w:t xml:space="preserve"> Note</w:t>
      </w:r>
      <w:r w:rsidR="00BE3211" w:rsidRPr="00217A4B">
        <w:rPr>
          <w:rFonts w:cs="Arial"/>
          <w:i/>
          <w:iCs/>
          <w:sz w:val="18"/>
          <w:szCs w:val="18"/>
        </w:rPr>
        <w:t xml:space="preserve"> that</w:t>
      </w:r>
      <w:r w:rsidR="00317888" w:rsidRPr="00217A4B">
        <w:rPr>
          <w:rFonts w:cs="Arial"/>
          <w:i/>
          <w:iCs/>
          <w:sz w:val="18"/>
          <w:szCs w:val="18"/>
        </w:rPr>
        <w:t xml:space="preserve"> at the time of preparing this report, </w:t>
      </w:r>
      <w:r w:rsidR="002507B8" w:rsidRPr="00217A4B">
        <w:rPr>
          <w:rFonts w:cs="Arial"/>
          <w:i/>
          <w:iCs/>
          <w:sz w:val="18"/>
          <w:szCs w:val="18"/>
        </w:rPr>
        <w:t>the ABS had not yet finalised the 20</w:t>
      </w:r>
      <w:r w:rsidR="000B60EA" w:rsidRPr="00217A4B">
        <w:rPr>
          <w:rFonts w:cs="Arial"/>
          <w:i/>
          <w:iCs/>
          <w:sz w:val="18"/>
          <w:szCs w:val="18"/>
        </w:rPr>
        <w:t>2</w:t>
      </w:r>
      <w:r w:rsidR="00217A4B">
        <w:rPr>
          <w:rFonts w:cs="Arial"/>
          <w:i/>
          <w:iCs/>
          <w:sz w:val="18"/>
          <w:szCs w:val="18"/>
        </w:rPr>
        <w:t>1</w:t>
      </w:r>
      <w:r w:rsidR="002507B8" w:rsidRPr="00217A4B">
        <w:rPr>
          <w:rFonts w:cs="Arial"/>
          <w:i/>
          <w:iCs/>
          <w:sz w:val="18"/>
          <w:szCs w:val="18"/>
        </w:rPr>
        <w:t xml:space="preserve"> ERP</w:t>
      </w:r>
      <w:r w:rsidR="00317888" w:rsidRPr="00217A4B">
        <w:rPr>
          <w:rFonts w:cs="Arial"/>
          <w:i/>
          <w:iCs/>
          <w:sz w:val="18"/>
          <w:szCs w:val="18"/>
        </w:rPr>
        <w:t xml:space="preserve">. </w:t>
      </w:r>
    </w:p>
    <w:p w14:paraId="106A0A8B" w14:textId="33AC2CDF" w:rsidR="00AF7B0A" w:rsidRPr="002868B0" w:rsidRDefault="00FB079F" w:rsidP="002868B0">
      <w:pPr>
        <w:pStyle w:val="Tablefigurenote"/>
      </w:pPr>
      <w:r w:rsidRPr="00217A4B">
        <w:rPr>
          <w:rFonts w:cs="Arial"/>
          <w:i/>
          <w:iCs/>
          <w:sz w:val="18"/>
          <w:szCs w:val="18"/>
        </w:rPr>
        <w:t xml:space="preserve">The baseline SES quintile used for calculating the rate ratios for each year is SES quintile 5 (least disadvantaged) and is highlighted in </w:t>
      </w:r>
      <w:r w:rsidRPr="00217A4B">
        <w:rPr>
          <w:rFonts w:cs="Arial"/>
          <w:i/>
          <w:iCs/>
          <w:color w:val="C00000"/>
          <w:sz w:val="18"/>
          <w:szCs w:val="18"/>
        </w:rPr>
        <w:t>red</w:t>
      </w:r>
      <w:r w:rsidRPr="00217A4B">
        <w:rPr>
          <w:rFonts w:cs="Arial"/>
          <w:i/>
          <w:iCs/>
          <w:sz w:val="18"/>
          <w:szCs w:val="18"/>
        </w:rPr>
        <w:t xml:space="preserve">. A rate ratio greater than </w:t>
      </w:r>
      <w:r w:rsidR="0093423C" w:rsidRPr="00217A4B">
        <w:rPr>
          <w:rFonts w:cs="Arial"/>
          <w:i/>
          <w:iCs/>
          <w:sz w:val="18"/>
          <w:szCs w:val="18"/>
        </w:rPr>
        <w:t xml:space="preserve">1 </w:t>
      </w:r>
      <w:r w:rsidRPr="00217A4B">
        <w:rPr>
          <w:rFonts w:cs="Arial"/>
          <w:i/>
          <w:iCs/>
          <w:sz w:val="18"/>
          <w:szCs w:val="18"/>
        </w:rPr>
        <w:t>indicates a higher incidence rate than the baseline SES quintile.</w:t>
      </w:r>
      <w:bookmarkStart w:id="337" w:name="_Toc18908725"/>
      <w:r w:rsidR="00AF7B0A">
        <w:br w:type="page"/>
      </w:r>
    </w:p>
    <w:p w14:paraId="2461F7B4" w14:textId="13EA6C32" w:rsidR="00E51416" w:rsidRPr="00217A4B" w:rsidRDefault="00E51416" w:rsidP="008C38C6">
      <w:pPr>
        <w:pStyle w:val="Tablecaption"/>
        <w:rPr>
          <w:sz w:val="20"/>
        </w:rPr>
      </w:pPr>
      <w:bookmarkStart w:id="338" w:name="_Toc132491522"/>
      <w:bookmarkStart w:id="339" w:name="_Toc140834913"/>
      <w:r w:rsidRPr="00217A4B">
        <w:rPr>
          <w:sz w:val="20"/>
        </w:rPr>
        <w:lastRenderedPageBreak/>
        <w:t xml:space="preserve">Table </w:t>
      </w:r>
      <w:r w:rsidR="00DB1E30" w:rsidRPr="00217A4B">
        <w:rPr>
          <w:sz w:val="20"/>
        </w:rPr>
        <w:t>5</w:t>
      </w:r>
      <w:r w:rsidRPr="00217A4B">
        <w:rPr>
          <w:sz w:val="20"/>
        </w:rPr>
        <w:t>.2</w:t>
      </w:r>
      <w:r w:rsidR="001F7E28" w:rsidRPr="00217A4B">
        <w:rPr>
          <w:sz w:val="20"/>
        </w:rPr>
        <w:t>:</w:t>
      </w:r>
      <w:r w:rsidRPr="00217A4B">
        <w:rPr>
          <w:sz w:val="20"/>
        </w:rPr>
        <w:t xml:space="preserve"> Rate ratio of pre</w:t>
      </w:r>
      <w:r w:rsidR="00A928B0" w:rsidRPr="00217A4B">
        <w:rPr>
          <w:sz w:val="20"/>
        </w:rPr>
        <w:t>mature death</w:t>
      </w:r>
      <w:r w:rsidRPr="00217A4B">
        <w:rPr>
          <w:sz w:val="20"/>
        </w:rPr>
        <w:t xml:space="preserve"> incidence (with confidence intervals) for Victoria in </w:t>
      </w:r>
      <w:r w:rsidR="008D2095" w:rsidRPr="00217A4B">
        <w:rPr>
          <w:sz w:val="20"/>
        </w:rPr>
        <w:t>SES</w:t>
      </w:r>
      <w:r w:rsidRPr="00217A4B">
        <w:rPr>
          <w:sz w:val="20"/>
        </w:rPr>
        <w:t xml:space="preserve"> quintiles 1</w:t>
      </w:r>
      <w:r w:rsidR="008D2095" w:rsidRPr="00217A4B">
        <w:rPr>
          <w:sz w:val="20"/>
        </w:rPr>
        <w:t>–</w:t>
      </w:r>
      <w:r w:rsidRPr="00217A4B">
        <w:rPr>
          <w:sz w:val="20"/>
        </w:rPr>
        <w:t xml:space="preserve">4 (where SES 1 is most disadvantaged) compared </w:t>
      </w:r>
      <w:r w:rsidR="001B50BF" w:rsidRPr="00217A4B">
        <w:rPr>
          <w:sz w:val="20"/>
        </w:rPr>
        <w:t xml:space="preserve">with </w:t>
      </w:r>
      <w:r w:rsidRPr="00217A4B">
        <w:rPr>
          <w:sz w:val="20"/>
        </w:rPr>
        <w:t xml:space="preserve">the least disadvantaged </w:t>
      </w:r>
      <w:r w:rsidR="00DC3DA4" w:rsidRPr="00217A4B">
        <w:rPr>
          <w:sz w:val="20"/>
        </w:rPr>
        <w:t>quintile</w:t>
      </w:r>
      <w:r w:rsidRPr="00217A4B">
        <w:rPr>
          <w:sz w:val="20"/>
        </w:rPr>
        <w:t>, grouped by year of diagnosis</w:t>
      </w:r>
      <w:r w:rsidR="008D2095" w:rsidRPr="00217A4B">
        <w:rPr>
          <w:sz w:val="20"/>
        </w:rPr>
        <w:t>,</w:t>
      </w:r>
      <w:r w:rsidRPr="00217A4B">
        <w:rPr>
          <w:sz w:val="20"/>
        </w:rPr>
        <w:t xml:space="preserve"> 201</w:t>
      </w:r>
      <w:r w:rsidR="00DB1E30" w:rsidRPr="00217A4B">
        <w:rPr>
          <w:sz w:val="20"/>
        </w:rPr>
        <w:t>4</w:t>
      </w:r>
      <w:r w:rsidR="008D2095" w:rsidRPr="00217A4B">
        <w:rPr>
          <w:sz w:val="20"/>
        </w:rPr>
        <w:t>–</w:t>
      </w:r>
      <w:r w:rsidRPr="00217A4B">
        <w:rPr>
          <w:sz w:val="20"/>
        </w:rPr>
        <w:t>20</w:t>
      </w:r>
      <w:bookmarkEnd w:id="337"/>
      <w:r w:rsidR="00DF490B" w:rsidRPr="00217A4B">
        <w:rPr>
          <w:sz w:val="20"/>
        </w:rPr>
        <w:t>2</w:t>
      </w:r>
      <w:r w:rsidR="006F3A4C" w:rsidRPr="00217A4B">
        <w:rPr>
          <w:sz w:val="20"/>
        </w:rPr>
        <w:t>1</w:t>
      </w:r>
      <w:bookmarkEnd w:id="338"/>
      <w:bookmarkEnd w:id="339"/>
    </w:p>
    <w:tbl>
      <w:tblPr>
        <w:tblStyle w:val="TableGrid"/>
        <w:tblW w:w="9509" w:type="dxa"/>
        <w:tblInd w:w="-1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shd w:val="clear" w:color="auto" w:fill="EDCDCF"/>
        <w:tblLook w:val="04A0" w:firstRow="1" w:lastRow="0" w:firstColumn="1" w:lastColumn="0" w:noHBand="0" w:noVBand="1"/>
      </w:tblPr>
      <w:tblGrid>
        <w:gridCol w:w="1793"/>
        <w:gridCol w:w="1010"/>
        <w:gridCol w:w="956"/>
        <w:gridCol w:w="956"/>
        <w:gridCol w:w="1115"/>
        <w:gridCol w:w="939"/>
        <w:gridCol w:w="939"/>
        <w:gridCol w:w="939"/>
        <w:gridCol w:w="862"/>
      </w:tblGrid>
      <w:tr w:rsidR="006F3A4C" w:rsidRPr="007744CA" w14:paraId="77618269" w14:textId="75BF6909" w:rsidTr="007744CA">
        <w:trPr>
          <w:trHeight w:val="179"/>
        </w:trPr>
        <w:tc>
          <w:tcPr>
            <w:tcW w:w="1793" w:type="dxa"/>
            <w:shd w:val="clear" w:color="auto" w:fill="EDCDCF"/>
            <w:vAlign w:val="center"/>
          </w:tcPr>
          <w:p w14:paraId="3C35403E" w14:textId="4536FFC6" w:rsidR="006F3A4C" w:rsidRPr="007744CA" w:rsidRDefault="006F3A4C" w:rsidP="006F3A4C">
            <w:pPr>
              <w:pStyle w:val="Tablecolhead"/>
              <w:rPr>
                <w:sz w:val="16"/>
                <w:szCs w:val="16"/>
                <w:lang w:eastAsia="en-AU"/>
              </w:rPr>
            </w:pPr>
            <w:r w:rsidRPr="007744CA">
              <w:rPr>
                <w:sz w:val="16"/>
                <w:szCs w:val="16"/>
              </w:rPr>
              <w:t>SES</w:t>
            </w:r>
          </w:p>
        </w:tc>
        <w:tc>
          <w:tcPr>
            <w:tcW w:w="1010" w:type="dxa"/>
            <w:shd w:val="clear" w:color="auto" w:fill="EDCDCF"/>
            <w:vAlign w:val="center"/>
          </w:tcPr>
          <w:p w14:paraId="3F71AD37" w14:textId="77777777" w:rsidR="006F3A4C" w:rsidRPr="007744CA" w:rsidRDefault="006F3A4C" w:rsidP="006F3A4C">
            <w:pPr>
              <w:pStyle w:val="Tablecolhead"/>
              <w:jc w:val="center"/>
              <w:rPr>
                <w:sz w:val="16"/>
                <w:szCs w:val="16"/>
                <w:lang w:eastAsia="en-AU"/>
              </w:rPr>
            </w:pPr>
            <w:r w:rsidRPr="007744CA">
              <w:rPr>
                <w:sz w:val="16"/>
                <w:szCs w:val="16"/>
                <w:lang w:eastAsia="en-AU"/>
              </w:rPr>
              <w:t>2014</w:t>
            </w:r>
          </w:p>
          <w:p w14:paraId="13A9E276" w14:textId="2D3BD67A" w:rsidR="006F3A4C" w:rsidRPr="007744CA" w:rsidRDefault="006F3A4C" w:rsidP="006F3A4C">
            <w:pPr>
              <w:pStyle w:val="Tablecolhead"/>
              <w:jc w:val="center"/>
              <w:rPr>
                <w:sz w:val="16"/>
                <w:szCs w:val="16"/>
                <w:lang w:eastAsia="en-AU"/>
              </w:rPr>
            </w:pPr>
            <w:r w:rsidRPr="007744CA">
              <w:rPr>
                <w:sz w:val="16"/>
                <w:szCs w:val="16"/>
                <w:lang w:eastAsia="en-AU"/>
              </w:rPr>
              <w:t>(95% CI)</w:t>
            </w:r>
          </w:p>
        </w:tc>
        <w:tc>
          <w:tcPr>
            <w:tcW w:w="956" w:type="dxa"/>
            <w:shd w:val="clear" w:color="auto" w:fill="EDCDCF"/>
            <w:vAlign w:val="center"/>
          </w:tcPr>
          <w:p w14:paraId="3800BEF6" w14:textId="77777777" w:rsidR="006F3A4C" w:rsidRPr="007744CA" w:rsidRDefault="006F3A4C" w:rsidP="006F3A4C">
            <w:pPr>
              <w:pStyle w:val="Tablecolhead"/>
              <w:jc w:val="center"/>
              <w:rPr>
                <w:sz w:val="16"/>
                <w:szCs w:val="16"/>
                <w:lang w:eastAsia="en-AU"/>
              </w:rPr>
            </w:pPr>
            <w:r w:rsidRPr="007744CA">
              <w:rPr>
                <w:sz w:val="16"/>
                <w:szCs w:val="16"/>
                <w:lang w:eastAsia="en-AU"/>
              </w:rPr>
              <w:t>2015</w:t>
            </w:r>
          </w:p>
          <w:p w14:paraId="6178AB45" w14:textId="0FAAA29C" w:rsidR="006F3A4C" w:rsidRPr="007744CA" w:rsidRDefault="006F3A4C" w:rsidP="006F3A4C">
            <w:pPr>
              <w:pStyle w:val="Tablecolhead"/>
              <w:jc w:val="center"/>
              <w:rPr>
                <w:sz w:val="16"/>
                <w:szCs w:val="16"/>
                <w:lang w:eastAsia="en-AU"/>
              </w:rPr>
            </w:pPr>
            <w:r w:rsidRPr="007744CA">
              <w:rPr>
                <w:sz w:val="16"/>
                <w:szCs w:val="16"/>
                <w:lang w:eastAsia="en-AU"/>
              </w:rPr>
              <w:t>(95% CI)</w:t>
            </w:r>
          </w:p>
        </w:tc>
        <w:tc>
          <w:tcPr>
            <w:tcW w:w="956" w:type="dxa"/>
            <w:shd w:val="clear" w:color="auto" w:fill="EDCDCF"/>
            <w:vAlign w:val="center"/>
          </w:tcPr>
          <w:p w14:paraId="7879654C" w14:textId="77777777" w:rsidR="006F3A4C" w:rsidRPr="007744CA" w:rsidRDefault="006F3A4C" w:rsidP="006F3A4C">
            <w:pPr>
              <w:pStyle w:val="Tablecolhead"/>
              <w:jc w:val="center"/>
              <w:rPr>
                <w:sz w:val="16"/>
                <w:szCs w:val="16"/>
                <w:lang w:eastAsia="en-AU"/>
              </w:rPr>
            </w:pPr>
            <w:r w:rsidRPr="007744CA">
              <w:rPr>
                <w:sz w:val="16"/>
                <w:szCs w:val="16"/>
                <w:lang w:eastAsia="en-AU"/>
              </w:rPr>
              <w:t>2016</w:t>
            </w:r>
          </w:p>
          <w:p w14:paraId="41F0FFC2" w14:textId="64301DA7" w:rsidR="006F3A4C" w:rsidRPr="007744CA" w:rsidRDefault="006F3A4C" w:rsidP="006F3A4C">
            <w:pPr>
              <w:pStyle w:val="Tablecolhead"/>
              <w:jc w:val="center"/>
              <w:rPr>
                <w:sz w:val="16"/>
                <w:szCs w:val="16"/>
                <w:lang w:eastAsia="en-AU"/>
              </w:rPr>
            </w:pPr>
            <w:r w:rsidRPr="007744CA">
              <w:rPr>
                <w:sz w:val="16"/>
                <w:szCs w:val="16"/>
                <w:lang w:eastAsia="en-AU"/>
              </w:rPr>
              <w:t>(95% CI)</w:t>
            </w:r>
          </w:p>
        </w:tc>
        <w:tc>
          <w:tcPr>
            <w:tcW w:w="1115" w:type="dxa"/>
            <w:shd w:val="clear" w:color="auto" w:fill="EDCDCF"/>
            <w:vAlign w:val="center"/>
          </w:tcPr>
          <w:p w14:paraId="6A9A2327" w14:textId="77777777" w:rsidR="006F3A4C" w:rsidRPr="007744CA" w:rsidRDefault="006F3A4C" w:rsidP="006F3A4C">
            <w:pPr>
              <w:pStyle w:val="Tablecolhead"/>
              <w:jc w:val="center"/>
              <w:rPr>
                <w:sz w:val="16"/>
                <w:szCs w:val="16"/>
                <w:lang w:eastAsia="en-AU"/>
              </w:rPr>
            </w:pPr>
            <w:r w:rsidRPr="007744CA">
              <w:rPr>
                <w:sz w:val="16"/>
                <w:szCs w:val="16"/>
                <w:lang w:eastAsia="en-AU"/>
              </w:rPr>
              <w:t>2017</w:t>
            </w:r>
          </w:p>
          <w:p w14:paraId="5F5A023A" w14:textId="3643857B" w:rsidR="006F3A4C" w:rsidRPr="007744CA" w:rsidRDefault="006F3A4C" w:rsidP="006F3A4C">
            <w:pPr>
              <w:pStyle w:val="Tablecolhead"/>
              <w:jc w:val="center"/>
              <w:rPr>
                <w:sz w:val="16"/>
                <w:szCs w:val="16"/>
                <w:lang w:eastAsia="en-AU"/>
              </w:rPr>
            </w:pPr>
            <w:r w:rsidRPr="007744CA">
              <w:rPr>
                <w:sz w:val="16"/>
                <w:szCs w:val="16"/>
                <w:lang w:eastAsia="en-AU"/>
              </w:rPr>
              <w:t>(95% CI)</w:t>
            </w:r>
          </w:p>
        </w:tc>
        <w:tc>
          <w:tcPr>
            <w:tcW w:w="939" w:type="dxa"/>
            <w:shd w:val="clear" w:color="auto" w:fill="EDCDCF"/>
          </w:tcPr>
          <w:p w14:paraId="2F0C39DD" w14:textId="21EB22F2" w:rsidR="006F3A4C" w:rsidRPr="007744CA" w:rsidRDefault="006F3A4C" w:rsidP="006F3A4C">
            <w:pPr>
              <w:pStyle w:val="Tablecolhead"/>
              <w:jc w:val="center"/>
              <w:rPr>
                <w:sz w:val="16"/>
                <w:szCs w:val="16"/>
                <w:lang w:eastAsia="en-AU"/>
              </w:rPr>
            </w:pPr>
            <w:r w:rsidRPr="007744CA">
              <w:rPr>
                <w:sz w:val="16"/>
                <w:szCs w:val="16"/>
                <w:lang w:eastAsia="en-AU"/>
              </w:rPr>
              <w:t>2018</w:t>
            </w:r>
          </w:p>
          <w:p w14:paraId="3A4BFA4B" w14:textId="0314AF3A" w:rsidR="006F3A4C" w:rsidRPr="007744CA" w:rsidRDefault="006F3A4C" w:rsidP="006F3A4C">
            <w:pPr>
              <w:pStyle w:val="Tablecolhead"/>
              <w:jc w:val="center"/>
              <w:rPr>
                <w:sz w:val="16"/>
                <w:szCs w:val="16"/>
                <w:lang w:eastAsia="en-AU"/>
              </w:rPr>
            </w:pPr>
            <w:r w:rsidRPr="007744CA">
              <w:rPr>
                <w:sz w:val="16"/>
                <w:szCs w:val="16"/>
                <w:lang w:eastAsia="en-AU"/>
              </w:rPr>
              <w:t>(95% CI)</w:t>
            </w:r>
          </w:p>
        </w:tc>
        <w:tc>
          <w:tcPr>
            <w:tcW w:w="939" w:type="dxa"/>
            <w:shd w:val="clear" w:color="auto" w:fill="EDCDCF"/>
          </w:tcPr>
          <w:p w14:paraId="4B92F2AD" w14:textId="5D0A042A" w:rsidR="006F3A4C" w:rsidRPr="007744CA" w:rsidRDefault="006F3A4C" w:rsidP="006F3A4C">
            <w:pPr>
              <w:pStyle w:val="Tablecolhead"/>
              <w:jc w:val="center"/>
              <w:rPr>
                <w:sz w:val="16"/>
                <w:szCs w:val="16"/>
                <w:lang w:eastAsia="en-AU"/>
              </w:rPr>
            </w:pPr>
            <w:r w:rsidRPr="007744CA">
              <w:rPr>
                <w:sz w:val="16"/>
                <w:szCs w:val="16"/>
                <w:lang w:eastAsia="en-AU"/>
              </w:rPr>
              <w:t>2019</w:t>
            </w:r>
          </w:p>
          <w:p w14:paraId="2B2DF540" w14:textId="5F74AFF0" w:rsidR="006F3A4C" w:rsidRPr="007744CA" w:rsidRDefault="006F3A4C" w:rsidP="006F3A4C">
            <w:pPr>
              <w:pStyle w:val="Tablecolhead"/>
              <w:jc w:val="center"/>
              <w:rPr>
                <w:sz w:val="16"/>
                <w:szCs w:val="16"/>
                <w:lang w:eastAsia="en-AU"/>
              </w:rPr>
            </w:pPr>
            <w:r w:rsidRPr="007744CA">
              <w:rPr>
                <w:sz w:val="16"/>
                <w:szCs w:val="16"/>
                <w:lang w:eastAsia="en-AU"/>
              </w:rPr>
              <w:t>(95% CI)</w:t>
            </w:r>
          </w:p>
        </w:tc>
        <w:tc>
          <w:tcPr>
            <w:tcW w:w="939" w:type="dxa"/>
            <w:shd w:val="clear" w:color="auto" w:fill="EDCDCF"/>
          </w:tcPr>
          <w:p w14:paraId="1A8E79E8" w14:textId="784B8EE9" w:rsidR="006F3A4C" w:rsidRPr="007744CA" w:rsidRDefault="006F3A4C" w:rsidP="006F3A4C">
            <w:pPr>
              <w:pStyle w:val="Tablecolhead"/>
              <w:jc w:val="center"/>
              <w:rPr>
                <w:sz w:val="16"/>
                <w:szCs w:val="16"/>
                <w:lang w:eastAsia="en-AU"/>
              </w:rPr>
            </w:pPr>
            <w:r w:rsidRPr="007744CA">
              <w:rPr>
                <w:sz w:val="16"/>
                <w:szCs w:val="16"/>
                <w:lang w:eastAsia="en-AU"/>
              </w:rPr>
              <w:t>2020</w:t>
            </w:r>
          </w:p>
          <w:p w14:paraId="3E5625F7" w14:textId="66E78C73" w:rsidR="006F3A4C" w:rsidRPr="007744CA" w:rsidRDefault="006F3A4C" w:rsidP="006F3A4C">
            <w:pPr>
              <w:pStyle w:val="Tablecolhead"/>
              <w:jc w:val="center"/>
              <w:rPr>
                <w:sz w:val="16"/>
                <w:szCs w:val="16"/>
                <w:lang w:eastAsia="en-AU"/>
              </w:rPr>
            </w:pPr>
            <w:r w:rsidRPr="007744CA">
              <w:rPr>
                <w:sz w:val="16"/>
                <w:szCs w:val="16"/>
                <w:lang w:eastAsia="en-AU"/>
              </w:rPr>
              <w:t>(95% CI)</w:t>
            </w:r>
          </w:p>
        </w:tc>
        <w:tc>
          <w:tcPr>
            <w:tcW w:w="862" w:type="dxa"/>
            <w:shd w:val="clear" w:color="auto" w:fill="EDCDCF"/>
          </w:tcPr>
          <w:p w14:paraId="0B64E7B5" w14:textId="4DEAC39F" w:rsidR="006F3A4C" w:rsidRPr="007744CA" w:rsidRDefault="006F3A4C" w:rsidP="006F3A4C">
            <w:pPr>
              <w:pStyle w:val="Tablecolhead"/>
              <w:jc w:val="center"/>
              <w:rPr>
                <w:sz w:val="16"/>
                <w:szCs w:val="16"/>
                <w:lang w:eastAsia="en-AU"/>
              </w:rPr>
            </w:pPr>
            <w:r w:rsidRPr="007744CA">
              <w:rPr>
                <w:sz w:val="16"/>
                <w:szCs w:val="16"/>
                <w:lang w:eastAsia="en-AU"/>
              </w:rPr>
              <w:t>2021</w:t>
            </w:r>
          </w:p>
          <w:p w14:paraId="4B2D7E9F" w14:textId="3919C6E2" w:rsidR="006F3A4C" w:rsidRPr="007744CA" w:rsidRDefault="006F3A4C" w:rsidP="006F3A4C">
            <w:pPr>
              <w:pStyle w:val="Tablecolhead"/>
              <w:jc w:val="center"/>
              <w:rPr>
                <w:sz w:val="16"/>
                <w:szCs w:val="16"/>
                <w:lang w:eastAsia="en-AU"/>
              </w:rPr>
            </w:pPr>
            <w:r w:rsidRPr="007744CA">
              <w:rPr>
                <w:sz w:val="16"/>
                <w:szCs w:val="16"/>
                <w:lang w:eastAsia="en-AU"/>
              </w:rPr>
              <w:t>(95% CI)</w:t>
            </w:r>
          </w:p>
        </w:tc>
      </w:tr>
      <w:tr w:rsidR="006F3A4C" w:rsidRPr="007744CA" w14:paraId="28A91807" w14:textId="2B5F7972" w:rsidTr="007744CA">
        <w:trPr>
          <w:trHeight w:val="553"/>
        </w:trPr>
        <w:tc>
          <w:tcPr>
            <w:tcW w:w="1793" w:type="dxa"/>
            <w:shd w:val="clear" w:color="auto" w:fill="auto"/>
          </w:tcPr>
          <w:p w14:paraId="6C1BA72F" w14:textId="2C936A46" w:rsidR="006F3A4C" w:rsidRPr="007744CA" w:rsidRDefault="006F3A4C" w:rsidP="006F3A4C">
            <w:pPr>
              <w:pStyle w:val="Tabletext"/>
              <w:rPr>
                <w:b/>
                <w:sz w:val="16"/>
                <w:szCs w:val="16"/>
              </w:rPr>
            </w:pPr>
            <w:r w:rsidRPr="007744CA">
              <w:rPr>
                <w:sz w:val="16"/>
                <w:szCs w:val="16"/>
              </w:rPr>
              <w:t>Quintile 1 (most disadvantaged)</w:t>
            </w:r>
          </w:p>
        </w:tc>
        <w:tc>
          <w:tcPr>
            <w:tcW w:w="1010" w:type="dxa"/>
            <w:shd w:val="clear" w:color="auto" w:fill="auto"/>
          </w:tcPr>
          <w:p w14:paraId="24BA5FB2" w14:textId="77777777" w:rsidR="006F3A4C" w:rsidRPr="007744CA" w:rsidRDefault="006F3A4C" w:rsidP="006F3A4C">
            <w:pPr>
              <w:pStyle w:val="Tabletext"/>
              <w:jc w:val="center"/>
              <w:rPr>
                <w:b/>
                <w:sz w:val="16"/>
                <w:szCs w:val="16"/>
              </w:rPr>
            </w:pPr>
            <w:r w:rsidRPr="007744CA">
              <w:rPr>
                <w:sz w:val="16"/>
                <w:szCs w:val="16"/>
              </w:rPr>
              <w:t>1.5</w:t>
            </w:r>
          </w:p>
          <w:p w14:paraId="7EDE13C3" w14:textId="49596061" w:rsidR="006F3A4C" w:rsidRPr="007744CA" w:rsidRDefault="006F3A4C" w:rsidP="006F3A4C">
            <w:pPr>
              <w:pStyle w:val="Tabletext"/>
              <w:jc w:val="center"/>
              <w:rPr>
                <w:sz w:val="16"/>
                <w:szCs w:val="16"/>
              </w:rPr>
            </w:pPr>
            <w:r w:rsidRPr="007744CA">
              <w:rPr>
                <w:sz w:val="16"/>
                <w:szCs w:val="16"/>
              </w:rPr>
              <w:t>(1.4–1.</w:t>
            </w:r>
            <w:r w:rsidR="00E66571" w:rsidRPr="007744CA">
              <w:rPr>
                <w:sz w:val="16"/>
                <w:szCs w:val="16"/>
              </w:rPr>
              <w:t>7</w:t>
            </w:r>
            <w:r w:rsidRPr="007744CA">
              <w:rPr>
                <w:sz w:val="16"/>
                <w:szCs w:val="16"/>
              </w:rPr>
              <w:t>)</w:t>
            </w:r>
          </w:p>
        </w:tc>
        <w:tc>
          <w:tcPr>
            <w:tcW w:w="956" w:type="dxa"/>
            <w:shd w:val="clear" w:color="auto" w:fill="auto"/>
          </w:tcPr>
          <w:p w14:paraId="1D3199C5" w14:textId="77777777" w:rsidR="006F3A4C" w:rsidRPr="007744CA" w:rsidRDefault="006F3A4C" w:rsidP="006F3A4C">
            <w:pPr>
              <w:pStyle w:val="Tabletext"/>
              <w:jc w:val="center"/>
              <w:rPr>
                <w:b/>
                <w:sz w:val="16"/>
                <w:szCs w:val="16"/>
              </w:rPr>
            </w:pPr>
            <w:r w:rsidRPr="007744CA">
              <w:rPr>
                <w:sz w:val="16"/>
                <w:szCs w:val="16"/>
              </w:rPr>
              <w:t>1.7</w:t>
            </w:r>
          </w:p>
          <w:p w14:paraId="171544D1" w14:textId="03C3003C" w:rsidR="006F3A4C" w:rsidRPr="007744CA" w:rsidRDefault="006F3A4C" w:rsidP="006F3A4C">
            <w:pPr>
              <w:pStyle w:val="Tabletext"/>
              <w:jc w:val="center"/>
              <w:rPr>
                <w:sz w:val="16"/>
                <w:szCs w:val="16"/>
              </w:rPr>
            </w:pPr>
            <w:r w:rsidRPr="007744CA">
              <w:rPr>
                <w:sz w:val="16"/>
                <w:szCs w:val="16"/>
              </w:rPr>
              <w:t>(1.6–1.</w:t>
            </w:r>
            <w:r w:rsidR="00E66571" w:rsidRPr="007744CA">
              <w:rPr>
                <w:sz w:val="16"/>
                <w:szCs w:val="16"/>
              </w:rPr>
              <w:t>9</w:t>
            </w:r>
            <w:r w:rsidRPr="007744CA">
              <w:rPr>
                <w:sz w:val="16"/>
                <w:szCs w:val="16"/>
              </w:rPr>
              <w:t>)</w:t>
            </w:r>
          </w:p>
        </w:tc>
        <w:tc>
          <w:tcPr>
            <w:tcW w:w="956" w:type="dxa"/>
            <w:shd w:val="clear" w:color="auto" w:fill="auto"/>
          </w:tcPr>
          <w:p w14:paraId="3D9CDD85" w14:textId="77777777" w:rsidR="006F3A4C" w:rsidRPr="007744CA" w:rsidRDefault="006F3A4C" w:rsidP="006F3A4C">
            <w:pPr>
              <w:pStyle w:val="Tabletext"/>
              <w:jc w:val="center"/>
              <w:rPr>
                <w:b/>
                <w:sz w:val="16"/>
                <w:szCs w:val="16"/>
              </w:rPr>
            </w:pPr>
            <w:r w:rsidRPr="007744CA">
              <w:rPr>
                <w:sz w:val="16"/>
                <w:szCs w:val="16"/>
              </w:rPr>
              <w:t>1.6</w:t>
            </w:r>
          </w:p>
          <w:p w14:paraId="27D69114" w14:textId="2199ACA8" w:rsidR="006F3A4C" w:rsidRPr="007744CA" w:rsidRDefault="006F3A4C" w:rsidP="006F3A4C">
            <w:pPr>
              <w:pStyle w:val="Tabletext"/>
              <w:jc w:val="center"/>
              <w:rPr>
                <w:sz w:val="16"/>
                <w:szCs w:val="16"/>
              </w:rPr>
            </w:pPr>
            <w:r w:rsidRPr="007744CA">
              <w:rPr>
                <w:sz w:val="16"/>
                <w:szCs w:val="16"/>
              </w:rPr>
              <w:t>(1.5–1.7)</w:t>
            </w:r>
          </w:p>
        </w:tc>
        <w:tc>
          <w:tcPr>
            <w:tcW w:w="1115" w:type="dxa"/>
            <w:shd w:val="clear" w:color="auto" w:fill="auto"/>
          </w:tcPr>
          <w:p w14:paraId="73F1611D" w14:textId="6D085463" w:rsidR="006F3A4C" w:rsidRPr="007744CA" w:rsidRDefault="006F3A4C" w:rsidP="006F3A4C">
            <w:pPr>
              <w:pStyle w:val="Tabletext"/>
              <w:jc w:val="center"/>
              <w:rPr>
                <w:b/>
                <w:sz w:val="16"/>
                <w:szCs w:val="16"/>
              </w:rPr>
            </w:pPr>
            <w:r w:rsidRPr="007744CA">
              <w:rPr>
                <w:sz w:val="16"/>
                <w:szCs w:val="16"/>
              </w:rPr>
              <w:t>1.</w:t>
            </w:r>
            <w:r w:rsidR="00E66571" w:rsidRPr="007744CA">
              <w:rPr>
                <w:sz w:val="16"/>
                <w:szCs w:val="16"/>
              </w:rPr>
              <w:t>8</w:t>
            </w:r>
          </w:p>
          <w:p w14:paraId="78085DBF" w14:textId="24BA99D2" w:rsidR="006F3A4C" w:rsidRPr="007744CA" w:rsidRDefault="006F3A4C" w:rsidP="006F3A4C">
            <w:pPr>
              <w:pStyle w:val="Tabletext"/>
              <w:jc w:val="center"/>
              <w:rPr>
                <w:sz w:val="16"/>
                <w:szCs w:val="16"/>
              </w:rPr>
            </w:pPr>
            <w:r w:rsidRPr="007744CA">
              <w:rPr>
                <w:sz w:val="16"/>
                <w:szCs w:val="16"/>
              </w:rPr>
              <w:t>(1.6–1.</w:t>
            </w:r>
            <w:r w:rsidR="00E66571" w:rsidRPr="007744CA">
              <w:rPr>
                <w:sz w:val="16"/>
                <w:szCs w:val="16"/>
              </w:rPr>
              <w:t>9</w:t>
            </w:r>
            <w:r w:rsidRPr="007744CA">
              <w:rPr>
                <w:sz w:val="16"/>
                <w:szCs w:val="16"/>
              </w:rPr>
              <w:t>)</w:t>
            </w:r>
          </w:p>
        </w:tc>
        <w:tc>
          <w:tcPr>
            <w:tcW w:w="939" w:type="dxa"/>
          </w:tcPr>
          <w:p w14:paraId="71E8E7B8" w14:textId="4B31184D" w:rsidR="006F3A4C" w:rsidRPr="007744CA" w:rsidRDefault="006F3A4C" w:rsidP="006F3A4C">
            <w:pPr>
              <w:pStyle w:val="Tabletext"/>
              <w:jc w:val="center"/>
              <w:rPr>
                <w:sz w:val="16"/>
                <w:szCs w:val="16"/>
              </w:rPr>
            </w:pPr>
            <w:r w:rsidRPr="007744CA">
              <w:rPr>
                <w:sz w:val="16"/>
                <w:szCs w:val="16"/>
              </w:rPr>
              <w:t>1.</w:t>
            </w:r>
            <w:r w:rsidR="00E66571" w:rsidRPr="007744CA">
              <w:rPr>
                <w:sz w:val="16"/>
                <w:szCs w:val="16"/>
              </w:rPr>
              <w:t>8</w:t>
            </w:r>
          </w:p>
          <w:p w14:paraId="6AC9D346" w14:textId="640B02AE" w:rsidR="006F3A4C" w:rsidRPr="007744CA" w:rsidRDefault="006F3A4C" w:rsidP="006F3A4C">
            <w:pPr>
              <w:pStyle w:val="Tabletext"/>
              <w:jc w:val="center"/>
              <w:rPr>
                <w:sz w:val="16"/>
                <w:szCs w:val="16"/>
              </w:rPr>
            </w:pPr>
            <w:r w:rsidRPr="007744CA">
              <w:rPr>
                <w:sz w:val="16"/>
                <w:szCs w:val="16"/>
              </w:rPr>
              <w:t>(1.</w:t>
            </w:r>
            <w:r w:rsidR="00E66571" w:rsidRPr="007744CA">
              <w:rPr>
                <w:sz w:val="16"/>
                <w:szCs w:val="16"/>
              </w:rPr>
              <w:t>6</w:t>
            </w:r>
            <w:r w:rsidRPr="007744CA">
              <w:rPr>
                <w:sz w:val="16"/>
                <w:szCs w:val="16"/>
              </w:rPr>
              <w:t>–1.</w:t>
            </w:r>
            <w:r w:rsidR="00E66571" w:rsidRPr="007744CA">
              <w:rPr>
                <w:sz w:val="16"/>
                <w:szCs w:val="16"/>
              </w:rPr>
              <w:t>9</w:t>
            </w:r>
            <w:r w:rsidRPr="007744CA">
              <w:rPr>
                <w:sz w:val="16"/>
                <w:szCs w:val="16"/>
              </w:rPr>
              <w:t>)</w:t>
            </w:r>
          </w:p>
        </w:tc>
        <w:tc>
          <w:tcPr>
            <w:tcW w:w="939" w:type="dxa"/>
          </w:tcPr>
          <w:p w14:paraId="386B2F78" w14:textId="77777777" w:rsidR="006F3A4C" w:rsidRPr="007744CA" w:rsidRDefault="006F3A4C" w:rsidP="006F3A4C">
            <w:pPr>
              <w:pStyle w:val="Tabletext"/>
              <w:jc w:val="center"/>
              <w:rPr>
                <w:sz w:val="16"/>
                <w:szCs w:val="16"/>
              </w:rPr>
            </w:pPr>
            <w:r w:rsidRPr="007744CA">
              <w:rPr>
                <w:sz w:val="16"/>
                <w:szCs w:val="16"/>
              </w:rPr>
              <w:t>1.7</w:t>
            </w:r>
          </w:p>
          <w:p w14:paraId="664FD566" w14:textId="445FB8C8" w:rsidR="006F3A4C" w:rsidRPr="007744CA" w:rsidRDefault="006F3A4C" w:rsidP="006F3A4C">
            <w:pPr>
              <w:pStyle w:val="Tabletext"/>
              <w:jc w:val="center"/>
              <w:rPr>
                <w:sz w:val="16"/>
                <w:szCs w:val="16"/>
              </w:rPr>
            </w:pPr>
            <w:r w:rsidRPr="007744CA">
              <w:rPr>
                <w:sz w:val="16"/>
                <w:szCs w:val="16"/>
              </w:rPr>
              <w:t>(1.</w:t>
            </w:r>
            <w:r w:rsidR="00E66571" w:rsidRPr="007744CA">
              <w:rPr>
                <w:sz w:val="16"/>
                <w:szCs w:val="16"/>
              </w:rPr>
              <w:t>6</w:t>
            </w:r>
            <w:r w:rsidRPr="007744CA">
              <w:rPr>
                <w:sz w:val="16"/>
                <w:szCs w:val="16"/>
              </w:rPr>
              <w:t>–1.</w:t>
            </w:r>
            <w:r w:rsidR="00E66571" w:rsidRPr="007744CA">
              <w:rPr>
                <w:sz w:val="16"/>
                <w:szCs w:val="16"/>
              </w:rPr>
              <w:t>9</w:t>
            </w:r>
            <w:r w:rsidRPr="007744CA">
              <w:rPr>
                <w:sz w:val="16"/>
                <w:szCs w:val="16"/>
              </w:rPr>
              <w:t>)</w:t>
            </w:r>
          </w:p>
        </w:tc>
        <w:tc>
          <w:tcPr>
            <w:tcW w:w="939" w:type="dxa"/>
          </w:tcPr>
          <w:p w14:paraId="286819D8" w14:textId="660240CC" w:rsidR="006F3A4C" w:rsidRPr="007744CA" w:rsidRDefault="00E66571" w:rsidP="006F3A4C">
            <w:pPr>
              <w:pStyle w:val="Tabletext"/>
              <w:jc w:val="center"/>
              <w:rPr>
                <w:sz w:val="16"/>
                <w:szCs w:val="16"/>
              </w:rPr>
            </w:pPr>
            <w:r w:rsidRPr="007744CA">
              <w:rPr>
                <w:sz w:val="16"/>
                <w:szCs w:val="16"/>
              </w:rPr>
              <w:t>2</w:t>
            </w:r>
            <w:r w:rsidR="006F3A4C" w:rsidRPr="007744CA">
              <w:rPr>
                <w:sz w:val="16"/>
                <w:szCs w:val="16"/>
              </w:rPr>
              <w:t>.</w:t>
            </w:r>
            <w:r w:rsidRPr="007744CA">
              <w:rPr>
                <w:sz w:val="16"/>
                <w:szCs w:val="16"/>
              </w:rPr>
              <w:t>0</w:t>
            </w:r>
          </w:p>
          <w:p w14:paraId="08417161" w14:textId="74B1AA9D" w:rsidR="006F3A4C" w:rsidRPr="007744CA" w:rsidRDefault="006F3A4C" w:rsidP="006F3A4C">
            <w:pPr>
              <w:pStyle w:val="Tabletext"/>
              <w:jc w:val="center"/>
              <w:rPr>
                <w:sz w:val="16"/>
                <w:szCs w:val="16"/>
              </w:rPr>
            </w:pPr>
            <w:r w:rsidRPr="007744CA">
              <w:rPr>
                <w:sz w:val="16"/>
                <w:szCs w:val="16"/>
              </w:rPr>
              <w:t>(1.</w:t>
            </w:r>
            <w:r w:rsidR="00E66571" w:rsidRPr="007744CA">
              <w:rPr>
                <w:sz w:val="16"/>
                <w:szCs w:val="16"/>
              </w:rPr>
              <w:t>9</w:t>
            </w:r>
            <w:r w:rsidRPr="007744CA">
              <w:rPr>
                <w:sz w:val="16"/>
                <w:szCs w:val="16"/>
              </w:rPr>
              <w:t>–2.</w:t>
            </w:r>
            <w:r w:rsidR="00E66571" w:rsidRPr="007744CA">
              <w:rPr>
                <w:sz w:val="16"/>
                <w:szCs w:val="16"/>
              </w:rPr>
              <w:t>2</w:t>
            </w:r>
            <w:r w:rsidRPr="007744CA">
              <w:rPr>
                <w:sz w:val="16"/>
                <w:szCs w:val="16"/>
              </w:rPr>
              <w:t>)</w:t>
            </w:r>
          </w:p>
        </w:tc>
        <w:tc>
          <w:tcPr>
            <w:tcW w:w="862" w:type="dxa"/>
          </w:tcPr>
          <w:p w14:paraId="284A2AD6" w14:textId="386FD457" w:rsidR="00640E45" w:rsidRPr="007744CA" w:rsidRDefault="00640E45" w:rsidP="00640E45">
            <w:pPr>
              <w:pStyle w:val="Tabletext"/>
              <w:jc w:val="center"/>
              <w:rPr>
                <w:sz w:val="16"/>
                <w:szCs w:val="16"/>
              </w:rPr>
            </w:pPr>
            <w:r w:rsidRPr="007744CA">
              <w:rPr>
                <w:sz w:val="16"/>
                <w:szCs w:val="16"/>
              </w:rPr>
              <w:t>1.9</w:t>
            </w:r>
          </w:p>
          <w:p w14:paraId="08C2E289" w14:textId="494C6EBE" w:rsidR="006F3A4C" w:rsidRPr="007744CA" w:rsidRDefault="00640E45" w:rsidP="00640E45">
            <w:pPr>
              <w:pStyle w:val="Tabletext"/>
              <w:jc w:val="center"/>
              <w:rPr>
                <w:sz w:val="16"/>
                <w:szCs w:val="16"/>
              </w:rPr>
            </w:pPr>
            <w:r w:rsidRPr="007744CA">
              <w:rPr>
                <w:sz w:val="16"/>
                <w:szCs w:val="16"/>
              </w:rPr>
              <w:t>(1.7–2.1)</w:t>
            </w:r>
          </w:p>
        </w:tc>
      </w:tr>
      <w:tr w:rsidR="00640E45" w:rsidRPr="007744CA" w14:paraId="0E3CACCA" w14:textId="37794643" w:rsidTr="007744CA">
        <w:trPr>
          <w:trHeight w:val="398"/>
        </w:trPr>
        <w:tc>
          <w:tcPr>
            <w:tcW w:w="1793" w:type="dxa"/>
            <w:shd w:val="clear" w:color="auto" w:fill="auto"/>
            <w:vAlign w:val="center"/>
          </w:tcPr>
          <w:p w14:paraId="270D9236" w14:textId="6D9BFF57" w:rsidR="00640E45" w:rsidRPr="007744CA" w:rsidRDefault="00640E45" w:rsidP="00640E45">
            <w:pPr>
              <w:pStyle w:val="Tabletext"/>
              <w:rPr>
                <w:b/>
                <w:sz w:val="16"/>
                <w:szCs w:val="16"/>
              </w:rPr>
            </w:pPr>
            <w:r w:rsidRPr="007744CA">
              <w:rPr>
                <w:sz w:val="16"/>
                <w:szCs w:val="16"/>
              </w:rPr>
              <w:t>Quintile 2</w:t>
            </w:r>
          </w:p>
        </w:tc>
        <w:tc>
          <w:tcPr>
            <w:tcW w:w="1010" w:type="dxa"/>
            <w:shd w:val="clear" w:color="auto" w:fill="auto"/>
          </w:tcPr>
          <w:p w14:paraId="1904B1D8" w14:textId="77777777" w:rsidR="00640E45" w:rsidRPr="007744CA" w:rsidRDefault="00640E45" w:rsidP="00640E45">
            <w:pPr>
              <w:pStyle w:val="Tabletext"/>
              <w:jc w:val="center"/>
              <w:rPr>
                <w:b/>
                <w:sz w:val="16"/>
                <w:szCs w:val="16"/>
              </w:rPr>
            </w:pPr>
            <w:r w:rsidRPr="007744CA">
              <w:rPr>
                <w:sz w:val="16"/>
                <w:szCs w:val="16"/>
              </w:rPr>
              <w:t>1.4</w:t>
            </w:r>
          </w:p>
          <w:p w14:paraId="56E79B46" w14:textId="3A78C8A4" w:rsidR="00640E45" w:rsidRPr="007744CA" w:rsidRDefault="00640E45" w:rsidP="00640E45">
            <w:pPr>
              <w:pStyle w:val="Tabletext"/>
              <w:jc w:val="center"/>
              <w:rPr>
                <w:sz w:val="16"/>
                <w:szCs w:val="16"/>
              </w:rPr>
            </w:pPr>
            <w:r w:rsidRPr="007744CA">
              <w:rPr>
                <w:sz w:val="16"/>
                <w:szCs w:val="16"/>
              </w:rPr>
              <w:t>(1.3–1.6)</w:t>
            </w:r>
          </w:p>
        </w:tc>
        <w:tc>
          <w:tcPr>
            <w:tcW w:w="956" w:type="dxa"/>
            <w:shd w:val="clear" w:color="auto" w:fill="auto"/>
          </w:tcPr>
          <w:p w14:paraId="23E2954C" w14:textId="23C95171" w:rsidR="00640E45" w:rsidRPr="007744CA" w:rsidRDefault="00640E45" w:rsidP="00640E45">
            <w:pPr>
              <w:pStyle w:val="Tabletext"/>
              <w:jc w:val="center"/>
              <w:rPr>
                <w:b/>
                <w:sz w:val="16"/>
                <w:szCs w:val="16"/>
              </w:rPr>
            </w:pPr>
            <w:r w:rsidRPr="007744CA">
              <w:rPr>
                <w:sz w:val="16"/>
                <w:szCs w:val="16"/>
              </w:rPr>
              <w:t>1.4</w:t>
            </w:r>
          </w:p>
          <w:p w14:paraId="14EED15D" w14:textId="17C6802C" w:rsidR="00640E45" w:rsidRPr="007744CA" w:rsidRDefault="00640E45" w:rsidP="00640E45">
            <w:pPr>
              <w:pStyle w:val="Tabletext"/>
              <w:jc w:val="center"/>
              <w:rPr>
                <w:sz w:val="16"/>
                <w:szCs w:val="16"/>
              </w:rPr>
            </w:pPr>
            <w:r w:rsidRPr="007744CA">
              <w:rPr>
                <w:sz w:val="16"/>
                <w:szCs w:val="16"/>
              </w:rPr>
              <w:t>(1.3–1.6)</w:t>
            </w:r>
          </w:p>
        </w:tc>
        <w:tc>
          <w:tcPr>
            <w:tcW w:w="956" w:type="dxa"/>
            <w:shd w:val="clear" w:color="auto" w:fill="auto"/>
          </w:tcPr>
          <w:p w14:paraId="17CD876E" w14:textId="0466CD83" w:rsidR="00640E45" w:rsidRPr="007744CA" w:rsidRDefault="00640E45" w:rsidP="00640E45">
            <w:pPr>
              <w:pStyle w:val="Tabletext"/>
              <w:jc w:val="center"/>
              <w:rPr>
                <w:b/>
                <w:sz w:val="16"/>
                <w:szCs w:val="16"/>
              </w:rPr>
            </w:pPr>
            <w:r w:rsidRPr="007744CA">
              <w:rPr>
                <w:sz w:val="16"/>
                <w:szCs w:val="16"/>
              </w:rPr>
              <w:t>1.3</w:t>
            </w:r>
          </w:p>
          <w:p w14:paraId="28CA1447" w14:textId="6915BF59" w:rsidR="00640E45" w:rsidRPr="007744CA" w:rsidRDefault="00640E45" w:rsidP="00640E45">
            <w:pPr>
              <w:pStyle w:val="Tabletext"/>
              <w:jc w:val="center"/>
              <w:rPr>
                <w:sz w:val="16"/>
                <w:szCs w:val="16"/>
              </w:rPr>
            </w:pPr>
            <w:r w:rsidRPr="007744CA">
              <w:rPr>
                <w:sz w:val="16"/>
                <w:szCs w:val="16"/>
              </w:rPr>
              <w:t>(1.2–1.4)</w:t>
            </w:r>
          </w:p>
        </w:tc>
        <w:tc>
          <w:tcPr>
            <w:tcW w:w="1115" w:type="dxa"/>
            <w:shd w:val="clear" w:color="auto" w:fill="auto"/>
          </w:tcPr>
          <w:p w14:paraId="20FC95B0" w14:textId="77777777" w:rsidR="00640E45" w:rsidRPr="007744CA" w:rsidRDefault="00640E45" w:rsidP="00640E45">
            <w:pPr>
              <w:pStyle w:val="Tabletext"/>
              <w:jc w:val="center"/>
              <w:rPr>
                <w:b/>
                <w:sz w:val="16"/>
                <w:szCs w:val="16"/>
              </w:rPr>
            </w:pPr>
            <w:r w:rsidRPr="007744CA">
              <w:rPr>
                <w:sz w:val="16"/>
                <w:szCs w:val="16"/>
              </w:rPr>
              <w:t>1.4</w:t>
            </w:r>
          </w:p>
          <w:p w14:paraId="75021B6E" w14:textId="1E7C4CC4" w:rsidR="00640E45" w:rsidRPr="007744CA" w:rsidRDefault="00640E45" w:rsidP="00640E45">
            <w:pPr>
              <w:pStyle w:val="Tabletext"/>
              <w:jc w:val="center"/>
              <w:rPr>
                <w:sz w:val="16"/>
                <w:szCs w:val="16"/>
              </w:rPr>
            </w:pPr>
            <w:r w:rsidRPr="007744CA">
              <w:rPr>
                <w:sz w:val="16"/>
                <w:szCs w:val="16"/>
              </w:rPr>
              <w:t>(1.3–1.5)</w:t>
            </w:r>
          </w:p>
        </w:tc>
        <w:tc>
          <w:tcPr>
            <w:tcW w:w="939" w:type="dxa"/>
          </w:tcPr>
          <w:p w14:paraId="6E54F8B3" w14:textId="6D25D0DF" w:rsidR="00640E45" w:rsidRPr="007744CA" w:rsidRDefault="00640E45" w:rsidP="00640E45">
            <w:pPr>
              <w:pStyle w:val="Tabletext"/>
              <w:jc w:val="center"/>
              <w:rPr>
                <w:sz w:val="16"/>
                <w:szCs w:val="16"/>
              </w:rPr>
            </w:pPr>
            <w:r w:rsidRPr="007744CA">
              <w:rPr>
                <w:sz w:val="16"/>
                <w:szCs w:val="16"/>
              </w:rPr>
              <w:t>1.4</w:t>
            </w:r>
          </w:p>
          <w:p w14:paraId="30E74129" w14:textId="359A31E4" w:rsidR="00640E45" w:rsidRPr="007744CA" w:rsidRDefault="00640E45" w:rsidP="00640E45">
            <w:pPr>
              <w:pStyle w:val="Tabletext"/>
              <w:jc w:val="center"/>
              <w:rPr>
                <w:sz w:val="16"/>
                <w:szCs w:val="16"/>
              </w:rPr>
            </w:pPr>
            <w:r w:rsidRPr="007744CA">
              <w:rPr>
                <w:sz w:val="16"/>
                <w:szCs w:val="16"/>
              </w:rPr>
              <w:t>(1.2–1.5)</w:t>
            </w:r>
          </w:p>
        </w:tc>
        <w:tc>
          <w:tcPr>
            <w:tcW w:w="939" w:type="dxa"/>
          </w:tcPr>
          <w:p w14:paraId="6CF97016" w14:textId="77777777" w:rsidR="00640E45" w:rsidRPr="007744CA" w:rsidRDefault="00640E45" w:rsidP="00640E45">
            <w:pPr>
              <w:pStyle w:val="Tabletext"/>
              <w:jc w:val="center"/>
              <w:rPr>
                <w:sz w:val="16"/>
                <w:szCs w:val="16"/>
              </w:rPr>
            </w:pPr>
            <w:r w:rsidRPr="007744CA">
              <w:rPr>
                <w:sz w:val="16"/>
                <w:szCs w:val="16"/>
              </w:rPr>
              <w:t>1.4</w:t>
            </w:r>
          </w:p>
          <w:p w14:paraId="5206927E" w14:textId="4B60EDF8" w:rsidR="00640E45" w:rsidRPr="007744CA" w:rsidRDefault="00640E45" w:rsidP="00640E45">
            <w:pPr>
              <w:pStyle w:val="Tabletext"/>
              <w:jc w:val="center"/>
              <w:rPr>
                <w:sz w:val="16"/>
                <w:szCs w:val="16"/>
              </w:rPr>
            </w:pPr>
            <w:r w:rsidRPr="007744CA">
              <w:rPr>
                <w:sz w:val="16"/>
                <w:szCs w:val="16"/>
              </w:rPr>
              <w:t>(1.3–1.5)</w:t>
            </w:r>
          </w:p>
        </w:tc>
        <w:tc>
          <w:tcPr>
            <w:tcW w:w="939" w:type="dxa"/>
          </w:tcPr>
          <w:p w14:paraId="33DD02D9" w14:textId="77777777" w:rsidR="00640E45" w:rsidRPr="007744CA" w:rsidRDefault="00640E45" w:rsidP="00640E45">
            <w:pPr>
              <w:pStyle w:val="Tabletext"/>
              <w:jc w:val="center"/>
              <w:rPr>
                <w:sz w:val="16"/>
                <w:szCs w:val="16"/>
              </w:rPr>
            </w:pPr>
            <w:r w:rsidRPr="007744CA">
              <w:rPr>
                <w:sz w:val="16"/>
                <w:szCs w:val="16"/>
              </w:rPr>
              <w:t>1.5</w:t>
            </w:r>
          </w:p>
          <w:p w14:paraId="1AD4D6DE" w14:textId="209C2E64" w:rsidR="00640E45" w:rsidRPr="007744CA" w:rsidRDefault="00640E45" w:rsidP="00640E45">
            <w:pPr>
              <w:pStyle w:val="Tabletext"/>
              <w:jc w:val="center"/>
              <w:rPr>
                <w:sz w:val="16"/>
                <w:szCs w:val="16"/>
              </w:rPr>
            </w:pPr>
            <w:r w:rsidRPr="007744CA">
              <w:rPr>
                <w:sz w:val="16"/>
                <w:szCs w:val="16"/>
              </w:rPr>
              <w:t>(1.4–1.7)</w:t>
            </w:r>
          </w:p>
        </w:tc>
        <w:tc>
          <w:tcPr>
            <w:tcW w:w="862" w:type="dxa"/>
          </w:tcPr>
          <w:p w14:paraId="732953B3" w14:textId="77777777" w:rsidR="00640E45" w:rsidRPr="007744CA" w:rsidRDefault="00640E45" w:rsidP="00640E45">
            <w:pPr>
              <w:pStyle w:val="Tabletext"/>
              <w:jc w:val="center"/>
              <w:rPr>
                <w:sz w:val="16"/>
                <w:szCs w:val="16"/>
              </w:rPr>
            </w:pPr>
            <w:r w:rsidRPr="007744CA">
              <w:rPr>
                <w:sz w:val="16"/>
                <w:szCs w:val="16"/>
              </w:rPr>
              <w:t>1.5</w:t>
            </w:r>
          </w:p>
          <w:p w14:paraId="42893D6D" w14:textId="137CE374" w:rsidR="00640E45" w:rsidRPr="007744CA" w:rsidRDefault="00640E45" w:rsidP="00640E45">
            <w:pPr>
              <w:pStyle w:val="Tabletext"/>
              <w:jc w:val="center"/>
              <w:rPr>
                <w:sz w:val="16"/>
                <w:szCs w:val="16"/>
              </w:rPr>
            </w:pPr>
            <w:r w:rsidRPr="007744CA">
              <w:rPr>
                <w:sz w:val="16"/>
                <w:szCs w:val="16"/>
              </w:rPr>
              <w:t>(1.4–1.7)</w:t>
            </w:r>
          </w:p>
        </w:tc>
      </w:tr>
      <w:tr w:rsidR="00640E45" w:rsidRPr="007744CA" w14:paraId="7F08A63A" w14:textId="26064435" w:rsidTr="007744CA">
        <w:trPr>
          <w:trHeight w:val="398"/>
        </w:trPr>
        <w:tc>
          <w:tcPr>
            <w:tcW w:w="1793" w:type="dxa"/>
            <w:shd w:val="clear" w:color="auto" w:fill="auto"/>
            <w:vAlign w:val="center"/>
          </w:tcPr>
          <w:p w14:paraId="2A9D068A" w14:textId="4A6AED54" w:rsidR="00640E45" w:rsidRPr="007744CA" w:rsidRDefault="00640E45" w:rsidP="00640E45">
            <w:pPr>
              <w:pStyle w:val="Tabletext"/>
              <w:rPr>
                <w:b/>
                <w:sz w:val="16"/>
                <w:szCs w:val="16"/>
              </w:rPr>
            </w:pPr>
            <w:r w:rsidRPr="007744CA">
              <w:rPr>
                <w:sz w:val="16"/>
                <w:szCs w:val="16"/>
              </w:rPr>
              <w:t>Quintile 3</w:t>
            </w:r>
          </w:p>
        </w:tc>
        <w:tc>
          <w:tcPr>
            <w:tcW w:w="1010" w:type="dxa"/>
            <w:shd w:val="clear" w:color="auto" w:fill="auto"/>
          </w:tcPr>
          <w:p w14:paraId="0BFC807A" w14:textId="77777777" w:rsidR="00640E45" w:rsidRPr="007744CA" w:rsidRDefault="00640E45" w:rsidP="00640E45">
            <w:pPr>
              <w:pStyle w:val="Tabletext"/>
              <w:jc w:val="center"/>
              <w:rPr>
                <w:b/>
                <w:sz w:val="16"/>
                <w:szCs w:val="16"/>
              </w:rPr>
            </w:pPr>
            <w:r w:rsidRPr="007744CA">
              <w:rPr>
                <w:sz w:val="16"/>
                <w:szCs w:val="16"/>
              </w:rPr>
              <w:t>1.3</w:t>
            </w:r>
          </w:p>
          <w:p w14:paraId="6E0CE060" w14:textId="5254FC0F" w:rsidR="00640E45" w:rsidRPr="007744CA" w:rsidRDefault="00640E45" w:rsidP="00640E45">
            <w:pPr>
              <w:pStyle w:val="Tabletext"/>
              <w:jc w:val="center"/>
              <w:rPr>
                <w:sz w:val="16"/>
                <w:szCs w:val="16"/>
              </w:rPr>
            </w:pPr>
            <w:r w:rsidRPr="007744CA">
              <w:rPr>
                <w:sz w:val="16"/>
                <w:szCs w:val="16"/>
              </w:rPr>
              <w:t>(1.2–1.5)</w:t>
            </w:r>
          </w:p>
        </w:tc>
        <w:tc>
          <w:tcPr>
            <w:tcW w:w="956" w:type="dxa"/>
            <w:shd w:val="clear" w:color="auto" w:fill="auto"/>
          </w:tcPr>
          <w:p w14:paraId="2BC268FB" w14:textId="77777777" w:rsidR="00640E45" w:rsidRPr="007744CA" w:rsidRDefault="00640E45" w:rsidP="00640E45">
            <w:pPr>
              <w:pStyle w:val="Tabletext"/>
              <w:jc w:val="center"/>
              <w:rPr>
                <w:b/>
                <w:sz w:val="16"/>
                <w:szCs w:val="16"/>
              </w:rPr>
            </w:pPr>
            <w:r w:rsidRPr="007744CA">
              <w:rPr>
                <w:sz w:val="16"/>
                <w:szCs w:val="16"/>
              </w:rPr>
              <w:t>1.3</w:t>
            </w:r>
          </w:p>
          <w:p w14:paraId="19884C33" w14:textId="34666A8F" w:rsidR="00640E45" w:rsidRPr="007744CA" w:rsidRDefault="00640E45" w:rsidP="00640E45">
            <w:pPr>
              <w:pStyle w:val="Tabletext"/>
              <w:jc w:val="center"/>
              <w:rPr>
                <w:sz w:val="16"/>
                <w:szCs w:val="16"/>
              </w:rPr>
            </w:pPr>
            <w:r w:rsidRPr="007744CA">
              <w:rPr>
                <w:sz w:val="16"/>
                <w:szCs w:val="16"/>
              </w:rPr>
              <w:t>(1.2–1.4)</w:t>
            </w:r>
          </w:p>
        </w:tc>
        <w:tc>
          <w:tcPr>
            <w:tcW w:w="956" w:type="dxa"/>
            <w:shd w:val="clear" w:color="auto" w:fill="auto"/>
          </w:tcPr>
          <w:p w14:paraId="5CAF5ED3" w14:textId="77777777" w:rsidR="00640E45" w:rsidRPr="007744CA" w:rsidRDefault="00640E45" w:rsidP="00640E45">
            <w:pPr>
              <w:pStyle w:val="Tabletext"/>
              <w:jc w:val="center"/>
              <w:rPr>
                <w:b/>
                <w:sz w:val="16"/>
                <w:szCs w:val="16"/>
              </w:rPr>
            </w:pPr>
            <w:r w:rsidRPr="007744CA">
              <w:rPr>
                <w:sz w:val="16"/>
                <w:szCs w:val="16"/>
              </w:rPr>
              <w:t>1.2</w:t>
            </w:r>
          </w:p>
          <w:p w14:paraId="0E9E6416" w14:textId="0789E82C" w:rsidR="00640E45" w:rsidRPr="007744CA" w:rsidRDefault="00640E45" w:rsidP="00640E45">
            <w:pPr>
              <w:pStyle w:val="Tabletext"/>
              <w:jc w:val="center"/>
              <w:rPr>
                <w:sz w:val="16"/>
                <w:szCs w:val="16"/>
              </w:rPr>
            </w:pPr>
            <w:r w:rsidRPr="007744CA">
              <w:rPr>
                <w:sz w:val="16"/>
                <w:szCs w:val="16"/>
              </w:rPr>
              <w:t>(1.1–1.3)</w:t>
            </w:r>
          </w:p>
        </w:tc>
        <w:tc>
          <w:tcPr>
            <w:tcW w:w="1115" w:type="dxa"/>
            <w:shd w:val="clear" w:color="auto" w:fill="auto"/>
          </w:tcPr>
          <w:p w14:paraId="5113D57B" w14:textId="77777777" w:rsidR="00640E45" w:rsidRPr="007744CA" w:rsidRDefault="00640E45" w:rsidP="00640E45">
            <w:pPr>
              <w:pStyle w:val="Tabletext"/>
              <w:jc w:val="center"/>
              <w:rPr>
                <w:b/>
                <w:sz w:val="16"/>
                <w:szCs w:val="16"/>
              </w:rPr>
            </w:pPr>
            <w:r w:rsidRPr="007744CA">
              <w:rPr>
                <w:sz w:val="16"/>
                <w:szCs w:val="16"/>
              </w:rPr>
              <w:t>1.3</w:t>
            </w:r>
          </w:p>
          <w:p w14:paraId="654BED13" w14:textId="509C963B" w:rsidR="00640E45" w:rsidRPr="007744CA" w:rsidRDefault="00640E45" w:rsidP="00640E45">
            <w:pPr>
              <w:pStyle w:val="Tabletext"/>
              <w:jc w:val="center"/>
              <w:rPr>
                <w:sz w:val="16"/>
                <w:szCs w:val="16"/>
              </w:rPr>
            </w:pPr>
            <w:r w:rsidRPr="007744CA">
              <w:rPr>
                <w:sz w:val="16"/>
                <w:szCs w:val="16"/>
              </w:rPr>
              <w:t>(1.2–1.4)</w:t>
            </w:r>
          </w:p>
        </w:tc>
        <w:tc>
          <w:tcPr>
            <w:tcW w:w="939" w:type="dxa"/>
          </w:tcPr>
          <w:p w14:paraId="585E74F0" w14:textId="29FD96C9" w:rsidR="00640E45" w:rsidRPr="007744CA" w:rsidRDefault="00640E45" w:rsidP="00640E45">
            <w:pPr>
              <w:pStyle w:val="Tabletext"/>
              <w:jc w:val="center"/>
              <w:rPr>
                <w:sz w:val="16"/>
                <w:szCs w:val="16"/>
              </w:rPr>
            </w:pPr>
            <w:r w:rsidRPr="007744CA">
              <w:rPr>
                <w:sz w:val="16"/>
                <w:szCs w:val="16"/>
              </w:rPr>
              <w:t>1.2</w:t>
            </w:r>
          </w:p>
          <w:p w14:paraId="60A6003D" w14:textId="5279313B" w:rsidR="00640E45" w:rsidRPr="007744CA" w:rsidRDefault="00640E45" w:rsidP="00640E45">
            <w:pPr>
              <w:pStyle w:val="Tabletext"/>
              <w:jc w:val="center"/>
              <w:rPr>
                <w:sz w:val="16"/>
                <w:szCs w:val="16"/>
              </w:rPr>
            </w:pPr>
            <w:r w:rsidRPr="007744CA">
              <w:rPr>
                <w:sz w:val="16"/>
                <w:szCs w:val="16"/>
              </w:rPr>
              <w:t>(1.1–1.4)</w:t>
            </w:r>
          </w:p>
        </w:tc>
        <w:tc>
          <w:tcPr>
            <w:tcW w:w="939" w:type="dxa"/>
          </w:tcPr>
          <w:p w14:paraId="28E9ECB9" w14:textId="76A99189" w:rsidR="00640E45" w:rsidRPr="007744CA" w:rsidRDefault="00640E45" w:rsidP="00640E45">
            <w:pPr>
              <w:pStyle w:val="Tabletext"/>
              <w:jc w:val="center"/>
              <w:rPr>
                <w:sz w:val="16"/>
                <w:szCs w:val="16"/>
              </w:rPr>
            </w:pPr>
            <w:r w:rsidRPr="007744CA">
              <w:rPr>
                <w:sz w:val="16"/>
                <w:szCs w:val="16"/>
              </w:rPr>
              <w:t>1.2</w:t>
            </w:r>
          </w:p>
          <w:p w14:paraId="599992A1" w14:textId="790FE254" w:rsidR="00640E45" w:rsidRPr="007744CA" w:rsidRDefault="00640E45" w:rsidP="00640E45">
            <w:pPr>
              <w:pStyle w:val="Tabletext"/>
              <w:jc w:val="center"/>
              <w:rPr>
                <w:sz w:val="16"/>
                <w:szCs w:val="16"/>
              </w:rPr>
            </w:pPr>
            <w:r w:rsidRPr="007744CA">
              <w:rPr>
                <w:sz w:val="16"/>
                <w:szCs w:val="16"/>
              </w:rPr>
              <w:t>(1.1–1.3)</w:t>
            </w:r>
          </w:p>
        </w:tc>
        <w:tc>
          <w:tcPr>
            <w:tcW w:w="939" w:type="dxa"/>
          </w:tcPr>
          <w:p w14:paraId="1C490160" w14:textId="70F96B9D" w:rsidR="00640E45" w:rsidRPr="007744CA" w:rsidRDefault="00640E45" w:rsidP="00640E45">
            <w:pPr>
              <w:pStyle w:val="Tabletext"/>
              <w:jc w:val="center"/>
              <w:rPr>
                <w:sz w:val="16"/>
                <w:szCs w:val="16"/>
              </w:rPr>
            </w:pPr>
            <w:r w:rsidRPr="007744CA">
              <w:rPr>
                <w:sz w:val="16"/>
                <w:szCs w:val="16"/>
              </w:rPr>
              <w:t>1.3</w:t>
            </w:r>
          </w:p>
          <w:p w14:paraId="2F2F6770" w14:textId="281AA87C" w:rsidR="00640E45" w:rsidRPr="007744CA" w:rsidRDefault="00640E45" w:rsidP="00640E45">
            <w:pPr>
              <w:pStyle w:val="Tabletext"/>
              <w:jc w:val="center"/>
              <w:rPr>
                <w:sz w:val="16"/>
                <w:szCs w:val="16"/>
              </w:rPr>
            </w:pPr>
            <w:r w:rsidRPr="007744CA">
              <w:rPr>
                <w:sz w:val="16"/>
                <w:szCs w:val="16"/>
              </w:rPr>
              <w:t>(1.2–1.5)</w:t>
            </w:r>
          </w:p>
        </w:tc>
        <w:tc>
          <w:tcPr>
            <w:tcW w:w="862" w:type="dxa"/>
          </w:tcPr>
          <w:p w14:paraId="61646300" w14:textId="77777777" w:rsidR="00640E45" w:rsidRPr="007744CA" w:rsidRDefault="00640E45" w:rsidP="00640E45">
            <w:pPr>
              <w:pStyle w:val="Tabletext"/>
              <w:jc w:val="center"/>
              <w:rPr>
                <w:sz w:val="16"/>
                <w:szCs w:val="16"/>
              </w:rPr>
            </w:pPr>
            <w:r w:rsidRPr="007744CA">
              <w:rPr>
                <w:sz w:val="16"/>
                <w:szCs w:val="16"/>
              </w:rPr>
              <w:t>1.3</w:t>
            </w:r>
          </w:p>
          <w:p w14:paraId="59737547" w14:textId="42C07BF5" w:rsidR="00640E45" w:rsidRPr="007744CA" w:rsidRDefault="00640E45" w:rsidP="00640E45">
            <w:pPr>
              <w:pStyle w:val="Tabletext"/>
              <w:jc w:val="center"/>
              <w:rPr>
                <w:sz w:val="16"/>
                <w:szCs w:val="16"/>
              </w:rPr>
            </w:pPr>
            <w:r w:rsidRPr="007744CA">
              <w:rPr>
                <w:sz w:val="16"/>
                <w:szCs w:val="16"/>
              </w:rPr>
              <w:t>(1.2–1.4)</w:t>
            </w:r>
          </w:p>
        </w:tc>
      </w:tr>
      <w:tr w:rsidR="00640E45" w:rsidRPr="007744CA" w14:paraId="6298D5FD" w14:textId="3D66FE55" w:rsidTr="007744CA">
        <w:trPr>
          <w:trHeight w:val="411"/>
        </w:trPr>
        <w:tc>
          <w:tcPr>
            <w:tcW w:w="1793" w:type="dxa"/>
            <w:shd w:val="clear" w:color="auto" w:fill="auto"/>
            <w:vAlign w:val="center"/>
          </w:tcPr>
          <w:p w14:paraId="23C7FB7D" w14:textId="6C60D42B" w:rsidR="00640E45" w:rsidRPr="007744CA" w:rsidRDefault="00640E45" w:rsidP="00640E45">
            <w:pPr>
              <w:pStyle w:val="Tabletext"/>
              <w:rPr>
                <w:b/>
                <w:sz w:val="16"/>
                <w:szCs w:val="16"/>
              </w:rPr>
            </w:pPr>
            <w:r w:rsidRPr="007744CA">
              <w:rPr>
                <w:sz w:val="16"/>
                <w:szCs w:val="16"/>
              </w:rPr>
              <w:t>Quintile 4</w:t>
            </w:r>
          </w:p>
        </w:tc>
        <w:tc>
          <w:tcPr>
            <w:tcW w:w="1010" w:type="dxa"/>
            <w:shd w:val="clear" w:color="auto" w:fill="auto"/>
          </w:tcPr>
          <w:p w14:paraId="27099AE4" w14:textId="77777777" w:rsidR="00640E45" w:rsidRPr="007744CA" w:rsidRDefault="00640E45" w:rsidP="00640E45">
            <w:pPr>
              <w:pStyle w:val="Tabletext"/>
              <w:jc w:val="center"/>
              <w:rPr>
                <w:b/>
                <w:sz w:val="16"/>
                <w:szCs w:val="16"/>
              </w:rPr>
            </w:pPr>
            <w:r w:rsidRPr="007744CA">
              <w:rPr>
                <w:sz w:val="16"/>
                <w:szCs w:val="16"/>
              </w:rPr>
              <w:t>1.2</w:t>
            </w:r>
          </w:p>
          <w:p w14:paraId="13D80DDF" w14:textId="1676FDE2" w:rsidR="00640E45" w:rsidRPr="007744CA" w:rsidRDefault="00640E45" w:rsidP="00640E45">
            <w:pPr>
              <w:pStyle w:val="Tabletext"/>
              <w:jc w:val="center"/>
              <w:rPr>
                <w:sz w:val="16"/>
                <w:szCs w:val="16"/>
              </w:rPr>
            </w:pPr>
            <w:r w:rsidRPr="007744CA">
              <w:rPr>
                <w:sz w:val="16"/>
                <w:szCs w:val="16"/>
              </w:rPr>
              <w:t>(1.1–1.4)</w:t>
            </w:r>
          </w:p>
        </w:tc>
        <w:tc>
          <w:tcPr>
            <w:tcW w:w="956" w:type="dxa"/>
            <w:shd w:val="clear" w:color="auto" w:fill="auto"/>
          </w:tcPr>
          <w:p w14:paraId="48B45996" w14:textId="77777777" w:rsidR="00640E45" w:rsidRPr="007744CA" w:rsidRDefault="00640E45" w:rsidP="00640E45">
            <w:pPr>
              <w:pStyle w:val="Tabletext"/>
              <w:jc w:val="center"/>
              <w:rPr>
                <w:b/>
                <w:sz w:val="16"/>
                <w:szCs w:val="16"/>
              </w:rPr>
            </w:pPr>
            <w:r w:rsidRPr="007744CA">
              <w:rPr>
                <w:sz w:val="16"/>
                <w:szCs w:val="16"/>
              </w:rPr>
              <w:t>1.2</w:t>
            </w:r>
          </w:p>
          <w:p w14:paraId="59DC76CA" w14:textId="5220017A" w:rsidR="00640E45" w:rsidRPr="007744CA" w:rsidRDefault="00640E45" w:rsidP="00640E45">
            <w:pPr>
              <w:pStyle w:val="Tabletext"/>
              <w:jc w:val="center"/>
              <w:rPr>
                <w:sz w:val="16"/>
                <w:szCs w:val="16"/>
              </w:rPr>
            </w:pPr>
            <w:r w:rsidRPr="007744CA">
              <w:rPr>
                <w:sz w:val="16"/>
                <w:szCs w:val="16"/>
              </w:rPr>
              <w:t>(1.1–1.3)</w:t>
            </w:r>
          </w:p>
        </w:tc>
        <w:tc>
          <w:tcPr>
            <w:tcW w:w="956" w:type="dxa"/>
            <w:shd w:val="clear" w:color="auto" w:fill="auto"/>
          </w:tcPr>
          <w:p w14:paraId="56ADC29E" w14:textId="77777777" w:rsidR="00640E45" w:rsidRPr="007744CA" w:rsidRDefault="00640E45" w:rsidP="00640E45">
            <w:pPr>
              <w:pStyle w:val="Tabletext"/>
              <w:jc w:val="center"/>
              <w:rPr>
                <w:b/>
                <w:sz w:val="16"/>
                <w:szCs w:val="16"/>
              </w:rPr>
            </w:pPr>
            <w:r w:rsidRPr="007744CA">
              <w:rPr>
                <w:sz w:val="16"/>
                <w:szCs w:val="16"/>
              </w:rPr>
              <w:t>1.2</w:t>
            </w:r>
          </w:p>
          <w:p w14:paraId="540A8A82" w14:textId="30E58082" w:rsidR="00640E45" w:rsidRPr="007744CA" w:rsidRDefault="00640E45" w:rsidP="00640E45">
            <w:pPr>
              <w:pStyle w:val="Tabletext"/>
              <w:jc w:val="center"/>
              <w:rPr>
                <w:sz w:val="16"/>
                <w:szCs w:val="16"/>
              </w:rPr>
            </w:pPr>
            <w:r w:rsidRPr="007744CA">
              <w:rPr>
                <w:sz w:val="16"/>
                <w:szCs w:val="16"/>
              </w:rPr>
              <w:t>(1.1–1.3)</w:t>
            </w:r>
          </w:p>
        </w:tc>
        <w:tc>
          <w:tcPr>
            <w:tcW w:w="1115" w:type="dxa"/>
            <w:shd w:val="clear" w:color="auto" w:fill="auto"/>
          </w:tcPr>
          <w:p w14:paraId="26490CEB" w14:textId="77777777" w:rsidR="00640E45" w:rsidRPr="007744CA" w:rsidRDefault="00640E45" w:rsidP="00640E45">
            <w:pPr>
              <w:pStyle w:val="Tabletext"/>
              <w:jc w:val="center"/>
              <w:rPr>
                <w:b/>
                <w:sz w:val="16"/>
                <w:szCs w:val="16"/>
              </w:rPr>
            </w:pPr>
            <w:r w:rsidRPr="007744CA">
              <w:rPr>
                <w:sz w:val="16"/>
                <w:szCs w:val="16"/>
              </w:rPr>
              <w:t>1.1</w:t>
            </w:r>
          </w:p>
          <w:p w14:paraId="2FE4726B" w14:textId="6F7FD73C" w:rsidR="00640E45" w:rsidRPr="007744CA" w:rsidRDefault="00640E45" w:rsidP="00640E45">
            <w:pPr>
              <w:pStyle w:val="Tabletext"/>
              <w:jc w:val="center"/>
              <w:rPr>
                <w:sz w:val="16"/>
                <w:szCs w:val="16"/>
              </w:rPr>
            </w:pPr>
            <w:r w:rsidRPr="007744CA">
              <w:rPr>
                <w:sz w:val="16"/>
                <w:szCs w:val="16"/>
              </w:rPr>
              <w:t>(1.0–1.2)</w:t>
            </w:r>
          </w:p>
        </w:tc>
        <w:tc>
          <w:tcPr>
            <w:tcW w:w="939" w:type="dxa"/>
          </w:tcPr>
          <w:p w14:paraId="345543D5" w14:textId="77777777" w:rsidR="00640E45" w:rsidRPr="007744CA" w:rsidRDefault="00640E45" w:rsidP="00640E45">
            <w:pPr>
              <w:pStyle w:val="Tabletext"/>
              <w:jc w:val="center"/>
              <w:rPr>
                <w:sz w:val="16"/>
                <w:szCs w:val="16"/>
              </w:rPr>
            </w:pPr>
            <w:r w:rsidRPr="007744CA">
              <w:rPr>
                <w:sz w:val="16"/>
                <w:szCs w:val="16"/>
              </w:rPr>
              <w:t>1.1</w:t>
            </w:r>
          </w:p>
          <w:p w14:paraId="260B7810" w14:textId="7494B923" w:rsidR="00640E45" w:rsidRPr="007744CA" w:rsidRDefault="00640E45" w:rsidP="00640E45">
            <w:pPr>
              <w:pStyle w:val="Tabletext"/>
              <w:jc w:val="center"/>
              <w:rPr>
                <w:sz w:val="16"/>
                <w:szCs w:val="16"/>
              </w:rPr>
            </w:pPr>
            <w:r w:rsidRPr="007744CA">
              <w:rPr>
                <w:sz w:val="16"/>
                <w:szCs w:val="16"/>
              </w:rPr>
              <w:t>(1.0–1.3)</w:t>
            </w:r>
          </w:p>
        </w:tc>
        <w:tc>
          <w:tcPr>
            <w:tcW w:w="939" w:type="dxa"/>
          </w:tcPr>
          <w:p w14:paraId="03D0C83A" w14:textId="77777777" w:rsidR="00640E45" w:rsidRPr="007744CA" w:rsidRDefault="00640E45" w:rsidP="00640E45">
            <w:pPr>
              <w:pStyle w:val="Tabletext"/>
              <w:jc w:val="center"/>
              <w:rPr>
                <w:sz w:val="16"/>
                <w:szCs w:val="16"/>
              </w:rPr>
            </w:pPr>
            <w:r w:rsidRPr="007744CA">
              <w:rPr>
                <w:sz w:val="16"/>
                <w:szCs w:val="16"/>
              </w:rPr>
              <w:t>1.1</w:t>
            </w:r>
          </w:p>
          <w:p w14:paraId="1F4F21AE" w14:textId="1E848341" w:rsidR="00640E45" w:rsidRPr="007744CA" w:rsidRDefault="00640E45" w:rsidP="00640E45">
            <w:pPr>
              <w:pStyle w:val="Tabletext"/>
              <w:jc w:val="center"/>
              <w:rPr>
                <w:sz w:val="16"/>
                <w:szCs w:val="16"/>
              </w:rPr>
            </w:pPr>
            <w:r w:rsidRPr="007744CA">
              <w:rPr>
                <w:sz w:val="16"/>
                <w:szCs w:val="16"/>
              </w:rPr>
              <w:t>(1.0–1.2)</w:t>
            </w:r>
          </w:p>
        </w:tc>
        <w:tc>
          <w:tcPr>
            <w:tcW w:w="939" w:type="dxa"/>
          </w:tcPr>
          <w:p w14:paraId="32D68A43" w14:textId="77777777" w:rsidR="00640E45" w:rsidRPr="007744CA" w:rsidRDefault="00640E45" w:rsidP="00640E45">
            <w:pPr>
              <w:pStyle w:val="Tabletext"/>
              <w:jc w:val="center"/>
              <w:rPr>
                <w:sz w:val="16"/>
                <w:szCs w:val="16"/>
              </w:rPr>
            </w:pPr>
            <w:r w:rsidRPr="007744CA">
              <w:rPr>
                <w:sz w:val="16"/>
                <w:szCs w:val="16"/>
              </w:rPr>
              <w:t>1.1</w:t>
            </w:r>
          </w:p>
          <w:p w14:paraId="3EB54B68" w14:textId="3C78614E" w:rsidR="00640E45" w:rsidRPr="007744CA" w:rsidRDefault="00640E45" w:rsidP="00640E45">
            <w:pPr>
              <w:pStyle w:val="Tabletext"/>
              <w:jc w:val="center"/>
              <w:rPr>
                <w:sz w:val="16"/>
                <w:szCs w:val="16"/>
              </w:rPr>
            </w:pPr>
            <w:r w:rsidRPr="007744CA">
              <w:rPr>
                <w:sz w:val="16"/>
                <w:szCs w:val="16"/>
              </w:rPr>
              <w:t>(1.0–1.3)</w:t>
            </w:r>
          </w:p>
        </w:tc>
        <w:tc>
          <w:tcPr>
            <w:tcW w:w="862" w:type="dxa"/>
          </w:tcPr>
          <w:p w14:paraId="1B6B344B" w14:textId="5FBB5B82" w:rsidR="00640E45" w:rsidRPr="007744CA" w:rsidRDefault="00640E45" w:rsidP="00640E45">
            <w:pPr>
              <w:pStyle w:val="Tabletext"/>
              <w:jc w:val="center"/>
              <w:rPr>
                <w:sz w:val="16"/>
                <w:szCs w:val="16"/>
              </w:rPr>
            </w:pPr>
            <w:r w:rsidRPr="007744CA">
              <w:rPr>
                <w:sz w:val="16"/>
                <w:szCs w:val="16"/>
              </w:rPr>
              <w:t>1.2</w:t>
            </w:r>
          </w:p>
          <w:p w14:paraId="3337DF0B" w14:textId="24B86636" w:rsidR="00640E45" w:rsidRPr="007744CA" w:rsidRDefault="00640E45" w:rsidP="00640E45">
            <w:pPr>
              <w:pStyle w:val="Tabletext"/>
              <w:jc w:val="center"/>
              <w:rPr>
                <w:sz w:val="16"/>
                <w:szCs w:val="16"/>
              </w:rPr>
            </w:pPr>
            <w:r w:rsidRPr="007744CA">
              <w:rPr>
                <w:sz w:val="16"/>
                <w:szCs w:val="16"/>
              </w:rPr>
              <w:t>(1.1–1.3)</w:t>
            </w:r>
          </w:p>
        </w:tc>
      </w:tr>
      <w:tr w:rsidR="00640E45" w:rsidRPr="007744CA" w14:paraId="0627EFDB" w14:textId="01746C83" w:rsidTr="007744CA">
        <w:trPr>
          <w:trHeight w:val="411"/>
        </w:trPr>
        <w:tc>
          <w:tcPr>
            <w:tcW w:w="1793" w:type="dxa"/>
            <w:shd w:val="clear" w:color="auto" w:fill="auto"/>
            <w:vAlign w:val="center"/>
          </w:tcPr>
          <w:p w14:paraId="3BEA82BE" w14:textId="74EF64AE" w:rsidR="00640E45" w:rsidRPr="007744CA" w:rsidRDefault="00640E45" w:rsidP="00640E45">
            <w:pPr>
              <w:pStyle w:val="Tabletext"/>
              <w:rPr>
                <w:sz w:val="16"/>
                <w:szCs w:val="16"/>
              </w:rPr>
            </w:pPr>
            <w:r w:rsidRPr="007744CA">
              <w:rPr>
                <w:sz w:val="16"/>
                <w:szCs w:val="16"/>
              </w:rPr>
              <w:t>Quintile 5 – refer to note below Figure 5.2</w:t>
            </w:r>
          </w:p>
        </w:tc>
        <w:tc>
          <w:tcPr>
            <w:tcW w:w="1010" w:type="dxa"/>
            <w:shd w:val="clear" w:color="auto" w:fill="auto"/>
          </w:tcPr>
          <w:p w14:paraId="2EA67749" w14:textId="777A752B" w:rsidR="00640E45" w:rsidRPr="007744CA" w:rsidRDefault="00640E45" w:rsidP="00640E45">
            <w:pPr>
              <w:pStyle w:val="Tabletext"/>
              <w:jc w:val="center"/>
              <w:rPr>
                <w:sz w:val="16"/>
                <w:szCs w:val="16"/>
              </w:rPr>
            </w:pPr>
            <w:r w:rsidRPr="007744CA">
              <w:rPr>
                <w:sz w:val="16"/>
                <w:szCs w:val="16"/>
              </w:rPr>
              <w:t xml:space="preserve">Ref </w:t>
            </w:r>
            <w:r w:rsidR="00DC3DA4">
              <w:rPr>
                <w:sz w:val="16"/>
                <w:szCs w:val="16"/>
              </w:rPr>
              <w:t>p</w:t>
            </w:r>
            <w:r w:rsidRPr="007744CA">
              <w:rPr>
                <w:sz w:val="16"/>
                <w:szCs w:val="16"/>
              </w:rPr>
              <w:t>oint</w:t>
            </w:r>
          </w:p>
        </w:tc>
        <w:tc>
          <w:tcPr>
            <w:tcW w:w="956" w:type="dxa"/>
            <w:shd w:val="clear" w:color="auto" w:fill="auto"/>
          </w:tcPr>
          <w:p w14:paraId="433AF134" w14:textId="0CBAFCA2" w:rsidR="00640E45" w:rsidRPr="007744CA" w:rsidRDefault="00640E45" w:rsidP="00640E45">
            <w:pPr>
              <w:pStyle w:val="Tabletext"/>
              <w:jc w:val="center"/>
              <w:rPr>
                <w:sz w:val="16"/>
                <w:szCs w:val="16"/>
              </w:rPr>
            </w:pPr>
            <w:r w:rsidRPr="007744CA">
              <w:rPr>
                <w:sz w:val="16"/>
                <w:szCs w:val="16"/>
              </w:rPr>
              <w:t xml:space="preserve">Ref </w:t>
            </w:r>
            <w:r w:rsidR="00DC3DA4">
              <w:rPr>
                <w:sz w:val="16"/>
                <w:szCs w:val="16"/>
              </w:rPr>
              <w:t>p</w:t>
            </w:r>
            <w:r w:rsidRPr="007744CA">
              <w:rPr>
                <w:sz w:val="16"/>
                <w:szCs w:val="16"/>
              </w:rPr>
              <w:t>oint</w:t>
            </w:r>
          </w:p>
        </w:tc>
        <w:tc>
          <w:tcPr>
            <w:tcW w:w="956" w:type="dxa"/>
            <w:shd w:val="clear" w:color="auto" w:fill="auto"/>
          </w:tcPr>
          <w:p w14:paraId="47442EE2" w14:textId="75E3D512" w:rsidR="00640E45" w:rsidRPr="007744CA" w:rsidRDefault="00640E45" w:rsidP="00640E45">
            <w:pPr>
              <w:pStyle w:val="Tabletext"/>
              <w:jc w:val="center"/>
              <w:rPr>
                <w:sz w:val="16"/>
                <w:szCs w:val="16"/>
              </w:rPr>
            </w:pPr>
            <w:r w:rsidRPr="007744CA">
              <w:rPr>
                <w:sz w:val="16"/>
                <w:szCs w:val="16"/>
              </w:rPr>
              <w:t xml:space="preserve">Ref </w:t>
            </w:r>
            <w:r w:rsidR="00DC3DA4">
              <w:rPr>
                <w:sz w:val="16"/>
                <w:szCs w:val="16"/>
              </w:rPr>
              <w:t>p</w:t>
            </w:r>
            <w:r w:rsidRPr="007744CA">
              <w:rPr>
                <w:sz w:val="16"/>
                <w:szCs w:val="16"/>
              </w:rPr>
              <w:t>oint</w:t>
            </w:r>
          </w:p>
        </w:tc>
        <w:tc>
          <w:tcPr>
            <w:tcW w:w="1115" w:type="dxa"/>
            <w:shd w:val="clear" w:color="auto" w:fill="auto"/>
          </w:tcPr>
          <w:p w14:paraId="1DC76986" w14:textId="5F1F423B" w:rsidR="00640E45" w:rsidRPr="007744CA" w:rsidRDefault="00640E45" w:rsidP="00640E45">
            <w:pPr>
              <w:pStyle w:val="Tabletext"/>
              <w:jc w:val="center"/>
              <w:rPr>
                <w:sz w:val="16"/>
                <w:szCs w:val="16"/>
              </w:rPr>
            </w:pPr>
            <w:r w:rsidRPr="007744CA">
              <w:rPr>
                <w:sz w:val="16"/>
                <w:szCs w:val="16"/>
              </w:rPr>
              <w:t xml:space="preserve">Ref </w:t>
            </w:r>
            <w:r w:rsidR="00DC3DA4">
              <w:rPr>
                <w:sz w:val="16"/>
                <w:szCs w:val="16"/>
              </w:rPr>
              <w:t>p</w:t>
            </w:r>
            <w:r w:rsidRPr="007744CA">
              <w:rPr>
                <w:sz w:val="16"/>
                <w:szCs w:val="16"/>
              </w:rPr>
              <w:t>oint</w:t>
            </w:r>
          </w:p>
        </w:tc>
        <w:tc>
          <w:tcPr>
            <w:tcW w:w="939" w:type="dxa"/>
          </w:tcPr>
          <w:p w14:paraId="0DAC40FF" w14:textId="46959FAC" w:rsidR="00640E45" w:rsidRPr="007744CA" w:rsidRDefault="00640E45" w:rsidP="00640E45">
            <w:pPr>
              <w:pStyle w:val="Tabletext"/>
              <w:jc w:val="center"/>
              <w:rPr>
                <w:sz w:val="16"/>
                <w:szCs w:val="16"/>
              </w:rPr>
            </w:pPr>
            <w:r w:rsidRPr="007744CA">
              <w:rPr>
                <w:sz w:val="16"/>
                <w:szCs w:val="16"/>
              </w:rPr>
              <w:t xml:space="preserve">Ref </w:t>
            </w:r>
            <w:r w:rsidR="00DC3DA4">
              <w:rPr>
                <w:sz w:val="16"/>
                <w:szCs w:val="16"/>
              </w:rPr>
              <w:t>p</w:t>
            </w:r>
            <w:r w:rsidRPr="007744CA">
              <w:rPr>
                <w:sz w:val="16"/>
                <w:szCs w:val="16"/>
              </w:rPr>
              <w:t>oint</w:t>
            </w:r>
          </w:p>
        </w:tc>
        <w:tc>
          <w:tcPr>
            <w:tcW w:w="939" w:type="dxa"/>
          </w:tcPr>
          <w:p w14:paraId="58F10AAD" w14:textId="35B0C242" w:rsidR="00640E45" w:rsidRPr="007744CA" w:rsidRDefault="00640E45" w:rsidP="00640E45">
            <w:pPr>
              <w:pStyle w:val="Tabletext"/>
              <w:jc w:val="center"/>
              <w:rPr>
                <w:sz w:val="16"/>
                <w:szCs w:val="16"/>
              </w:rPr>
            </w:pPr>
            <w:r w:rsidRPr="007744CA">
              <w:rPr>
                <w:sz w:val="16"/>
                <w:szCs w:val="16"/>
              </w:rPr>
              <w:t xml:space="preserve">Ref </w:t>
            </w:r>
            <w:r w:rsidR="00DC3DA4">
              <w:rPr>
                <w:sz w:val="16"/>
                <w:szCs w:val="16"/>
              </w:rPr>
              <w:t>p</w:t>
            </w:r>
            <w:r w:rsidRPr="007744CA">
              <w:rPr>
                <w:sz w:val="16"/>
                <w:szCs w:val="16"/>
              </w:rPr>
              <w:t>oint</w:t>
            </w:r>
          </w:p>
        </w:tc>
        <w:tc>
          <w:tcPr>
            <w:tcW w:w="939" w:type="dxa"/>
          </w:tcPr>
          <w:p w14:paraId="35062E51" w14:textId="4E3D9CEA" w:rsidR="00640E45" w:rsidRPr="007744CA" w:rsidRDefault="00640E45" w:rsidP="00640E45">
            <w:pPr>
              <w:pStyle w:val="Tabletext"/>
              <w:jc w:val="center"/>
              <w:rPr>
                <w:sz w:val="16"/>
                <w:szCs w:val="16"/>
              </w:rPr>
            </w:pPr>
            <w:r w:rsidRPr="007744CA">
              <w:rPr>
                <w:sz w:val="16"/>
                <w:szCs w:val="16"/>
              </w:rPr>
              <w:t xml:space="preserve">Ref </w:t>
            </w:r>
            <w:r w:rsidR="00DC3DA4">
              <w:rPr>
                <w:sz w:val="16"/>
                <w:szCs w:val="16"/>
              </w:rPr>
              <w:t>p</w:t>
            </w:r>
            <w:r w:rsidRPr="007744CA">
              <w:rPr>
                <w:sz w:val="16"/>
                <w:szCs w:val="16"/>
              </w:rPr>
              <w:t>oint</w:t>
            </w:r>
          </w:p>
        </w:tc>
        <w:tc>
          <w:tcPr>
            <w:tcW w:w="862" w:type="dxa"/>
          </w:tcPr>
          <w:p w14:paraId="6A7383F3" w14:textId="477526B1" w:rsidR="00640E45" w:rsidRPr="007744CA" w:rsidRDefault="00640E45" w:rsidP="00640E45">
            <w:pPr>
              <w:pStyle w:val="Tabletext"/>
              <w:jc w:val="center"/>
              <w:rPr>
                <w:sz w:val="16"/>
                <w:szCs w:val="16"/>
              </w:rPr>
            </w:pPr>
            <w:r w:rsidRPr="007744CA">
              <w:rPr>
                <w:sz w:val="16"/>
                <w:szCs w:val="16"/>
              </w:rPr>
              <w:t xml:space="preserve">Ref </w:t>
            </w:r>
            <w:r w:rsidR="00DC3DA4">
              <w:rPr>
                <w:sz w:val="16"/>
                <w:szCs w:val="16"/>
              </w:rPr>
              <w:t>p</w:t>
            </w:r>
            <w:r w:rsidRPr="007744CA">
              <w:rPr>
                <w:sz w:val="16"/>
                <w:szCs w:val="16"/>
              </w:rPr>
              <w:t>oint</w:t>
            </w:r>
          </w:p>
        </w:tc>
      </w:tr>
    </w:tbl>
    <w:p w14:paraId="488FCCC9" w14:textId="6CA1C8D6" w:rsidR="004929B2" w:rsidRPr="005B56A1" w:rsidRDefault="004929B2" w:rsidP="004929B2">
      <w:pPr>
        <w:pStyle w:val="Tablefigurenote"/>
        <w:rPr>
          <w:i/>
          <w:iCs/>
          <w:sz w:val="18"/>
          <w:szCs w:val="18"/>
        </w:rPr>
      </w:pPr>
      <w:r w:rsidRPr="005B56A1">
        <w:rPr>
          <w:i/>
          <w:iCs/>
          <w:sz w:val="18"/>
          <w:szCs w:val="18"/>
        </w:rPr>
        <w:t xml:space="preserve">Note: Ref </w:t>
      </w:r>
      <w:r w:rsidR="00DC3DA4" w:rsidRPr="005B56A1">
        <w:rPr>
          <w:i/>
          <w:iCs/>
          <w:sz w:val="18"/>
          <w:szCs w:val="18"/>
        </w:rPr>
        <w:t>p</w:t>
      </w:r>
      <w:r w:rsidRPr="005B56A1">
        <w:rPr>
          <w:i/>
          <w:iCs/>
          <w:sz w:val="18"/>
          <w:szCs w:val="18"/>
        </w:rPr>
        <w:t>oint = the reference point – that is, the SES residents with the lowest premature death rate for that particular year</w:t>
      </w:r>
      <w:r w:rsidR="00DC3DA4" w:rsidRPr="005B56A1">
        <w:rPr>
          <w:i/>
          <w:iCs/>
          <w:sz w:val="18"/>
          <w:szCs w:val="18"/>
        </w:rPr>
        <w:t>.</w:t>
      </w:r>
    </w:p>
    <w:p w14:paraId="1E7B4597" w14:textId="4FB02435" w:rsidR="00665D4B" w:rsidRPr="00566B63" w:rsidRDefault="00665D4B" w:rsidP="007C7F00">
      <w:pPr>
        <w:pStyle w:val="Heading4"/>
      </w:pPr>
      <w:r w:rsidRPr="00E43803">
        <w:t>Measure assessment</w:t>
      </w:r>
    </w:p>
    <w:p w14:paraId="33E05E9F" w14:textId="5F5D58EA" w:rsidR="00EC3B7A" w:rsidRPr="00E060C8" w:rsidRDefault="00FE5799" w:rsidP="00606436">
      <w:pPr>
        <w:pStyle w:val="Body"/>
      </w:pPr>
      <w:r w:rsidRPr="009F01B1">
        <w:t>Traffic light rating:</w:t>
      </w:r>
      <w:r w:rsidRPr="00B504AD">
        <w:rPr>
          <w:color w:val="AF272F"/>
        </w:rPr>
        <w:t xml:space="preserve"> </w:t>
      </w:r>
      <w:r w:rsidR="00DB7AC1" w:rsidRPr="00B504AD">
        <w:rPr>
          <w:b/>
          <w:color w:val="AF272F"/>
        </w:rPr>
        <w:t>Red</w:t>
      </w:r>
      <w:r w:rsidR="00EC3B7A" w:rsidRPr="00B504AD">
        <w:rPr>
          <w:b/>
          <w:color w:val="AF272F"/>
        </w:rPr>
        <w:t xml:space="preserve"> </w:t>
      </w:r>
      <w:r w:rsidR="00EC3B7A">
        <w:t>(result is of concern)</w:t>
      </w:r>
    </w:p>
    <w:p w14:paraId="388F599D" w14:textId="7106B8BB" w:rsidR="00FE5799" w:rsidRPr="003E5FD3" w:rsidRDefault="00FE5799" w:rsidP="00606436">
      <w:pPr>
        <w:pStyle w:val="Body"/>
      </w:pPr>
      <w:r w:rsidRPr="00C15AE4">
        <w:t xml:space="preserve">Overall trend: </w:t>
      </w:r>
      <w:r w:rsidR="005D4A77">
        <w:t>Static or unchanging</w:t>
      </w:r>
    </w:p>
    <w:p w14:paraId="20173FB6" w14:textId="1A8233EB" w:rsidR="00864EE4" w:rsidRPr="00223D80" w:rsidRDefault="00FE5799" w:rsidP="00E87AAA">
      <w:pPr>
        <w:pStyle w:val="Body"/>
      </w:pPr>
      <w:r w:rsidRPr="001F0F45">
        <w:t xml:space="preserve">Commentary: </w:t>
      </w:r>
      <w:r w:rsidR="006852C6" w:rsidRPr="001F0F45">
        <w:t>Figure 5.2 shows that t</w:t>
      </w:r>
      <w:r w:rsidR="009B4579" w:rsidRPr="001F0F45">
        <w:t xml:space="preserve">he rate of premature death increases as </w:t>
      </w:r>
      <w:r w:rsidR="00DE7FFE">
        <w:t xml:space="preserve">SES </w:t>
      </w:r>
      <w:r w:rsidR="009B4579" w:rsidRPr="001F0F45">
        <w:t>declines.</w:t>
      </w:r>
      <w:r w:rsidR="00834F58" w:rsidRPr="001F0F45">
        <w:t xml:space="preserve"> For example</w:t>
      </w:r>
      <w:r w:rsidR="00504864" w:rsidRPr="001F0F45">
        <w:t>,</w:t>
      </w:r>
      <w:r w:rsidR="00834F58" w:rsidRPr="001F0F45">
        <w:t xml:space="preserve"> in the period </w:t>
      </w:r>
      <w:r w:rsidR="00761676" w:rsidRPr="001F0F45">
        <w:t>201</w:t>
      </w:r>
      <w:r w:rsidR="00DB1E30">
        <w:t>4</w:t>
      </w:r>
      <w:r w:rsidR="00BB150E">
        <w:t>–</w:t>
      </w:r>
      <w:r w:rsidR="00761676" w:rsidRPr="001F0F45">
        <w:t>20</w:t>
      </w:r>
      <w:r w:rsidR="00B97912">
        <w:t>2</w:t>
      </w:r>
      <w:r w:rsidR="003F427E">
        <w:t>1</w:t>
      </w:r>
      <w:r w:rsidR="00761676" w:rsidRPr="001F0F45">
        <w:t>, Victoria</w:t>
      </w:r>
      <w:r w:rsidR="00DB7AC1" w:rsidRPr="001F0F45">
        <w:t>ns</w:t>
      </w:r>
      <w:r w:rsidR="00761676" w:rsidRPr="001F0F45">
        <w:t xml:space="preserve"> who were in the most disadvantaged quintile (</w:t>
      </w:r>
      <w:r w:rsidR="000F1A1A">
        <w:t xml:space="preserve">first </w:t>
      </w:r>
      <w:r w:rsidR="00761676" w:rsidRPr="001F0F45">
        <w:t>quintile) had a premature death rate that was</w:t>
      </w:r>
      <w:r w:rsidR="00DB7AC1" w:rsidRPr="001F0F45">
        <w:t xml:space="preserve"> significantly higher than the other quintiles</w:t>
      </w:r>
      <w:r w:rsidR="00556F4C" w:rsidRPr="001F0F45">
        <w:t xml:space="preserve"> </w:t>
      </w:r>
      <w:r w:rsidR="001F0F45" w:rsidRPr="001F0F45">
        <w:t xml:space="preserve">for all the years reported </w:t>
      </w:r>
      <w:r w:rsidR="00556F4C" w:rsidRPr="001F0F45">
        <w:t>(Figure 5.2).</w:t>
      </w:r>
      <w:r w:rsidR="00952FC7">
        <w:t xml:space="preserve"> </w:t>
      </w:r>
      <w:r w:rsidR="00556F4C" w:rsidRPr="001F0F45">
        <w:t>In 20</w:t>
      </w:r>
      <w:r w:rsidR="00B97912">
        <w:t>2</w:t>
      </w:r>
      <w:r w:rsidR="003F427E">
        <w:t>1</w:t>
      </w:r>
      <w:r w:rsidR="00556F4C" w:rsidRPr="001F0F45">
        <w:t xml:space="preserve"> the</w:t>
      </w:r>
      <w:r w:rsidR="001F0F45" w:rsidRPr="001F0F45">
        <w:t xml:space="preserve"> premature death rate</w:t>
      </w:r>
      <w:r w:rsidR="00657BBD">
        <w:t xml:space="preserve"> </w:t>
      </w:r>
      <w:r w:rsidR="00DF2E40">
        <w:t xml:space="preserve">for Victorians living </w:t>
      </w:r>
      <w:r w:rsidR="00657BBD">
        <w:t>in the lo</w:t>
      </w:r>
      <w:r w:rsidR="009350A1">
        <w:t>west socioeconomic quintile (</w:t>
      </w:r>
      <w:r w:rsidR="001E5C3A">
        <w:t>SES 1</w:t>
      </w:r>
      <w:r w:rsidR="009350A1">
        <w:t>)</w:t>
      </w:r>
      <w:r w:rsidR="001F0F45" w:rsidRPr="001F0F45">
        <w:t xml:space="preserve"> was 1.</w:t>
      </w:r>
      <w:r w:rsidR="00B97912">
        <w:t>9</w:t>
      </w:r>
      <w:r w:rsidR="001F0F45" w:rsidRPr="001F0F45">
        <w:t xml:space="preserve"> </w:t>
      </w:r>
      <w:r w:rsidR="00761676" w:rsidRPr="001F0F45">
        <w:t xml:space="preserve">times higher </w:t>
      </w:r>
      <w:r w:rsidR="005700AA">
        <w:t xml:space="preserve">compared </w:t>
      </w:r>
      <w:r w:rsidR="001B50BF">
        <w:t>with</w:t>
      </w:r>
      <w:r w:rsidR="001B50BF" w:rsidRPr="001F0F45">
        <w:t xml:space="preserve"> </w:t>
      </w:r>
      <w:r w:rsidR="00761676" w:rsidRPr="001F0F45">
        <w:t xml:space="preserve">the premature death rate for </w:t>
      </w:r>
      <w:r w:rsidR="009350A1">
        <w:t xml:space="preserve">those </w:t>
      </w:r>
      <w:r w:rsidR="00DF2E40">
        <w:t>living</w:t>
      </w:r>
      <w:r w:rsidR="009350A1">
        <w:t xml:space="preserve"> in the highest socioeconomic </w:t>
      </w:r>
      <w:r w:rsidR="00F34179">
        <w:t>areas</w:t>
      </w:r>
      <w:r w:rsidR="005700AA">
        <w:t xml:space="preserve"> (</w:t>
      </w:r>
      <w:r w:rsidR="001E5C3A">
        <w:t>SES 5</w:t>
      </w:r>
      <w:r w:rsidR="005700AA">
        <w:t>)</w:t>
      </w:r>
      <w:r w:rsidR="00377E7A">
        <w:t xml:space="preserve"> (Table 5.2)</w:t>
      </w:r>
      <w:r w:rsidR="00761676" w:rsidRPr="001F0F45">
        <w:t>.</w:t>
      </w:r>
      <w:r w:rsidR="001F0F45">
        <w:t xml:space="preserve"> </w:t>
      </w:r>
      <w:r w:rsidR="001F0F45" w:rsidRPr="001F0F45">
        <w:t xml:space="preserve">While a target has not been set for this measure, </w:t>
      </w:r>
      <w:r w:rsidR="00A229BB">
        <w:t xml:space="preserve">the mix of cancers needs to be carefully considered </w:t>
      </w:r>
      <w:r w:rsidR="0064048B">
        <w:t xml:space="preserve">in the context of </w:t>
      </w:r>
      <w:r w:rsidR="001E5C3A">
        <w:t>‘</w:t>
      </w:r>
      <w:r w:rsidR="0064048B">
        <w:t>all cancers</w:t>
      </w:r>
      <w:r w:rsidR="001E5C3A">
        <w:t>’. This is</w:t>
      </w:r>
      <w:r w:rsidR="0064048B">
        <w:t xml:space="preserve"> because the disparities that exist in cancer survival and death (including premature death) rates between SES groups reflects the mix of cancers prevalent in each group</w:t>
      </w:r>
      <w:r w:rsidR="001E5C3A">
        <w:t>,</w:t>
      </w:r>
      <w:r w:rsidR="0064048B">
        <w:t xml:space="preserve"> with very different mortality/survival patterns.</w:t>
      </w:r>
      <w:r w:rsidR="003E3CC8">
        <w:t xml:space="preserve"> </w:t>
      </w:r>
      <w:r w:rsidR="00D043FB">
        <w:t>For example, lower SES quintiles have higher rates of smoking and lung cancer with higher mortality rates. This is contrary to higher SES quintiles</w:t>
      </w:r>
      <w:r w:rsidR="001E5C3A">
        <w:t>,</w:t>
      </w:r>
      <w:r w:rsidR="00D043FB">
        <w:t xml:space="preserve"> which have higher rates of prostate cancer with higher survival rates. Nevertheless, </w:t>
      </w:r>
      <w:r w:rsidR="001F0F45" w:rsidRPr="001F0F45">
        <w:t xml:space="preserve">studying </w:t>
      </w:r>
      <w:r w:rsidR="001F0F45" w:rsidRPr="001F0F45">
        <w:rPr>
          <w:lang w:val="en"/>
        </w:rPr>
        <w:t>the relationship between socioeconomic circumstances and premature cancer death rate</w:t>
      </w:r>
      <w:r w:rsidR="001E5C3A">
        <w:rPr>
          <w:lang w:val="en"/>
        </w:rPr>
        <w:t>s</w:t>
      </w:r>
      <w:r w:rsidR="001F0F45" w:rsidRPr="001F0F45">
        <w:rPr>
          <w:lang w:val="en"/>
        </w:rPr>
        <w:t xml:space="preserve"> </w:t>
      </w:r>
      <w:r w:rsidR="00CD763E">
        <w:rPr>
          <w:lang w:val="en"/>
        </w:rPr>
        <w:t>across</w:t>
      </w:r>
      <w:r w:rsidR="001F0F45" w:rsidRPr="001F0F45">
        <w:rPr>
          <w:lang w:val="en"/>
        </w:rPr>
        <w:t xml:space="preserve"> Victoria</w:t>
      </w:r>
      <w:r w:rsidR="001F0F45" w:rsidRPr="001F0F45">
        <w:t xml:space="preserve"> </w:t>
      </w:r>
      <w:r w:rsidR="001F0F45" w:rsidRPr="001F0F45">
        <w:rPr>
          <w:lang w:val="en"/>
        </w:rPr>
        <w:t>may identify opportunities to improve the reach and effectiveness of health improvement activities.</w:t>
      </w:r>
      <w:r w:rsidR="00864EE4">
        <w:br w:type="page"/>
      </w:r>
    </w:p>
    <w:p w14:paraId="2E3ED658" w14:textId="736FB8F3" w:rsidR="00E8458B" w:rsidRPr="003E6A0B" w:rsidRDefault="00E8458B" w:rsidP="00A451D4">
      <w:pPr>
        <w:pStyle w:val="Heading3"/>
        <w:rPr>
          <w:b/>
          <w:bCs w:val="0"/>
        </w:rPr>
      </w:pPr>
      <w:bookmarkStart w:id="340" w:name="_Measure_5.3_–"/>
      <w:bookmarkStart w:id="341" w:name="_Toc19008050"/>
      <w:bookmarkEnd w:id="340"/>
      <w:r w:rsidRPr="003E6A0B">
        <w:rPr>
          <w:b/>
          <w:bCs w:val="0"/>
        </w:rPr>
        <w:lastRenderedPageBreak/>
        <w:t>Measure 5.3 – Rate ratio of premature de</w:t>
      </w:r>
      <w:r w:rsidR="005224C7" w:rsidRPr="003E6A0B">
        <w:rPr>
          <w:b/>
          <w:bCs w:val="0"/>
        </w:rPr>
        <w:t>ath between Aboriginal and non-</w:t>
      </w:r>
      <w:r w:rsidRPr="003E6A0B">
        <w:rPr>
          <w:b/>
          <w:bCs w:val="0"/>
        </w:rPr>
        <w:t>Aboriginal Victorians</w:t>
      </w:r>
      <w:bookmarkEnd w:id="341"/>
    </w:p>
    <w:p w14:paraId="17B1559B" w14:textId="70E12DB6" w:rsidR="00125C73" w:rsidRPr="00217A4B" w:rsidRDefault="00125C73" w:rsidP="001A17B2">
      <w:pPr>
        <w:pStyle w:val="Figurecaption"/>
        <w:rPr>
          <w:sz w:val="20"/>
        </w:rPr>
      </w:pPr>
      <w:bookmarkStart w:id="342" w:name="_Toc19008051"/>
      <w:bookmarkStart w:id="343" w:name="_Toc19008293"/>
      <w:bookmarkStart w:id="344" w:name="_Toc19008440"/>
      <w:bookmarkStart w:id="345" w:name="_Toc19008587"/>
      <w:bookmarkStart w:id="346" w:name="_Toc132553021"/>
      <w:bookmarkStart w:id="347" w:name="_Toc140827629"/>
      <w:r w:rsidRPr="00217A4B">
        <w:rPr>
          <w:sz w:val="20"/>
        </w:rPr>
        <w:t>Figure 5.3</w:t>
      </w:r>
      <w:r w:rsidR="003B391F" w:rsidRPr="00217A4B">
        <w:rPr>
          <w:sz w:val="20"/>
        </w:rPr>
        <w:t>:</w:t>
      </w:r>
      <w:r w:rsidRPr="00217A4B">
        <w:rPr>
          <w:sz w:val="20"/>
        </w:rPr>
        <w:t xml:space="preserve"> Rate ratio of premature death</w:t>
      </w:r>
      <w:r w:rsidR="00DD11EF" w:rsidRPr="00217A4B">
        <w:rPr>
          <w:sz w:val="20"/>
        </w:rPr>
        <w:t xml:space="preserve"> (with confidence intervals)</w:t>
      </w:r>
      <w:r w:rsidRPr="00217A4B">
        <w:rPr>
          <w:sz w:val="20"/>
        </w:rPr>
        <w:t xml:space="preserve"> between Aboriginal and non-</w:t>
      </w:r>
      <w:r w:rsidR="00680DD3" w:rsidRPr="00217A4B">
        <w:rPr>
          <w:sz w:val="20"/>
        </w:rPr>
        <w:t>A</w:t>
      </w:r>
      <w:r w:rsidRPr="00217A4B">
        <w:rPr>
          <w:sz w:val="20"/>
        </w:rPr>
        <w:t>boriginal Victorians</w:t>
      </w:r>
      <w:r w:rsidR="00BE3211" w:rsidRPr="00217A4B">
        <w:rPr>
          <w:sz w:val="20"/>
        </w:rPr>
        <w:t>,</w:t>
      </w:r>
      <w:r w:rsidRPr="00217A4B">
        <w:rPr>
          <w:sz w:val="20"/>
        </w:rPr>
        <w:t xml:space="preserve"> by year, 201</w:t>
      </w:r>
      <w:r w:rsidR="009F6E6B" w:rsidRPr="00217A4B">
        <w:rPr>
          <w:sz w:val="20"/>
        </w:rPr>
        <w:t>4</w:t>
      </w:r>
      <w:r w:rsidR="008D2095" w:rsidRPr="00217A4B">
        <w:rPr>
          <w:sz w:val="20"/>
        </w:rPr>
        <w:t>–</w:t>
      </w:r>
      <w:r w:rsidRPr="00217A4B">
        <w:rPr>
          <w:sz w:val="20"/>
        </w:rPr>
        <w:t>20</w:t>
      </w:r>
      <w:bookmarkEnd w:id="342"/>
      <w:bookmarkEnd w:id="343"/>
      <w:bookmarkEnd w:id="344"/>
      <w:bookmarkEnd w:id="345"/>
      <w:r w:rsidR="00C44A66" w:rsidRPr="00217A4B">
        <w:rPr>
          <w:sz w:val="20"/>
        </w:rPr>
        <w:t>2</w:t>
      </w:r>
      <w:r w:rsidR="00292629" w:rsidRPr="00217A4B">
        <w:rPr>
          <w:sz w:val="20"/>
        </w:rPr>
        <w:t>1</w:t>
      </w:r>
      <w:bookmarkEnd w:id="346"/>
      <w:bookmarkEnd w:id="347"/>
    </w:p>
    <w:p w14:paraId="2DE07122" w14:textId="1E42797B" w:rsidR="00292629" w:rsidRPr="00292629" w:rsidRDefault="00292629" w:rsidP="00E87AAA">
      <w:pPr>
        <w:pStyle w:val="Body"/>
      </w:pPr>
      <w:r>
        <w:rPr>
          <w:noProof/>
        </w:rPr>
        <w:drawing>
          <wp:inline distT="0" distB="0" distL="0" distR="0" wp14:anchorId="773B2565" wp14:editId="7F451072">
            <wp:extent cx="5916930" cy="4377968"/>
            <wp:effectExtent l="0" t="0" r="7620" b="3810"/>
            <wp:docPr id="35" name="Picture 35" descr="This figure shows a summary of 'Measure 5.3 - Rate ratio of premature cancer incidence between Aboriginal and non-Aboriginal Victorians'.  The data for this figure is available in this section for the study period 2014 to 2021 - refer to Tabl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his figure shows a summary of 'Measure 5.3 - Rate ratio of premature cancer incidence between Aboriginal and non-Aboriginal Victorians'.  The data for this figure is available in this section for the study period 2014 to 2021 - refer to Table 5.3."/>
                    <pic:cNvPicPr/>
                  </pic:nvPicPr>
                  <pic:blipFill>
                    <a:blip r:embed="rId73"/>
                    <a:stretch>
                      <a:fillRect/>
                    </a:stretch>
                  </pic:blipFill>
                  <pic:spPr>
                    <a:xfrm>
                      <a:off x="0" y="0"/>
                      <a:ext cx="5927846" cy="4386045"/>
                    </a:xfrm>
                    <a:prstGeom prst="rect">
                      <a:avLst/>
                    </a:prstGeom>
                  </pic:spPr>
                </pic:pic>
              </a:graphicData>
            </a:graphic>
          </wp:inline>
        </w:drawing>
      </w:r>
    </w:p>
    <w:p w14:paraId="29BA8823" w14:textId="44264B2A" w:rsidR="00C161E8" w:rsidRPr="00217A4B" w:rsidRDefault="00C161E8" w:rsidP="00537C17">
      <w:pPr>
        <w:pStyle w:val="Tablefigurenote"/>
        <w:rPr>
          <w:i/>
          <w:iCs/>
          <w:sz w:val="18"/>
          <w:szCs w:val="18"/>
        </w:rPr>
      </w:pPr>
      <w:r w:rsidRPr="00217A4B">
        <w:rPr>
          <w:i/>
          <w:iCs/>
          <w:sz w:val="18"/>
          <w:szCs w:val="18"/>
        </w:rPr>
        <w:t>Note: E</w:t>
      </w:r>
      <w:r w:rsidR="00044B95" w:rsidRPr="00217A4B">
        <w:rPr>
          <w:i/>
          <w:iCs/>
          <w:sz w:val="18"/>
          <w:szCs w:val="18"/>
        </w:rPr>
        <w:t>R</w:t>
      </w:r>
      <w:r w:rsidRPr="00217A4B">
        <w:rPr>
          <w:i/>
          <w:iCs/>
          <w:sz w:val="18"/>
          <w:szCs w:val="18"/>
        </w:rPr>
        <w:t xml:space="preserve">P files were sourced from </w:t>
      </w:r>
      <w:r w:rsidR="000F1A1A" w:rsidRPr="00217A4B">
        <w:rPr>
          <w:i/>
          <w:iCs/>
          <w:sz w:val="18"/>
          <w:szCs w:val="18"/>
        </w:rPr>
        <w:t xml:space="preserve">the </w:t>
      </w:r>
      <w:r w:rsidRPr="00217A4B">
        <w:rPr>
          <w:i/>
          <w:iCs/>
          <w:sz w:val="18"/>
          <w:szCs w:val="18"/>
        </w:rPr>
        <w:t>ABS.</w:t>
      </w:r>
      <w:r w:rsidR="00317888" w:rsidRPr="00217A4B">
        <w:rPr>
          <w:i/>
          <w:iCs/>
          <w:sz w:val="18"/>
          <w:szCs w:val="18"/>
        </w:rPr>
        <w:t xml:space="preserve"> Note </w:t>
      </w:r>
      <w:r w:rsidR="00BE3211" w:rsidRPr="00217A4B">
        <w:rPr>
          <w:i/>
          <w:iCs/>
          <w:sz w:val="18"/>
          <w:szCs w:val="18"/>
        </w:rPr>
        <w:t xml:space="preserve">that </w:t>
      </w:r>
      <w:r w:rsidR="00317888" w:rsidRPr="00217A4B">
        <w:rPr>
          <w:i/>
          <w:iCs/>
          <w:sz w:val="18"/>
          <w:szCs w:val="18"/>
        </w:rPr>
        <w:t xml:space="preserve">at the time of preparing this report, </w:t>
      </w:r>
      <w:r w:rsidR="000F1A1A" w:rsidRPr="00217A4B">
        <w:rPr>
          <w:i/>
          <w:iCs/>
          <w:sz w:val="18"/>
          <w:szCs w:val="18"/>
        </w:rPr>
        <w:t>the ABS had not yet finalised the 20</w:t>
      </w:r>
      <w:r w:rsidR="00C44A66" w:rsidRPr="00217A4B">
        <w:rPr>
          <w:i/>
          <w:iCs/>
          <w:sz w:val="18"/>
          <w:szCs w:val="18"/>
        </w:rPr>
        <w:t>2</w:t>
      </w:r>
      <w:r w:rsidR="00217A4B">
        <w:rPr>
          <w:i/>
          <w:iCs/>
          <w:sz w:val="18"/>
          <w:szCs w:val="18"/>
        </w:rPr>
        <w:t>1</w:t>
      </w:r>
      <w:r w:rsidR="000F1A1A" w:rsidRPr="00217A4B">
        <w:rPr>
          <w:i/>
          <w:iCs/>
          <w:sz w:val="18"/>
          <w:szCs w:val="18"/>
        </w:rPr>
        <w:t xml:space="preserve"> ERP. </w:t>
      </w:r>
      <w:r w:rsidR="00317888" w:rsidRPr="00217A4B">
        <w:rPr>
          <w:i/>
          <w:iCs/>
          <w:sz w:val="18"/>
          <w:szCs w:val="18"/>
        </w:rPr>
        <w:t>The E</w:t>
      </w:r>
      <w:r w:rsidR="00044B95" w:rsidRPr="00217A4B">
        <w:rPr>
          <w:i/>
          <w:iCs/>
          <w:sz w:val="18"/>
          <w:szCs w:val="18"/>
        </w:rPr>
        <w:t>R</w:t>
      </w:r>
      <w:r w:rsidR="00317888" w:rsidRPr="00217A4B">
        <w:rPr>
          <w:i/>
          <w:iCs/>
          <w:sz w:val="18"/>
          <w:szCs w:val="18"/>
        </w:rPr>
        <w:t xml:space="preserve">P for the </w:t>
      </w:r>
      <w:r w:rsidR="002769E7" w:rsidRPr="00217A4B">
        <w:rPr>
          <w:i/>
          <w:iCs/>
          <w:sz w:val="18"/>
          <w:szCs w:val="18"/>
        </w:rPr>
        <w:t>n</w:t>
      </w:r>
      <w:r w:rsidR="00317888" w:rsidRPr="00217A4B">
        <w:rPr>
          <w:i/>
          <w:iCs/>
          <w:sz w:val="18"/>
          <w:szCs w:val="18"/>
        </w:rPr>
        <w:t>on</w:t>
      </w:r>
      <w:r w:rsidR="002769E7" w:rsidRPr="00217A4B">
        <w:rPr>
          <w:i/>
          <w:iCs/>
          <w:sz w:val="18"/>
          <w:szCs w:val="18"/>
        </w:rPr>
        <w:t>-</w:t>
      </w:r>
      <w:r w:rsidR="00DC7655" w:rsidRPr="00217A4B">
        <w:rPr>
          <w:i/>
          <w:iCs/>
          <w:sz w:val="18"/>
          <w:szCs w:val="18"/>
        </w:rPr>
        <w:t>A</w:t>
      </w:r>
      <w:r w:rsidR="00317888" w:rsidRPr="00217A4B">
        <w:rPr>
          <w:i/>
          <w:iCs/>
          <w:sz w:val="18"/>
          <w:szCs w:val="18"/>
        </w:rPr>
        <w:t xml:space="preserve">boriginal </w:t>
      </w:r>
      <w:r w:rsidR="00FB7069" w:rsidRPr="00217A4B">
        <w:rPr>
          <w:i/>
          <w:iCs/>
          <w:sz w:val="18"/>
          <w:szCs w:val="18"/>
        </w:rPr>
        <w:t xml:space="preserve">Victorian </w:t>
      </w:r>
      <w:r w:rsidR="00317888" w:rsidRPr="00217A4B">
        <w:rPr>
          <w:i/>
          <w:iCs/>
          <w:sz w:val="18"/>
          <w:szCs w:val="18"/>
        </w:rPr>
        <w:t>population was calculated by subtracting the</w:t>
      </w:r>
      <w:r w:rsidR="00BF714A" w:rsidRPr="00217A4B">
        <w:rPr>
          <w:i/>
          <w:iCs/>
          <w:sz w:val="18"/>
          <w:szCs w:val="18"/>
        </w:rPr>
        <w:t xml:space="preserve"> </w:t>
      </w:r>
      <w:r w:rsidR="00BF714A" w:rsidRPr="00217A4B">
        <w:rPr>
          <w:rFonts w:eastAsia="SourceSansPro-Regular"/>
          <w:i/>
          <w:iCs/>
          <w:sz w:val="18"/>
          <w:szCs w:val="18"/>
          <w:lang w:eastAsia="en-AU"/>
        </w:rPr>
        <w:t>Aboriginal and Torres Strait Islander</w:t>
      </w:r>
      <w:r w:rsidR="00317888" w:rsidRPr="00217A4B">
        <w:rPr>
          <w:i/>
          <w:iCs/>
          <w:sz w:val="18"/>
          <w:szCs w:val="18"/>
        </w:rPr>
        <w:t xml:space="preserve"> </w:t>
      </w:r>
      <w:r w:rsidR="00317888" w:rsidRPr="00217A4B">
        <w:rPr>
          <w:b/>
          <w:i/>
          <w:iCs/>
          <w:sz w:val="18"/>
          <w:szCs w:val="18"/>
        </w:rPr>
        <w:t>projected</w:t>
      </w:r>
      <w:r w:rsidR="00317888" w:rsidRPr="00217A4B">
        <w:rPr>
          <w:i/>
          <w:iCs/>
          <w:sz w:val="18"/>
          <w:szCs w:val="18"/>
        </w:rPr>
        <w:t xml:space="preserve"> population from the total ERP.</w:t>
      </w:r>
    </w:p>
    <w:p w14:paraId="2AB9C6A1" w14:textId="6977B21F" w:rsidR="00AF7B0A" w:rsidRPr="00217A4B" w:rsidRDefault="00AF7B0A" w:rsidP="00537C17">
      <w:pPr>
        <w:pStyle w:val="Tablefigurenote"/>
        <w:rPr>
          <w:i/>
          <w:iCs/>
          <w:sz w:val="18"/>
          <w:szCs w:val="18"/>
        </w:rPr>
      </w:pPr>
      <w:r w:rsidRPr="00217A4B">
        <w:rPr>
          <w:i/>
          <w:iCs/>
          <w:sz w:val="18"/>
          <w:szCs w:val="18"/>
        </w:rPr>
        <w:t xml:space="preserve">These rate ratios are calculated as the Aboriginal and Torres Strait Islander adjusted incidence rate compared </w:t>
      </w:r>
      <w:r w:rsidR="002769E7" w:rsidRPr="00217A4B">
        <w:rPr>
          <w:i/>
          <w:iCs/>
          <w:sz w:val="18"/>
          <w:szCs w:val="18"/>
        </w:rPr>
        <w:t>with</w:t>
      </w:r>
      <w:r w:rsidRPr="00217A4B">
        <w:rPr>
          <w:i/>
          <w:iCs/>
          <w:sz w:val="18"/>
          <w:szCs w:val="18"/>
        </w:rPr>
        <w:t xml:space="preserve"> </w:t>
      </w:r>
      <w:r w:rsidR="00BE3211" w:rsidRPr="00217A4B">
        <w:rPr>
          <w:i/>
          <w:iCs/>
          <w:sz w:val="18"/>
          <w:szCs w:val="18"/>
        </w:rPr>
        <w:t xml:space="preserve">the </w:t>
      </w:r>
      <w:r w:rsidRPr="00217A4B">
        <w:rPr>
          <w:i/>
          <w:iCs/>
          <w:sz w:val="18"/>
          <w:szCs w:val="18"/>
        </w:rPr>
        <w:t>non</w:t>
      </w:r>
      <w:r w:rsidR="00BE3211" w:rsidRPr="00217A4B">
        <w:rPr>
          <w:i/>
          <w:iCs/>
          <w:sz w:val="18"/>
          <w:szCs w:val="18"/>
        </w:rPr>
        <w:t>-</w:t>
      </w:r>
      <w:r w:rsidRPr="00217A4B">
        <w:rPr>
          <w:i/>
          <w:iCs/>
          <w:sz w:val="18"/>
          <w:szCs w:val="18"/>
        </w:rPr>
        <w:t xml:space="preserve">Aboriginal and Torres Strait Islander adjusted rate for each year. A rate ratio greater than </w:t>
      </w:r>
      <w:r w:rsidR="0093423C" w:rsidRPr="00217A4B">
        <w:rPr>
          <w:i/>
          <w:iCs/>
          <w:sz w:val="18"/>
          <w:szCs w:val="18"/>
        </w:rPr>
        <w:t xml:space="preserve">1 </w:t>
      </w:r>
      <w:r w:rsidRPr="00217A4B">
        <w:rPr>
          <w:i/>
          <w:iCs/>
          <w:sz w:val="18"/>
          <w:szCs w:val="18"/>
        </w:rPr>
        <w:t xml:space="preserve">indicates a higher incidence rate for Aboriginal and Torres Strait Islander individuals than non-Aboriginal </w:t>
      </w:r>
      <w:r w:rsidR="00F61706" w:rsidRPr="00217A4B">
        <w:rPr>
          <w:i/>
          <w:iCs/>
          <w:sz w:val="18"/>
          <w:szCs w:val="18"/>
        </w:rPr>
        <w:t>people</w:t>
      </w:r>
      <w:r w:rsidRPr="00217A4B">
        <w:rPr>
          <w:i/>
          <w:iCs/>
          <w:sz w:val="18"/>
          <w:szCs w:val="18"/>
        </w:rPr>
        <w:t>.</w:t>
      </w:r>
      <w:r w:rsidR="00155792" w:rsidRPr="00217A4B">
        <w:rPr>
          <w:i/>
          <w:iCs/>
          <w:sz w:val="18"/>
          <w:szCs w:val="18"/>
        </w:rPr>
        <w:t xml:space="preserve"> A rate of 1.0 indicates no difference.</w:t>
      </w:r>
    </w:p>
    <w:p w14:paraId="1A15B19A" w14:textId="35AA9F74" w:rsidR="00D0270C" w:rsidRPr="00164257" w:rsidRDefault="00D0270C" w:rsidP="008C38C6">
      <w:pPr>
        <w:pStyle w:val="Tablecaption"/>
      </w:pPr>
      <w:bookmarkStart w:id="348" w:name="_Toc18908726"/>
      <w:bookmarkStart w:id="349" w:name="_Toc132491523"/>
      <w:bookmarkStart w:id="350" w:name="_Toc140834914"/>
      <w:r w:rsidRPr="00164257">
        <w:t>Table 5.3</w:t>
      </w:r>
      <w:r w:rsidR="001F7E28">
        <w:t>:</w:t>
      </w:r>
      <w:r w:rsidRPr="00164257">
        <w:t xml:space="preserve"> </w:t>
      </w:r>
      <w:r w:rsidR="00164257" w:rsidRPr="00164257">
        <w:t>Rate ratio of premature death</w:t>
      </w:r>
      <w:r w:rsidR="00286B20">
        <w:t xml:space="preserve"> (with confidence intervals)</w:t>
      </w:r>
      <w:r w:rsidR="00164257" w:rsidRPr="00164257">
        <w:t xml:space="preserve"> between Aboriginal and non-</w:t>
      </w:r>
      <w:r w:rsidR="00DC7655">
        <w:t>A</w:t>
      </w:r>
      <w:r w:rsidR="00164257" w:rsidRPr="00164257">
        <w:t>boriginal Victorians</w:t>
      </w:r>
      <w:r w:rsidR="000F1A1A">
        <w:t>,</w:t>
      </w:r>
      <w:r w:rsidR="00164257" w:rsidRPr="00164257">
        <w:t xml:space="preserve"> by year, 201</w:t>
      </w:r>
      <w:r w:rsidR="00362174">
        <w:t>4</w:t>
      </w:r>
      <w:r w:rsidR="008D2095">
        <w:t>–</w:t>
      </w:r>
      <w:r w:rsidR="00164257" w:rsidRPr="00164257">
        <w:t>20</w:t>
      </w:r>
      <w:bookmarkEnd w:id="348"/>
      <w:r w:rsidR="00CC3121">
        <w:t>2</w:t>
      </w:r>
      <w:r w:rsidR="00292629">
        <w:t>1</w:t>
      </w:r>
      <w:bookmarkEnd w:id="349"/>
      <w:bookmarkEnd w:id="350"/>
    </w:p>
    <w:tbl>
      <w:tblPr>
        <w:tblpPr w:leftFromText="180" w:rightFromText="180" w:vertAnchor="text" w:horzAnchor="margin" w:tblpY="145"/>
        <w:tblW w:w="9251" w:type="dxa"/>
        <w:tblBorders>
          <w:bottom w:val="single" w:sz="4" w:space="0" w:color="C00000"/>
          <w:insideH w:val="single" w:sz="4" w:space="0" w:color="C00000"/>
        </w:tblBorders>
        <w:shd w:val="clear" w:color="auto" w:fill="EDCDCF"/>
        <w:tblLook w:val="04A0" w:firstRow="1" w:lastRow="0" w:firstColumn="1" w:lastColumn="0" w:noHBand="0" w:noVBand="1"/>
      </w:tblPr>
      <w:tblGrid>
        <w:gridCol w:w="1134"/>
        <w:gridCol w:w="1140"/>
        <w:gridCol w:w="987"/>
        <w:gridCol w:w="992"/>
        <w:gridCol w:w="992"/>
        <w:gridCol w:w="992"/>
        <w:gridCol w:w="993"/>
        <w:gridCol w:w="992"/>
        <w:gridCol w:w="1029"/>
      </w:tblGrid>
      <w:tr w:rsidR="00395633" w:rsidRPr="007744CA" w14:paraId="45D81F87" w14:textId="44BBD779" w:rsidTr="007744CA">
        <w:trPr>
          <w:trHeight w:val="221"/>
        </w:trPr>
        <w:tc>
          <w:tcPr>
            <w:tcW w:w="1134" w:type="dxa"/>
            <w:shd w:val="clear" w:color="auto" w:fill="EDCDCF"/>
          </w:tcPr>
          <w:p w14:paraId="197889FB" w14:textId="196E1DFF" w:rsidR="00395633" w:rsidRPr="007744CA" w:rsidRDefault="00395633" w:rsidP="00026018">
            <w:pPr>
              <w:pStyle w:val="Tablecolhead"/>
              <w:rPr>
                <w:sz w:val="18"/>
                <w:szCs w:val="18"/>
              </w:rPr>
            </w:pPr>
            <w:r w:rsidRPr="007744CA">
              <w:rPr>
                <w:sz w:val="18"/>
                <w:szCs w:val="18"/>
              </w:rPr>
              <w:t>Year</w:t>
            </w:r>
          </w:p>
        </w:tc>
        <w:tc>
          <w:tcPr>
            <w:tcW w:w="1140" w:type="dxa"/>
            <w:shd w:val="clear" w:color="auto" w:fill="EDCDCF"/>
            <w:vAlign w:val="center"/>
          </w:tcPr>
          <w:p w14:paraId="6BF0D936" w14:textId="77777777" w:rsidR="00395633" w:rsidRPr="007744CA" w:rsidRDefault="00395633" w:rsidP="00026018">
            <w:pPr>
              <w:pStyle w:val="Tablecolhead"/>
              <w:rPr>
                <w:sz w:val="18"/>
                <w:szCs w:val="18"/>
              </w:rPr>
            </w:pPr>
            <w:r w:rsidRPr="007744CA">
              <w:rPr>
                <w:sz w:val="18"/>
                <w:szCs w:val="18"/>
              </w:rPr>
              <w:t>2014</w:t>
            </w:r>
          </w:p>
        </w:tc>
        <w:tc>
          <w:tcPr>
            <w:tcW w:w="987" w:type="dxa"/>
            <w:shd w:val="clear" w:color="auto" w:fill="EDCDCF"/>
            <w:vAlign w:val="center"/>
          </w:tcPr>
          <w:p w14:paraId="11C9DF30" w14:textId="77777777" w:rsidR="00395633" w:rsidRPr="007744CA" w:rsidRDefault="00395633" w:rsidP="00026018">
            <w:pPr>
              <w:pStyle w:val="Tablecolhead"/>
              <w:rPr>
                <w:sz w:val="18"/>
                <w:szCs w:val="18"/>
              </w:rPr>
            </w:pPr>
            <w:r w:rsidRPr="007744CA">
              <w:rPr>
                <w:sz w:val="18"/>
                <w:szCs w:val="18"/>
              </w:rPr>
              <w:t>2015</w:t>
            </w:r>
          </w:p>
        </w:tc>
        <w:tc>
          <w:tcPr>
            <w:tcW w:w="992" w:type="dxa"/>
            <w:shd w:val="clear" w:color="auto" w:fill="EDCDCF"/>
            <w:vAlign w:val="center"/>
          </w:tcPr>
          <w:p w14:paraId="0883DD94" w14:textId="77777777" w:rsidR="00395633" w:rsidRPr="007744CA" w:rsidRDefault="00395633" w:rsidP="00026018">
            <w:pPr>
              <w:pStyle w:val="Tablecolhead"/>
              <w:rPr>
                <w:sz w:val="18"/>
                <w:szCs w:val="18"/>
              </w:rPr>
            </w:pPr>
            <w:r w:rsidRPr="007744CA">
              <w:rPr>
                <w:sz w:val="18"/>
                <w:szCs w:val="18"/>
              </w:rPr>
              <w:t>2016</w:t>
            </w:r>
          </w:p>
        </w:tc>
        <w:tc>
          <w:tcPr>
            <w:tcW w:w="992" w:type="dxa"/>
            <w:shd w:val="clear" w:color="auto" w:fill="EDCDCF"/>
          </w:tcPr>
          <w:p w14:paraId="4062D102" w14:textId="60D476C2" w:rsidR="00395633" w:rsidRPr="007744CA" w:rsidRDefault="00395633" w:rsidP="00026018">
            <w:pPr>
              <w:pStyle w:val="Tablecolhead"/>
              <w:rPr>
                <w:sz w:val="18"/>
                <w:szCs w:val="18"/>
              </w:rPr>
            </w:pPr>
            <w:r w:rsidRPr="007744CA">
              <w:rPr>
                <w:sz w:val="18"/>
                <w:szCs w:val="18"/>
              </w:rPr>
              <w:t>2017</w:t>
            </w:r>
          </w:p>
        </w:tc>
        <w:tc>
          <w:tcPr>
            <w:tcW w:w="992" w:type="dxa"/>
            <w:shd w:val="clear" w:color="auto" w:fill="EDCDCF"/>
          </w:tcPr>
          <w:p w14:paraId="48B852B8" w14:textId="729CBC88" w:rsidR="00395633" w:rsidRPr="007744CA" w:rsidRDefault="00395633" w:rsidP="00026018">
            <w:pPr>
              <w:pStyle w:val="Tablecolhead"/>
              <w:rPr>
                <w:sz w:val="18"/>
                <w:szCs w:val="18"/>
              </w:rPr>
            </w:pPr>
            <w:r w:rsidRPr="007744CA">
              <w:rPr>
                <w:sz w:val="18"/>
                <w:szCs w:val="18"/>
              </w:rPr>
              <w:t>2018</w:t>
            </w:r>
          </w:p>
        </w:tc>
        <w:tc>
          <w:tcPr>
            <w:tcW w:w="993" w:type="dxa"/>
            <w:shd w:val="clear" w:color="auto" w:fill="EDCDCF"/>
          </w:tcPr>
          <w:p w14:paraId="06C7E5DB" w14:textId="24718572" w:rsidR="00395633" w:rsidRPr="007744CA" w:rsidRDefault="00395633" w:rsidP="00026018">
            <w:pPr>
              <w:pStyle w:val="Tablecolhead"/>
              <w:rPr>
                <w:sz w:val="18"/>
                <w:szCs w:val="18"/>
              </w:rPr>
            </w:pPr>
            <w:r w:rsidRPr="007744CA">
              <w:rPr>
                <w:sz w:val="18"/>
                <w:szCs w:val="18"/>
              </w:rPr>
              <w:t>2019</w:t>
            </w:r>
          </w:p>
        </w:tc>
        <w:tc>
          <w:tcPr>
            <w:tcW w:w="992" w:type="dxa"/>
            <w:shd w:val="clear" w:color="auto" w:fill="EDCDCF"/>
          </w:tcPr>
          <w:p w14:paraId="1B875EEB" w14:textId="6B1FE321" w:rsidR="00395633" w:rsidRPr="007744CA" w:rsidRDefault="00395633" w:rsidP="00026018">
            <w:pPr>
              <w:pStyle w:val="Tablecolhead"/>
              <w:rPr>
                <w:sz w:val="18"/>
                <w:szCs w:val="18"/>
              </w:rPr>
            </w:pPr>
            <w:r w:rsidRPr="007744CA">
              <w:rPr>
                <w:sz w:val="18"/>
                <w:szCs w:val="18"/>
              </w:rPr>
              <w:t>2020</w:t>
            </w:r>
          </w:p>
        </w:tc>
        <w:tc>
          <w:tcPr>
            <w:tcW w:w="1029" w:type="dxa"/>
            <w:shd w:val="clear" w:color="auto" w:fill="EDCDCF"/>
          </w:tcPr>
          <w:p w14:paraId="75461C1D" w14:textId="301FB686" w:rsidR="00395633" w:rsidRPr="007744CA" w:rsidRDefault="00395633" w:rsidP="00026018">
            <w:pPr>
              <w:pStyle w:val="Tablecolhead"/>
              <w:rPr>
                <w:sz w:val="18"/>
                <w:szCs w:val="18"/>
              </w:rPr>
            </w:pPr>
            <w:r w:rsidRPr="007744CA">
              <w:rPr>
                <w:sz w:val="18"/>
                <w:szCs w:val="18"/>
              </w:rPr>
              <w:t>2021</w:t>
            </w:r>
          </w:p>
        </w:tc>
      </w:tr>
      <w:tr w:rsidR="00395633" w:rsidRPr="007744CA" w14:paraId="7E902F1D" w14:textId="1DB1789A" w:rsidTr="007744CA">
        <w:trPr>
          <w:trHeight w:val="259"/>
        </w:trPr>
        <w:tc>
          <w:tcPr>
            <w:tcW w:w="1134" w:type="dxa"/>
            <w:shd w:val="clear" w:color="auto" w:fill="auto"/>
            <w:vAlign w:val="center"/>
          </w:tcPr>
          <w:p w14:paraId="3B8214C5" w14:textId="7FED42B7" w:rsidR="00395633" w:rsidRPr="007744CA" w:rsidRDefault="00395633" w:rsidP="00026018">
            <w:pPr>
              <w:pStyle w:val="Tabletext"/>
              <w:rPr>
                <w:sz w:val="18"/>
                <w:szCs w:val="18"/>
              </w:rPr>
            </w:pPr>
            <w:r w:rsidRPr="007744CA">
              <w:rPr>
                <w:sz w:val="18"/>
                <w:szCs w:val="18"/>
              </w:rPr>
              <w:t>Result</w:t>
            </w:r>
          </w:p>
        </w:tc>
        <w:tc>
          <w:tcPr>
            <w:tcW w:w="1140" w:type="dxa"/>
            <w:shd w:val="clear" w:color="auto" w:fill="auto"/>
            <w:vAlign w:val="center"/>
          </w:tcPr>
          <w:p w14:paraId="08639415" w14:textId="52C0DDBE" w:rsidR="00395633" w:rsidRPr="007744CA" w:rsidRDefault="00395633" w:rsidP="00026018">
            <w:pPr>
              <w:pStyle w:val="Tabletext"/>
              <w:rPr>
                <w:sz w:val="18"/>
                <w:szCs w:val="18"/>
              </w:rPr>
            </w:pPr>
            <w:r w:rsidRPr="007744CA">
              <w:rPr>
                <w:sz w:val="18"/>
                <w:szCs w:val="18"/>
              </w:rPr>
              <w:t>2.1</w:t>
            </w:r>
          </w:p>
        </w:tc>
        <w:tc>
          <w:tcPr>
            <w:tcW w:w="987" w:type="dxa"/>
            <w:shd w:val="clear" w:color="auto" w:fill="auto"/>
            <w:vAlign w:val="center"/>
          </w:tcPr>
          <w:p w14:paraId="6F349AEE" w14:textId="234F6592" w:rsidR="00395633" w:rsidRPr="007744CA" w:rsidRDefault="00292629" w:rsidP="00026018">
            <w:pPr>
              <w:pStyle w:val="Tabletext"/>
              <w:rPr>
                <w:sz w:val="18"/>
                <w:szCs w:val="18"/>
              </w:rPr>
            </w:pPr>
            <w:r w:rsidRPr="007744CA">
              <w:rPr>
                <w:sz w:val="18"/>
                <w:szCs w:val="18"/>
              </w:rPr>
              <w:t>1.8</w:t>
            </w:r>
          </w:p>
        </w:tc>
        <w:tc>
          <w:tcPr>
            <w:tcW w:w="992" w:type="dxa"/>
            <w:shd w:val="clear" w:color="auto" w:fill="auto"/>
            <w:vAlign w:val="center"/>
          </w:tcPr>
          <w:p w14:paraId="50288A3B" w14:textId="794AB714" w:rsidR="00395633" w:rsidRPr="007744CA" w:rsidRDefault="00292629" w:rsidP="00026018">
            <w:pPr>
              <w:pStyle w:val="Tabletext"/>
              <w:rPr>
                <w:sz w:val="18"/>
                <w:szCs w:val="18"/>
              </w:rPr>
            </w:pPr>
            <w:r w:rsidRPr="007744CA">
              <w:rPr>
                <w:sz w:val="18"/>
                <w:szCs w:val="18"/>
              </w:rPr>
              <w:t>2.9</w:t>
            </w:r>
          </w:p>
        </w:tc>
        <w:tc>
          <w:tcPr>
            <w:tcW w:w="992" w:type="dxa"/>
            <w:shd w:val="clear" w:color="auto" w:fill="auto"/>
            <w:vAlign w:val="center"/>
          </w:tcPr>
          <w:p w14:paraId="3E4BD752" w14:textId="3B037C92" w:rsidR="00395633" w:rsidRPr="007744CA" w:rsidRDefault="00395633" w:rsidP="00026018">
            <w:pPr>
              <w:pStyle w:val="Tabletext"/>
              <w:rPr>
                <w:sz w:val="18"/>
                <w:szCs w:val="18"/>
              </w:rPr>
            </w:pPr>
            <w:r w:rsidRPr="007744CA">
              <w:rPr>
                <w:sz w:val="18"/>
                <w:szCs w:val="18"/>
              </w:rPr>
              <w:t>2.</w:t>
            </w:r>
            <w:r w:rsidR="00292629" w:rsidRPr="007744CA">
              <w:rPr>
                <w:sz w:val="18"/>
                <w:szCs w:val="18"/>
              </w:rPr>
              <w:t>4</w:t>
            </w:r>
          </w:p>
        </w:tc>
        <w:tc>
          <w:tcPr>
            <w:tcW w:w="992" w:type="dxa"/>
          </w:tcPr>
          <w:p w14:paraId="557C7999" w14:textId="0782FC03" w:rsidR="00395633" w:rsidRPr="007744CA" w:rsidRDefault="00395633" w:rsidP="00026018">
            <w:pPr>
              <w:pStyle w:val="Tabletext"/>
              <w:rPr>
                <w:sz w:val="18"/>
                <w:szCs w:val="18"/>
              </w:rPr>
            </w:pPr>
            <w:r w:rsidRPr="007744CA">
              <w:rPr>
                <w:sz w:val="18"/>
                <w:szCs w:val="18"/>
              </w:rPr>
              <w:t>1.</w:t>
            </w:r>
            <w:r w:rsidR="00292629" w:rsidRPr="007744CA">
              <w:rPr>
                <w:sz w:val="18"/>
                <w:szCs w:val="18"/>
              </w:rPr>
              <w:t>6</w:t>
            </w:r>
          </w:p>
        </w:tc>
        <w:tc>
          <w:tcPr>
            <w:tcW w:w="993" w:type="dxa"/>
          </w:tcPr>
          <w:p w14:paraId="7FA6D0EE" w14:textId="067DEFB3" w:rsidR="00395633" w:rsidRPr="007744CA" w:rsidRDefault="00292629" w:rsidP="00026018">
            <w:pPr>
              <w:pStyle w:val="Tabletext"/>
              <w:rPr>
                <w:sz w:val="18"/>
                <w:szCs w:val="18"/>
              </w:rPr>
            </w:pPr>
            <w:r w:rsidRPr="007744CA">
              <w:rPr>
                <w:sz w:val="18"/>
                <w:szCs w:val="18"/>
              </w:rPr>
              <w:t>1.7</w:t>
            </w:r>
          </w:p>
        </w:tc>
        <w:tc>
          <w:tcPr>
            <w:tcW w:w="992" w:type="dxa"/>
          </w:tcPr>
          <w:p w14:paraId="48E33C49" w14:textId="1DEEF373" w:rsidR="00395633" w:rsidRPr="007744CA" w:rsidRDefault="00292629" w:rsidP="00026018">
            <w:pPr>
              <w:pStyle w:val="Tabletext"/>
              <w:rPr>
                <w:sz w:val="18"/>
                <w:szCs w:val="18"/>
              </w:rPr>
            </w:pPr>
            <w:r w:rsidRPr="007744CA">
              <w:rPr>
                <w:sz w:val="18"/>
                <w:szCs w:val="18"/>
              </w:rPr>
              <w:t>2.1</w:t>
            </w:r>
          </w:p>
        </w:tc>
        <w:tc>
          <w:tcPr>
            <w:tcW w:w="1029" w:type="dxa"/>
          </w:tcPr>
          <w:p w14:paraId="3C6C6D5C" w14:textId="106A93CB" w:rsidR="00395633" w:rsidRPr="007744CA" w:rsidRDefault="00292629" w:rsidP="00026018">
            <w:pPr>
              <w:pStyle w:val="Tabletext"/>
              <w:rPr>
                <w:sz w:val="18"/>
                <w:szCs w:val="18"/>
              </w:rPr>
            </w:pPr>
            <w:r w:rsidRPr="007744CA">
              <w:rPr>
                <w:sz w:val="18"/>
                <w:szCs w:val="18"/>
              </w:rPr>
              <w:t>1.9</w:t>
            </w:r>
          </w:p>
        </w:tc>
      </w:tr>
      <w:tr w:rsidR="00395633" w:rsidRPr="007744CA" w14:paraId="544B4853" w14:textId="26AC2BDA" w:rsidTr="007744CA">
        <w:trPr>
          <w:trHeight w:val="263"/>
        </w:trPr>
        <w:tc>
          <w:tcPr>
            <w:tcW w:w="1134" w:type="dxa"/>
            <w:shd w:val="clear" w:color="auto" w:fill="auto"/>
            <w:vAlign w:val="center"/>
          </w:tcPr>
          <w:p w14:paraId="2A0FAF4F" w14:textId="44AB36DA" w:rsidR="00395633" w:rsidRPr="007744CA" w:rsidRDefault="00395633" w:rsidP="00CC3121">
            <w:pPr>
              <w:pStyle w:val="Tabletext"/>
              <w:rPr>
                <w:sz w:val="18"/>
                <w:szCs w:val="18"/>
              </w:rPr>
            </w:pPr>
            <w:r w:rsidRPr="007744CA">
              <w:rPr>
                <w:sz w:val="18"/>
                <w:szCs w:val="18"/>
              </w:rPr>
              <w:t>(95% CI)</w:t>
            </w:r>
          </w:p>
        </w:tc>
        <w:tc>
          <w:tcPr>
            <w:tcW w:w="1140" w:type="dxa"/>
            <w:shd w:val="clear" w:color="auto" w:fill="auto"/>
            <w:vAlign w:val="center"/>
          </w:tcPr>
          <w:p w14:paraId="488538C8" w14:textId="15D862E8" w:rsidR="00395633" w:rsidRPr="007744CA" w:rsidRDefault="00395633" w:rsidP="00CC3121">
            <w:pPr>
              <w:pStyle w:val="Tabletext"/>
              <w:rPr>
                <w:sz w:val="18"/>
                <w:szCs w:val="18"/>
              </w:rPr>
            </w:pPr>
            <w:r w:rsidRPr="007744CA">
              <w:rPr>
                <w:sz w:val="18"/>
                <w:szCs w:val="18"/>
              </w:rPr>
              <w:t>(1.</w:t>
            </w:r>
            <w:r w:rsidR="00292629" w:rsidRPr="007744CA">
              <w:rPr>
                <w:sz w:val="18"/>
                <w:szCs w:val="18"/>
              </w:rPr>
              <w:t>5</w:t>
            </w:r>
            <w:r w:rsidRPr="007744CA">
              <w:rPr>
                <w:sz w:val="18"/>
                <w:szCs w:val="18"/>
              </w:rPr>
              <w:t>–</w:t>
            </w:r>
            <w:r w:rsidR="00292629" w:rsidRPr="007744CA">
              <w:rPr>
                <w:sz w:val="18"/>
                <w:szCs w:val="18"/>
              </w:rPr>
              <w:t>2.8</w:t>
            </w:r>
            <w:r w:rsidRPr="007744CA">
              <w:rPr>
                <w:sz w:val="18"/>
                <w:szCs w:val="18"/>
              </w:rPr>
              <w:t>)</w:t>
            </w:r>
          </w:p>
        </w:tc>
        <w:tc>
          <w:tcPr>
            <w:tcW w:w="987" w:type="dxa"/>
            <w:shd w:val="clear" w:color="auto" w:fill="auto"/>
            <w:vAlign w:val="center"/>
          </w:tcPr>
          <w:p w14:paraId="39E03237" w14:textId="53C56534" w:rsidR="00395633" w:rsidRPr="007744CA" w:rsidRDefault="00395633" w:rsidP="00CC3121">
            <w:pPr>
              <w:pStyle w:val="Tabletext"/>
              <w:rPr>
                <w:sz w:val="18"/>
                <w:szCs w:val="18"/>
              </w:rPr>
            </w:pPr>
            <w:r w:rsidRPr="007744CA">
              <w:rPr>
                <w:sz w:val="18"/>
                <w:szCs w:val="18"/>
              </w:rPr>
              <w:t>(1.</w:t>
            </w:r>
            <w:r w:rsidR="00292629" w:rsidRPr="007744CA">
              <w:rPr>
                <w:sz w:val="18"/>
                <w:szCs w:val="18"/>
              </w:rPr>
              <w:t>3</w:t>
            </w:r>
            <w:r w:rsidRPr="007744CA">
              <w:rPr>
                <w:sz w:val="18"/>
                <w:szCs w:val="18"/>
              </w:rPr>
              <w:t>–2.</w:t>
            </w:r>
            <w:r w:rsidR="00292629" w:rsidRPr="007744CA">
              <w:rPr>
                <w:sz w:val="18"/>
                <w:szCs w:val="18"/>
              </w:rPr>
              <w:t>4</w:t>
            </w:r>
            <w:r w:rsidRPr="007744CA">
              <w:rPr>
                <w:sz w:val="18"/>
                <w:szCs w:val="18"/>
              </w:rPr>
              <w:t>)</w:t>
            </w:r>
          </w:p>
        </w:tc>
        <w:tc>
          <w:tcPr>
            <w:tcW w:w="992" w:type="dxa"/>
            <w:shd w:val="clear" w:color="auto" w:fill="auto"/>
            <w:vAlign w:val="center"/>
          </w:tcPr>
          <w:p w14:paraId="68F32E7C" w14:textId="54DBF6AE" w:rsidR="00395633" w:rsidRPr="007744CA" w:rsidRDefault="00395633" w:rsidP="00CC3121">
            <w:pPr>
              <w:pStyle w:val="Tabletext"/>
              <w:rPr>
                <w:sz w:val="18"/>
                <w:szCs w:val="18"/>
              </w:rPr>
            </w:pPr>
            <w:r w:rsidRPr="007744CA">
              <w:rPr>
                <w:sz w:val="18"/>
                <w:szCs w:val="18"/>
              </w:rPr>
              <w:t>(2.</w:t>
            </w:r>
            <w:r w:rsidR="00292629" w:rsidRPr="007744CA">
              <w:rPr>
                <w:sz w:val="18"/>
                <w:szCs w:val="18"/>
              </w:rPr>
              <w:t>2</w:t>
            </w:r>
            <w:r w:rsidRPr="007744CA">
              <w:rPr>
                <w:sz w:val="18"/>
                <w:szCs w:val="18"/>
              </w:rPr>
              <w:t>–</w:t>
            </w:r>
            <w:r w:rsidR="00292629" w:rsidRPr="007744CA">
              <w:rPr>
                <w:sz w:val="18"/>
                <w:szCs w:val="18"/>
              </w:rPr>
              <w:t>3.6</w:t>
            </w:r>
            <w:r w:rsidRPr="007744CA">
              <w:rPr>
                <w:sz w:val="18"/>
                <w:szCs w:val="18"/>
              </w:rPr>
              <w:t>)</w:t>
            </w:r>
          </w:p>
        </w:tc>
        <w:tc>
          <w:tcPr>
            <w:tcW w:w="992" w:type="dxa"/>
            <w:shd w:val="clear" w:color="auto" w:fill="auto"/>
            <w:vAlign w:val="center"/>
          </w:tcPr>
          <w:p w14:paraId="54566900" w14:textId="3BF2EE05" w:rsidR="00395633" w:rsidRPr="007744CA" w:rsidRDefault="00395633" w:rsidP="00CC3121">
            <w:pPr>
              <w:pStyle w:val="Tabletext"/>
              <w:rPr>
                <w:sz w:val="18"/>
                <w:szCs w:val="18"/>
              </w:rPr>
            </w:pPr>
            <w:r w:rsidRPr="007744CA">
              <w:rPr>
                <w:sz w:val="18"/>
                <w:szCs w:val="18"/>
              </w:rPr>
              <w:t>(</w:t>
            </w:r>
            <w:r w:rsidR="00292629" w:rsidRPr="007744CA">
              <w:rPr>
                <w:sz w:val="18"/>
                <w:szCs w:val="18"/>
              </w:rPr>
              <w:t>1.9</w:t>
            </w:r>
            <w:r w:rsidRPr="007744CA">
              <w:rPr>
                <w:sz w:val="18"/>
                <w:szCs w:val="18"/>
              </w:rPr>
              <w:t>–3.</w:t>
            </w:r>
            <w:r w:rsidR="00292629" w:rsidRPr="007744CA">
              <w:rPr>
                <w:sz w:val="18"/>
                <w:szCs w:val="18"/>
              </w:rPr>
              <w:t>2</w:t>
            </w:r>
            <w:r w:rsidRPr="007744CA">
              <w:rPr>
                <w:sz w:val="18"/>
                <w:szCs w:val="18"/>
              </w:rPr>
              <w:t>)</w:t>
            </w:r>
          </w:p>
        </w:tc>
        <w:tc>
          <w:tcPr>
            <w:tcW w:w="992" w:type="dxa"/>
            <w:vAlign w:val="center"/>
          </w:tcPr>
          <w:p w14:paraId="11A7ED8E" w14:textId="4A7CC744" w:rsidR="00395633" w:rsidRPr="007744CA" w:rsidRDefault="00395633" w:rsidP="00CC3121">
            <w:pPr>
              <w:pStyle w:val="Tabletext"/>
              <w:rPr>
                <w:sz w:val="18"/>
                <w:szCs w:val="18"/>
              </w:rPr>
            </w:pPr>
            <w:r w:rsidRPr="007744CA">
              <w:rPr>
                <w:sz w:val="18"/>
                <w:szCs w:val="18"/>
              </w:rPr>
              <w:t>(1.</w:t>
            </w:r>
            <w:r w:rsidR="00292629" w:rsidRPr="007744CA">
              <w:rPr>
                <w:sz w:val="18"/>
                <w:szCs w:val="18"/>
              </w:rPr>
              <w:t>2</w:t>
            </w:r>
            <w:r w:rsidRPr="007744CA">
              <w:rPr>
                <w:sz w:val="18"/>
                <w:szCs w:val="18"/>
              </w:rPr>
              <w:t>–2.</w:t>
            </w:r>
            <w:r w:rsidR="00292629" w:rsidRPr="007744CA">
              <w:rPr>
                <w:sz w:val="18"/>
                <w:szCs w:val="18"/>
              </w:rPr>
              <w:t>2</w:t>
            </w:r>
            <w:r w:rsidRPr="007744CA">
              <w:rPr>
                <w:sz w:val="18"/>
                <w:szCs w:val="18"/>
              </w:rPr>
              <w:t>)</w:t>
            </w:r>
          </w:p>
        </w:tc>
        <w:tc>
          <w:tcPr>
            <w:tcW w:w="993" w:type="dxa"/>
            <w:vAlign w:val="center"/>
          </w:tcPr>
          <w:p w14:paraId="45FB448B" w14:textId="010DE093" w:rsidR="00395633" w:rsidRPr="007744CA" w:rsidRDefault="00395633" w:rsidP="00CC3121">
            <w:pPr>
              <w:pStyle w:val="Tabletext"/>
              <w:rPr>
                <w:sz w:val="18"/>
                <w:szCs w:val="18"/>
              </w:rPr>
            </w:pPr>
            <w:r w:rsidRPr="007744CA">
              <w:rPr>
                <w:sz w:val="18"/>
                <w:szCs w:val="18"/>
              </w:rPr>
              <w:t>(1.</w:t>
            </w:r>
            <w:r w:rsidR="00292629" w:rsidRPr="007744CA">
              <w:rPr>
                <w:sz w:val="18"/>
                <w:szCs w:val="18"/>
              </w:rPr>
              <w:t>2</w:t>
            </w:r>
            <w:r w:rsidRPr="007744CA">
              <w:rPr>
                <w:sz w:val="18"/>
                <w:szCs w:val="18"/>
              </w:rPr>
              <w:t>–2.</w:t>
            </w:r>
            <w:r w:rsidR="00292629" w:rsidRPr="007744CA">
              <w:rPr>
                <w:sz w:val="18"/>
                <w:szCs w:val="18"/>
              </w:rPr>
              <w:t>2</w:t>
            </w:r>
            <w:r w:rsidRPr="007744CA">
              <w:rPr>
                <w:sz w:val="18"/>
                <w:szCs w:val="18"/>
              </w:rPr>
              <w:t>)</w:t>
            </w:r>
          </w:p>
        </w:tc>
        <w:tc>
          <w:tcPr>
            <w:tcW w:w="992" w:type="dxa"/>
            <w:vAlign w:val="center"/>
          </w:tcPr>
          <w:p w14:paraId="3F53D7DB" w14:textId="73AC8B5B" w:rsidR="00395633" w:rsidRPr="007744CA" w:rsidRDefault="00395633" w:rsidP="00CC3121">
            <w:pPr>
              <w:pStyle w:val="Tabletext"/>
              <w:rPr>
                <w:sz w:val="18"/>
                <w:szCs w:val="18"/>
              </w:rPr>
            </w:pPr>
            <w:r w:rsidRPr="007744CA">
              <w:rPr>
                <w:sz w:val="18"/>
                <w:szCs w:val="18"/>
              </w:rPr>
              <w:t>(1.</w:t>
            </w:r>
            <w:r w:rsidR="00292629" w:rsidRPr="007744CA">
              <w:rPr>
                <w:sz w:val="18"/>
                <w:szCs w:val="18"/>
              </w:rPr>
              <w:t>6</w:t>
            </w:r>
            <w:r w:rsidRPr="007744CA">
              <w:rPr>
                <w:sz w:val="18"/>
                <w:szCs w:val="18"/>
              </w:rPr>
              <w:t>–</w:t>
            </w:r>
            <w:r w:rsidR="00292629" w:rsidRPr="007744CA">
              <w:rPr>
                <w:sz w:val="18"/>
                <w:szCs w:val="18"/>
              </w:rPr>
              <w:t>2.8</w:t>
            </w:r>
            <w:r w:rsidRPr="007744CA">
              <w:rPr>
                <w:sz w:val="18"/>
                <w:szCs w:val="18"/>
              </w:rPr>
              <w:t>)</w:t>
            </w:r>
          </w:p>
        </w:tc>
        <w:tc>
          <w:tcPr>
            <w:tcW w:w="1029" w:type="dxa"/>
          </w:tcPr>
          <w:p w14:paraId="361B2456" w14:textId="6C507C8D" w:rsidR="00395633" w:rsidRPr="007744CA" w:rsidRDefault="00292629" w:rsidP="00CC3121">
            <w:pPr>
              <w:pStyle w:val="Tabletext"/>
              <w:rPr>
                <w:sz w:val="18"/>
                <w:szCs w:val="18"/>
              </w:rPr>
            </w:pPr>
            <w:r w:rsidRPr="007744CA">
              <w:rPr>
                <w:sz w:val="18"/>
                <w:szCs w:val="18"/>
              </w:rPr>
              <w:t>(1.5–2.5)</w:t>
            </w:r>
          </w:p>
        </w:tc>
      </w:tr>
    </w:tbl>
    <w:p w14:paraId="510AAC67" w14:textId="77777777" w:rsidR="00387479" w:rsidRDefault="00387479" w:rsidP="00606436">
      <w:pPr>
        <w:pStyle w:val="Body"/>
        <w:rPr>
          <w:rFonts w:eastAsia="MS Mincho"/>
        </w:rPr>
      </w:pPr>
      <w:r>
        <w:br w:type="page"/>
      </w:r>
    </w:p>
    <w:p w14:paraId="54E35980" w14:textId="4E98A54F" w:rsidR="00665D4B" w:rsidRPr="00E060C8" w:rsidRDefault="00665D4B" w:rsidP="007C7F00">
      <w:pPr>
        <w:pStyle w:val="Heading4"/>
      </w:pPr>
      <w:r w:rsidRPr="00E43803">
        <w:lastRenderedPageBreak/>
        <w:t>Measure assessment</w:t>
      </w:r>
    </w:p>
    <w:p w14:paraId="3080FDC1" w14:textId="66AB872A" w:rsidR="00FE5799" w:rsidRPr="00E060C8" w:rsidRDefault="00FE5799" w:rsidP="00606436">
      <w:pPr>
        <w:pStyle w:val="Body"/>
      </w:pPr>
      <w:r w:rsidRPr="009F01B1">
        <w:t>Traffic light rating:</w:t>
      </w:r>
      <w:r w:rsidRPr="00B504AD">
        <w:rPr>
          <w:color w:val="AF272F"/>
        </w:rPr>
        <w:t xml:space="preserve"> </w:t>
      </w:r>
      <w:r w:rsidR="00DF4430" w:rsidRPr="00B504AD">
        <w:rPr>
          <w:b/>
          <w:color w:val="AF272F"/>
        </w:rPr>
        <w:t>Red</w:t>
      </w:r>
      <w:r w:rsidR="00320DEB" w:rsidRPr="00B504AD">
        <w:rPr>
          <w:b/>
          <w:color w:val="AF272F"/>
        </w:rPr>
        <w:t xml:space="preserve"> </w:t>
      </w:r>
      <w:r w:rsidR="00320DEB">
        <w:t>(result is of concern)</w:t>
      </w:r>
    </w:p>
    <w:p w14:paraId="3C69FDD1" w14:textId="59D3A626" w:rsidR="00FE5799" w:rsidRPr="003E5FD3" w:rsidRDefault="00FE5799" w:rsidP="00606436">
      <w:pPr>
        <w:pStyle w:val="Body"/>
      </w:pPr>
      <w:r w:rsidRPr="00C15AE4">
        <w:t xml:space="preserve">Overall trend: </w:t>
      </w:r>
      <w:r w:rsidR="00CC3121">
        <w:t>Static or unchanging</w:t>
      </w:r>
    </w:p>
    <w:p w14:paraId="2DAFE8DB" w14:textId="5EA11710" w:rsidR="00CC52BE" w:rsidRPr="00215497" w:rsidRDefault="00FE5799" w:rsidP="00E87AAA">
      <w:pPr>
        <w:pStyle w:val="Body"/>
        <w:rPr>
          <w:rStyle w:val="Heading1Char"/>
        </w:rPr>
      </w:pPr>
      <w:r w:rsidRPr="00657C18">
        <w:t xml:space="preserve">Commentary: </w:t>
      </w:r>
      <w:r w:rsidR="00CC3121">
        <w:t>Between 2014 and 202</w:t>
      </w:r>
      <w:r w:rsidR="009E7F91">
        <w:t>1</w:t>
      </w:r>
      <w:r w:rsidR="00DF4430">
        <w:t xml:space="preserve"> Aboriginal Victorians had a premature death rate that was </w:t>
      </w:r>
      <w:r w:rsidR="009F12AF">
        <w:t xml:space="preserve">almost or </w:t>
      </w:r>
      <w:r w:rsidR="00CC3121">
        <w:t xml:space="preserve">more than two </w:t>
      </w:r>
      <w:r w:rsidR="00DF4430">
        <w:t>times higher</w:t>
      </w:r>
      <w:r w:rsidR="00704F79">
        <w:t xml:space="preserve"> </w:t>
      </w:r>
      <w:r w:rsidR="00DF4430">
        <w:t xml:space="preserve">than non-Aboriginal Victorians </w:t>
      </w:r>
      <w:r w:rsidR="00164257">
        <w:t>(Figure 5.3 and Table 5.3)</w:t>
      </w:r>
      <w:r w:rsidR="00704F79">
        <w:t>.</w:t>
      </w:r>
      <w:r w:rsidR="00952FC7">
        <w:t xml:space="preserve"> </w:t>
      </w:r>
      <w:r w:rsidR="009E57CD">
        <w:t>This trend is consistent with national reporting</w:t>
      </w:r>
      <w:r w:rsidR="000F1A1A">
        <w:t>,</w:t>
      </w:r>
      <w:r w:rsidR="009E57CD">
        <w:t xml:space="preserve"> which has shown that</w:t>
      </w:r>
      <w:r w:rsidR="00A229BB">
        <w:t xml:space="preserve"> Aboriginal and Torres Strait Islander </w:t>
      </w:r>
      <w:r w:rsidR="004B3A5B">
        <w:t xml:space="preserve">Australians have a higher </w:t>
      </w:r>
      <w:r w:rsidR="009E57CD">
        <w:t xml:space="preserve">premature cancer death rate attributable to </w:t>
      </w:r>
      <w:r w:rsidR="004B3A5B">
        <w:t xml:space="preserve">screen-detectable and preventable cancers and </w:t>
      </w:r>
      <w:r w:rsidR="009E57CD">
        <w:t>cancer</w:t>
      </w:r>
      <w:r w:rsidR="000F1A1A">
        <w:t>s that</w:t>
      </w:r>
      <w:r w:rsidR="009E57CD">
        <w:t xml:space="preserve"> </w:t>
      </w:r>
      <w:r w:rsidR="004B3A5B">
        <w:t>are diagnosed at more advanced stages, and often with more complex comorbidities</w:t>
      </w:r>
      <w:r w:rsidR="000F1A1A">
        <w:t>.</w:t>
      </w:r>
      <w:r w:rsidR="009E57CD">
        <w:rPr>
          <w:rStyle w:val="FootnoteReference"/>
        </w:rPr>
        <w:footnoteReference w:id="62"/>
      </w:r>
      <w:r w:rsidR="004B3A5B">
        <w:t xml:space="preserve"> Compared with non-</w:t>
      </w:r>
      <w:r w:rsidR="00BE3211">
        <w:t xml:space="preserve">Aboriginal </w:t>
      </w:r>
      <w:r w:rsidR="004B3A5B">
        <w:t xml:space="preserve">Australians diagnosed with the same cancer, </w:t>
      </w:r>
      <w:r w:rsidR="00BE3211">
        <w:t xml:space="preserve">Aboriginal </w:t>
      </w:r>
      <w:r w:rsidR="004B3A5B">
        <w:t xml:space="preserve">Australians are </w:t>
      </w:r>
      <w:r w:rsidR="001F5BB6">
        <w:t xml:space="preserve">more likely to be </w:t>
      </w:r>
      <w:r w:rsidR="004B3A5B">
        <w:t xml:space="preserve">doubly disadvantaged </w:t>
      </w:r>
      <w:r w:rsidR="003435C8">
        <w:t xml:space="preserve">and therefore result in poorer health outcomes such as a higher premature death rate </w:t>
      </w:r>
      <w:r w:rsidR="004B3A5B">
        <w:t>because they are usually diagnosed later with more advanced disease, are less likely to have treatment, and often wait longer for surgery than non-</w:t>
      </w:r>
      <w:r w:rsidR="00BE3211">
        <w:t xml:space="preserve">Aboriginal </w:t>
      </w:r>
      <w:r w:rsidR="004B3A5B">
        <w:t>patients</w:t>
      </w:r>
      <w:r w:rsidR="00100B26">
        <w:t>.</w:t>
      </w:r>
      <w:r w:rsidR="003435C8">
        <w:rPr>
          <w:rStyle w:val="FootnoteReference"/>
        </w:rPr>
        <w:footnoteReference w:id="63"/>
      </w:r>
      <w:r w:rsidR="004B3A5B">
        <w:t xml:space="preserve"> </w:t>
      </w:r>
      <w:r w:rsidR="00C44A66">
        <w:t>There is growing evidence that these disparities may be partially due to reduced access and engagement with cancer services.</w:t>
      </w:r>
      <w:r w:rsidR="00C44A66">
        <w:rPr>
          <w:rStyle w:val="FootnoteReference"/>
        </w:rPr>
        <w:footnoteReference w:id="64"/>
      </w:r>
      <w:r w:rsidR="00CC52BE" w:rsidRPr="009F7530">
        <w:br w:type="page"/>
      </w:r>
      <w:r w:rsidR="00CC52BE" w:rsidRPr="00215497">
        <w:rPr>
          <w:rStyle w:val="Heading1Char"/>
        </w:rPr>
        <w:lastRenderedPageBreak/>
        <w:t>Outcome: Prevent cancers</w:t>
      </w:r>
    </w:p>
    <w:p w14:paraId="5084EB4E" w14:textId="02F4A990" w:rsidR="00862A10" w:rsidRPr="005F0940" w:rsidRDefault="00862A10" w:rsidP="006053E7">
      <w:pPr>
        <w:pStyle w:val="Heading2"/>
      </w:pPr>
      <w:bookmarkStart w:id="351" w:name="_Toc19008052"/>
      <w:bookmarkStart w:id="352" w:name="_Toc140843419"/>
      <w:r w:rsidRPr="005F0940">
        <w:t>Key result:</w:t>
      </w:r>
      <w:r w:rsidR="00C9473B" w:rsidRPr="005F0940">
        <w:t xml:space="preserve"> Decrease smoking and harmful alcohol consumption</w:t>
      </w:r>
      <w:bookmarkEnd w:id="351"/>
      <w:bookmarkEnd w:id="352"/>
    </w:p>
    <w:p w14:paraId="1643EFB2" w14:textId="695566CD" w:rsidR="00C9473B" w:rsidRPr="003E6A0B" w:rsidRDefault="00C9473B" w:rsidP="00A451D4">
      <w:pPr>
        <w:pStyle w:val="Heading3"/>
        <w:rPr>
          <w:b/>
          <w:bCs w:val="0"/>
        </w:rPr>
      </w:pPr>
      <w:bookmarkStart w:id="353" w:name="_Measure_6.1_–"/>
      <w:bookmarkStart w:id="354" w:name="_Toc19008053"/>
      <w:bookmarkStart w:id="355" w:name="_Hlk1049372"/>
      <w:bookmarkEnd w:id="353"/>
      <w:r w:rsidRPr="003E6A0B">
        <w:rPr>
          <w:b/>
          <w:bCs w:val="0"/>
        </w:rPr>
        <w:t>Measure 6.1 – Proportion of adults who smoke daily</w:t>
      </w:r>
      <w:bookmarkEnd w:id="354"/>
    </w:p>
    <w:p w14:paraId="474F49C5" w14:textId="1B8111FE" w:rsidR="000472BF" w:rsidRPr="000322A7" w:rsidRDefault="007F5226" w:rsidP="001A17B2">
      <w:pPr>
        <w:pStyle w:val="Figurecaption"/>
        <w:rPr>
          <w:sz w:val="20"/>
        </w:rPr>
      </w:pPr>
      <w:bookmarkStart w:id="356" w:name="_Toc19008054"/>
      <w:bookmarkStart w:id="357" w:name="_Toc19008294"/>
      <w:bookmarkStart w:id="358" w:name="_Toc19008441"/>
      <w:bookmarkStart w:id="359" w:name="_Toc19008588"/>
      <w:bookmarkStart w:id="360" w:name="_Toc132553022"/>
      <w:bookmarkStart w:id="361" w:name="_Toc140827630"/>
      <w:bookmarkEnd w:id="355"/>
      <w:r w:rsidRPr="76BE792E">
        <w:rPr>
          <w:sz w:val="20"/>
        </w:rPr>
        <w:t>Figure 6.1</w:t>
      </w:r>
      <w:r w:rsidR="003B391F" w:rsidRPr="76BE792E">
        <w:rPr>
          <w:sz w:val="20"/>
        </w:rPr>
        <w:t>:</w:t>
      </w:r>
      <w:r w:rsidRPr="76BE792E">
        <w:rPr>
          <w:sz w:val="20"/>
        </w:rPr>
        <w:t xml:space="preserve"> OECD</w:t>
      </w:r>
      <w:r w:rsidR="00BB2A56" w:rsidRPr="76BE792E">
        <w:rPr>
          <w:sz w:val="20"/>
        </w:rPr>
        <w:t xml:space="preserve"> </w:t>
      </w:r>
      <w:r w:rsidR="008E264C" w:rsidRPr="76BE792E">
        <w:rPr>
          <w:sz w:val="20"/>
        </w:rPr>
        <w:t>a</w:t>
      </w:r>
      <w:r w:rsidRPr="76BE792E">
        <w:rPr>
          <w:sz w:val="20"/>
        </w:rPr>
        <w:t>dult population smoking daily</w:t>
      </w:r>
      <w:r w:rsidR="0034099C" w:rsidRPr="76BE792E">
        <w:rPr>
          <w:sz w:val="20"/>
        </w:rPr>
        <w:t>,</w:t>
      </w:r>
      <w:r w:rsidRPr="76BE792E">
        <w:rPr>
          <w:sz w:val="20"/>
        </w:rPr>
        <w:t xml:space="preserve"> by gender, 201</w:t>
      </w:r>
      <w:r w:rsidR="00676346" w:rsidRPr="76BE792E">
        <w:rPr>
          <w:sz w:val="20"/>
        </w:rPr>
        <w:t>9</w:t>
      </w:r>
      <w:r w:rsidRPr="76BE792E">
        <w:rPr>
          <w:sz w:val="20"/>
        </w:rPr>
        <w:t xml:space="preserve"> (or nearest year)</w:t>
      </w:r>
      <w:r w:rsidR="003F48C9" w:rsidRPr="76BE792E">
        <w:rPr>
          <w:rStyle w:val="FootnoteReference"/>
          <w:b w:val="0"/>
          <w:sz w:val="20"/>
          <w:lang w:eastAsia="en-AU"/>
        </w:rPr>
        <w:footnoteReference w:id="65"/>
      </w:r>
      <w:bookmarkEnd w:id="356"/>
      <w:bookmarkEnd w:id="357"/>
      <w:bookmarkEnd w:id="358"/>
      <w:bookmarkEnd w:id="359"/>
      <w:bookmarkEnd w:id="360"/>
      <w:bookmarkEnd w:id="361"/>
    </w:p>
    <w:p w14:paraId="003072FF" w14:textId="09A589F4" w:rsidR="00D423D7" w:rsidRPr="00D423D7" w:rsidRDefault="00A312EC" w:rsidP="00E87AAA">
      <w:pPr>
        <w:pStyle w:val="Body"/>
      </w:pPr>
      <w:r w:rsidRPr="00A312EC">
        <w:rPr>
          <w:rFonts w:ascii="Times New Roman" w:eastAsia="Times New Roman" w:hAnsi="Times New Roman"/>
          <w:noProof/>
          <w:sz w:val="24"/>
          <w:szCs w:val="24"/>
          <w:lang w:eastAsia="en-AU"/>
        </w:rPr>
        <mc:AlternateContent>
          <mc:Choice Requires="wps">
            <w:drawing>
              <wp:anchor distT="45720" distB="45720" distL="114300" distR="114300" simplePos="0" relativeHeight="251999232" behindDoc="0" locked="0" layoutInCell="1" allowOverlap="1" wp14:anchorId="2EAA0393" wp14:editId="16590C5A">
                <wp:simplePos x="0" y="0"/>
                <wp:positionH relativeFrom="column">
                  <wp:posOffset>355377</wp:posOffset>
                </wp:positionH>
                <wp:positionV relativeFrom="paragraph">
                  <wp:posOffset>5097</wp:posOffset>
                </wp:positionV>
                <wp:extent cx="2519591" cy="1404620"/>
                <wp:effectExtent l="0" t="0" r="0" b="127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9591" cy="1404620"/>
                        </a:xfrm>
                        <a:prstGeom prst="rect">
                          <a:avLst/>
                        </a:prstGeom>
                        <a:noFill/>
                        <a:ln w="9525">
                          <a:noFill/>
                          <a:miter lim="800000"/>
                          <a:headEnd/>
                          <a:tailEnd/>
                        </a:ln>
                      </wps:spPr>
                      <wps:txbx>
                        <w:txbxContent>
                          <w:p w14:paraId="5380A778" w14:textId="1751AB10" w:rsidR="00A312EC" w:rsidRPr="00A312EC" w:rsidRDefault="00A312EC" w:rsidP="00A312EC">
                            <w:pPr>
                              <w:rPr>
                                <w:rFonts w:ascii="Arial" w:hAnsi="Arial" w:cs="Arial"/>
                              </w:rPr>
                            </w:pPr>
                            <w:r>
                              <w:rPr>
                                <w:rFonts w:ascii="Arial" w:hAnsi="Arial" w:cs="Arial"/>
                              </w:rPr>
                              <w:t>%</w:t>
                            </w:r>
                            <w:r w:rsidRPr="00A312EC">
                              <w:rPr>
                                <w:rFonts w:ascii="Arial" w:hAnsi="Arial" w:cs="Arial"/>
                              </w:rPr>
                              <w:t xml:space="preserve"> of </w:t>
                            </w:r>
                            <w:r>
                              <w:rPr>
                                <w:rFonts w:ascii="Arial" w:hAnsi="Arial" w:cs="Arial"/>
                              </w:rPr>
                              <w:t>population</w:t>
                            </w:r>
                            <w:r w:rsidRPr="00A312EC">
                              <w:rPr>
                                <w:rFonts w:ascii="Arial" w:hAnsi="Arial" w:cs="Arial"/>
                              </w:rPr>
                              <w:t xml:space="preserve"> aged 15 years </w:t>
                            </w:r>
                            <w:r w:rsidR="009F566F">
                              <w:rPr>
                                <w:rFonts w:ascii="Arial" w:hAnsi="Arial" w:cs="Arial"/>
                              </w:rPr>
                              <w:t>or older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AA0393" id="_x0000_s1038" type="#_x0000_t202" style="position:absolute;margin-left:28pt;margin-top:.4pt;width:198.4pt;height:110.6pt;z-index:251999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" filled="f" stroked="f">
                <v:textbox style="mso-fit-shape-to-text:t">
                  <w:txbxContent>
                    <w:p w14:paraId="5380A778" w14:textId="1751AB10" w:rsidR="00A312EC" w:rsidRPr="00A312EC" w:rsidRDefault="00A312EC" w:rsidP="00A312EC">
                      <w:pPr>
                        <w:rPr>
                          <w:rFonts w:ascii="Arial" w:hAnsi="Arial" w:cs="Arial"/>
                        </w:rPr>
                      </w:pPr>
                      <w:r>
                        <w:rPr>
                          <w:rFonts w:ascii="Arial" w:hAnsi="Arial" w:cs="Arial"/>
                        </w:rPr>
                        <w:t>%</w:t>
                      </w:r>
                      <w:r w:rsidRPr="00A312EC">
                        <w:rPr>
                          <w:rFonts w:ascii="Arial" w:hAnsi="Arial" w:cs="Arial"/>
                        </w:rPr>
                        <w:t xml:space="preserve"> of </w:t>
                      </w:r>
                      <w:r>
                        <w:rPr>
                          <w:rFonts w:ascii="Arial" w:hAnsi="Arial" w:cs="Arial"/>
                        </w:rPr>
                        <w:t>population</w:t>
                      </w:r>
                      <w:r w:rsidRPr="00A312EC">
                        <w:rPr>
                          <w:rFonts w:ascii="Arial" w:hAnsi="Arial" w:cs="Arial"/>
                        </w:rPr>
                        <w:t xml:space="preserve"> aged 15 years </w:t>
                      </w:r>
                      <w:r w:rsidR="009F566F">
                        <w:rPr>
                          <w:rFonts w:ascii="Arial" w:hAnsi="Arial" w:cs="Arial"/>
                        </w:rPr>
                        <w:t>or older</w:t>
                      </w:r>
                    </w:p>
                  </w:txbxContent>
                </v:textbox>
              </v:shape>
            </w:pict>
          </mc:Fallback>
        </mc:AlternateContent>
      </w:r>
      <w:r w:rsidR="00D423D7">
        <w:rPr>
          <w:noProof/>
        </w:rPr>
        <w:drawing>
          <wp:inline distT="0" distB="0" distL="0" distR="0" wp14:anchorId="24F50E13" wp14:editId="7C6F69C3">
            <wp:extent cx="5714969" cy="2849690"/>
            <wp:effectExtent l="0" t="0" r="635" b="8255"/>
            <wp:docPr id="55" name="Picture 1" descr="This figure shows the proportion of adult population of OECD countries who smoke daily by gender for 2019.  The data is available from the OECD website - OECD 2021, Daily smokers indicator. In: Health at a Glance 2021: OECD Publishing, Paris. ">
              <a:extLst xmlns:a="http://schemas.openxmlformats.org/drawingml/2006/main">
                <a:ext uri="{FF2B5EF4-FFF2-40B4-BE49-F238E27FC236}">
                  <a16:creationId xmlns:a16="http://schemas.microsoft.com/office/drawing/2014/main" id="{7136B473-DFD8-4E29-ADA0-AC32DAB087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 descr="This figure shows the proportion of adult population of OECD countries who smoke daily by gender for 2019.  The data is available from the OECD website - OECD 2021, Daily smokers indicator. In: Health at a Glance 2021: OECD Publishing, Paris. ">
                      <a:extLst>
                        <a:ext uri="{FF2B5EF4-FFF2-40B4-BE49-F238E27FC236}">
                          <a16:creationId xmlns:a16="http://schemas.microsoft.com/office/drawing/2014/main" id="{7136B473-DFD8-4E29-ADA0-AC32DAB08789}"/>
                        </a:ext>
                      </a:extLst>
                    </pic:cNvPr>
                    <pic:cNvPicPr>
                      <a:picLocks noChangeAspect="1"/>
                    </pic:cNvPicPr>
                  </pic:nvPicPr>
                  <pic:blipFill>
                    <a:blip r:embed="rId74"/>
                    <a:stretch>
                      <a:fillRect/>
                    </a:stretch>
                  </pic:blipFill>
                  <pic:spPr>
                    <a:xfrm>
                      <a:off x="0" y="0"/>
                      <a:ext cx="5740356" cy="2862349"/>
                    </a:xfrm>
                    <a:prstGeom prst="rect">
                      <a:avLst/>
                    </a:prstGeom>
                  </pic:spPr>
                </pic:pic>
              </a:graphicData>
            </a:graphic>
          </wp:inline>
        </w:drawing>
      </w:r>
    </w:p>
    <w:p w14:paraId="1D9D23E5" w14:textId="69D8F32E" w:rsidR="0034099C" w:rsidRDefault="0034099C" w:rsidP="00E87AAA">
      <w:pPr>
        <w:pStyle w:val="Body"/>
      </w:pPr>
    </w:p>
    <w:p w14:paraId="47CDD6B2" w14:textId="331C5297" w:rsidR="005554BD" w:rsidRPr="000322A7" w:rsidRDefault="003F48C9" w:rsidP="008D14E5">
      <w:pPr>
        <w:pStyle w:val="Tablefigurenote"/>
        <w:rPr>
          <w:i/>
          <w:iCs/>
          <w:sz w:val="18"/>
          <w:szCs w:val="18"/>
        </w:rPr>
      </w:pPr>
      <w:r w:rsidRPr="000322A7">
        <w:rPr>
          <w:i/>
          <w:iCs/>
          <w:sz w:val="18"/>
          <w:szCs w:val="18"/>
        </w:rPr>
        <w:t xml:space="preserve">Source: </w:t>
      </w:r>
      <w:r w:rsidR="00C268C1" w:rsidRPr="000322A7">
        <w:rPr>
          <w:i/>
          <w:iCs/>
          <w:sz w:val="18"/>
          <w:szCs w:val="18"/>
        </w:rPr>
        <w:t>OECD (2022), Daily smokers (indicator). doi: 10.1787/1ff488c2-en (Accessed on 2 August 2022)</w:t>
      </w:r>
      <w:r w:rsidR="005E5FCA" w:rsidRPr="000322A7">
        <w:rPr>
          <w:i/>
          <w:iCs/>
          <w:sz w:val="18"/>
          <w:szCs w:val="18"/>
        </w:rPr>
        <w:t xml:space="preserve">; Australia is highlighted in </w:t>
      </w:r>
      <w:r w:rsidR="005E5FCA" w:rsidRPr="000322A7">
        <w:rPr>
          <w:i/>
          <w:iCs/>
          <w:color w:val="C00000"/>
          <w:sz w:val="18"/>
          <w:szCs w:val="18"/>
        </w:rPr>
        <w:t>red</w:t>
      </w:r>
      <w:r w:rsidR="009F566F" w:rsidRPr="000322A7">
        <w:rPr>
          <w:i/>
          <w:iCs/>
          <w:sz w:val="18"/>
          <w:szCs w:val="18"/>
        </w:rPr>
        <w:t>.</w:t>
      </w:r>
    </w:p>
    <w:p w14:paraId="5670CF9A" w14:textId="704C9098" w:rsidR="00676346" w:rsidRPr="000322A7" w:rsidRDefault="00DD60BB" w:rsidP="001A17B2">
      <w:pPr>
        <w:pStyle w:val="Tablefigurenote"/>
        <w:rPr>
          <w:i/>
          <w:iCs/>
          <w:sz w:val="18"/>
          <w:szCs w:val="18"/>
        </w:rPr>
      </w:pPr>
      <w:r w:rsidRPr="000322A7">
        <w:rPr>
          <w:i/>
          <w:iCs/>
          <w:sz w:val="18"/>
          <w:szCs w:val="18"/>
        </w:rPr>
        <w:t>Note that</w:t>
      </w:r>
      <w:r w:rsidR="0091552E" w:rsidRPr="000322A7">
        <w:rPr>
          <w:i/>
          <w:iCs/>
          <w:sz w:val="18"/>
          <w:szCs w:val="18"/>
        </w:rPr>
        <w:t xml:space="preserve"> daily smokers are defined as the population aged 15 years </w:t>
      </w:r>
      <w:r w:rsidR="009F566F" w:rsidRPr="000322A7">
        <w:rPr>
          <w:i/>
          <w:iCs/>
          <w:sz w:val="18"/>
          <w:szCs w:val="18"/>
        </w:rPr>
        <w:t>or older</w:t>
      </w:r>
      <w:r w:rsidR="0091552E" w:rsidRPr="000322A7">
        <w:rPr>
          <w:i/>
          <w:iCs/>
          <w:sz w:val="18"/>
          <w:szCs w:val="18"/>
        </w:rPr>
        <w:t xml:space="preserve"> who are reporting to smoke every day.</w:t>
      </w:r>
      <w:r w:rsidRPr="000322A7">
        <w:rPr>
          <w:i/>
          <w:iCs/>
          <w:sz w:val="18"/>
          <w:szCs w:val="18"/>
        </w:rPr>
        <w:t xml:space="preserve"> </w:t>
      </w:r>
      <w:r w:rsidR="009F566F" w:rsidRPr="000322A7">
        <w:rPr>
          <w:i/>
          <w:iCs/>
          <w:sz w:val="18"/>
          <w:szCs w:val="18"/>
        </w:rPr>
        <w:t>T</w:t>
      </w:r>
      <w:r w:rsidRPr="000322A7">
        <w:rPr>
          <w:i/>
          <w:iCs/>
          <w:sz w:val="18"/>
          <w:szCs w:val="18"/>
        </w:rPr>
        <w:t xml:space="preserve">he proportion of daily smokers is defined as the percentage of the population aged 15 years </w:t>
      </w:r>
      <w:r w:rsidR="001B50BF" w:rsidRPr="000322A7">
        <w:rPr>
          <w:i/>
          <w:iCs/>
          <w:sz w:val="18"/>
          <w:szCs w:val="18"/>
        </w:rPr>
        <w:t>or older</w:t>
      </w:r>
      <w:r w:rsidRPr="000322A7">
        <w:rPr>
          <w:i/>
          <w:iCs/>
          <w:sz w:val="18"/>
          <w:szCs w:val="18"/>
        </w:rPr>
        <w:t xml:space="preserve"> who</w:t>
      </w:r>
      <w:r w:rsidR="001D6235" w:rsidRPr="000322A7">
        <w:rPr>
          <w:i/>
          <w:iCs/>
          <w:sz w:val="18"/>
          <w:szCs w:val="18"/>
        </w:rPr>
        <w:t xml:space="preserve"> </w:t>
      </w:r>
      <w:r w:rsidR="0095368F" w:rsidRPr="000322A7">
        <w:rPr>
          <w:i/>
          <w:iCs/>
          <w:sz w:val="18"/>
          <w:szCs w:val="18"/>
        </w:rPr>
        <w:t>self-report</w:t>
      </w:r>
      <w:r w:rsidRPr="000322A7">
        <w:rPr>
          <w:i/>
          <w:iCs/>
          <w:sz w:val="18"/>
          <w:szCs w:val="18"/>
        </w:rPr>
        <w:t xml:space="preserve"> tobacco smoking </w:t>
      </w:r>
      <w:r w:rsidR="00243D27" w:rsidRPr="000322A7">
        <w:rPr>
          <w:i/>
          <w:iCs/>
          <w:sz w:val="18"/>
          <w:szCs w:val="18"/>
        </w:rPr>
        <w:t>daily</w:t>
      </w:r>
      <w:r w:rsidR="00F070FE" w:rsidRPr="000322A7">
        <w:rPr>
          <w:i/>
          <w:iCs/>
          <w:sz w:val="18"/>
          <w:szCs w:val="18"/>
        </w:rPr>
        <w:t>.</w:t>
      </w:r>
      <w:bookmarkStart w:id="363" w:name="_Hlk1049484"/>
    </w:p>
    <w:p w14:paraId="555FF88A" w14:textId="6982EF0E" w:rsidR="005554BD" w:rsidRDefault="00602BF3" w:rsidP="001A17B2">
      <w:pPr>
        <w:pStyle w:val="Figurecaption"/>
        <w:rPr>
          <w:sz w:val="20"/>
        </w:rPr>
      </w:pPr>
      <w:bookmarkStart w:id="364" w:name="_Toc19008055"/>
      <w:bookmarkStart w:id="365" w:name="_Toc19008295"/>
      <w:bookmarkStart w:id="366" w:name="_Toc19008442"/>
      <w:bookmarkStart w:id="367" w:name="_Toc19008589"/>
      <w:bookmarkStart w:id="368" w:name="_Toc132553023"/>
      <w:bookmarkStart w:id="369" w:name="_Toc140827631"/>
      <w:r w:rsidRPr="000322A7">
        <w:rPr>
          <w:sz w:val="20"/>
        </w:rPr>
        <w:lastRenderedPageBreak/>
        <w:t>Figure 6.1</w:t>
      </w:r>
      <w:r w:rsidR="007F5226" w:rsidRPr="000322A7">
        <w:rPr>
          <w:sz w:val="20"/>
        </w:rPr>
        <w:t>.1</w:t>
      </w:r>
      <w:r w:rsidR="003B391F" w:rsidRPr="000322A7">
        <w:rPr>
          <w:sz w:val="20"/>
        </w:rPr>
        <w:t>:</w:t>
      </w:r>
      <w:r w:rsidRPr="000322A7">
        <w:rPr>
          <w:sz w:val="20"/>
        </w:rPr>
        <w:t xml:space="preserve"> </w:t>
      </w:r>
      <w:r w:rsidR="005554BD" w:rsidRPr="000322A7">
        <w:rPr>
          <w:sz w:val="20"/>
        </w:rPr>
        <w:t xml:space="preserve">Proportion of </w:t>
      </w:r>
      <w:r w:rsidR="00A70B4C" w:rsidRPr="000322A7">
        <w:rPr>
          <w:sz w:val="20"/>
        </w:rPr>
        <w:t xml:space="preserve">Australian </w:t>
      </w:r>
      <w:r w:rsidR="005554BD" w:rsidRPr="000322A7">
        <w:rPr>
          <w:sz w:val="20"/>
        </w:rPr>
        <w:t>adults (aged 18 y</w:t>
      </w:r>
      <w:r w:rsidR="00E9274F" w:rsidRPr="000322A7">
        <w:rPr>
          <w:sz w:val="20"/>
        </w:rPr>
        <w:t>ea</w:t>
      </w:r>
      <w:r w:rsidR="005554BD" w:rsidRPr="000322A7">
        <w:rPr>
          <w:sz w:val="20"/>
        </w:rPr>
        <w:t xml:space="preserve">rs </w:t>
      </w:r>
      <w:r w:rsidR="001B50BF" w:rsidRPr="000322A7">
        <w:rPr>
          <w:sz w:val="20"/>
        </w:rPr>
        <w:t xml:space="preserve">or </w:t>
      </w:r>
      <w:r w:rsidR="005554BD" w:rsidRPr="000322A7">
        <w:rPr>
          <w:sz w:val="20"/>
        </w:rPr>
        <w:t>older) who smoke daily, by state/territory,</w:t>
      </w:r>
      <w:r w:rsidR="007744CA" w:rsidRPr="000322A7">
        <w:rPr>
          <w:sz w:val="20"/>
        </w:rPr>
        <w:t xml:space="preserve"> </w:t>
      </w:r>
      <w:r w:rsidR="005554BD" w:rsidRPr="000322A7">
        <w:rPr>
          <w:sz w:val="20"/>
        </w:rPr>
        <w:t>201</w:t>
      </w:r>
      <w:r w:rsidR="00271F80" w:rsidRPr="000322A7">
        <w:rPr>
          <w:sz w:val="20"/>
        </w:rPr>
        <w:t>4</w:t>
      </w:r>
      <w:r w:rsidR="008D2095" w:rsidRPr="000322A7">
        <w:rPr>
          <w:sz w:val="20"/>
        </w:rPr>
        <w:t>–</w:t>
      </w:r>
      <w:r w:rsidR="00795FFB" w:rsidRPr="000322A7">
        <w:rPr>
          <w:sz w:val="20"/>
        </w:rPr>
        <w:t>15</w:t>
      </w:r>
      <w:bookmarkEnd w:id="364"/>
      <w:bookmarkEnd w:id="365"/>
      <w:bookmarkEnd w:id="366"/>
      <w:bookmarkEnd w:id="367"/>
      <w:r w:rsidR="004039FA" w:rsidRPr="000322A7">
        <w:rPr>
          <w:sz w:val="20"/>
        </w:rPr>
        <w:t xml:space="preserve"> and 2017</w:t>
      </w:r>
      <w:r w:rsidR="00DF209D" w:rsidRPr="000322A7">
        <w:rPr>
          <w:sz w:val="20"/>
        </w:rPr>
        <w:t>–</w:t>
      </w:r>
      <w:r w:rsidR="004039FA" w:rsidRPr="000322A7">
        <w:rPr>
          <w:sz w:val="20"/>
        </w:rPr>
        <w:t>18</w:t>
      </w:r>
      <w:bookmarkEnd w:id="368"/>
      <w:bookmarkEnd w:id="369"/>
    </w:p>
    <w:p w14:paraId="5F19CEFD" w14:textId="7B3785DF" w:rsidR="00292145" w:rsidRPr="00292145" w:rsidRDefault="00292145" w:rsidP="00292145">
      <w:pPr>
        <w:pStyle w:val="DHHSbody"/>
      </w:pPr>
      <w:r w:rsidRPr="00292145">
        <w:rPr>
          <w:noProof/>
        </w:rPr>
        <w:drawing>
          <wp:inline distT="0" distB="0" distL="0" distR="0" wp14:anchorId="19FB3132" wp14:editId="59429F5E">
            <wp:extent cx="6155238" cy="3190875"/>
            <wp:effectExtent l="0" t="0" r="0" b="0"/>
            <wp:docPr id="257" name="Picture 257" descr="This figure presents data via a labelled bar graph on the proportion of Australian adults (aged 18 years or older) who smoke daily by state/territory over 2014-2015 and 2017-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This figure presents data via a labelled bar graph on the proportion of Australian adults (aged 18 years or older) who smoke daily by state/territory over 2014-2015 and 2017-2018."/>
                    <pic:cNvPicPr/>
                  </pic:nvPicPr>
                  <pic:blipFill>
                    <a:blip r:embed="rId75"/>
                    <a:stretch>
                      <a:fillRect/>
                    </a:stretch>
                  </pic:blipFill>
                  <pic:spPr>
                    <a:xfrm>
                      <a:off x="0" y="0"/>
                      <a:ext cx="6175040" cy="3201140"/>
                    </a:xfrm>
                    <a:prstGeom prst="rect">
                      <a:avLst/>
                    </a:prstGeom>
                  </pic:spPr>
                </pic:pic>
              </a:graphicData>
            </a:graphic>
          </wp:inline>
        </w:drawing>
      </w:r>
    </w:p>
    <w:p w14:paraId="37C36694" w14:textId="0DFEA4AA" w:rsidR="00FA1AAC" w:rsidRPr="00907F89" w:rsidRDefault="00FA1AAC" w:rsidP="00E87AAA">
      <w:pPr>
        <w:pStyle w:val="Body"/>
      </w:pPr>
    </w:p>
    <w:p w14:paraId="32FA13D0" w14:textId="3857058B" w:rsidR="00AF6045" w:rsidRPr="000322A7" w:rsidRDefault="00BB3548" w:rsidP="00FA1AAC">
      <w:pPr>
        <w:pStyle w:val="Tablefigurenote"/>
        <w:rPr>
          <w:b/>
          <w:bCs/>
          <w:i/>
          <w:iCs/>
          <w:color w:val="000000"/>
          <w:sz w:val="18"/>
          <w:szCs w:val="18"/>
        </w:rPr>
      </w:pPr>
      <w:r w:rsidRPr="000322A7">
        <w:rPr>
          <w:i/>
          <w:iCs/>
          <w:sz w:val="18"/>
          <w:szCs w:val="18"/>
        </w:rPr>
        <w:t xml:space="preserve">Source: </w:t>
      </w:r>
      <w:r w:rsidR="00781191" w:rsidRPr="000322A7">
        <w:rPr>
          <w:i/>
          <w:iCs/>
          <w:sz w:val="18"/>
          <w:szCs w:val="18"/>
          <w:lang w:val="en"/>
        </w:rPr>
        <w:t>ABS</w:t>
      </w:r>
      <w:r w:rsidR="00BC6C24" w:rsidRPr="000322A7">
        <w:rPr>
          <w:i/>
          <w:iCs/>
          <w:sz w:val="18"/>
          <w:szCs w:val="18"/>
          <w:lang w:val="en"/>
        </w:rPr>
        <w:t xml:space="preserve"> Australian Health Survey 2014</w:t>
      </w:r>
      <w:r w:rsidR="00CA6D80" w:rsidRPr="000322A7">
        <w:rPr>
          <w:i/>
          <w:iCs/>
          <w:sz w:val="18"/>
          <w:szCs w:val="18"/>
          <w:lang w:val="en"/>
        </w:rPr>
        <w:t>–</w:t>
      </w:r>
      <w:r w:rsidR="00BC6C24" w:rsidRPr="000322A7">
        <w:rPr>
          <w:i/>
          <w:iCs/>
          <w:sz w:val="18"/>
          <w:szCs w:val="18"/>
          <w:lang w:val="en"/>
        </w:rPr>
        <w:t>15 (4364.0)</w:t>
      </w:r>
      <w:r w:rsidR="00262625" w:rsidRPr="000322A7">
        <w:rPr>
          <w:i/>
          <w:iCs/>
          <w:sz w:val="18"/>
          <w:szCs w:val="18"/>
          <w:lang w:val="en"/>
        </w:rPr>
        <w:t xml:space="preserve"> and</w:t>
      </w:r>
      <w:r w:rsidR="00262625" w:rsidRPr="000322A7">
        <w:rPr>
          <w:i/>
          <w:iCs/>
          <w:sz w:val="18"/>
          <w:szCs w:val="18"/>
        </w:rPr>
        <w:t xml:space="preserve"> 2017</w:t>
      </w:r>
      <w:r w:rsidR="00246747" w:rsidRPr="000322A7">
        <w:rPr>
          <w:i/>
          <w:iCs/>
          <w:sz w:val="18"/>
          <w:szCs w:val="18"/>
        </w:rPr>
        <w:t>–</w:t>
      </w:r>
      <w:r w:rsidR="00262625" w:rsidRPr="000322A7">
        <w:rPr>
          <w:i/>
          <w:iCs/>
          <w:sz w:val="18"/>
          <w:szCs w:val="18"/>
        </w:rPr>
        <w:t>18 (4364.0.55.001.DO002)</w:t>
      </w:r>
    </w:p>
    <w:p w14:paraId="704AF568" w14:textId="0F9D3A17" w:rsidR="00C730F3" w:rsidRDefault="006C0667" w:rsidP="001A17B2">
      <w:pPr>
        <w:pStyle w:val="Figurecaption"/>
        <w:rPr>
          <w:sz w:val="20"/>
        </w:rPr>
      </w:pPr>
      <w:bookmarkStart w:id="370" w:name="_Toc19008056"/>
      <w:bookmarkStart w:id="371" w:name="_Toc19008296"/>
      <w:bookmarkStart w:id="372" w:name="_Toc19008443"/>
      <w:bookmarkStart w:id="373" w:name="_Toc19008590"/>
      <w:bookmarkStart w:id="374" w:name="_Toc132553024"/>
      <w:bookmarkStart w:id="375" w:name="_Toc140827632"/>
      <w:r w:rsidRPr="000322A7">
        <w:rPr>
          <w:sz w:val="20"/>
        </w:rPr>
        <w:t>Figure 6.1.2</w:t>
      </w:r>
      <w:r w:rsidR="008D2095" w:rsidRPr="000322A7">
        <w:rPr>
          <w:sz w:val="20"/>
        </w:rPr>
        <w:t>:</w:t>
      </w:r>
      <w:r w:rsidRPr="000322A7">
        <w:rPr>
          <w:sz w:val="20"/>
        </w:rPr>
        <w:t xml:space="preserve"> </w:t>
      </w:r>
      <w:r w:rsidR="00ED0766" w:rsidRPr="000322A7">
        <w:rPr>
          <w:sz w:val="20"/>
        </w:rPr>
        <w:t>Proportion of Victorian adults (</w:t>
      </w:r>
      <w:r w:rsidR="00B91D6C" w:rsidRPr="000322A7">
        <w:rPr>
          <w:sz w:val="20"/>
        </w:rPr>
        <w:t xml:space="preserve">aged </w:t>
      </w:r>
      <w:r w:rsidR="00ED0766" w:rsidRPr="000322A7">
        <w:rPr>
          <w:sz w:val="20"/>
        </w:rPr>
        <w:t>18 y</w:t>
      </w:r>
      <w:r w:rsidR="00E9274F" w:rsidRPr="000322A7">
        <w:rPr>
          <w:sz w:val="20"/>
        </w:rPr>
        <w:t>ea</w:t>
      </w:r>
      <w:r w:rsidR="00ED0766" w:rsidRPr="000322A7">
        <w:rPr>
          <w:sz w:val="20"/>
        </w:rPr>
        <w:t xml:space="preserve">rs </w:t>
      </w:r>
      <w:r w:rsidR="001B50BF" w:rsidRPr="000322A7">
        <w:rPr>
          <w:sz w:val="20"/>
        </w:rPr>
        <w:t>or</w:t>
      </w:r>
      <w:r w:rsidR="00ED0766" w:rsidRPr="000322A7">
        <w:rPr>
          <w:sz w:val="20"/>
        </w:rPr>
        <w:t xml:space="preserve"> older) who smoke daily</w:t>
      </w:r>
      <w:r w:rsidR="0034099C" w:rsidRPr="000322A7">
        <w:rPr>
          <w:sz w:val="20"/>
        </w:rPr>
        <w:t>,</w:t>
      </w:r>
      <w:r w:rsidR="00B027FC" w:rsidRPr="000322A7">
        <w:rPr>
          <w:sz w:val="20"/>
        </w:rPr>
        <w:t xml:space="preserve"> by year</w:t>
      </w:r>
      <w:r w:rsidR="00ED0766" w:rsidRPr="000322A7">
        <w:rPr>
          <w:sz w:val="20"/>
        </w:rPr>
        <w:t>, 201</w:t>
      </w:r>
      <w:r w:rsidR="00CF36B3" w:rsidRPr="000322A7">
        <w:rPr>
          <w:sz w:val="20"/>
        </w:rPr>
        <w:t>5</w:t>
      </w:r>
      <w:r w:rsidR="008D2095" w:rsidRPr="000322A7">
        <w:rPr>
          <w:sz w:val="20"/>
        </w:rPr>
        <w:t>–</w:t>
      </w:r>
      <w:r w:rsidR="00ED0766" w:rsidRPr="000322A7">
        <w:rPr>
          <w:sz w:val="20"/>
        </w:rPr>
        <w:t>20</w:t>
      </w:r>
      <w:r w:rsidR="004F27AF" w:rsidRPr="000322A7">
        <w:rPr>
          <w:sz w:val="20"/>
        </w:rPr>
        <w:t>20</w:t>
      </w:r>
      <w:bookmarkEnd w:id="370"/>
      <w:bookmarkEnd w:id="371"/>
      <w:bookmarkEnd w:id="372"/>
      <w:bookmarkEnd w:id="373"/>
      <w:bookmarkEnd w:id="374"/>
      <w:r w:rsidR="00087E9C">
        <w:rPr>
          <w:sz w:val="20"/>
        </w:rPr>
        <w:t xml:space="preserve"> </w:t>
      </w:r>
      <w:r w:rsidR="00D37F38">
        <w:rPr>
          <w:sz w:val="20"/>
        </w:rPr>
        <w:t>and 2022</w:t>
      </w:r>
      <w:bookmarkEnd w:id="375"/>
    </w:p>
    <w:p w14:paraId="1FF1104A" w14:textId="04E3D6BB" w:rsidR="00A56C39" w:rsidRPr="00A56C39" w:rsidRDefault="00D37F38" w:rsidP="00AE1D6E">
      <w:pPr>
        <w:pStyle w:val="DHHSbody"/>
      </w:pPr>
      <w:r w:rsidRPr="00D37F38">
        <w:rPr>
          <w:noProof/>
        </w:rPr>
        <w:drawing>
          <wp:inline distT="0" distB="0" distL="0" distR="0" wp14:anchorId="33B18067" wp14:editId="4CCCE55B">
            <wp:extent cx="5829300" cy="298094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849152" cy="2991101"/>
                    </a:xfrm>
                    <a:prstGeom prst="rect">
                      <a:avLst/>
                    </a:prstGeom>
                  </pic:spPr>
                </pic:pic>
              </a:graphicData>
            </a:graphic>
          </wp:inline>
        </w:drawing>
      </w:r>
    </w:p>
    <w:p w14:paraId="5DFB1EB5" w14:textId="45CF418F" w:rsidR="001F27C4" w:rsidRPr="000322A7" w:rsidRDefault="001F27C4" w:rsidP="008C38C6">
      <w:pPr>
        <w:pStyle w:val="Tablecaption"/>
        <w:rPr>
          <w:sz w:val="20"/>
        </w:rPr>
      </w:pPr>
      <w:bookmarkStart w:id="376" w:name="_Toc18908727"/>
      <w:bookmarkStart w:id="377" w:name="_Toc132491524"/>
      <w:bookmarkStart w:id="378" w:name="_Toc140834915"/>
      <w:r w:rsidRPr="000322A7">
        <w:rPr>
          <w:sz w:val="20"/>
        </w:rPr>
        <w:t>Table 6.1</w:t>
      </w:r>
      <w:r w:rsidR="001F7E28" w:rsidRPr="000322A7">
        <w:rPr>
          <w:sz w:val="20"/>
        </w:rPr>
        <w:t>:</w:t>
      </w:r>
      <w:r w:rsidRPr="000322A7">
        <w:rPr>
          <w:sz w:val="20"/>
        </w:rPr>
        <w:t xml:space="preserve"> Proportion </w:t>
      </w:r>
      <w:r w:rsidR="00080B5E" w:rsidRPr="000322A7">
        <w:rPr>
          <w:sz w:val="20"/>
        </w:rPr>
        <w:t xml:space="preserve">of </w:t>
      </w:r>
      <w:r w:rsidRPr="000322A7">
        <w:rPr>
          <w:sz w:val="20"/>
        </w:rPr>
        <w:t>Victorian adults (</w:t>
      </w:r>
      <w:r w:rsidR="00B91D6C" w:rsidRPr="000322A7">
        <w:rPr>
          <w:sz w:val="20"/>
        </w:rPr>
        <w:t xml:space="preserve">aged </w:t>
      </w:r>
      <w:r w:rsidRPr="000322A7">
        <w:rPr>
          <w:sz w:val="20"/>
        </w:rPr>
        <w:t>18 y</w:t>
      </w:r>
      <w:r w:rsidR="00E9274F" w:rsidRPr="000322A7">
        <w:rPr>
          <w:sz w:val="20"/>
        </w:rPr>
        <w:t>ea</w:t>
      </w:r>
      <w:r w:rsidRPr="000322A7">
        <w:rPr>
          <w:sz w:val="20"/>
        </w:rPr>
        <w:t xml:space="preserve">rs </w:t>
      </w:r>
      <w:r w:rsidR="001B50BF" w:rsidRPr="000322A7">
        <w:rPr>
          <w:sz w:val="20"/>
        </w:rPr>
        <w:t xml:space="preserve">or </w:t>
      </w:r>
      <w:r w:rsidRPr="000322A7">
        <w:rPr>
          <w:sz w:val="20"/>
        </w:rPr>
        <w:t>older) who smoke daily</w:t>
      </w:r>
      <w:r w:rsidR="0034099C" w:rsidRPr="000322A7">
        <w:rPr>
          <w:sz w:val="20"/>
        </w:rPr>
        <w:t>,</w:t>
      </w:r>
      <w:r w:rsidR="00B027FC" w:rsidRPr="000322A7">
        <w:rPr>
          <w:sz w:val="20"/>
        </w:rPr>
        <w:t xml:space="preserve"> by year</w:t>
      </w:r>
      <w:r w:rsidRPr="000322A7">
        <w:rPr>
          <w:sz w:val="20"/>
        </w:rPr>
        <w:t>, 201</w:t>
      </w:r>
      <w:r w:rsidR="00CF36B3" w:rsidRPr="000322A7">
        <w:rPr>
          <w:sz w:val="20"/>
        </w:rPr>
        <w:t>5</w:t>
      </w:r>
      <w:r w:rsidR="008D2095" w:rsidRPr="000322A7">
        <w:rPr>
          <w:sz w:val="20"/>
        </w:rPr>
        <w:t>–</w:t>
      </w:r>
      <w:r w:rsidRPr="000322A7">
        <w:rPr>
          <w:sz w:val="20"/>
        </w:rPr>
        <w:t>20</w:t>
      </w:r>
      <w:r w:rsidR="004F27AF" w:rsidRPr="000322A7">
        <w:rPr>
          <w:sz w:val="20"/>
        </w:rPr>
        <w:t>20</w:t>
      </w:r>
      <w:bookmarkEnd w:id="376"/>
      <w:bookmarkEnd w:id="377"/>
      <w:bookmarkEnd w:id="378"/>
      <w:r w:rsidR="00087E9C">
        <w:rPr>
          <w:sz w:val="20"/>
        </w:rPr>
        <w:t xml:space="preserve"> </w:t>
      </w:r>
    </w:p>
    <w:tbl>
      <w:tblPr>
        <w:tblpPr w:leftFromText="180" w:rightFromText="180" w:vertAnchor="text" w:horzAnchor="margin" w:tblpY="145"/>
        <w:tblW w:w="10077" w:type="dxa"/>
        <w:tblBorders>
          <w:bottom w:val="single" w:sz="4" w:space="0" w:color="C00000"/>
          <w:insideH w:val="single" w:sz="4" w:space="0" w:color="C00000"/>
        </w:tblBorders>
        <w:shd w:val="clear" w:color="auto" w:fill="EDCDCF"/>
        <w:tblLook w:val="04A0" w:firstRow="1" w:lastRow="0" w:firstColumn="1" w:lastColumn="0" w:noHBand="0" w:noVBand="1"/>
      </w:tblPr>
      <w:tblGrid>
        <w:gridCol w:w="1300"/>
        <w:gridCol w:w="1302"/>
        <w:gridCol w:w="1271"/>
        <w:gridCol w:w="1202"/>
        <w:gridCol w:w="1204"/>
        <w:gridCol w:w="1204"/>
        <w:gridCol w:w="1297"/>
        <w:gridCol w:w="1297"/>
      </w:tblGrid>
      <w:tr w:rsidR="00D37F38" w:rsidRPr="0051094C" w14:paraId="2B145F15" w14:textId="2AF6D3FF" w:rsidTr="00D37F38">
        <w:trPr>
          <w:trHeight w:val="238"/>
        </w:trPr>
        <w:tc>
          <w:tcPr>
            <w:tcW w:w="1300" w:type="dxa"/>
            <w:shd w:val="clear" w:color="auto" w:fill="EDCDCF"/>
            <w:vAlign w:val="center"/>
          </w:tcPr>
          <w:p w14:paraId="7E3B7F3B" w14:textId="77777777" w:rsidR="00D37F38" w:rsidRPr="007744CA" w:rsidRDefault="00D37F38" w:rsidP="00817E7D">
            <w:pPr>
              <w:pStyle w:val="Tablecolhead"/>
              <w:rPr>
                <w:sz w:val="18"/>
                <w:szCs w:val="18"/>
              </w:rPr>
            </w:pPr>
            <w:r w:rsidRPr="007744CA">
              <w:rPr>
                <w:sz w:val="18"/>
                <w:szCs w:val="18"/>
              </w:rPr>
              <w:t>Year</w:t>
            </w:r>
          </w:p>
        </w:tc>
        <w:tc>
          <w:tcPr>
            <w:tcW w:w="1302" w:type="dxa"/>
            <w:shd w:val="clear" w:color="auto" w:fill="EDCDCF"/>
            <w:vAlign w:val="center"/>
          </w:tcPr>
          <w:p w14:paraId="0E0E6768" w14:textId="77777777" w:rsidR="00D37F38" w:rsidRPr="007744CA" w:rsidRDefault="00D37F38" w:rsidP="00817E7D">
            <w:pPr>
              <w:pStyle w:val="Tablecolhead"/>
              <w:rPr>
                <w:sz w:val="18"/>
                <w:szCs w:val="18"/>
              </w:rPr>
            </w:pPr>
            <w:r w:rsidRPr="007744CA">
              <w:rPr>
                <w:sz w:val="18"/>
                <w:szCs w:val="18"/>
              </w:rPr>
              <w:t>2015</w:t>
            </w:r>
          </w:p>
        </w:tc>
        <w:tc>
          <w:tcPr>
            <w:tcW w:w="1271" w:type="dxa"/>
            <w:shd w:val="clear" w:color="auto" w:fill="EDCDCF"/>
            <w:vAlign w:val="center"/>
          </w:tcPr>
          <w:p w14:paraId="59A1B11C" w14:textId="77777777" w:rsidR="00D37F38" w:rsidRPr="007744CA" w:rsidRDefault="00D37F38" w:rsidP="00817E7D">
            <w:pPr>
              <w:pStyle w:val="Tablecolhead"/>
              <w:rPr>
                <w:sz w:val="18"/>
                <w:szCs w:val="18"/>
              </w:rPr>
            </w:pPr>
            <w:r w:rsidRPr="007744CA">
              <w:rPr>
                <w:sz w:val="18"/>
                <w:szCs w:val="18"/>
              </w:rPr>
              <w:t>2016</w:t>
            </w:r>
          </w:p>
        </w:tc>
        <w:tc>
          <w:tcPr>
            <w:tcW w:w="1202" w:type="dxa"/>
            <w:shd w:val="clear" w:color="auto" w:fill="EDCDCF"/>
          </w:tcPr>
          <w:p w14:paraId="033FF73D" w14:textId="479FBF7B" w:rsidR="00D37F38" w:rsidRPr="007744CA" w:rsidRDefault="00D37F38" w:rsidP="00817E7D">
            <w:pPr>
              <w:pStyle w:val="Tablecolhead"/>
              <w:rPr>
                <w:sz w:val="18"/>
                <w:szCs w:val="18"/>
              </w:rPr>
            </w:pPr>
            <w:r w:rsidRPr="007744CA">
              <w:rPr>
                <w:sz w:val="18"/>
                <w:szCs w:val="18"/>
              </w:rPr>
              <w:t>2017</w:t>
            </w:r>
          </w:p>
        </w:tc>
        <w:tc>
          <w:tcPr>
            <w:tcW w:w="1204" w:type="dxa"/>
            <w:shd w:val="clear" w:color="auto" w:fill="EDCDCF"/>
          </w:tcPr>
          <w:p w14:paraId="3ED005BE" w14:textId="3CE49C96" w:rsidR="00D37F38" w:rsidRPr="007744CA" w:rsidRDefault="00D37F38" w:rsidP="00817E7D">
            <w:pPr>
              <w:pStyle w:val="Tablecolhead"/>
              <w:rPr>
                <w:sz w:val="18"/>
                <w:szCs w:val="18"/>
              </w:rPr>
            </w:pPr>
            <w:r w:rsidRPr="007744CA">
              <w:rPr>
                <w:sz w:val="18"/>
                <w:szCs w:val="18"/>
              </w:rPr>
              <w:t>2018</w:t>
            </w:r>
          </w:p>
        </w:tc>
        <w:tc>
          <w:tcPr>
            <w:tcW w:w="1204" w:type="dxa"/>
            <w:shd w:val="clear" w:color="auto" w:fill="EDCDCF"/>
          </w:tcPr>
          <w:p w14:paraId="0477ADA9" w14:textId="387FA6D9" w:rsidR="00D37F38" w:rsidRPr="007744CA" w:rsidRDefault="00D37F38" w:rsidP="00817E7D">
            <w:pPr>
              <w:pStyle w:val="Tablecolhead"/>
              <w:rPr>
                <w:sz w:val="18"/>
                <w:szCs w:val="18"/>
              </w:rPr>
            </w:pPr>
            <w:r w:rsidRPr="007744CA">
              <w:rPr>
                <w:sz w:val="18"/>
                <w:szCs w:val="18"/>
              </w:rPr>
              <w:t>2019</w:t>
            </w:r>
          </w:p>
        </w:tc>
        <w:tc>
          <w:tcPr>
            <w:tcW w:w="1297" w:type="dxa"/>
            <w:shd w:val="clear" w:color="auto" w:fill="EDCDCF"/>
          </w:tcPr>
          <w:p w14:paraId="4BEBE69C" w14:textId="5F5CE238" w:rsidR="00D37F38" w:rsidRPr="007744CA" w:rsidRDefault="00D37F38" w:rsidP="00817E7D">
            <w:pPr>
              <w:pStyle w:val="Tablecolhead"/>
              <w:rPr>
                <w:sz w:val="18"/>
                <w:szCs w:val="18"/>
              </w:rPr>
            </w:pPr>
            <w:r w:rsidRPr="007744CA">
              <w:rPr>
                <w:sz w:val="18"/>
                <w:szCs w:val="18"/>
              </w:rPr>
              <w:t>2020</w:t>
            </w:r>
          </w:p>
        </w:tc>
        <w:tc>
          <w:tcPr>
            <w:tcW w:w="1297" w:type="dxa"/>
            <w:shd w:val="clear" w:color="auto" w:fill="EDCDCF"/>
          </w:tcPr>
          <w:p w14:paraId="5A2FA8A3" w14:textId="46B0AE77" w:rsidR="00D37F38" w:rsidRPr="007744CA" w:rsidRDefault="00D37F38" w:rsidP="00817E7D">
            <w:pPr>
              <w:pStyle w:val="Tablecolhead"/>
              <w:rPr>
                <w:sz w:val="18"/>
                <w:szCs w:val="18"/>
              </w:rPr>
            </w:pPr>
            <w:r>
              <w:rPr>
                <w:sz w:val="18"/>
                <w:szCs w:val="18"/>
              </w:rPr>
              <w:t>2022</w:t>
            </w:r>
          </w:p>
        </w:tc>
      </w:tr>
      <w:tr w:rsidR="00D37F38" w:rsidRPr="000517B8" w14:paraId="23A766FA" w14:textId="71656E99" w:rsidTr="00D37F38">
        <w:trPr>
          <w:trHeight w:val="238"/>
        </w:trPr>
        <w:tc>
          <w:tcPr>
            <w:tcW w:w="1300" w:type="dxa"/>
            <w:shd w:val="clear" w:color="auto" w:fill="auto"/>
            <w:vAlign w:val="center"/>
          </w:tcPr>
          <w:p w14:paraId="47906F49" w14:textId="77777777" w:rsidR="00D37F38" w:rsidRPr="007744CA" w:rsidRDefault="00D37F38" w:rsidP="00D37F38">
            <w:pPr>
              <w:pStyle w:val="Tabletext"/>
              <w:rPr>
                <w:sz w:val="18"/>
                <w:szCs w:val="18"/>
              </w:rPr>
            </w:pPr>
            <w:r w:rsidRPr="007744CA">
              <w:rPr>
                <w:sz w:val="18"/>
                <w:szCs w:val="18"/>
              </w:rPr>
              <w:t>Per cent (%)</w:t>
            </w:r>
          </w:p>
        </w:tc>
        <w:tc>
          <w:tcPr>
            <w:tcW w:w="1302" w:type="dxa"/>
            <w:shd w:val="clear" w:color="auto" w:fill="auto"/>
            <w:vAlign w:val="center"/>
          </w:tcPr>
          <w:p w14:paraId="7D41F61F" w14:textId="77777777" w:rsidR="00D37F38" w:rsidRPr="007744CA" w:rsidRDefault="00D37F38" w:rsidP="00D37F38">
            <w:pPr>
              <w:pStyle w:val="Tabletext"/>
              <w:rPr>
                <w:sz w:val="18"/>
                <w:szCs w:val="18"/>
              </w:rPr>
            </w:pPr>
            <w:r w:rsidRPr="007744CA">
              <w:rPr>
                <w:sz w:val="18"/>
                <w:szCs w:val="18"/>
              </w:rPr>
              <w:t>13.3</w:t>
            </w:r>
          </w:p>
        </w:tc>
        <w:tc>
          <w:tcPr>
            <w:tcW w:w="1271" w:type="dxa"/>
            <w:shd w:val="clear" w:color="auto" w:fill="auto"/>
            <w:vAlign w:val="center"/>
          </w:tcPr>
          <w:p w14:paraId="668BFE4B" w14:textId="77777777" w:rsidR="00D37F38" w:rsidRPr="007744CA" w:rsidRDefault="00D37F38" w:rsidP="00D37F38">
            <w:pPr>
              <w:pStyle w:val="Tabletext"/>
              <w:rPr>
                <w:sz w:val="18"/>
                <w:szCs w:val="18"/>
              </w:rPr>
            </w:pPr>
            <w:r w:rsidRPr="007744CA">
              <w:rPr>
                <w:sz w:val="18"/>
                <w:szCs w:val="18"/>
              </w:rPr>
              <w:t>12.3</w:t>
            </w:r>
          </w:p>
        </w:tc>
        <w:tc>
          <w:tcPr>
            <w:tcW w:w="1202" w:type="dxa"/>
          </w:tcPr>
          <w:p w14:paraId="3D0E65DC" w14:textId="4DD0A9B7" w:rsidR="00D37F38" w:rsidRPr="007744CA" w:rsidRDefault="00D37F38" w:rsidP="00D37F38">
            <w:pPr>
              <w:pStyle w:val="Tabletext"/>
              <w:rPr>
                <w:sz w:val="18"/>
                <w:szCs w:val="18"/>
              </w:rPr>
            </w:pPr>
            <w:r w:rsidRPr="007744CA">
              <w:rPr>
                <w:sz w:val="18"/>
                <w:szCs w:val="18"/>
              </w:rPr>
              <w:t>12.4</w:t>
            </w:r>
          </w:p>
        </w:tc>
        <w:tc>
          <w:tcPr>
            <w:tcW w:w="1204" w:type="dxa"/>
          </w:tcPr>
          <w:p w14:paraId="3AC66DF1" w14:textId="1147B538" w:rsidR="00D37F38" w:rsidRPr="007744CA" w:rsidRDefault="00D37F38" w:rsidP="00D37F38">
            <w:pPr>
              <w:pStyle w:val="Tabletext"/>
              <w:rPr>
                <w:sz w:val="18"/>
                <w:szCs w:val="18"/>
              </w:rPr>
            </w:pPr>
            <w:r w:rsidRPr="007744CA">
              <w:rPr>
                <w:sz w:val="18"/>
                <w:szCs w:val="18"/>
              </w:rPr>
              <w:t>12.6</w:t>
            </w:r>
          </w:p>
        </w:tc>
        <w:tc>
          <w:tcPr>
            <w:tcW w:w="1204" w:type="dxa"/>
          </w:tcPr>
          <w:p w14:paraId="0AF4524F" w14:textId="2ADD3B93" w:rsidR="00D37F38" w:rsidRPr="007744CA" w:rsidRDefault="00D37F38" w:rsidP="00D37F38">
            <w:pPr>
              <w:pStyle w:val="Tabletext"/>
              <w:rPr>
                <w:sz w:val="18"/>
                <w:szCs w:val="18"/>
              </w:rPr>
            </w:pPr>
            <w:r w:rsidRPr="007744CA">
              <w:rPr>
                <w:sz w:val="18"/>
                <w:szCs w:val="18"/>
              </w:rPr>
              <w:t>12.4</w:t>
            </w:r>
          </w:p>
        </w:tc>
        <w:tc>
          <w:tcPr>
            <w:tcW w:w="1297" w:type="dxa"/>
          </w:tcPr>
          <w:p w14:paraId="37135974" w14:textId="74A88732" w:rsidR="00D37F38" w:rsidRPr="007744CA" w:rsidRDefault="00D37F38" w:rsidP="00D37F38">
            <w:pPr>
              <w:pStyle w:val="Tabletext"/>
              <w:rPr>
                <w:sz w:val="18"/>
                <w:szCs w:val="18"/>
              </w:rPr>
            </w:pPr>
            <w:r w:rsidRPr="007744CA">
              <w:rPr>
                <w:sz w:val="18"/>
                <w:szCs w:val="18"/>
              </w:rPr>
              <w:t>12.</w:t>
            </w:r>
            <w:r>
              <w:rPr>
                <w:sz w:val="18"/>
                <w:szCs w:val="18"/>
              </w:rPr>
              <w:t>0</w:t>
            </w:r>
          </w:p>
        </w:tc>
        <w:tc>
          <w:tcPr>
            <w:tcW w:w="1297" w:type="dxa"/>
          </w:tcPr>
          <w:p w14:paraId="5B50C74F" w14:textId="6A781025" w:rsidR="00D37F38" w:rsidRPr="007744CA" w:rsidRDefault="00D37F38" w:rsidP="00D37F38">
            <w:pPr>
              <w:pStyle w:val="Tabletext"/>
              <w:rPr>
                <w:sz w:val="18"/>
                <w:szCs w:val="18"/>
              </w:rPr>
            </w:pPr>
            <w:r>
              <w:rPr>
                <w:sz w:val="18"/>
                <w:szCs w:val="18"/>
              </w:rPr>
              <w:t>10.1</w:t>
            </w:r>
          </w:p>
        </w:tc>
      </w:tr>
      <w:tr w:rsidR="00D37F38" w:rsidRPr="000517B8" w14:paraId="27663C85" w14:textId="44FB18E9" w:rsidTr="00D37F38">
        <w:trPr>
          <w:trHeight w:val="163"/>
        </w:trPr>
        <w:tc>
          <w:tcPr>
            <w:tcW w:w="1300" w:type="dxa"/>
            <w:shd w:val="clear" w:color="auto" w:fill="auto"/>
            <w:vAlign w:val="center"/>
          </w:tcPr>
          <w:p w14:paraId="68265597" w14:textId="77777777" w:rsidR="00D37F38" w:rsidRPr="007744CA" w:rsidRDefault="00D37F38" w:rsidP="00D37F38">
            <w:pPr>
              <w:pStyle w:val="Tabletext"/>
              <w:rPr>
                <w:sz w:val="18"/>
                <w:szCs w:val="18"/>
              </w:rPr>
            </w:pPr>
            <w:r w:rsidRPr="007744CA">
              <w:rPr>
                <w:sz w:val="18"/>
                <w:szCs w:val="18"/>
              </w:rPr>
              <w:t>95% CI</w:t>
            </w:r>
          </w:p>
        </w:tc>
        <w:tc>
          <w:tcPr>
            <w:tcW w:w="1302" w:type="dxa"/>
            <w:shd w:val="clear" w:color="auto" w:fill="auto"/>
            <w:vAlign w:val="center"/>
          </w:tcPr>
          <w:p w14:paraId="7DEE13C7" w14:textId="5216F694" w:rsidR="00D37F38" w:rsidRPr="007744CA" w:rsidRDefault="00D37F38" w:rsidP="00D37F38">
            <w:pPr>
              <w:pStyle w:val="Tabletext"/>
              <w:rPr>
                <w:sz w:val="18"/>
                <w:szCs w:val="18"/>
              </w:rPr>
            </w:pPr>
            <w:r w:rsidRPr="007744CA">
              <w:rPr>
                <w:sz w:val="18"/>
                <w:szCs w:val="18"/>
              </w:rPr>
              <w:t>(12.2–14.4)</w:t>
            </w:r>
          </w:p>
        </w:tc>
        <w:tc>
          <w:tcPr>
            <w:tcW w:w="1271" w:type="dxa"/>
            <w:shd w:val="clear" w:color="auto" w:fill="auto"/>
            <w:vAlign w:val="center"/>
          </w:tcPr>
          <w:p w14:paraId="3179C423" w14:textId="55FE7ABC" w:rsidR="00D37F38" w:rsidRPr="007744CA" w:rsidRDefault="00D37F38" w:rsidP="00D37F38">
            <w:pPr>
              <w:pStyle w:val="Tabletext"/>
              <w:rPr>
                <w:sz w:val="18"/>
                <w:szCs w:val="18"/>
              </w:rPr>
            </w:pPr>
            <w:r w:rsidRPr="007744CA">
              <w:rPr>
                <w:sz w:val="18"/>
                <w:szCs w:val="18"/>
              </w:rPr>
              <w:t>(11.3–13.4)</w:t>
            </w:r>
          </w:p>
        </w:tc>
        <w:tc>
          <w:tcPr>
            <w:tcW w:w="1202" w:type="dxa"/>
          </w:tcPr>
          <w:p w14:paraId="31B0BBAA" w14:textId="24FEC4DD" w:rsidR="00D37F38" w:rsidRPr="007744CA" w:rsidRDefault="00D37F38" w:rsidP="00D37F38">
            <w:pPr>
              <w:pStyle w:val="Tabletext"/>
              <w:rPr>
                <w:sz w:val="18"/>
                <w:szCs w:val="18"/>
              </w:rPr>
            </w:pPr>
            <w:r w:rsidRPr="007744CA">
              <w:rPr>
                <w:sz w:val="18"/>
                <w:szCs w:val="18"/>
              </w:rPr>
              <w:t>(11.8–13.1)</w:t>
            </w:r>
          </w:p>
        </w:tc>
        <w:tc>
          <w:tcPr>
            <w:tcW w:w="1204" w:type="dxa"/>
          </w:tcPr>
          <w:p w14:paraId="369DABF8" w14:textId="7D7C8793" w:rsidR="00D37F38" w:rsidRPr="007744CA" w:rsidRDefault="00D37F38" w:rsidP="00D37F38">
            <w:pPr>
              <w:pStyle w:val="Tabletext"/>
              <w:rPr>
                <w:sz w:val="18"/>
                <w:szCs w:val="18"/>
              </w:rPr>
            </w:pPr>
            <w:r w:rsidRPr="007744CA">
              <w:rPr>
                <w:sz w:val="18"/>
                <w:szCs w:val="18"/>
              </w:rPr>
              <w:t>(11.4</w:t>
            </w:r>
            <w:r>
              <w:rPr>
                <w:sz w:val="18"/>
                <w:szCs w:val="18"/>
              </w:rPr>
              <w:t>–</w:t>
            </w:r>
            <w:r w:rsidRPr="007744CA">
              <w:rPr>
                <w:sz w:val="18"/>
                <w:szCs w:val="18"/>
              </w:rPr>
              <w:t>13.8)</w:t>
            </w:r>
          </w:p>
        </w:tc>
        <w:tc>
          <w:tcPr>
            <w:tcW w:w="1204" w:type="dxa"/>
          </w:tcPr>
          <w:p w14:paraId="427E7580" w14:textId="29106880" w:rsidR="00D37F38" w:rsidRPr="007744CA" w:rsidRDefault="00D37F38" w:rsidP="00D37F38">
            <w:pPr>
              <w:pStyle w:val="Tabletext"/>
              <w:rPr>
                <w:sz w:val="18"/>
                <w:szCs w:val="18"/>
              </w:rPr>
            </w:pPr>
            <w:r w:rsidRPr="007744CA">
              <w:rPr>
                <w:sz w:val="18"/>
                <w:szCs w:val="18"/>
              </w:rPr>
              <w:t>(11.8</w:t>
            </w:r>
            <w:r>
              <w:rPr>
                <w:sz w:val="18"/>
                <w:szCs w:val="18"/>
              </w:rPr>
              <w:t>–</w:t>
            </w:r>
            <w:r w:rsidRPr="007744CA">
              <w:rPr>
                <w:sz w:val="18"/>
                <w:szCs w:val="18"/>
              </w:rPr>
              <w:t>13.1)</w:t>
            </w:r>
          </w:p>
        </w:tc>
        <w:tc>
          <w:tcPr>
            <w:tcW w:w="1297" w:type="dxa"/>
          </w:tcPr>
          <w:p w14:paraId="5CDEE0FF" w14:textId="26AC28A2" w:rsidR="00D37F38" w:rsidRPr="007744CA" w:rsidRDefault="00D37F38" w:rsidP="00D37F38">
            <w:pPr>
              <w:pStyle w:val="Tabletext"/>
              <w:rPr>
                <w:sz w:val="18"/>
                <w:szCs w:val="18"/>
              </w:rPr>
            </w:pPr>
            <w:r w:rsidRPr="007744CA">
              <w:rPr>
                <w:sz w:val="18"/>
                <w:szCs w:val="18"/>
              </w:rPr>
              <w:t>(11.4</w:t>
            </w:r>
            <w:r>
              <w:rPr>
                <w:sz w:val="18"/>
                <w:szCs w:val="18"/>
              </w:rPr>
              <w:t>–</w:t>
            </w:r>
            <w:r w:rsidRPr="007744CA">
              <w:rPr>
                <w:sz w:val="18"/>
                <w:szCs w:val="18"/>
              </w:rPr>
              <w:t>12.</w:t>
            </w:r>
            <w:r>
              <w:rPr>
                <w:sz w:val="18"/>
                <w:szCs w:val="18"/>
              </w:rPr>
              <w:t>7</w:t>
            </w:r>
            <w:r w:rsidRPr="007744CA">
              <w:rPr>
                <w:sz w:val="18"/>
                <w:szCs w:val="18"/>
              </w:rPr>
              <w:t>)</w:t>
            </w:r>
          </w:p>
        </w:tc>
        <w:tc>
          <w:tcPr>
            <w:tcW w:w="1297" w:type="dxa"/>
          </w:tcPr>
          <w:p w14:paraId="6FF77C1B" w14:textId="1B1048FD" w:rsidR="00D37F38" w:rsidRPr="007744CA" w:rsidRDefault="00D37F38" w:rsidP="00D37F38">
            <w:pPr>
              <w:pStyle w:val="Tabletext"/>
              <w:rPr>
                <w:sz w:val="18"/>
                <w:szCs w:val="18"/>
              </w:rPr>
            </w:pPr>
            <w:r w:rsidRPr="007744CA">
              <w:rPr>
                <w:sz w:val="18"/>
                <w:szCs w:val="18"/>
              </w:rPr>
              <w:t>(</w:t>
            </w:r>
            <w:r>
              <w:rPr>
                <w:sz w:val="18"/>
                <w:szCs w:val="18"/>
              </w:rPr>
              <w:t>9</w:t>
            </w:r>
            <w:r w:rsidRPr="007744CA">
              <w:rPr>
                <w:sz w:val="18"/>
                <w:szCs w:val="18"/>
              </w:rPr>
              <w:t>.</w:t>
            </w:r>
            <w:r>
              <w:rPr>
                <w:sz w:val="18"/>
                <w:szCs w:val="18"/>
              </w:rPr>
              <w:t>2–</w:t>
            </w:r>
            <w:r w:rsidRPr="007744CA">
              <w:rPr>
                <w:sz w:val="18"/>
                <w:szCs w:val="18"/>
              </w:rPr>
              <w:t>1</w:t>
            </w:r>
            <w:r>
              <w:rPr>
                <w:sz w:val="18"/>
                <w:szCs w:val="18"/>
              </w:rPr>
              <w:t>1</w:t>
            </w:r>
            <w:r w:rsidRPr="007744CA">
              <w:rPr>
                <w:sz w:val="18"/>
                <w:szCs w:val="18"/>
              </w:rPr>
              <w:t>.</w:t>
            </w:r>
            <w:r>
              <w:rPr>
                <w:sz w:val="18"/>
                <w:szCs w:val="18"/>
              </w:rPr>
              <w:t>0</w:t>
            </w:r>
            <w:r w:rsidRPr="007744CA">
              <w:rPr>
                <w:sz w:val="18"/>
                <w:szCs w:val="18"/>
              </w:rPr>
              <w:t>)</w:t>
            </w:r>
          </w:p>
        </w:tc>
      </w:tr>
    </w:tbl>
    <w:p w14:paraId="3ACF3A0E" w14:textId="19B9576A" w:rsidR="005F2BBD" w:rsidRPr="000322A7" w:rsidRDefault="00263552" w:rsidP="00FA1AAC">
      <w:pPr>
        <w:pStyle w:val="Tablefigurenote"/>
        <w:rPr>
          <w:i/>
          <w:iCs/>
          <w:sz w:val="18"/>
          <w:szCs w:val="18"/>
        </w:rPr>
      </w:pPr>
      <w:bookmarkStart w:id="379" w:name="_Hlk1049519"/>
      <w:bookmarkEnd w:id="363"/>
      <w:r w:rsidRPr="000322A7">
        <w:rPr>
          <w:i/>
          <w:iCs/>
          <w:sz w:val="18"/>
          <w:szCs w:val="18"/>
        </w:rPr>
        <w:t>Source</w:t>
      </w:r>
      <w:r w:rsidR="005F2BBD" w:rsidRPr="000322A7">
        <w:rPr>
          <w:i/>
          <w:iCs/>
          <w:sz w:val="18"/>
          <w:szCs w:val="18"/>
        </w:rPr>
        <w:t>s</w:t>
      </w:r>
      <w:r w:rsidRPr="000322A7">
        <w:rPr>
          <w:i/>
          <w:iCs/>
          <w:sz w:val="18"/>
          <w:szCs w:val="18"/>
        </w:rPr>
        <w:t>: Victorian Population</w:t>
      </w:r>
      <w:r w:rsidR="00E95305" w:rsidRPr="000322A7">
        <w:rPr>
          <w:i/>
          <w:iCs/>
          <w:sz w:val="18"/>
          <w:szCs w:val="18"/>
        </w:rPr>
        <w:t xml:space="preserve"> Health</w:t>
      </w:r>
      <w:r w:rsidRPr="000322A7">
        <w:rPr>
          <w:i/>
          <w:iCs/>
          <w:sz w:val="18"/>
          <w:szCs w:val="18"/>
        </w:rPr>
        <w:t xml:space="preserve"> Surveys 201</w:t>
      </w:r>
      <w:r w:rsidR="00CF36B3" w:rsidRPr="000322A7">
        <w:rPr>
          <w:i/>
          <w:iCs/>
          <w:sz w:val="18"/>
          <w:szCs w:val="18"/>
        </w:rPr>
        <w:t>5</w:t>
      </w:r>
      <w:r w:rsidR="00690CD3" w:rsidRPr="000322A7">
        <w:rPr>
          <w:i/>
          <w:iCs/>
          <w:sz w:val="18"/>
          <w:szCs w:val="18"/>
        </w:rPr>
        <w:t>–</w:t>
      </w:r>
      <w:r w:rsidRPr="000322A7">
        <w:rPr>
          <w:i/>
          <w:iCs/>
          <w:sz w:val="18"/>
          <w:szCs w:val="18"/>
        </w:rPr>
        <w:t>20</w:t>
      </w:r>
      <w:r w:rsidR="004F27AF" w:rsidRPr="000322A7">
        <w:rPr>
          <w:i/>
          <w:iCs/>
          <w:sz w:val="18"/>
          <w:szCs w:val="18"/>
        </w:rPr>
        <w:t>20</w:t>
      </w:r>
      <w:r w:rsidR="00862F38">
        <w:rPr>
          <w:i/>
          <w:iCs/>
          <w:sz w:val="18"/>
          <w:szCs w:val="18"/>
        </w:rPr>
        <w:t xml:space="preserve"> </w:t>
      </w:r>
      <w:r w:rsidR="00D37F38">
        <w:rPr>
          <w:i/>
          <w:iCs/>
          <w:sz w:val="18"/>
          <w:szCs w:val="18"/>
        </w:rPr>
        <w:t>and 2022</w:t>
      </w:r>
    </w:p>
    <w:p w14:paraId="3414C046" w14:textId="5802855E" w:rsidR="00263552" w:rsidRPr="000322A7" w:rsidRDefault="00A76B95" w:rsidP="00FA1AAC">
      <w:pPr>
        <w:pStyle w:val="Tablefigurenote"/>
        <w:rPr>
          <w:rFonts w:cs="Arial"/>
          <w:i/>
          <w:iCs/>
          <w:sz w:val="18"/>
          <w:szCs w:val="18"/>
        </w:rPr>
      </w:pPr>
      <w:r w:rsidRPr="000322A7">
        <w:rPr>
          <w:i/>
          <w:iCs/>
          <w:sz w:val="18"/>
          <w:szCs w:val="18"/>
        </w:rPr>
        <w:lastRenderedPageBreak/>
        <w:t>Note</w:t>
      </w:r>
      <w:r w:rsidR="009F566F" w:rsidRPr="000322A7">
        <w:rPr>
          <w:i/>
          <w:iCs/>
          <w:sz w:val="18"/>
          <w:szCs w:val="18"/>
        </w:rPr>
        <w:t xml:space="preserve"> that</w:t>
      </w:r>
      <w:r w:rsidRPr="000322A7">
        <w:rPr>
          <w:i/>
          <w:iCs/>
          <w:sz w:val="18"/>
          <w:szCs w:val="18"/>
        </w:rPr>
        <w:t xml:space="preserve"> </w:t>
      </w:r>
      <w:r w:rsidRPr="000322A7">
        <w:rPr>
          <w:rFonts w:cs="Arial"/>
          <w:i/>
          <w:iCs/>
          <w:sz w:val="18"/>
          <w:szCs w:val="18"/>
        </w:rPr>
        <w:t>the Victorian Population Health Survey was cancelled in 2021</w:t>
      </w:r>
      <w:r w:rsidR="00361E3A" w:rsidRPr="000322A7">
        <w:rPr>
          <w:i/>
          <w:iCs/>
          <w:sz w:val="18"/>
          <w:szCs w:val="18"/>
        </w:rPr>
        <w:t xml:space="preserve"> due to the COVID-19 pandemic</w:t>
      </w:r>
      <w:r w:rsidRPr="000322A7">
        <w:rPr>
          <w:rFonts w:cs="Arial"/>
          <w:i/>
          <w:iCs/>
          <w:sz w:val="18"/>
          <w:szCs w:val="18"/>
        </w:rPr>
        <w:t>.</w:t>
      </w:r>
    </w:p>
    <w:bookmarkEnd w:id="379"/>
    <w:p w14:paraId="5BDC25C5" w14:textId="3B05ABEE" w:rsidR="00AE1D6E" w:rsidRDefault="00745C68" w:rsidP="00AE1D6E">
      <w:pPr>
        <w:pStyle w:val="Heading4"/>
      </w:pPr>
      <w:r>
        <w:t>Measure assessment</w:t>
      </w:r>
    </w:p>
    <w:p w14:paraId="0052E996" w14:textId="77777777" w:rsidR="00D37F38" w:rsidRPr="00E060C8" w:rsidRDefault="00D37F38" w:rsidP="00D37F38">
      <w:pPr>
        <w:pStyle w:val="Body"/>
        <w:rPr>
          <w:color w:val="00B050"/>
        </w:rPr>
      </w:pPr>
      <w:r w:rsidRPr="009F01B1">
        <w:t xml:space="preserve">Traffic light rating: </w:t>
      </w:r>
      <w:r w:rsidRPr="00D207B2">
        <w:rPr>
          <w:b/>
          <w:color w:val="007B4B"/>
        </w:rPr>
        <w:t>Green</w:t>
      </w:r>
      <w:r>
        <w:rPr>
          <w:b/>
        </w:rPr>
        <w:t xml:space="preserve"> </w:t>
      </w:r>
      <w:r w:rsidRPr="00061321">
        <w:t>(satisfactory result)</w:t>
      </w:r>
    </w:p>
    <w:p w14:paraId="07D7C69C" w14:textId="77777777" w:rsidR="00D37F38" w:rsidRPr="003E5FD3" w:rsidRDefault="00D37F38" w:rsidP="00D37F38">
      <w:pPr>
        <w:pStyle w:val="Body"/>
      </w:pPr>
      <w:r w:rsidRPr="00C15AE4">
        <w:t xml:space="preserve">Overall trend: </w:t>
      </w:r>
      <w:r>
        <w:t>Moving in the right direction</w:t>
      </w:r>
    </w:p>
    <w:p w14:paraId="294BC3B8" w14:textId="46E911EA" w:rsidR="007A19C6" w:rsidRPr="003C145C" w:rsidRDefault="00745C68" w:rsidP="00E87AAA">
      <w:pPr>
        <w:pStyle w:val="Body"/>
      </w:pPr>
      <w:r w:rsidRPr="003C145C">
        <w:t>Commentary:</w:t>
      </w:r>
      <w:r w:rsidR="00312683" w:rsidRPr="003C145C">
        <w:t xml:space="preserve"> </w:t>
      </w:r>
      <w:r w:rsidR="007A19C6" w:rsidRPr="003C145C">
        <w:rPr>
          <w:lang w:val="en"/>
        </w:rPr>
        <w:t xml:space="preserve">Tobacco smoking </w:t>
      </w:r>
      <w:r w:rsidR="00B810E8">
        <w:rPr>
          <w:lang w:val="en"/>
        </w:rPr>
        <w:t>is</w:t>
      </w:r>
      <w:r w:rsidR="007A19C6" w:rsidRPr="003C145C">
        <w:rPr>
          <w:lang w:val="en"/>
        </w:rPr>
        <w:t xml:space="preserve"> the single largest cause of cancer globally and the predominant cause of lung cancer.</w:t>
      </w:r>
      <w:r w:rsidR="007A19C6" w:rsidRPr="003C145C">
        <w:rPr>
          <w:rStyle w:val="FootnoteReference"/>
          <w:rFonts w:cs="Arial"/>
          <w:lang w:val="en"/>
        </w:rPr>
        <w:footnoteReference w:id="66"/>
      </w:r>
      <w:r w:rsidR="007A19C6" w:rsidRPr="003C145C">
        <w:rPr>
          <w:lang w:val="en"/>
        </w:rPr>
        <w:t xml:space="preserve"> The risk of developing lung cancer due to tobacco smoking increase</w:t>
      </w:r>
      <w:r w:rsidR="00B810E8">
        <w:rPr>
          <w:lang w:val="en"/>
        </w:rPr>
        <w:t>s</w:t>
      </w:r>
      <w:r w:rsidR="007A19C6" w:rsidRPr="003C145C">
        <w:rPr>
          <w:lang w:val="en"/>
        </w:rPr>
        <w:t xml:space="preserve"> with the duration of smoking and the number of cigarettes smoked per day.</w:t>
      </w:r>
      <w:r w:rsidR="007A19C6" w:rsidRPr="003C145C">
        <w:rPr>
          <w:rStyle w:val="FootnoteReference"/>
          <w:rFonts w:cs="Arial"/>
          <w:lang w:val="en"/>
        </w:rPr>
        <w:footnoteReference w:id="67"/>
      </w:r>
    </w:p>
    <w:p w14:paraId="44B173C5" w14:textId="4C5AA678" w:rsidR="005C3613" w:rsidRDefault="00D16F12" w:rsidP="00E87AAA">
      <w:pPr>
        <w:pStyle w:val="Body"/>
      </w:pPr>
      <w:r>
        <w:t>Figure 6.1 show</w:t>
      </w:r>
      <w:r w:rsidR="00F070FE">
        <w:t>s</w:t>
      </w:r>
      <w:r>
        <w:t xml:space="preserve"> that in 201</w:t>
      </w:r>
      <w:r w:rsidR="00B6700F">
        <w:t>9</w:t>
      </w:r>
      <w:r w:rsidR="008E264C">
        <w:t xml:space="preserve"> </w:t>
      </w:r>
      <w:r>
        <w:t>Australia</w:t>
      </w:r>
      <w:r w:rsidR="00F070FE">
        <w:t xml:space="preserve"> had the </w:t>
      </w:r>
      <w:r w:rsidR="00B810E8">
        <w:t>12</w:t>
      </w:r>
      <w:r w:rsidR="00B6700F">
        <w:t>th</w:t>
      </w:r>
      <w:r w:rsidR="00F070FE">
        <w:t xml:space="preserve"> lowest proportion of daily smokers </w:t>
      </w:r>
      <w:r w:rsidR="008E264C">
        <w:t xml:space="preserve">in the OECD </w:t>
      </w:r>
      <w:r w:rsidR="00F070FE">
        <w:t xml:space="preserve">among people aged 15 </w:t>
      </w:r>
      <w:r w:rsidR="008D2095">
        <w:t>or older</w:t>
      </w:r>
      <w:r w:rsidR="00F070FE">
        <w:t xml:space="preserve"> (1</w:t>
      </w:r>
      <w:r w:rsidR="00B6700F">
        <w:t>1.2</w:t>
      </w:r>
      <w:r w:rsidR="0054537F">
        <w:t>%</w:t>
      </w:r>
      <w:r w:rsidR="00F070FE">
        <w:t xml:space="preserve">), with </w:t>
      </w:r>
      <w:r w:rsidR="006F1E37">
        <w:t>Indonesia</w:t>
      </w:r>
      <w:r w:rsidR="00F070FE">
        <w:t xml:space="preserve"> ranking highest at 3</w:t>
      </w:r>
      <w:r w:rsidR="00DA4A62">
        <w:t>2</w:t>
      </w:r>
      <w:r w:rsidR="00F070FE">
        <w:t>.</w:t>
      </w:r>
      <w:r w:rsidR="00DA4A62">
        <w:t>6</w:t>
      </w:r>
      <w:r w:rsidR="0054537F">
        <w:t>%</w:t>
      </w:r>
      <w:r w:rsidR="008E264C">
        <w:t>.</w:t>
      </w:r>
      <w:r w:rsidR="00846895">
        <w:t xml:space="preserve"> </w:t>
      </w:r>
      <w:r w:rsidR="00A87D07">
        <w:t xml:space="preserve">It is important to note that </w:t>
      </w:r>
      <w:r w:rsidR="00485CEC">
        <w:t xml:space="preserve">while the </w:t>
      </w:r>
      <w:r w:rsidR="00A87D07">
        <w:t xml:space="preserve">data </w:t>
      </w:r>
      <w:r w:rsidR="00485CEC">
        <w:t xml:space="preserve">shown in Figure 6.1 </w:t>
      </w:r>
      <w:r w:rsidR="0034099C">
        <w:t xml:space="preserve">is </w:t>
      </w:r>
      <w:r w:rsidR="00485CEC">
        <w:t>intended to provide a general global overview</w:t>
      </w:r>
      <w:r w:rsidR="00680DD3">
        <w:t>,</w:t>
      </w:r>
      <w:r w:rsidR="00485CEC">
        <w:t xml:space="preserve"> it is </w:t>
      </w:r>
      <w:r w:rsidR="00A87D07">
        <w:t xml:space="preserve">not directly comparable </w:t>
      </w:r>
      <w:r w:rsidR="0034099C">
        <w:t xml:space="preserve">because </w:t>
      </w:r>
      <w:r w:rsidR="00A87D07">
        <w:t xml:space="preserve">adult </w:t>
      </w:r>
      <w:r w:rsidR="00846895">
        <w:t xml:space="preserve">daily smokers are defined as the population aged 15 years </w:t>
      </w:r>
      <w:r w:rsidR="001B50BF">
        <w:t>or older</w:t>
      </w:r>
      <w:r w:rsidR="00A87D07">
        <w:t xml:space="preserve">. </w:t>
      </w:r>
      <w:r w:rsidR="00CF484A">
        <w:t>The data presented for Australian adults shows that</w:t>
      </w:r>
      <w:r w:rsidR="0004174A">
        <w:t xml:space="preserve"> while there has been a decrease over the past two decades from 2</w:t>
      </w:r>
      <w:r w:rsidR="0028622F">
        <w:t>2</w:t>
      </w:r>
      <w:r w:rsidR="0004174A">
        <w:t>.</w:t>
      </w:r>
      <w:r w:rsidR="0028622F">
        <w:t>4</w:t>
      </w:r>
      <w:r w:rsidR="0054537F">
        <w:t>%</w:t>
      </w:r>
      <w:r w:rsidR="0028622F">
        <w:t xml:space="preserve"> in 2001 to 14.5</w:t>
      </w:r>
      <w:r w:rsidR="0054537F">
        <w:t>%</w:t>
      </w:r>
      <w:r w:rsidR="0028622F">
        <w:t xml:space="preserve"> in 2014</w:t>
      </w:r>
      <w:r w:rsidR="00246747">
        <w:t>–</w:t>
      </w:r>
      <w:r w:rsidR="0028622F">
        <w:t>15</w:t>
      </w:r>
      <w:r w:rsidR="009A1EAA">
        <w:t xml:space="preserve"> (equated to approximately 2.6 million adults)</w:t>
      </w:r>
      <w:r w:rsidR="0028622F">
        <w:t>, the daily smoking rate has remained relatively similar (</w:t>
      </w:r>
      <w:r w:rsidR="009A1EAA">
        <w:t>13.8</w:t>
      </w:r>
      <w:r w:rsidR="0054537F">
        <w:t>%</w:t>
      </w:r>
      <w:r w:rsidR="009A1EAA">
        <w:t xml:space="preserve"> in 2017</w:t>
      </w:r>
      <w:r w:rsidR="00C53A46">
        <w:t>–</w:t>
      </w:r>
      <w:r w:rsidR="009A1EAA">
        <w:t>18)</w:t>
      </w:r>
      <w:r w:rsidR="0028622F">
        <w:t xml:space="preserve"> over recent years</w:t>
      </w:r>
      <w:r w:rsidR="009A1EAA">
        <w:t xml:space="preserve"> (Figure 6.1.1)</w:t>
      </w:r>
      <w:r w:rsidR="005E3FED">
        <w:t>.</w:t>
      </w:r>
    </w:p>
    <w:p w14:paraId="2E8B51AE" w14:textId="2C600AD4" w:rsidR="00C9473B" w:rsidRPr="00396223" w:rsidRDefault="006900F0" w:rsidP="00396223">
      <w:pPr>
        <w:pStyle w:val="Body"/>
      </w:pPr>
      <w:r w:rsidRPr="006900F0">
        <w:rPr>
          <w:rStyle w:val="DHHSbodyChar"/>
        </w:rPr>
        <w:t>The Northern Territory had the highest rate of daily smokers (21.9</w:t>
      </w:r>
      <w:r w:rsidR="0054537F">
        <w:rPr>
          <w:rStyle w:val="DHHSbodyChar"/>
        </w:rPr>
        <w:t>%</w:t>
      </w:r>
      <w:r w:rsidRPr="006900F0">
        <w:rPr>
          <w:rStyle w:val="DHHSbodyChar"/>
        </w:rPr>
        <w:t xml:space="preserve">) in 2014–15 and </w:t>
      </w:r>
      <w:r w:rsidR="00B810E8">
        <w:rPr>
          <w:rStyle w:val="DHHSbodyChar"/>
        </w:rPr>
        <w:br/>
      </w:r>
      <w:r w:rsidRPr="006900F0">
        <w:rPr>
          <w:rStyle w:val="DHHSbodyChar"/>
        </w:rPr>
        <w:t>2017–18 (19.6</w:t>
      </w:r>
      <w:r w:rsidR="0054537F">
        <w:rPr>
          <w:rStyle w:val="DHHSbodyChar"/>
        </w:rPr>
        <w:t>%</w:t>
      </w:r>
      <w:r w:rsidRPr="006900F0">
        <w:rPr>
          <w:rStyle w:val="DHHSbodyChar"/>
        </w:rPr>
        <w:t>), followed by Tasmania (17.9</w:t>
      </w:r>
      <w:r w:rsidR="0054537F">
        <w:rPr>
          <w:rStyle w:val="DHHSbodyChar"/>
        </w:rPr>
        <w:t>%</w:t>
      </w:r>
      <w:r w:rsidRPr="006900F0">
        <w:rPr>
          <w:rStyle w:val="DHHSbodyChar"/>
        </w:rPr>
        <w:t>, 2014–15 and 16.4</w:t>
      </w:r>
      <w:r w:rsidR="0054537F">
        <w:rPr>
          <w:rStyle w:val="DHHSbodyChar"/>
        </w:rPr>
        <w:t>%</w:t>
      </w:r>
      <w:r w:rsidRPr="006900F0">
        <w:rPr>
          <w:rStyle w:val="DHHSbodyChar"/>
        </w:rPr>
        <w:t xml:space="preserve">, </w:t>
      </w:r>
      <w:r w:rsidR="00B810E8">
        <w:rPr>
          <w:rStyle w:val="DHHSbodyChar"/>
        </w:rPr>
        <w:br/>
      </w:r>
      <w:r w:rsidRPr="006900F0">
        <w:rPr>
          <w:rStyle w:val="DHHSbodyChar"/>
        </w:rPr>
        <w:t>2017–18). The Australian Capital Territory had the lowest rate of daily smokers in 2014–15 (12.4</w:t>
      </w:r>
      <w:r w:rsidR="0054537F">
        <w:rPr>
          <w:rStyle w:val="DHHSbodyChar"/>
        </w:rPr>
        <w:t>%</w:t>
      </w:r>
      <w:r w:rsidRPr="006900F0">
        <w:rPr>
          <w:rStyle w:val="DHHSbodyChar"/>
        </w:rPr>
        <w:t>) and 2017</w:t>
      </w:r>
      <w:r w:rsidR="00242AE0">
        <w:rPr>
          <w:rStyle w:val="DHHSbodyChar"/>
        </w:rPr>
        <w:t>–</w:t>
      </w:r>
      <w:r w:rsidRPr="006900F0">
        <w:rPr>
          <w:rStyle w:val="DHHSbodyChar"/>
        </w:rPr>
        <w:t>18 (10.6</w:t>
      </w:r>
      <w:r w:rsidR="0054537F">
        <w:rPr>
          <w:rStyle w:val="DHHSbodyChar"/>
        </w:rPr>
        <w:t>%</w:t>
      </w:r>
      <w:r w:rsidRPr="006900F0">
        <w:rPr>
          <w:rStyle w:val="DHHSbodyChar"/>
        </w:rPr>
        <w:t>)</w:t>
      </w:r>
      <w:r w:rsidR="00B810E8">
        <w:rPr>
          <w:rStyle w:val="DHHSbodyChar"/>
        </w:rPr>
        <w:t>.</w:t>
      </w:r>
      <w:r w:rsidRPr="006900F0">
        <w:rPr>
          <w:rStyle w:val="DHHSbodyChar"/>
        </w:rPr>
        <w:t xml:space="preserve"> Figure 6.1.2 and Table 6.1 show that despite the proportion of Victorian adults who smoke daily decreasing from 13.3</w:t>
      </w:r>
      <w:r w:rsidR="0054537F">
        <w:rPr>
          <w:rStyle w:val="DHHSbodyChar"/>
        </w:rPr>
        <w:t>%</w:t>
      </w:r>
      <w:r w:rsidRPr="006900F0">
        <w:rPr>
          <w:rStyle w:val="DHHSbodyChar"/>
        </w:rPr>
        <w:t xml:space="preserve"> in 2015 to 1</w:t>
      </w:r>
      <w:r w:rsidR="00D37F38">
        <w:rPr>
          <w:rStyle w:val="DHHSbodyChar"/>
        </w:rPr>
        <w:t>0</w:t>
      </w:r>
      <w:r w:rsidR="00320089">
        <w:rPr>
          <w:rStyle w:val="DHHSbodyChar"/>
        </w:rPr>
        <w:t>.</w:t>
      </w:r>
      <w:r w:rsidR="00D37F38">
        <w:rPr>
          <w:rStyle w:val="DHHSbodyChar"/>
        </w:rPr>
        <w:t>1</w:t>
      </w:r>
      <w:r w:rsidR="0054537F">
        <w:rPr>
          <w:rStyle w:val="DHHSbodyChar"/>
        </w:rPr>
        <w:t>%</w:t>
      </w:r>
      <w:r w:rsidRPr="006900F0">
        <w:rPr>
          <w:rStyle w:val="DHHSbodyChar"/>
        </w:rPr>
        <w:t xml:space="preserve"> in 202</w:t>
      </w:r>
      <w:r w:rsidR="00D37F38">
        <w:rPr>
          <w:rStyle w:val="DHHSbodyChar"/>
        </w:rPr>
        <w:t>2</w:t>
      </w:r>
      <w:r w:rsidRPr="006900F0">
        <w:rPr>
          <w:rStyle w:val="DHHSbodyChar"/>
        </w:rPr>
        <w:t xml:space="preserve">, </w:t>
      </w:r>
      <w:r w:rsidR="00DE6B5B" w:rsidRPr="006900F0">
        <w:rPr>
          <w:rStyle w:val="DHHSbodyChar"/>
        </w:rPr>
        <w:t>overall,</w:t>
      </w:r>
      <w:r w:rsidRPr="006900F0">
        <w:rPr>
          <w:rStyle w:val="DHHSbodyChar"/>
        </w:rPr>
        <w:t xml:space="preserve"> the proportion remains relatively the same. </w:t>
      </w:r>
      <w:r w:rsidR="00B84C3E" w:rsidRPr="006900F0">
        <w:rPr>
          <w:rStyle w:val="DHHSbodyChar"/>
        </w:rPr>
        <w:t>Nevertheless,</w:t>
      </w:r>
      <w:r w:rsidRPr="006900F0">
        <w:rPr>
          <w:rStyle w:val="DHHSbodyChar"/>
        </w:rPr>
        <w:t xml:space="preserve"> any reductions </w:t>
      </w:r>
      <w:r w:rsidR="00B810E8" w:rsidRPr="006900F0">
        <w:rPr>
          <w:rStyle w:val="DHHSbodyChar"/>
        </w:rPr>
        <w:t>show</w:t>
      </w:r>
      <w:r w:rsidRPr="006900F0">
        <w:rPr>
          <w:rStyle w:val="DHHSbodyChar"/>
        </w:rPr>
        <w:t xml:space="preserve"> that Victoria’s tobacco laws are </w:t>
      </w:r>
      <w:r w:rsidR="00B810E8">
        <w:rPr>
          <w:rStyle w:val="DHHSbodyChar"/>
        </w:rPr>
        <w:t>helping to</w:t>
      </w:r>
      <w:r w:rsidRPr="006900F0">
        <w:rPr>
          <w:rStyle w:val="DHHSbodyChar"/>
        </w:rPr>
        <w:t xml:space="preserve"> decreas</w:t>
      </w:r>
      <w:r w:rsidR="00B810E8">
        <w:rPr>
          <w:rStyle w:val="DHHSbodyChar"/>
        </w:rPr>
        <w:t>e</w:t>
      </w:r>
      <w:r w:rsidRPr="006900F0">
        <w:rPr>
          <w:rStyle w:val="DHHSbodyChar"/>
        </w:rPr>
        <w:t xml:space="preserve"> the rate of tobacco smoking. </w:t>
      </w:r>
      <w:bookmarkStart w:id="380" w:name="_Hlk136858409"/>
      <w:r w:rsidRPr="006900F0">
        <w:rPr>
          <w:rStyle w:val="DHHSbodyChar"/>
        </w:rPr>
        <w:t xml:space="preserve">More work is still needed to </w:t>
      </w:r>
      <w:r w:rsidR="00B810E8">
        <w:rPr>
          <w:rStyle w:val="DHHSbodyChar"/>
        </w:rPr>
        <w:t>help</w:t>
      </w:r>
      <w:r w:rsidR="00B810E8" w:rsidRPr="006900F0">
        <w:rPr>
          <w:rStyle w:val="DHHSbodyChar"/>
        </w:rPr>
        <w:t xml:space="preserve"> </w:t>
      </w:r>
      <w:r w:rsidRPr="006900F0">
        <w:rPr>
          <w:rStyle w:val="DHHSbodyChar"/>
        </w:rPr>
        <w:t xml:space="preserve">people </w:t>
      </w:r>
      <w:r w:rsidR="00B810E8">
        <w:rPr>
          <w:rStyle w:val="DHHSbodyChar"/>
        </w:rPr>
        <w:t xml:space="preserve">quit </w:t>
      </w:r>
      <w:r w:rsidRPr="006900F0">
        <w:rPr>
          <w:rStyle w:val="DHHSbodyChar"/>
        </w:rPr>
        <w:t>smoking</w:t>
      </w:r>
      <w:r w:rsidR="005A06E9">
        <w:rPr>
          <w:rStyle w:val="DHHSbodyChar"/>
        </w:rPr>
        <w:t xml:space="preserve"> </w:t>
      </w:r>
      <w:r w:rsidR="00DE6B5B">
        <w:rPr>
          <w:rStyle w:val="DHHSbodyChar"/>
        </w:rPr>
        <w:t xml:space="preserve">including the use of </w:t>
      </w:r>
      <w:r w:rsidR="005A06E9">
        <w:rPr>
          <w:rStyle w:val="DHHSbodyChar"/>
        </w:rPr>
        <w:t xml:space="preserve">alternatives </w:t>
      </w:r>
      <w:r w:rsidR="005B56A1">
        <w:rPr>
          <w:rStyle w:val="DHHSbodyChar"/>
        </w:rPr>
        <w:t xml:space="preserve">to tobacco smoking </w:t>
      </w:r>
      <w:r w:rsidR="005A06E9">
        <w:rPr>
          <w:rStyle w:val="DHHSbodyChar"/>
        </w:rPr>
        <w:t>such as e-cigarettes and vaping</w:t>
      </w:r>
      <w:r w:rsidR="005B56A1">
        <w:rPr>
          <w:rStyle w:val="DHHSbodyChar"/>
        </w:rPr>
        <w:t>.</w:t>
      </w:r>
      <w:r w:rsidR="005B56A1">
        <w:rPr>
          <w:rStyle w:val="FootnoteReference"/>
        </w:rPr>
        <w:footnoteReference w:id="68"/>
      </w:r>
      <w:bookmarkEnd w:id="380"/>
      <w:r w:rsidR="00DD0EF2">
        <w:rPr>
          <w:rStyle w:val="DHHSbodyChar"/>
        </w:rPr>
        <w:t xml:space="preserve"> This is consistent with priority areas outlined in the </w:t>
      </w:r>
      <w:r w:rsidR="00DD0EF2" w:rsidRPr="76BE792E">
        <w:rPr>
          <w:rStyle w:val="DHHSbodyChar"/>
          <w:i/>
          <w:iCs/>
        </w:rPr>
        <w:t>National Tobacco Strategy</w:t>
      </w:r>
      <w:r w:rsidR="00DD0EF2">
        <w:rPr>
          <w:rStyle w:val="DHHSbodyChar"/>
        </w:rPr>
        <w:t xml:space="preserve"> 2023-2030.</w:t>
      </w:r>
      <w:r w:rsidR="00DD0EF2">
        <w:rPr>
          <w:rStyle w:val="FootnoteReference"/>
        </w:rPr>
        <w:footnoteReference w:id="69"/>
      </w:r>
      <w:r w:rsidR="00D10B5A">
        <w:rPr>
          <w:lang w:eastAsia="en-AU"/>
        </w:rPr>
        <w:br w:type="page"/>
      </w:r>
      <w:bookmarkStart w:id="381" w:name="_Toc19008057"/>
      <w:r w:rsidR="00C9473B" w:rsidRPr="76BE792E">
        <w:rPr>
          <w:rStyle w:val="Heading3Char"/>
          <w:b/>
        </w:rPr>
        <w:lastRenderedPageBreak/>
        <w:t>Measure 6.2 – Proportion of adolescents 12</w:t>
      </w:r>
      <w:r w:rsidR="00690CD3" w:rsidRPr="76BE792E">
        <w:rPr>
          <w:rStyle w:val="Heading3Char"/>
          <w:b/>
        </w:rPr>
        <w:t>–1</w:t>
      </w:r>
      <w:r w:rsidR="00C9473B" w:rsidRPr="76BE792E">
        <w:rPr>
          <w:rStyle w:val="Heading3Char"/>
          <w:b/>
        </w:rPr>
        <w:t>7 years who currently smoke</w:t>
      </w:r>
      <w:bookmarkEnd w:id="381"/>
    </w:p>
    <w:p w14:paraId="6C5A38F7" w14:textId="02714345" w:rsidR="005F7D18" w:rsidRPr="000322A7" w:rsidRDefault="005F7D18" w:rsidP="00F61268">
      <w:pPr>
        <w:pStyle w:val="Tablecaption"/>
        <w:rPr>
          <w:sz w:val="20"/>
        </w:rPr>
      </w:pPr>
      <w:bookmarkStart w:id="382" w:name="_Toc18908728"/>
      <w:bookmarkStart w:id="383" w:name="_Toc132491525"/>
      <w:bookmarkStart w:id="384" w:name="_Toc140834916"/>
      <w:bookmarkStart w:id="385" w:name="_Hlk120549620"/>
      <w:r w:rsidRPr="000322A7">
        <w:rPr>
          <w:sz w:val="20"/>
        </w:rPr>
        <w:t>Table 6.</w:t>
      </w:r>
      <w:r w:rsidR="008B0CE6" w:rsidRPr="000322A7">
        <w:rPr>
          <w:sz w:val="20"/>
        </w:rPr>
        <w:t>2</w:t>
      </w:r>
      <w:r w:rsidR="001F7E28" w:rsidRPr="000322A7">
        <w:rPr>
          <w:sz w:val="20"/>
        </w:rPr>
        <w:t>:</w:t>
      </w:r>
      <w:r w:rsidR="005C501B" w:rsidRPr="000322A7">
        <w:rPr>
          <w:sz w:val="20"/>
        </w:rPr>
        <w:t xml:space="preserve"> </w:t>
      </w:r>
      <w:r w:rsidRPr="000322A7">
        <w:rPr>
          <w:sz w:val="20"/>
        </w:rPr>
        <w:t>Proportion of</w:t>
      </w:r>
      <w:r w:rsidR="00B428D5" w:rsidRPr="000322A7">
        <w:rPr>
          <w:sz w:val="20"/>
        </w:rPr>
        <w:t xml:space="preserve"> Austr</w:t>
      </w:r>
      <w:r w:rsidR="00A61A59" w:rsidRPr="000322A7">
        <w:rPr>
          <w:sz w:val="20"/>
        </w:rPr>
        <w:t>a</w:t>
      </w:r>
      <w:r w:rsidR="00B428D5" w:rsidRPr="000322A7">
        <w:rPr>
          <w:sz w:val="20"/>
        </w:rPr>
        <w:t>lian</w:t>
      </w:r>
      <w:r w:rsidRPr="000322A7">
        <w:rPr>
          <w:sz w:val="20"/>
        </w:rPr>
        <w:t xml:space="preserve"> adolescents</w:t>
      </w:r>
      <w:r w:rsidR="00193C20" w:rsidRPr="000322A7">
        <w:rPr>
          <w:sz w:val="20"/>
        </w:rPr>
        <w:t xml:space="preserve"> </w:t>
      </w:r>
      <w:r w:rsidR="00557193" w:rsidRPr="000322A7">
        <w:rPr>
          <w:sz w:val="20"/>
        </w:rPr>
        <w:t xml:space="preserve">aged </w:t>
      </w:r>
      <w:r w:rsidRPr="000322A7">
        <w:rPr>
          <w:sz w:val="20"/>
        </w:rPr>
        <w:t>12</w:t>
      </w:r>
      <w:r w:rsidR="008D2095" w:rsidRPr="000322A7">
        <w:rPr>
          <w:sz w:val="20"/>
        </w:rPr>
        <w:t>–</w:t>
      </w:r>
      <w:r w:rsidRPr="000322A7">
        <w:rPr>
          <w:sz w:val="20"/>
        </w:rPr>
        <w:t>17 years</w:t>
      </w:r>
      <w:r w:rsidR="00193C20" w:rsidRPr="000322A7">
        <w:rPr>
          <w:sz w:val="20"/>
        </w:rPr>
        <w:t xml:space="preserve"> (boys and girls)</w:t>
      </w:r>
      <w:r w:rsidRPr="000322A7">
        <w:rPr>
          <w:sz w:val="20"/>
        </w:rPr>
        <w:t xml:space="preserve"> who currently smoke</w:t>
      </w:r>
      <w:r w:rsidR="005976F8" w:rsidRPr="000322A7">
        <w:rPr>
          <w:sz w:val="20"/>
        </w:rPr>
        <w:t>,</w:t>
      </w:r>
      <w:r w:rsidRPr="000322A7">
        <w:rPr>
          <w:sz w:val="20"/>
        </w:rPr>
        <w:t xml:space="preserve"> by age and sex,</w:t>
      </w:r>
      <w:r w:rsidR="008B0CE6" w:rsidRPr="000322A7">
        <w:rPr>
          <w:sz w:val="20"/>
        </w:rPr>
        <w:t xml:space="preserve"> </w:t>
      </w:r>
      <w:r w:rsidRPr="000322A7">
        <w:rPr>
          <w:sz w:val="20"/>
        </w:rPr>
        <w:t>2014</w:t>
      </w:r>
      <w:bookmarkEnd w:id="382"/>
      <w:r w:rsidR="00ED709B" w:rsidRPr="000322A7">
        <w:rPr>
          <w:sz w:val="20"/>
        </w:rPr>
        <w:t xml:space="preserve"> and 2017</w:t>
      </w:r>
      <w:bookmarkEnd w:id="383"/>
      <w:bookmarkEnd w:id="384"/>
    </w:p>
    <w:tbl>
      <w:tblPr>
        <w:tblW w:w="5368" w:type="pct"/>
        <w:tblLook w:val="04A0" w:firstRow="1" w:lastRow="0" w:firstColumn="1" w:lastColumn="0" w:noHBand="0" w:noVBand="1"/>
      </w:tblPr>
      <w:tblGrid>
        <w:gridCol w:w="1223"/>
        <w:gridCol w:w="628"/>
        <w:gridCol w:w="628"/>
        <w:gridCol w:w="628"/>
        <w:gridCol w:w="628"/>
        <w:gridCol w:w="628"/>
        <w:gridCol w:w="627"/>
        <w:gridCol w:w="627"/>
        <w:gridCol w:w="627"/>
        <w:gridCol w:w="627"/>
        <w:gridCol w:w="627"/>
        <w:gridCol w:w="627"/>
        <w:gridCol w:w="627"/>
        <w:gridCol w:w="627"/>
        <w:gridCol w:w="627"/>
      </w:tblGrid>
      <w:tr w:rsidR="009D5F24" w:rsidRPr="007744CA" w14:paraId="48EC2CC0" w14:textId="77777777" w:rsidTr="76BE792E">
        <w:trPr>
          <w:trHeight w:val="188"/>
          <w:tblHeader/>
        </w:trPr>
        <w:tc>
          <w:tcPr>
            <w:tcW w:w="1223" w:type="dxa"/>
            <w:tcBorders>
              <w:top w:val="single" w:sz="4" w:space="0" w:color="C00000"/>
              <w:left w:val="nil"/>
              <w:bottom w:val="single" w:sz="8" w:space="0" w:color="C00000"/>
              <w:right w:val="nil"/>
            </w:tcBorders>
            <w:shd w:val="clear" w:color="auto" w:fill="EDCDCF"/>
            <w:vAlign w:val="center"/>
            <w:hideMark/>
          </w:tcPr>
          <w:p w14:paraId="2FE7A9FC" w14:textId="2DFEE9EE" w:rsidR="009D5F24" w:rsidRPr="009D5F24" w:rsidRDefault="009D5F24" w:rsidP="009D5F24">
            <w:pPr>
              <w:pStyle w:val="Tablecolhead"/>
              <w:rPr>
                <w:sz w:val="14"/>
                <w:szCs w:val="14"/>
              </w:rPr>
            </w:pPr>
            <w:r w:rsidRPr="009D5F24">
              <w:rPr>
                <w:sz w:val="14"/>
                <w:szCs w:val="14"/>
              </w:rPr>
              <w:t>Current smokers (Australia)</w:t>
            </w:r>
            <w:r w:rsidRPr="76BE792E">
              <w:rPr>
                <w:rStyle w:val="FootnoteReference"/>
                <w:rFonts w:cs="Arial"/>
                <w:sz w:val="14"/>
                <w:szCs w:val="14"/>
              </w:rPr>
              <w:footnoteReference w:id="70"/>
            </w:r>
          </w:p>
        </w:tc>
        <w:tc>
          <w:tcPr>
            <w:tcW w:w="628" w:type="dxa"/>
            <w:tcBorders>
              <w:top w:val="single" w:sz="4" w:space="0" w:color="C00000"/>
              <w:left w:val="nil"/>
              <w:bottom w:val="single" w:sz="8" w:space="0" w:color="C00000"/>
              <w:right w:val="nil"/>
            </w:tcBorders>
            <w:shd w:val="clear" w:color="auto" w:fill="EDCDCF"/>
            <w:vAlign w:val="center"/>
            <w:hideMark/>
          </w:tcPr>
          <w:p w14:paraId="0D7CFAB9" w14:textId="77777777" w:rsidR="009D5F24" w:rsidRPr="009D5F24" w:rsidRDefault="009D5F24" w:rsidP="009D5F24">
            <w:pPr>
              <w:pStyle w:val="Tablecolhead"/>
              <w:rPr>
                <w:sz w:val="14"/>
                <w:szCs w:val="14"/>
              </w:rPr>
            </w:pPr>
            <w:r w:rsidRPr="009D5F24">
              <w:rPr>
                <w:sz w:val="14"/>
                <w:szCs w:val="14"/>
              </w:rPr>
              <w:t>2014</w:t>
            </w:r>
          </w:p>
          <w:p w14:paraId="6570E670" w14:textId="7F9DA202" w:rsidR="009D5F24" w:rsidRPr="009D5F24" w:rsidRDefault="009D5F24" w:rsidP="009D5F24">
            <w:pPr>
              <w:pStyle w:val="Tablecolhead"/>
              <w:rPr>
                <w:sz w:val="14"/>
                <w:szCs w:val="14"/>
              </w:rPr>
            </w:pPr>
            <w:r w:rsidRPr="009D5F24">
              <w:rPr>
                <w:sz w:val="14"/>
                <w:szCs w:val="14"/>
              </w:rPr>
              <w:t>12 yrs</w:t>
            </w:r>
          </w:p>
        </w:tc>
        <w:tc>
          <w:tcPr>
            <w:tcW w:w="628" w:type="dxa"/>
            <w:tcBorders>
              <w:top w:val="single" w:sz="4" w:space="0" w:color="C00000"/>
              <w:left w:val="nil"/>
              <w:bottom w:val="single" w:sz="8" w:space="0" w:color="C00000"/>
              <w:right w:val="nil"/>
            </w:tcBorders>
            <w:shd w:val="clear" w:color="auto" w:fill="EDCDCF"/>
            <w:vAlign w:val="center"/>
            <w:hideMark/>
          </w:tcPr>
          <w:p w14:paraId="3702883F" w14:textId="77777777" w:rsidR="009D5F24" w:rsidRPr="009D5F24" w:rsidRDefault="009D5F24" w:rsidP="009D5F24">
            <w:pPr>
              <w:pStyle w:val="Tablecolhead"/>
              <w:rPr>
                <w:sz w:val="14"/>
                <w:szCs w:val="14"/>
              </w:rPr>
            </w:pPr>
            <w:r w:rsidRPr="009D5F24">
              <w:rPr>
                <w:sz w:val="14"/>
                <w:szCs w:val="14"/>
              </w:rPr>
              <w:t>2017</w:t>
            </w:r>
          </w:p>
          <w:p w14:paraId="374531E0" w14:textId="76FF969E" w:rsidR="009D5F24" w:rsidRPr="009D5F24" w:rsidRDefault="009D5F24" w:rsidP="009D5F24">
            <w:pPr>
              <w:pStyle w:val="Tablecolhead"/>
              <w:rPr>
                <w:sz w:val="14"/>
                <w:szCs w:val="14"/>
              </w:rPr>
            </w:pPr>
            <w:r w:rsidRPr="009D5F24">
              <w:rPr>
                <w:sz w:val="14"/>
                <w:szCs w:val="14"/>
              </w:rPr>
              <w:t>12 yrs</w:t>
            </w:r>
          </w:p>
        </w:tc>
        <w:tc>
          <w:tcPr>
            <w:tcW w:w="628" w:type="dxa"/>
            <w:tcBorders>
              <w:top w:val="single" w:sz="4" w:space="0" w:color="C00000"/>
              <w:left w:val="nil"/>
              <w:bottom w:val="single" w:sz="8" w:space="0" w:color="C00000"/>
              <w:right w:val="nil"/>
            </w:tcBorders>
            <w:shd w:val="clear" w:color="auto" w:fill="EDCDCF"/>
            <w:vAlign w:val="center"/>
            <w:hideMark/>
          </w:tcPr>
          <w:p w14:paraId="732BD0D0" w14:textId="77777777" w:rsidR="009D5F24" w:rsidRPr="009D5F24" w:rsidRDefault="009D5F24" w:rsidP="009D5F24">
            <w:pPr>
              <w:pStyle w:val="Tablecolhead"/>
              <w:rPr>
                <w:sz w:val="14"/>
                <w:szCs w:val="14"/>
              </w:rPr>
            </w:pPr>
            <w:r w:rsidRPr="009D5F24">
              <w:rPr>
                <w:sz w:val="14"/>
                <w:szCs w:val="14"/>
              </w:rPr>
              <w:t>2014</w:t>
            </w:r>
          </w:p>
          <w:p w14:paraId="74973A62" w14:textId="62976388" w:rsidR="009D5F24" w:rsidRPr="009D5F24" w:rsidRDefault="009D5F24" w:rsidP="009D5F24">
            <w:pPr>
              <w:pStyle w:val="Tablecolhead"/>
              <w:rPr>
                <w:sz w:val="14"/>
                <w:szCs w:val="14"/>
              </w:rPr>
            </w:pPr>
            <w:r w:rsidRPr="009D5F24">
              <w:rPr>
                <w:sz w:val="14"/>
                <w:szCs w:val="14"/>
              </w:rPr>
              <w:t>13 yrs</w:t>
            </w:r>
          </w:p>
        </w:tc>
        <w:tc>
          <w:tcPr>
            <w:tcW w:w="628" w:type="dxa"/>
            <w:tcBorders>
              <w:top w:val="single" w:sz="4" w:space="0" w:color="C00000"/>
              <w:left w:val="nil"/>
              <w:bottom w:val="single" w:sz="8" w:space="0" w:color="C00000"/>
              <w:right w:val="nil"/>
            </w:tcBorders>
            <w:shd w:val="clear" w:color="auto" w:fill="EDCDCF"/>
            <w:vAlign w:val="center"/>
            <w:hideMark/>
          </w:tcPr>
          <w:p w14:paraId="6B27CB6A" w14:textId="77777777" w:rsidR="009D5F24" w:rsidRPr="009D5F24" w:rsidRDefault="009D5F24" w:rsidP="009D5F24">
            <w:pPr>
              <w:pStyle w:val="Tablecolhead"/>
              <w:rPr>
                <w:sz w:val="14"/>
                <w:szCs w:val="14"/>
              </w:rPr>
            </w:pPr>
            <w:r w:rsidRPr="009D5F24">
              <w:rPr>
                <w:sz w:val="14"/>
                <w:szCs w:val="14"/>
              </w:rPr>
              <w:t>2017</w:t>
            </w:r>
          </w:p>
          <w:p w14:paraId="68A7C3E6" w14:textId="76D3E54D" w:rsidR="009D5F24" w:rsidRPr="009D5F24" w:rsidRDefault="009D5F24" w:rsidP="009D5F24">
            <w:pPr>
              <w:pStyle w:val="Tablecolhead"/>
              <w:rPr>
                <w:sz w:val="14"/>
                <w:szCs w:val="14"/>
              </w:rPr>
            </w:pPr>
            <w:r w:rsidRPr="009D5F24">
              <w:rPr>
                <w:sz w:val="14"/>
                <w:szCs w:val="14"/>
              </w:rPr>
              <w:t>13 yrs</w:t>
            </w:r>
          </w:p>
        </w:tc>
        <w:tc>
          <w:tcPr>
            <w:tcW w:w="628" w:type="dxa"/>
            <w:tcBorders>
              <w:top w:val="single" w:sz="4" w:space="0" w:color="C00000"/>
              <w:left w:val="nil"/>
              <w:bottom w:val="single" w:sz="8" w:space="0" w:color="C00000"/>
              <w:right w:val="nil"/>
            </w:tcBorders>
            <w:shd w:val="clear" w:color="auto" w:fill="EDCDCF"/>
            <w:vAlign w:val="center"/>
            <w:hideMark/>
          </w:tcPr>
          <w:p w14:paraId="4296A2A5" w14:textId="77777777" w:rsidR="009D5F24" w:rsidRPr="009D5F24" w:rsidRDefault="009D5F24" w:rsidP="009D5F24">
            <w:pPr>
              <w:pStyle w:val="Tablecolhead"/>
              <w:rPr>
                <w:sz w:val="14"/>
                <w:szCs w:val="14"/>
              </w:rPr>
            </w:pPr>
            <w:r w:rsidRPr="009D5F24">
              <w:rPr>
                <w:sz w:val="14"/>
                <w:szCs w:val="14"/>
              </w:rPr>
              <w:t>2014</w:t>
            </w:r>
          </w:p>
          <w:p w14:paraId="071349F7" w14:textId="2CBB4244" w:rsidR="009D5F24" w:rsidRPr="009D5F24" w:rsidRDefault="009D5F24" w:rsidP="009D5F24">
            <w:pPr>
              <w:pStyle w:val="Tablecolhead"/>
              <w:rPr>
                <w:sz w:val="14"/>
                <w:szCs w:val="14"/>
              </w:rPr>
            </w:pPr>
            <w:r w:rsidRPr="009D5F24">
              <w:rPr>
                <w:sz w:val="14"/>
                <w:szCs w:val="14"/>
              </w:rPr>
              <w:t>14 yrs</w:t>
            </w:r>
          </w:p>
        </w:tc>
        <w:tc>
          <w:tcPr>
            <w:tcW w:w="627" w:type="dxa"/>
            <w:tcBorders>
              <w:top w:val="single" w:sz="4" w:space="0" w:color="C00000"/>
              <w:left w:val="nil"/>
              <w:bottom w:val="single" w:sz="8" w:space="0" w:color="C00000"/>
              <w:right w:val="nil"/>
            </w:tcBorders>
            <w:shd w:val="clear" w:color="auto" w:fill="EDCDCF"/>
            <w:vAlign w:val="center"/>
            <w:hideMark/>
          </w:tcPr>
          <w:p w14:paraId="12D6126D" w14:textId="77777777" w:rsidR="009D5F24" w:rsidRPr="009D5F24" w:rsidRDefault="009D5F24" w:rsidP="009D5F24">
            <w:pPr>
              <w:pStyle w:val="Tablecolhead"/>
              <w:rPr>
                <w:sz w:val="14"/>
                <w:szCs w:val="14"/>
              </w:rPr>
            </w:pPr>
            <w:r w:rsidRPr="009D5F24">
              <w:rPr>
                <w:sz w:val="14"/>
                <w:szCs w:val="14"/>
              </w:rPr>
              <w:t>2017</w:t>
            </w:r>
          </w:p>
          <w:p w14:paraId="0A09426E" w14:textId="1FDB6AF9" w:rsidR="009D5F24" w:rsidRPr="009D5F24" w:rsidRDefault="009D5F24" w:rsidP="009D5F24">
            <w:pPr>
              <w:pStyle w:val="Tablecolhead"/>
              <w:rPr>
                <w:sz w:val="14"/>
                <w:szCs w:val="14"/>
              </w:rPr>
            </w:pPr>
            <w:r w:rsidRPr="009D5F24">
              <w:rPr>
                <w:sz w:val="14"/>
                <w:szCs w:val="14"/>
              </w:rPr>
              <w:t>14 yrs</w:t>
            </w:r>
          </w:p>
        </w:tc>
        <w:tc>
          <w:tcPr>
            <w:tcW w:w="627" w:type="dxa"/>
            <w:tcBorders>
              <w:top w:val="single" w:sz="4" w:space="0" w:color="C00000"/>
              <w:left w:val="nil"/>
              <w:bottom w:val="single" w:sz="8" w:space="0" w:color="C00000"/>
              <w:right w:val="nil"/>
            </w:tcBorders>
            <w:shd w:val="clear" w:color="auto" w:fill="EDCDCF"/>
            <w:vAlign w:val="center"/>
            <w:hideMark/>
          </w:tcPr>
          <w:p w14:paraId="5C598349" w14:textId="77777777" w:rsidR="009D5F24" w:rsidRPr="009D5F24" w:rsidRDefault="009D5F24" w:rsidP="009D5F24">
            <w:pPr>
              <w:pStyle w:val="Tablecolhead"/>
              <w:rPr>
                <w:sz w:val="14"/>
                <w:szCs w:val="14"/>
              </w:rPr>
            </w:pPr>
            <w:r w:rsidRPr="009D5F24">
              <w:rPr>
                <w:sz w:val="14"/>
                <w:szCs w:val="14"/>
              </w:rPr>
              <w:t>2014</w:t>
            </w:r>
          </w:p>
          <w:p w14:paraId="20462432" w14:textId="29AF4310" w:rsidR="009D5F24" w:rsidRPr="009D5F24" w:rsidRDefault="009D5F24" w:rsidP="009D5F24">
            <w:pPr>
              <w:pStyle w:val="Tablecolhead"/>
              <w:rPr>
                <w:sz w:val="14"/>
                <w:szCs w:val="14"/>
              </w:rPr>
            </w:pPr>
            <w:r w:rsidRPr="009D5F24">
              <w:rPr>
                <w:sz w:val="14"/>
                <w:szCs w:val="14"/>
              </w:rPr>
              <w:t>15 yrs</w:t>
            </w:r>
          </w:p>
        </w:tc>
        <w:tc>
          <w:tcPr>
            <w:tcW w:w="627" w:type="dxa"/>
            <w:tcBorders>
              <w:top w:val="single" w:sz="4" w:space="0" w:color="C00000"/>
              <w:left w:val="nil"/>
              <w:bottom w:val="single" w:sz="8" w:space="0" w:color="C00000"/>
              <w:right w:val="nil"/>
            </w:tcBorders>
            <w:shd w:val="clear" w:color="auto" w:fill="EDCDCF"/>
            <w:vAlign w:val="center"/>
            <w:hideMark/>
          </w:tcPr>
          <w:p w14:paraId="61433D4E" w14:textId="77777777" w:rsidR="009D5F24" w:rsidRPr="009D5F24" w:rsidRDefault="009D5F24" w:rsidP="009D5F24">
            <w:pPr>
              <w:pStyle w:val="Tablecolhead"/>
              <w:rPr>
                <w:sz w:val="14"/>
                <w:szCs w:val="14"/>
              </w:rPr>
            </w:pPr>
            <w:r w:rsidRPr="009D5F24">
              <w:rPr>
                <w:sz w:val="14"/>
                <w:szCs w:val="14"/>
              </w:rPr>
              <w:t>2017</w:t>
            </w:r>
          </w:p>
          <w:p w14:paraId="3DE7486A" w14:textId="015302F7" w:rsidR="009D5F24" w:rsidRPr="009D5F24" w:rsidRDefault="009D5F24" w:rsidP="009D5F24">
            <w:pPr>
              <w:pStyle w:val="Tablecolhead"/>
              <w:rPr>
                <w:sz w:val="14"/>
                <w:szCs w:val="14"/>
              </w:rPr>
            </w:pPr>
            <w:r w:rsidRPr="009D5F24">
              <w:rPr>
                <w:sz w:val="14"/>
                <w:szCs w:val="14"/>
              </w:rPr>
              <w:t>15 yrs</w:t>
            </w:r>
          </w:p>
        </w:tc>
        <w:tc>
          <w:tcPr>
            <w:tcW w:w="627" w:type="dxa"/>
            <w:tcBorders>
              <w:top w:val="single" w:sz="4" w:space="0" w:color="C00000"/>
              <w:left w:val="nil"/>
              <w:bottom w:val="single" w:sz="8" w:space="0" w:color="C00000"/>
              <w:right w:val="nil"/>
            </w:tcBorders>
            <w:shd w:val="clear" w:color="auto" w:fill="EDCDCF"/>
            <w:vAlign w:val="center"/>
            <w:hideMark/>
          </w:tcPr>
          <w:p w14:paraId="6DF502F1" w14:textId="77777777" w:rsidR="009D5F24" w:rsidRPr="009D5F24" w:rsidRDefault="009D5F24" w:rsidP="009D5F24">
            <w:pPr>
              <w:pStyle w:val="Tablecolhead"/>
              <w:rPr>
                <w:sz w:val="14"/>
                <w:szCs w:val="14"/>
              </w:rPr>
            </w:pPr>
            <w:r w:rsidRPr="009D5F24">
              <w:rPr>
                <w:sz w:val="14"/>
                <w:szCs w:val="14"/>
              </w:rPr>
              <w:t>2014</w:t>
            </w:r>
          </w:p>
          <w:p w14:paraId="6CD1D176" w14:textId="7F9B5D66" w:rsidR="009D5F24" w:rsidRPr="009D5F24" w:rsidRDefault="009D5F24" w:rsidP="009D5F24">
            <w:pPr>
              <w:pStyle w:val="Tablecolhead"/>
              <w:rPr>
                <w:sz w:val="14"/>
                <w:szCs w:val="14"/>
              </w:rPr>
            </w:pPr>
            <w:r w:rsidRPr="009D5F24">
              <w:rPr>
                <w:sz w:val="14"/>
                <w:szCs w:val="14"/>
              </w:rPr>
              <w:t>16 yrs</w:t>
            </w:r>
          </w:p>
        </w:tc>
        <w:tc>
          <w:tcPr>
            <w:tcW w:w="627" w:type="dxa"/>
            <w:tcBorders>
              <w:top w:val="single" w:sz="4" w:space="0" w:color="C00000"/>
              <w:left w:val="nil"/>
              <w:bottom w:val="single" w:sz="8" w:space="0" w:color="C00000"/>
              <w:right w:val="nil"/>
            </w:tcBorders>
            <w:shd w:val="clear" w:color="auto" w:fill="EDCDCF"/>
            <w:vAlign w:val="center"/>
            <w:hideMark/>
          </w:tcPr>
          <w:p w14:paraId="068D80FC" w14:textId="77777777" w:rsidR="009D5F24" w:rsidRPr="009D5F24" w:rsidRDefault="009D5F24" w:rsidP="009D5F24">
            <w:pPr>
              <w:pStyle w:val="Tablecolhead"/>
              <w:rPr>
                <w:sz w:val="14"/>
                <w:szCs w:val="14"/>
              </w:rPr>
            </w:pPr>
            <w:r w:rsidRPr="009D5F24">
              <w:rPr>
                <w:sz w:val="14"/>
                <w:szCs w:val="14"/>
              </w:rPr>
              <w:t>2017</w:t>
            </w:r>
          </w:p>
          <w:p w14:paraId="485D9C98" w14:textId="6888730F" w:rsidR="009D5F24" w:rsidRPr="009D5F24" w:rsidRDefault="009D5F24" w:rsidP="009D5F24">
            <w:pPr>
              <w:pStyle w:val="Tablecolhead"/>
              <w:rPr>
                <w:sz w:val="14"/>
                <w:szCs w:val="14"/>
              </w:rPr>
            </w:pPr>
            <w:r w:rsidRPr="009D5F24">
              <w:rPr>
                <w:sz w:val="14"/>
                <w:szCs w:val="14"/>
              </w:rPr>
              <w:t>16 yrs</w:t>
            </w:r>
          </w:p>
        </w:tc>
        <w:tc>
          <w:tcPr>
            <w:tcW w:w="627" w:type="dxa"/>
            <w:tcBorders>
              <w:top w:val="single" w:sz="4" w:space="0" w:color="C00000"/>
              <w:left w:val="nil"/>
              <w:bottom w:val="single" w:sz="8" w:space="0" w:color="C00000"/>
              <w:right w:val="nil"/>
            </w:tcBorders>
            <w:shd w:val="clear" w:color="auto" w:fill="EDCDCF"/>
            <w:vAlign w:val="center"/>
            <w:hideMark/>
          </w:tcPr>
          <w:p w14:paraId="102A5D09" w14:textId="77777777" w:rsidR="009D5F24" w:rsidRPr="009D5F24" w:rsidRDefault="009D5F24" w:rsidP="009D5F24">
            <w:pPr>
              <w:pStyle w:val="Tablecolhead"/>
              <w:rPr>
                <w:sz w:val="14"/>
                <w:szCs w:val="14"/>
              </w:rPr>
            </w:pPr>
            <w:r w:rsidRPr="009D5F24">
              <w:rPr>
                <w:sz w:val="14"/>
                <w:szCs w:val="14"/>
              </w:rPr>
              <w:t>2014</w:t>
            </w:r>
          </w:p>
          <w:p w14:paraId="4A4D4F75" w14:textId="19D339E0" w:rsidR="009D5F24" w:rsidRPr="009D5F24" w:rsidRDefault="009D5F24" w:rsidP="009D5F24">
            <w:pPr>
              <w:pStyle w:val="Tablecolhead"/>
              <w:rPr>
                <w:sz w:val="14"/>
                <w:szCs w:val="14"/>
              </w:rPr>
            </w:pPr>
            <w:r w:rsidRPr="009D5F24">
              <w:rPr>
                <w:sz w:val="14"/>
                <w:szCs w:val="14"/>
              </w:rPr>
              <w:t>17 yrs</w:t>
            </w:r>
          </w:p>
        </w:tc>
        <w:tc>
          <w:tcPr>
            <w:tcW w:w="627" w:type="dxa"/>
            <w:tcBorders>
              <w:top w:val="single" w:sz="4" w:space="0" w:color="C00000"/>
              <w:left w:val="nil"/>
              <w:bottom w:val="single" w:sz="8" w:space="0" w:color="C00000"/>
              <w:right w:val="nil"/>
            </w:tcBorders>
            <w:shd w:val="clear" w:color="auto" w:fill="EDCDCF"/>
            <w:vAlign w:val="center"/>
            <w:hideMark/>
          </w:tcPr>
          <w:p w14:paraId="227C43C2" w14:textId="77777777" w:rsidR="009D5F24" w:rsidRPr="009D5F24" w:rsidRDefault="009D5F24" w:rsidP="009D5F24">
            <w:pPr>
              <w:pStyle w:val="Tablecolhead"/>
              <w:rPr>
                <w:sz w:val="14"/>
                <w:szCs w:val="14"/>
              </w:rPr>
            </w:pPr>
            <w:r w:rsidRPr="009D5F24">
              <w:rPr>
                <w:sz w:val="14"/>
                <w:szCs w:val="14"/>
              </w:rPr>
              <w:t>2017</w:t>
            </w:r>
          </w:p>
          <w:p w14:paraId="12EE05FC" w14:textId="1D204EC3" w:rsidR="009D5F24" w:rsidRPr="009D5F24" w:rsidRDefault="009D5F24" w:rsidP="009D5F24">
            <w:pPr>
              <w:pStyle w:val="Tablecolhead"/>
              <w:rPr>
                <w:sz w:val="14"/>
                <w:szCs w:val="14"/>
              </w:rPr>
            </w:pPr>
            <w:r w:rsidRPr="009D5F24">
              <w:rPr>
                <w:sz w:val="14"/>
                <w:szCs w:val="14"/>
              </w:rPr>
              <w:t>12 yrs</w:t>
            </w:r>
          </w:p>
        </w:tc>
        <w:tc>
          <w:tcPr>
            <w:tcW w:w="627" w:type="dxa"/>
            <w:tcBorders>
              <w:top w:val="single" w:sz="4" w:space="0" w:color="C00000"/>
              <w:left w:val="nil"/>
              <w:bottom w:val="single" w:sz="8" w:space="0" w:color="C00000"/>
              <w:right w:val="nil"/>
            </w:tcBorders>
            <w:shd w:val="clear" w:color="auto" w:fill="EDCDCF"/>
            <w:vAlign w:val="center"/>
            <w:hideMark/>
          </w:tcPr>
          <w:p w14:paraId="4F2850F4" w14:textId="77777777" w:rsidR="009D5F24" w:rsidRPr="009D5F24" w:rsidRDefault="009D5F24" w:rsidP="009D5F24">
            <w:pPr>
              <w:pStyle w:val="Tablecolhead"/>
              <w:rPr>
                <w:sz w:val="14"/>
                <w:szCs w:val="14"/>
              </w:rPr>
            </w:pPr>
            <w:r w:rsidRPr="009D5F24">
              <w:rPr>
                <w:sz w:val="14"/>
                <w:szCs w:val="14"/>
              </w:rPr>
              <w:t>2014</w:t>
            </w:r>
          </w:p>
          <w:p w14:paraId="50685D27" w14:textId="7C8C0B16" w:rsidR="009D5F24" w:rsidRPr="009D5F24" w:rsidRDefault="009D5F24" w:rsidP="009D5F24">
            <w:pPr>
              <w:pStyle w:val="Tablecolhead"/>
              <w:rPr>
                <w:sz w:val="14"/>
                <w:szCs w:val="14"/>
              </w:rPr>
            </w:pPr>
            <w:r w:rsidRPr="009D5F24">
              <w:rPr>
                <w:sz w:val="14"/>
                <w:szCs w:val="14"/>
              </w:rPr>
              <w:t>12–17 yrs</w:t>
            </w:r>
          </w:p>
        </w:tc>
        <w:tc>
          <w:tcPr>
            <w:tcW w:w="627" w:type="dxa"/>
            <w:tcBorders>
              <w:top w:val="single" w:sz="4" w:space="0" w:color="C00000"/>
              <w:left w:val="nil"/>
              <w:bottom w:val="single" w:sz="8" w:space="0" w:color="C00000"/>
              <w:right w:val="nil"/>
            </w:tcBorders>
            <w:shd w:val="clear" w:color="auto" w:fill="EDCDCF"/>
            <w:vAlign w:val="center"/>
            <w:hideMark/>
          </w:tcPr>
          <w:p w14:paraId="48F16D38" w14:textId="77777777" w:rsidR="009D5F24" w:rsidRPr="009D5F24" w:rsidRDefault="009D5F24" w:rsidP="009D5F24">
            <w:pPr>
              <w:pStyle w:val="Tablecolhead"/>
              <w:rPr>
                <w:sz w:val="14"/>
                <w:szCs w:val="14"/>
              </w:rPr>
            </w:pPr>
            <w:r w:rsidRPr="009D5F24">
              <w:rPr>
                <w:sz w:val="14"/>
                <w:szCs w:val="14"/>
              </w:rPr>
              <w:t>2017</w:t>
            </w:r>
          </w:p>
          <w:p w14:paraId="4ECA7B62" w14:textId="6E5C596E" w:rsidR="009D5F24" w:rsidRPr="009D5F24" w:rsidRDefault="009D5F24" w:rsidP="009D5F24">
            <w:pPr>
              <w:pStyle w:val="Tablecolhead"/>
              <w:rPr>
                <w:sz w:val="14"/>
                <w:szCs w:val="14"/>
              </w:rPr>
            </w:pPr>
            <w:r w:rsidRPr="009D5F24">
              <w:rPr>
                <w:sz w:val="14"/>
                <w:szCs w:val="14"/>
              </w:rPr>
              <w:t>12–17 yrs</w:t>
            </w:r>
          </w:p>
        </w:tc>
      </w:tr>
      <w:tr w:rsidR="009D5F24" w:rsidRPr="007744CA" w14:paraId="144C1889" w14:textId="77777777" w:rsidTr="76BE792E">
        <w:trPr>
          <w:trHeight w:val="188"/>
        </w:trPr>
        <w:tc>
          <w:tcPr>
            <w:tcW w:w="1223" w:type="dxa"/>
            <w:tcBorders>
              <w:top w:val="single" w:sz="8" w:space="0" w:color="C00000"/>
              <w:left w:val="nil"/>
              <w:bottom w:val="single" w:sz="8" w:space="0" w:color="C00000"/>
              <w:right w:val="nil"/>
            </w:tcBorders>
            <w:shd w:val="clear" w:color="auto" w:fill="FFFFFF" w:themeFill="background1"/>
            <w:vAlign w:val="center"/>
            <w:hideMark/>
          </w:tcPr>
          <w:p w14:paraId="0BA2ED4B" w14:textId="77777777" w:rsidR="009D5F24" w:rsidRPr="009D5F24" w:rsidRDefault="009D5F24" w:rsidP="009D5F24">
            <w:pPr>
              <w:pStyle w:val="Tabletext"/>
              <w:rPr>
                <w:sz w:val="14"/>
                <w:szCs w:val="14"/>
              </w:rPr>
            </w:pPr>
            <w:r w:rsidRPr="009D5F24">
              <w:rPr>
                <w:sz w:val="14"/>
                <w:szCs w:val="14"/>
              </w:rPr>
              <w:t>Males (%)</w:t>
            </w:r>
          </w:p>
        </w:tc>
        <w:tc>
          <w:tcPr>
            <w:tcW w:w="628" w:type="dxa"/>
            <w:tcBorders>
              <w:top w:val="single" w:sz="8" w:space="0" w:color="C00000"/>
              <w:left w:val="nil"/>
              <w:bottom w:val="single" w:sz="8" w:space="0" w:color="C00000"/>
              <w:right w:val="nil"/>
            </w:tcBorders>
            <w:shd w:val="clear" w:color="auto" w:fill="FFFFFF" w:themeFill="background1"/>
            <w:vAlign w:val="center"/>
            <w:hideMark/>
          </w:tcPr>
          <w:p w14:paraId="04760F92" w14:textId="77777777" w:rsidR="009D5F24" w:rsidRPr="009D5F24" w:rsidRDefault="009D5F24" w:rsidP="009D5F24">
            <w:pPr>
              <w:pStyle w:val="Tabletext"/>
              <w:rPr>
                <w:sz w:val="14"/>
                <w:szCs w:val="14"/>
              </w:rPr>
            </w:pPr>
            <w:r w:rsidRPr="009D5F24">
              <w:rPr>
                <w:sz w:val="14"/>
                <w:szCs w:val="14"/>
              </w:rPr>
              <w:t>1.2</w:t>
            </w:r>
          </w:p>
        </w:tc>
        <w:tc>
          <w:tcPr>
            <w:tcW w:w="628" w:type="dxa"/>
            <w:tcBorders>
              <w:top w:val="single" w:sz="8" w:space="0" w:color="C00000"/>
              <w:left w:val="nil"/>
              <w:bottom w:val="single" w:sz="8" w:space="0" w:color="C00000"/>
              <w:right w:val="nil"/>
            </w:tcBorders>
            <w:shd w:val="clear" w:color="auto" w:fill="FFFFFF" w:themeFill="background1"/>
            <w:vAlign w:val="center"/>
            <w:hideMark/>
          </w:tcPr>
          <w:p w14:paraId="404005CB" w14:textId="75BA766B" w:rsidR="009D5F24" w:rsidRPr="009D5F24" w:rsidRDefault="009D5F24" w:rsidP="009D5F24">
            <w:pPr>
              <w:pStyle w:val="Tabletext"/>
              <w:rPr>
                <w:sz w:val="14"/>
                <w:szCs w:val="14"/>
              </w:rPr>
            </w:pPr>
            <w:r w:rsidRPr="009D5F24">
              <w:rPr>
                <w:sz w:val="14"/>
                <w:szCs w:val="14"/>
              </w:rPr>
              <w:t>2</w:t>
            </w:r>
          </w:p>
        </w:tc>
        <w:tc>
          <w:tcPr>
            <w:tcW w:w="628" w:type="dxa"/>
            <w:tcBorders>
              <w:top w:val="single" w:sz="8" w:space="0" w:color="C00000"/>
              <w:left w:val="nil"/>
              <w:bottom w:val="single" w:sz="8" w:space="0" w:color="C00000"/>
              <w:right w:val="nil"/>
            </w:tcBorders>
            <w:shd w:val="clear" w:color="auto" w:fill="FFFFFF" w:themeFill="background1"/>
            <w:vAlign w:val="center"/>
            <w:hideMark/>
          </w:tcPr>
          <w:p w14:paraId="732B0799" w14:textId="77777777" w:rsidR="009D5F24" w:rsidRPr="009D5F24" w:rsidRDefault="009D5F24" w:rsidP="009D5F24">
            <w:pPr>
              <w:pStyle w:val="Tabletext"/>
              <w:rPr>
                <w:sz w:val="14"/>
                <w:szCs w:val="14"/>
              </w:rPr>
            </w:pPr>
            <w:r w:rsidRPr="009D5F24">
              <w:rPr>
                <w:sz w:val="14"/>
                <w:szCs w:val="14"/>
              </w:rPr>
              <w:t>1.8</w:t>
            </w:r>
          </w:p>
        </w:tc>
        <w:tc>
          <w:tcPr>
            <w:tcW w:w="628" w:type="dxa"/>
            <w:tcBorders>
              <w:top w:val="single" w:sz="8" w:space="0" w:color="C00000"/>
              <w:left w:val="nil"/>
              <w:bottom w:val="single" w:sz="8" w:space="0" w:color="C00000"/>
              <w:right w:val="nil"/>
            </w:tcBorders>
            <w:shd w:val="clear" w:color="auto" w:fill="FFFFFF" w:themeFill="background1"/>
            <w:vAlign w:val="center"/>
            <w:hideMark/>
          </w:tcPr>
          <w:p w14:paraId="54CF6407" w14:textId="51585AD6" w:rsidR="009D5F24" w:rsidRPr="009D5F24" w:rsidRDefault="009D5F24" w:rsidP="009D5F24">
            <w:pPr>
              <w:pStyle w:val="Tabletext"/>
              <w:rPr>
                <w:sz w:val="14"/>
                <w:szCs w:val="14"/>
              </w:rPr>
            </w:pPr>
            <w:r w:rsidRPr="009D5F24">
              <w:rPr>
                <w:sz w:val="14"/>
                <w:szCs w:val="14"/>
              </w:rPr>
              <w:t>2</w:t>
            </w:r>
          </w:p>
        </w:tc>
        <w:tc>
          <w:tcPr>
            <w:tcW w:w="628" w:type="dxa"/>
            <w:tcBorders>
              <w:top w:val="single" w:sz="8" w:space="0" w:color="C00000"/>
              <w:left w:val="nil"/>
              <w:bottom w:val="single" w:sz="8" w:space="0" w:color="C00000"/>
              <w:right w:val="nil"/>
            </w:tcBorders>
            <w:shd w:val="clear" w:color="auto" w:fill="FFFFFF" w:themeFill="background1"/>
            <w:vAlign w:val="center"/>
            <w:hideMark/>
          </w:tcPr>
          <w:p w14:paraId="333D4CAA" w14:textId="77777777" w:rsidR="009D5F24" w:rsidRPr="009D5F24" w:rsidRDefault="009D5F24" w:rsidP="009D5F24">
            <w:pPr>
              <w:pStyle w:val="Tabletext"/>
              <w:rPr>
                <w:sz w:val="14"/>
                <w:szCs w:val="14"/>
              </w:rPr>
            </w:pPr>
            <w:r w:rsidRPr="009D5F24">
              <w:rPr>
                <w:sz w:val="14"/>
                <w:szCs w:val="14"/>
              </w:rPr>
              <w:t>3.1</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51B2F3B8" w14:textId="576CBCEF" w:rsidR="009D5F24" w:rsidRPr="009D5F24" w:rsidRDefault="009D5F24" w:rsidP="009D5F24">
            <w:pPr>
              <w:pStyle w:val="Tabletext"/>
              <w:rPr>
                <w:sz w:val="14"/>
                <w:szCs w:val="14"/>
              </w:rPr>
            </w:pPr>
            <w:r w:rsidRPr="009D5F24">
              <w:rPr>
                <w:sz w:val="14"/>
                <w:szCs w:val="14"/>
              </w:rPr>
              <w:t>4</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593CAB24" w14:textId="77777777" w:rsidR="009D5F24" w:rsidRPr="009D5F24" w:rsidRDefault="009D5F24" w:rsidP="009D5F24">
            <w:pPr>
              <w:pStyle w:val="Tabletext"/>
              <w:rPr>
                <w:sz w:val="14"/>
                <w:szCs w:val="14"/>
              </w:rPr>
            </w:pPr>
            <w:r w:rsidRPr="009D5F24">
              <w:rPr>
                <w:sz w:val="14"/>
                <w:szCs w:val="14"/>
              </w:rPr>
              <w:t>5.1</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077E60FE" w14:textId="469DCA6D" w:rsidR="009D5F24" w:rsidRPr="009D5F24" w:rsidRDefault="009D5F24" w:rsidP="009D5F24">
            <w:pPr>
              <w:pStyle w:val="Tabletext"/>
              <w:rPr>
                <w:sz w:val="14"/>
                <w:szCs w:val="14"/>
              </w:rPr>
            </w:pPr>
            <w:r w:rsidRPr="009D5F24">
              <w:rPr>
                <w:sz w:val="14"/>
                <w:szCs w:val="14"/>
              </w:rPr>
              <w:t>6</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165BACBE" w14:textId="77777777" w:rsidR="009D5F24" w:rsidRPr="009D5F24" w:rsidRDefault="009D5F24" w:rsidP="009D5F24">
            <w:pPr>
              <w:pStyle w:val="Tabletext"/>
              <w:rPr>
                <w:sz w:val="14"/>
                <w:szCs w:val="14"/>
              </w:rPr>
            </w:pPr>
            <w:r w:rsidRPr="009D5F24">
              <w:rPr>
                <w:sz w:val="14"/>
                <w:szCs w:val="14"/>
              </w:rPr>
              <w:t>10.3</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55FEBEE7" w14:textId="3960184D" w:rsidR="009D5F24" w:rsidRPr="009D5F24" w:rsidRDefault="009D5F24" w:rsidP="009D5F24">
            <w:pPr>
              <w:pStyle w:val="Tabletext"/>
              <w:rPr>
                <w:sz w:val="14"/>
                <w:szCs w:val="14"/>
              </w:rPr>
            </w:pPr>
            <w:r w:rsidRPr="009D5F24">
              <w:rPr>
                <w:sz w:val="14"/>
                <w:szCs w:val="14"/>
              </w:rPr>
              <w:t>9</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28EE8181" w14:textId="77777777" w:rsidR="009D5F24" w:rsidRPr="009D5F24" w:rsidRDefault="009D5F24" w:rsidP="009D5F24">
            <w:pPr>
              <w:pStyle w:val="Tabletext"/>
              <w:rPr>
                <w:sz w:val="14"/>
                <w:szCs w:val="14"/>
              </w:rPr>
            </w:pPr>
            <w:r w:rsidRPr="009D5F24">
              <w:rPr>
                <w:sz w:val="14"/>
                <w:szCs w:val="14"/>
              </w:rPr>
              <w:t>13.4</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60EB06AE" w14:textId="1D7B6339" w:rsidR="009D5F24" w:rsidRPr="009D5F24" w:rsidRDefault="009D5F24" w:rsidP="009D5F24">
            <w:pPr>
              <w:pStyle w:val="Tabletext"/>
              <w:rPr>
                <w:sz w:val="14"/>
                <w:szCs w:val="14"/>
              </w:rPr>
            </w:pPr>
            <w:r w:rsidRPr="009D5F24">
              <w:rPr>
                <w:sz w:val="14"/>
                <w:szCs w:val="14"/>
              </w:rPr>
              <w:t>12</w:t>
            </w:r>
          </w:p>
        </w:tc>
        <w:tc>
          <w:tcPr>
            <w:tcW w:w="627" w:type="dxa"/>
            <w:tcBorders>
              <w:top w:val="single" w:sz="8" w:space="0" w:color="C00000"/>
              <w:left w:val="nil"/>
              <w:bottom w:val="single" w:sz="8" w:space="0" w:color="C00000"/>
              <w:right w:val="single" w:sz="12" w:space="0" w:color="FFFFFF" w:themeColor="background1"/>
            </w:tcBorders>
            <w:shd w:val="clear" w:color="auto" w:fill="FFFFFF" w:themeFill="background1"/>
            <w:vAlign w:val="center"/>
            <w:hideMark/>
          </w:tcPr>
          <w:p w14:paraId="336C32BA" w14:textId="77777777" w:rsidR="009D5F24" w:rsidRPr="009D5F24" w:rsidRDefault="009D5F24" w:rsidP="009D5F24">
            <w:pPr>
              <w:pStyle w:val="Tabletext"/>
              <w:rPr>
                <w:sz w:val="14"/>
                <w:szCs w:val="14"/>
              </w:rPr>
            </w:pPr>
            <w:r w:rsidRPr="009D5F24">
              <w:rPr>
                <w:sz w:val="14"/>
                <w:szCs w:val="14"/>
              </w:rPr>
              <w:t>5.4</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58E2EA87" w14:textId="6F74517B" w:rsidR="009D5F24" w:rsidRPr="009D5F24" w:rsidRDefault="009D5F24" w:rsidP="009D5F24">
            <w:pPr>
              <w:pStyle w:val="Tabletext"/>
              <w:rPr>
                <w:sz w:val="14"/>
                <w:szCs w:val="14"/>
              </w:rPr>
            </w:pPr>
            <w:r w:rsidRPr="009D5F24">
              <w:rPr>
                <w:sz w:val="14"/>
                <w:szCs w:val="14"/>
              </w:rPr>
              <w:t>5</w:t>
            </w:r>
          </w:p>
        </w:tc>
      </w:tr>
      <w:tr w:rsidR="009D5F24" w:rsidRPr="007744CA" w14:paraId="2A5FB9EF" w14:textId="77777777" w:rsidTr="76BE792E">
        <w:trPr>
          <w:trHeight w:val="188"/>
        </w:trPr>
        <w:tc>
          <w:tcPr>
            <w:tcW w:w="1223" w:type="dxa"/>
            <w:tcBorders>
              <w:top w:val="single" w:sz="8" w:space="0" w:color="C00000"/>
              <w:left w:val="nil"/>
              <w:bottom w:val="single" w:sz="8" w:space="0" w:color="C00000"/>
              <w:right w:val="nil"/>
            </w:tcBorders>
            <w:shd w:val="clear" w:color="auto" w:fill="FFFFFF" w:themeFill="background1"/>
            <w:vAlign w:val="center"/>
            <w:hideMark/>
          </w:tcPr>
          <w:p w14:paraId="4655EAEE" w14:textId="77777777" w:rsidR="009D5F24" w:rsidRPr="009D5F24" w:rsidRDefault="009D5F24" w:rsidP="009D5F24">
            <w:pPr>
              <w:pStyle w:val="Tabletext"/>
              <w:rPr>
                <w:sz w:val="14"/>
                <w:szCs w:val="14"/>
              </w:rPr>
            </w:pPr>
            <w:r w:rsidRPr="009D5F24">
              <w:rPr>
                <w:sz w:val="14"/>
                <w:szCs w:val="14"/>
              </w:rPr>
              <w:t>Females (%)</w:t>
            </w:r>
          </w:p>
        </w:tc>
        <w:tc>
          <w:tcPr>
            <w:tcW w:w="628" w:type="dxa"/>
            <w:tcBorders>
              <w:top w:val="single" w:sz="8" w:space="0" w:color="C00000"/>
              <w:left w:val="nil"/>
              <w:bottom w:val="single" w:sz="8" w:space="0" w:color="C00000"/>
              <w:right w:val="nil"/>
            </w:tcBorders>
            <w:shd w:val="clear" w:color="auto" w:fill="FFFFFF" w:themeFill="background1"/>
            <w:vAlign w:val="center"/>
            <w:hideMark/>
          </w:tcPr>
          <w:p w14:paraId="692277E9" w14:textId="77777777" w:rsidR="009D5F24" w:rsidRPr="009D5F24" w:rsidRDefault="009D5F24" w:rsidP="009D5F24">
            <w:pPr>
              <w:pStyle w:val="Tabletext"/>
              <w:rPr>
                <w:sz w:val="14"/>
                <w:szCs w:val="14"/>
              </w:rPr>
            </w:pPr>
            <w:r w:rsidRPr="009D5F24">
              <w:rPr>
                <w:sz w:val="14"/>
                <w:szCs w:val="14"/>
              </w:rPr>
              <w:t>0.9</w:t>
            </w:r>
          </w:p>
        </w:tc>
        <w:tc>
          <w:tcPr>
            <w:tcW w:w="628" w:type="dxa"/>
            <w:tcBorders>
              <w:top w:val="single" w:sz="8" w:space="0" w:color="C00000"/>
              <w:left w:val="nil"/>
              <w:bottom w:val="single" w:sz="8" w:space="0" w:color="C00000"/>
              <w:right w:val="nil"/>
            </w:tcBorders>
            <w:shd w:val="clear" w:color="auto" w:fill="FFFFFF" w:themeFill="background1"/>
            <w:vAlign w:val="center"/>
            <w:hideMark/>
          </w:tcPr>
          <w:p w14:paraId="6A5F2279" w14:textId="0D5DEB59" w:rsidR="009D5F24" w:rsidRPr="009D5F24" w:rsidRDefault="009D5F24" w:rsidP="009D5F24">
            <w:pPr>
              <w:pStyle w:val="Tabletext"/>
              <w:rPr>
                <w:sz w:val="14"/>
                <w:szCs w:val="14"/>
              </w:rPr>
            </w:pPr>
            <w:r w:rsidRPr="009D5F24">
              <w:rPr>
                <w:sz w:val="14"/>
                <w:szCs w:val="14"/>
              </w:rPr>
              <w:t>1</w:t>
            </w:r>
          </w:p>
        </w:tc>
        <w:tc>
          <w:tcPr>
            <w:tcW w:w="628" w:type="dxa"/>
            <w:tcBorders>
              <w:top w:val="single" w:sz="8" w:space="0" w:color="C00000"/>
              <w:left w:val="nil"/>
              <w:bottom w:val="single" w:sz="8" w:space="0" w:color="C00000"/>
              <w:right w:val="nil"/>
            </w:tcBorders>
            <w:shd w:val="clear" w:color="auto" w:fill="FFFFFF" w:themeFill="background1"/>
            <w:vAlign w:val="center"/>
            <w:hideMark/>
          </w:tcPr>
          <w:p w14:paraId="5EBA6D52" w14:textId="77777777" w:rsidR="009D5F24" w:rsidRPr="009D5F24" w:rsidRDefault="009D5F24" w:rsidP="009D5F24">
            <w:pPr>
              <w:pStyle w:val="Tabletext"/>
              <w:rPr>
                <w:sz w:val="14"/>
                <w:szCs w:val="14"/>
              </w:rPr>
            </w:pPr>
            <w:r w:rsidRPr="009D5F24">
              <w:rPr>
                <w:sz w:val="14"/>
                <w:szCs w:val="14"/>
              </w:rPr>
              <w:t>1.8</w:t>
            </w:r>
          </w:p>
        </w:tc>
        <w:tc>
          <w:tcPr>
            <w:tcW w:w="628" w:type="dxa"/>
            <w:tcBorders>
              <w:top w:val="single" w:sz="8" w:space="0" w:color="C00000"/>
              <w:left w:val="nil"/>
              <w:bottom w:val="single" w:sz="8" w:space="0" w:color="C00000"/>
              <w:right w:val="nil"/>
            </w:tcBorders>
            <w:shd w:val="clear" w:color="auto" w:fill="FFFFFF" w:themeFill="background1"/>
            <w:vAlign w:val="center"/>
            <w:hideMark/>
          </w:tcPr>
          <w:p w14:paraId="3100DC2D" w14:textId="45A19916" w:rsidR="009D5F24" w:rsidRPr="009D5F24" w:rsidRDefault="009D5F24" w:rsidP="009D5F24">
            <w:pPr>
              <w:pStyle w:val="Tabletext"/>
              <w:rPr>
                <w:sz w:val="14"/>
                <w:szCs w:val="14"/>
              </w:rPr>
            </w:pPr>
            <w:r w:rsidRPr="009D5F24">
              <w:rPr>
                <w:sz w:val="14"/>
                <w:szCs w:val="14"/>
              </w:rPr>
              <w:t>1</w:t>
            </w:r>
          </w:p>
        </w:tc>
        <w:tc>
          <w:tcPr>
            <w:tcW w:w="628" w:type="dxa"/>
            <w:tcBorders>
              <w:top w:val="single" w:sz="8" w:space="0" w:color="C00000"/>
              <w:left w:val="nil"/>
              <w:bottom w:val="single" w:sz="8" w:space="0" w:color="C00000"/>
              <w:right w:val="nil"/>
            </w:tcBorders>
            <w:shd w:val="clear" w:color="auto" w:fill="FFFFFF" w:themeFill="background1"/>
            <w:vAlign w:val="center"/>
            <w:hideMark/>
          </w:tcPr>
          <w:p w14:paraId="090B67B8" w14:textId="77777777" w:rsidR="009D5F24" w:rsidRPr="009D5F24" w:rsidRDefault="009D5F24" w:rsidP="009D5F24">
            <w:pPr>
              <w:pStyle w:val="Tabletext"/>
              <w:rPr>
                <w:sz w:val="14"/>
                <w:szCs w:val="14"/>
              </w:rPr>
            </w:pPr>
            <w:r w:rsidRPr="009D5F24">
              <w:rPr>
                <w:sz w:val="14"/>
                <w:szCs w:val="14"/>
              </w:rPr>
              <w:t>4</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1596A842" w14:textId="0199147D" w:rsidR="009D5F24" w:rsidRPr="009D5F24" w:rsidRDefault="009D5F24" w:rsidP="009D5F24">
            <w:pPr>
              <w:pStyle w:val="Tabletext"/>
              <w:rPr>
                <w:sz w:val="14"/>
                <w:szCs w:val="14"/>
              </w:rPr>
            </w:pPr>
            <w:r w:rsidRPr="009D5F24">
              <w:rPr>
                <w:sz w:val="14"/>
                <w:szCs w:val="14"/>
              </w:rPr>
              <w:t>3</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4FC1981C" w14:textId="77777777" w:rsidR="009D5F24" w:rsidRPr="009D5F24" w:rsidRDefault="009D5F24" w:rsidP="009D5F24">
            <w:pPr>
              <w:pStyle w:val="Tabletext"/>
              <w:rPr>
                <w:sz w:val="14"/>
                <w:szCs w:val="14"/>
              </w:rPr>
            </w:pPr>
            <w:r w:rsidRPr="009D5F24">
              <w:rPr>
                <w:sz w:val="14"/>
                <w:szCs w:val="14"/>
              </w:rPr>
              <w:t>5.9</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50F5437C" w14:textId="2E6B920A" w:rsidR="009D5F24" w:rsidRPr="009D5F24" w:rsidRDefault="009D5F24" w:rsidP="009D5F24">
            <w:pPr>
              <w:pStyle w:val="Tabletext"/>
              <w:rPr>
                <w:sz w:val="14"/>
                <w:szCs w:val="14"/>
              </w:rPr>
            </w:pPr>
            <w:r w:rsidRPr="009D5F24">
              <w:rPr>
                <w:sz w:val="14"/>
                <w:szCs w:val="14"/>
              </w:rPr>
              <w:t>5</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6C2AD9AA" w14:textId="77777777" w:rsidR="009D5F24" w:rsidRPr="009D5F24" w:rsidRDefault="009D5F24" w:rsidP="009D5F24">
            <w:pPr>
              <w:pStyle w:val="Tabletext"/>
              <w:rPr>
                <w:sz w:val="14"/>
                <w:szCs w:val="14"/>
              </w:rPr>
            </w:pPr>
            <w:r w:rsidRPr="009D5F24">
              <w:rPr>
                <w:sz w:val="14"/>
                <w:szCs w:val="14"/>
              </w:rPr>
              <w:t>7.3</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42ED44FF" w14:textId="369125EE" w:rsidR="009D5F24" w:rsidRPr="009D5F24" w:rsidRDefault="009D5F24" w:rsidP="009D5F24">
            <w:pPr>
              <w:pStyle w:val="Tabletext"/>
              <w:rPr>
                <w:sz w:val="14"/>
                <w:szCs w:val="14"/>
              </w:rPr>
            </w:pPr>
            <w:r w:rsidRPr="009D5F24">
              <w:rPr>
                <w:sz w:val="14"/>
                <w:szCs w:val="14"/>
              </w:rPr>
              <w:t>8</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237CB664" w14:textId="77777777" w:rsidR="009D5F24" w:rsidRPr="009D5F24" w:rsidRDefault="009D5F24" w:rsidP="009D5F24">
            <w:pPr>
              <w:pStyle w:val="Tabletext"/>
              <w:rPr>
                <w:sz w:val="14"/>
                <w:szCs w:val="14"/>
              </w:rPr>
            </w:pPr>
            <w:r w:rsidRPr="009D5F24">
              <w:rPr>
                <w:sz w:val="14"/>
                <w:szCs w:val="14"/>
              </w:rPr>
              <w:t>10.9</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026DE64F" w14:textId="219A44FF" w:rsidR="009D5F24" w:rsidRPr="009D5F24" w:rsidRDefault="009D5F24" w:rsidP="009D5F24">
            <w:pPr>
              <w:pStyle w:val="Tabletext"/>
              <w:rPr>
                <w:sz w:val="14"/>
                <w:szCs w:val="14"/>
              </w:rPr>
            </w:pPr>
            <w:r w:rsidRPr="009D5F24">
              <w:rPr>
                <w:sz w:val="14"/>
                <w:szCs w:val="14"/>
              </w:rPr>
              <w:t>9</w:t>
            </w:r>
          </w:p>
        </w:tc>
        <w:tc>
          <w:tcPr>
            <w:tcW w:w="627" w:type="dxa"/>
            <w:tcBorders>
              <w:top w:val="single" w:sz="8" w:space="0" w:color="C00000"/>
              <w:left w:val="nil"/>
              <w:bottom w:val="single" w:sz="8" w:space="0" w:color="C00000"/>
              <w:right w:val="single" w:sz="12" w:space="0" w:color="FFFFFF" w:themeColor="background1"/>
            </w:tcBorders>
            <w:shd w:val="clear" w:color="auto" w:fill="FFFFFF" w:themeFill="background1"/>
            <w:vAlign w:val="center"/>
            <w:hideMark/>
          </w:tcPr>
          <w:p w14:paraId="4D291F38" w14:textId="77777777" w:rsidR="009D5F24" w:rsidRPr="009D5F24" w:rsidRDefault="009D5F24" w:rsidP="009D5F24">
            <w:pPr>
              <w:pStyle w:val="Tabletext"/>
              <w:rPr>
                <w:sz w:val="14"/>
                <w:szCs w:val="14"/>
              </w:rPr>
            </w:pPr>
            <w:r w:rsidRPr="009D5F24">
              <w:rPr>
                <w:sz w:val="14"/>
                <w:szCs w:val="14"/>
              </w:rPr>
              <w:t>4.9</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3D9F7BDE" w14:textId="5C66D777" w:rsidR="009D5F24" w:rsidRPr="009D5F24" w:rsidRDefault="009D5F24" w:rsidP="009D5F24">
            <w:pPr>
              <w:pStyle w:val="Tabletext"/>
              <w:rPr>
                <w:sz w:val="14"/>
                <w:szCs w:val="14"/>
              </w:rPr>
            </w:pPr>
            <w:r w:rsidRPr="009D5F24">
              <w:rPr>
                <w:sz w:val="14"/>
                <w:szCs w:val="14"/>
              </w:rPr>
              <w:t>4</w:t>
            </w:r>
          </w:p>
        </w:tc>
      </w:tr>
      <w:tr w:rsidR="009D5F24" w:rsidRPr="007744CA" w14:paraId="5EED2AC0" w14:textId="77777777" w:rsidTr="76BE792E">
        <w:trPr>
          <w:trHeight w:val="188"/>
        </w:trPr>
        <w:tc>
          <w:tcPr>
            <w:tcW w:w="1223" w:type="dxa"/>
            <w:tcBorders>
              <w:top w:val="single" w:sz="8" w:space="0" w:color="C00000"/>
              <w:left w:val="nil"/>
              <w:bottom w:val="single" w:sz="8" w:space="0" w:color="C00000"/>
              <w:right w:val="nil"/>
            </w:tcBorders>
            <w:shd w:val="clear" w:color="auto" w:fill="FFFFFF" w:themeFill="background1"/>
            <w:vAlign w:val="center"/>
            <w:hideMark/>
          </w:tcPr>
          <w:p w14:paraId="356CC7D6" w14:textId="77777777" w:rsidR="009D5F24" w:rsidRPr="009D5F24" w:rsidRDefault="009D5F24" w:rsidP="009D5F24">
            <w:pPr>
              <w:pStyle w:val="Tabletext"/>
              <w:rPr>
                <w:sz w:val="14"/>
                <w:szCs w:val="14"/>
              </w:rPr>
            </w:pPr>
            <w:r w:rsidRPr="009D5F24">
              <w:rPr>
                <w:sz w:val="14"/>
                <w:szCs w:val="14"/>
              </w:rPr>
              <w:t>Total (%)</w:t>
            </w:r>
          </w:p>
        </w:tc>
        <w:tc>
          <w:tcPr>
            <w:tcW w:w="628" w:type="dxa"/>
            <w:tcBorders>
              <w:top w:val="single" w:sz="8" w:space="0" w:color="C00000"/>
              <w:left w:val="nil"/>
              <w:bottom w:val="single" w:sz="8" w:space="0" w:color="C00000"/>
              <w:right w:val="nil"/>
            </w:tcBorders>
            <w:shd w:val="clear" w:color="auto" w:fill="FFFFFF" w:themeFill="background1"/>
            <w:vAlign w:val="center"/>
            <w:hideMark/>
          </w:tcPr>
          <w:p w14:paraId="293B378F" w14:textId="77777777" w:rsidR="009D5F24" w:rsidRPr="009D5F24" w:rsidRDefault="009D5F24" w:rsidP="009D5F24">
            <w:pPr>
              <w:pStyle w:val="Tabletext"/>
              <w:rPr>
                <w:sz w:val="14"/>
                <w:szCs w:val="14"/>
              </w:rPr>
            </w:pPr>
            <w:r w:rsidRPr="009D5F24">
              <w:rPr>
                <w:sz w:val="14"/>
                <w:szCs w:val="14"/>
              </w:rPr>
              <w:t>1.1</w:t>
            </w:r>
          </w:p>
        </w:tc>
        <w:tc>
          <w:tcPr>
            <w:tcW w:w="628" w:type="dxa"/>
            <w:tcBorders>
              <w:top w:val="single" w:sz="8" w:space="0" w:color="C00000"/>
              <w:left w:val="nil"/>
              <w:bottom w:val="single" w:sz="8" w:space="0" w:color="C00000"/>
              <w:right w:val="nil"/>
            </w:tcBorders>
            <w:shd w:val="clear" w:color="auto" w:fill="FFFFFF" w:themeFill="background1"/>
            <w:vAlign w:val="center"/>
            <w:hideMark/>
          </w:tcPr>
          <w:p w14:paraId="5FCF221E" w14:textId="671A6E33" w:rsidR="009D5F24" w:rsidRPr="009D5F24" w:rsidRDefault="009D5F24" w:rsidP="009D5F24">
            <w:pPr>
              <w:pStyle w:val="Tabletext"/>
              <w:rPr>
                <w:sz w:val="14"/>
                <w:szCs w:val="14"/>
              </w:rPr>
            </w:pPr>
            <w:r w:rsidRPr="009D5F24">
              <w:rPr>
                <w:sz w:val="14"/>
                <w:szCs w:val="14"/>
              </w:rPr>
              <w:t>2</w:t>
            </w:r>
          </w:p>
        </w:tc>
        <w:tc>
          <w:tcPr>
            <w:tcW w:w="628" w:type="dxa"/>
            <w:tcBorders>
              <w:top w:val="single" w:sz="8" w:space="0" w:color="C00000"/>
              <w:left w:val="nil"/>
              <w:bottom w:val="single" w:sz="8" w:space="0" w:color="C00000"/>
              <w:right w:val="nil"/>
            </w:tcBorders>
            <w:shd w:val="clear" w:color="auto" w:fill="FFFFFF" w:themeFill="background1"/>
            <w:vAlign w:val="center"/>
            <w:hideMark/>
          </w:tcPr>
          <w:p w14:paraId="285CC971" w14:textId="77777777" w:rsidR="009D5F24" w:rsidRPr="009D5F24" w:rsidRDefault="009D5F24" w:rsidP="009D5F24">
            <w:pPr>
              <w:pStyle w:val="Tabletext"/>
              <w:rPr>
                <w:sz w:val="14"/>
                <w:szCs w:val="14"/>
              </w:rPr>
            </w:pPr>
            <w:r w:rsidRPr="009D5F24">
              <w:rPr>
                <w:sz w:val="14"/>
                <w:szCs w:val="14"/>
              </w:rPr>
              <w:t>1.8</w:t>
            </w:r>
          </w:p>
        </w:tc>
        <w:tc>
          <w:tcPr>
            <w:tcW w:w="628" w:type="dxa"/>
            <w:tcBorders>
              <w:top w:val="single" w:sz="8" w:space="0" w:color="C00000"/>
              <w:left w:val="nil"/>
              <w:bottom w:val="single" w:sz="8" w:space="0" w:color="C00000"/>
              <w:right w:val="nil"/>
            </w:tcBorders>
            <w:shd w:val="clear" w:color="auto" w:fill="FFFFFF" w:themeFill="background1"/>
            <w:vAlign w:val="center"/>
            <w:hideMark/>
          </w:tcPr>
          <w:p w14:paraId="0AA8C726" w14:textId="637AB68F" w:rsidR="009D5F24" w:rsidRPr="009D5F24" w:rsidRDefault="009D5F24" w:rsidP="009D5F24">
            <w:pPr>
              <w:pStyle w:val="Tabletext"/>
              <w:rPr>
                <w:sz w:val="14"/>
                <w:szCs w:val="14"/>
              </w:rPr>
            </w:pPr>
            <w:r w:rsidRPr="009D5F24">
              <w:rPr>
                <w:sz w:val="14"/>
                <w:szCs w:val="14"/>
              </w:rPr>
              <w:t>1</w:t>
            </w:r>
          </w:p>
        </w:tc>
        <w:tc>
          <w:tcPr>
            <w:tcW w:w="628" w:type="dxa"/>
            <w:tcBorders>
              <w:top w:val="single" w:sz="8" w:space="0" w:color="C00000"/>
              <w:left w:val="nil"/>
              <w:bottom w:val="single" w:sz="8" w:space="0" w:color="C00000"/>
              <w:right w:val="nil"/>
            </w:tcBorders>
            <w:shd w:val="clear" w:color="auto" w:fill="FFFFFF" w:themeFill="background1"/>
            <w:vAlign w:val="center"/>
            <w:hideMark/>
          </w:tcPr>
          <w:p w14:paraId="07ECC125" w14:textId="77777777" w:rsidR="009D5F24" w:rsidRPr="009D5F24" w:rsidRDefault="009D5F24" w:rsidP="009D5F24">
            <w:pPr>
              <w:pStyle w:val="Tabletext"/>
              <w:rPr>
                <w:sz w:val="14"/>
                <w:szCs w:val="14"/>
              </w:rPr>
            </w:pPr>
            <w:r w:rsidRPr="009D5F24">
              <w:rPr>
                <w:sz w:val="14"/>
                <w:szCs w:val="14"/>
              </w:rPr>
              <w:t>3.5</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20BA4EBB" w14:textId="68B3B5F5" w:rsidR="009D5F24" w:rsidRPr="009D5F24" w:rsidRDefault="009D5F24" w:rsidP="009D5F24">
            <w:pPr>
              <w:pStyle w:val="Tabletext"/>
              <w:rPr>
                <w:sz w:val="14"/>
                <w:szCs w:val="14"/>
              </w:rPr>
            </w:pPr>
            <w:r w:rsidRPr="009D5F24">
              <w:rPr>
                <w:sz w:val="14"/>
                <w:szCs w:val="14"/>
              </w:rPr>
              <w:t>4</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266B2ECE" w14:textId="77777777" w:rsidR="009D5F24" w:rsidRPr="009D5F24" w:rsidRDefault="009D5F24" w:rsidP="009D5F24">
            <w:pPr>
              <w:pStyle w:val="Tabletext"/>
              <w:rPr>
                <w:sz w:val="14"/>
                <w:szCs w:val="14"/>
              </w:rPr>
            </w:pPr>
            <w:r w:rsidRPr="009D5F24">
              <w:rPr>
                <w:sz w:val="14"/>
                <w:szCs w:val="14"/>
              </w:rPr>
              <w:t>5.5</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78EF6AA0" w14:textId="6FCE4652" w:rsidR="009D5F24" w:rsidRPr="009D5F24" w:rsidRDefault="009D5F24" w:rsidP="009D5F24">
            <w:pPr>
              <w:pStyle w:val="Tabletext"/>
              <w:rPr>
                <w:sz w:val="14"/>
                <w:szCs w:val="14"/>
              </w:rPr>
            </w:pPr>
            <w:r w:rsidRPr="009D5F24">
              <w:rPr>
                <w:sz w:val="14"/>
                <w:szCs w:val="14"/>
              </w:rPr>
              <w:t>5</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13DA7B82" w14:textId="77777777" w:rsidR="009D5F24" w:rsidRPr="009D5F24" w:rsidRDefault="009D5F24" w:rsidP="009D5F24">
            <w:pPr>
              <w:pStyle w:val="Tabletext"/>
              <w:rPr>
                <w:sz w:val="14"/>
                <w:szCs w:val="14"/>
              </w:rPr>
            </w:pPr>
            <w:r w:rsidRPr="009D5F24">
              <w:rPr>
                <w:sz w:val="14"/>
                <w:szCs w:val="14"/>
              </w:rPr>
              <w:t>8.8</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3FC0D59C" w14:textId="7968DAC6" w:rsidR="009D5F24" w:rsidRPr="009D5F24" w:rsidRDefault="009D5F24" w:rsidP="009D5F24">
            <w:pPr>
              <w:pStyle w:val="Tabletext"/>
              <w:rPr>
                <w:sz w:val="14"/>
                <w:szCs w:val="14"/>
              </w:rPr>
            </w:pPr>
            <w:r w:rsidRPr="009D5F24">
              <w:rPr>
                <w:sz w:val="14"/>
                <w:szCs w:val="14"/>
              </w:rPr>
              <w:t>8</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63CFA207" w14:textId="77777777" w:rsidR="009D5F24" w:rsidRPr="009D5F24" w:rsidRDefault="009D5F24" w:rsidP="009D5F24">
            <w:pPr>
              <w:pStyle w:val="Tabletext"/>
              <w:rPr>
                <w:sz w:val="14"/>
                <w:szCs w:val="14"/>
              </w:rPr>
            </w:pPr>
            <w:r w:rsidRPr="009D5F24">
              <w:rPr>
                <w:sz w:val="14"/>
                <w:szCs w:val="14"/>
              </w:rPr>
              <w:t>12.1</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2F87D703" w14:textId="0E4648B6" w:rsidR="009D5F24" w:rsidRPr="009D5F24" w:rsidRDefault="009D5F24" w:rsidP="009D5F24">
            <w:pPr>
              <w:pStyle w:val="Tabletext"/>
              <w:rPr>
                <w:sz w:val="14"/>
                <w:szCs w:val="14"/>
              </w:rPr>
            </w:pPr>
            <w:r w:rsidRPr="009D5F24">
              <w:rPr>
                <w:sz w:val="14"/>
                <w:szCs w:val="14"/>
              </w:rPr>
              <w:t>11</w:t>
            </w:r>
          </w:p>
        </w:tc>
        <w:tc>
          <w:tcPr>
            <w:tcW w:w="627" w:type="dxa"/>
            <w:tcBorders>
              <w:top w:val="single" w:sz="8" w:space="0" w:color="C00000"/>
              <w:left w:val="nil"/>
              <w:bottom w:val="single" w:sz="8" w:space="0" w:color="C00000"/>
              <w:right w:val="single" w:sz="12" w:space="0" w:color="FFFFFF" w:themeColor="background1"/>
            </w:tcBorders>
            <w:shd w:val="clear" w:color="auto" w:fill="FFFFFF" w:themeFill="background1"/>
            <w:vAlign w:val="center"/>
            <w:hideMark/>
          </w:tcPr>
          <w:p w14:paraId="09505A38" w14:textId="77777777" w:rsidR="009D5F24" w:rsidRPr="009D5F24" w:rsidRDefault="009D5F24" w:rsidP="009D5F24">
            <w:pPr>
              <w:pStyle w:val="Tabletext"/>
              <w:rPr>
                <w:sz w:val="14"/>
                <w:szCs w:val="14"/>
              </w:rPr>
            </w:pPr>
            <w:r w:rsidRPr="009D5F24">
              <w:rPr>
                <w:sz w:val="14"/>
                <w:szCs w:val="14"/>
              </w:rPr>
              <w:t>5.1</w:t>
            </w:r>
          </w:p>
        </w:tc>
        <w:tc>
          <w:tcPr>
            <w:tcW w:w="627" w:type="dxa"/>
            <w:tcBorders>
              <w:top w:val="single" w:sz="8" w:space="0" w:color="C00000"/>
              <w:left w:val="nil"/>
              <w:bottom w:val="single" w:sz="8" w:space="0" w:color="C00000"/>
              <w:right w:val="nil"/>
            </w:tcBorders>
            <w:shd w:val="clear" w:color="auto" w:fill="FFFFFF" w:themeFill="background1"/>
            <w:vAlign w:val="center"/>
            <w:hideMark/>
          </w:tcPr>
          <w:p w14:paraId="6AA1DECC" w14:textId="7064CCC4" w:rsidR="009D5F24" w:rsidRPr="009D5F24" w:rsidRDefault="009D5F24" w:rsidP="009D5F24">
            <w:pPr>
              <w:pStyle w:val="Tabletext"/>
              <w:rPr>
                <w:sz w:val="14"/>
                <w:szCs w:val="14"/>
              </w:rPr>
            </w:pPr>
            <w:r w:rsidRPr="009D5F24">
              <w:rPr>
                <w:sz w:val="14"/>
                <w:szCs w:val="14"/>
              </w:rPr>
              <w:t>5</w:t>
            </w:r>
          </w:p>
        </w:tc>
      </w:tr>
    </w:tbl>
    <w:p w14:paraId="0B25899F" w14:textId="35FB83BC" w:rsidR="009D5F24" w:rsidRPr="000322A7" w:rsidRDefault="009D5F24" w:rsidP="009D5F24">
      <w:pPr>
        <w:pStyle w:val="Tablecaption"/>
        <w:rPr>
          <w:sz w:val="20"/>
        </w:rPr>
      </w:pPr>
      <w:bookmarkStart w:id="386" w:name="_Toc140834917"/>
      <w:r w:rsidRPr="000322A7">
        <w:rPr>
          <w:sz w:val="20"/>
        </w:rPr>
        <w:t>Table 6.2.1: Proportion of Victorian adolescents aged 12–17 years (boys and girls) who currently smoke, by age and sex, 2014 and 2017</w:t>
      </w:r>
      <w:bookmarkEnd w:id="386"/>
    </w:p>
    <w:tbl>
      <w:tblPr>
        <w:tblW w:w="5364" w:type="pct"/>
        <w:tblLook w:val="04A0" w:firstRow="1" w:lastRow="0" w:firstColumn="1" w:lastColumn="0" w:noHBand="0" w:noVBand="1"/>
      </w:tblPr>
      <w:tblGrid>
        <w:gridCol w:w="1120"/>
        <w:gridCol w:w="635"/>
        <w:gridCol w:w="635"/>
        <w:gridCol w:w="634"/>
        <w:gridCol w:w="634"/>
        <w:gridCol w:w="634"/>
        <w:gridCol w:w="634"/>
        <w:gridCol w:w="634"/>
        <w:gridCol w:w="634"/>
        <w:gridCol w:w="634"/>
        <w:gridCol w:w="634"/>
        <w:gridCol w:w="634"/>
        <w:gridCol w:w="634"/>
        <w:gridCol w:w="634"/>
        <w:gridCol w:w="634"/>
      </w:tblGrid>
      <w:tr w:rsidR="009D5F24" w:rsidRPr="007744CA" w14:paraId="03484B51" w14:textId="77777777" w:rsidTr="00236D5F">
        <w:trPr>
          <w:trHeight w:val="175"/>
          <w:tblHeader/>
        </w:trPr>
        <w:tc>
          <w:tcPr>
            <w:tcW w:w="1120" w:type="dxa"/>
            <w:tcBorders>
              <w:top w:val="single" w:sz="8" w:space="0" w:color="C00000"/>
              <w:left w:val="nil"/>
              <w:bottom w:val="single" w:sz="8" w:space="0" w:color="C00000"/>
              <w:right w:val="nil"/>
            </w:tcBorders>
            <w:shd w:val="clear" w:color="auto" w:fill="EDCDCF"/>
            <w:vAlign w:val="center"/>
          </w:tcPr>
          <w:p w14:paraId="532A6E87" w14:textId="58DE1089" w:rsidR="009D5F24" w:rsidRPr="009D5F24" w:rsidRDefault="009D5F24" w:rsidP="009D5F24">
            <w:pPr>
              <w:pStyle w:val="Tablecolhead"/>
              <w:rPr>
                <w:sz w:val="14"/>
                <w:szCs w:val="14"/>
              </w:rPr>
            </w:pPr>
            <w:r w:rsidRPr="009D5F24">
              <w:rPr>
                <w:sz w:val="14"/>
                <w:szCs w:val="14"/>
              </w:rPr>
              <w:t>Current smokers (Victoria)</w:t>
            </w:r>
          </w:p>
        </w:tc>
        <w:tc>
          <w:tcPr>
            <w:tcW w:w="635" w:type="dxa"/>
            <w:tcBorders>
              <w:top w:val="single" w:sz="8" w:space="0" w:color="C00000"/>
              <w:left w:val="nil"/>
              <w:bottom w:val="single" w:sz="8" w:space="0" w:color="C00000"/>
              <w:right w:val="nil"/>
            </w:tcBorders>
            <w:shd w:val="clear" w:color="auto" w:fill="EDCDCF"/>
            <w:vAlign w:val="center"/>
          </w:tcPr>
          <w:p w14:paraId="5263B066" w14:textId="77777777" w:rsidR="009D5F24" w:rsidRPr="009D5F24" w:rsidRDefault="009D5F24" w:rsidP="009D5F24">
            <w:pPr>
              <w:pStyle w:val="Tablecolhead"/>
              <w:rPr>
                <w:sz w:val="14"/>
                <w:szCs w:val="14"/>
              </w:rPr>
            </w:pPr>
            <w:r w:rsidRPr="009D5F24">
              <w:rPr>
                <w:sz w:val="14"/>
                <w:szCs w:val="14"/>
              </w:rPr>
              <w:t>2014</w:t>
            </w:r>
          </w:p>
          <w:p w14:paraId="1DDF1A65" w14:textId="55731A63" w:rsidR="009D5F24" w:rsidRPr="009D5F24" w:rsidRDefault="009D5F24" w:rsidP="009D5F24">
            <w:pPr>
              <w:pStyle w:val="Tablecolhead"/>
              <w:rPr>
                <w:sz w:val="14"/>
                <w:szCs w:val="14"/>
              </w:rPr>
            </w:pPr>
            <w:r w:rsidRPr="009D5F24">
              <w:rPr>
                <w:sz w:val="14"/>
                <w:szCs w:val="14"/>
              </w:rPr>
              <w:t>12 yrs</w:t>
            </w:r>
          </w:p>
        </w:tc>
        <w:tc>
          <w:tcPr>
            <w:tcW w:w="635" w:type="dxa"/>
            <w:tcBorders>
              <w:top w:val="single" w:sz="8" w:space="0" w:color="C00000"/>
              <w:left w:val="nil"/>
              <w:bottom w:val="single" w:sz="8" w:space="0" w:color="C00000"/>
              <w:right w:val="nil"/>
            </w:tcBorders>
            <w:shd w:val="clear" w:color="auto" w:fill="EDCDCF"/>
            <w:vAlign w:val="center"/>
          </w:tcPr>
          <w:p w14:paraId="3BC81FEE" w14:textId="77777777" w:rsidR="009D5F24" w:rsidRPr="009D5F24" w:rsidRDefault="009D5F24" w:rsidP="009D5F24">
            <w:pPr>
              <w:pStyle w:val="Tablecolhead"/>
              <w:rPr>
                <w:sz w:val="14"/>
                <w:szCs w:val="14"/>
              </w:rPr>
            </w:pPr>
            <w:r w:rsidRPr="009D5F24">
              <w:rPr>
                <w:sz w:val="14"/>
                <w:szCs w:val="14"/>
              </w:rPr>
              <w:t>2017</w:t>
            </w:r>
          </w:p>
          <w:p w14:paraId="13045702" w14:textId="077DD0BF" w:rsidR="009D5F24" w:rsidRPr="009D5F24" w:rsidRDefault="009D5F24" w:rsidP="009D5F24">
            <w:pPr>
              <w:pStyle w:val="Tablecolhead"/>
              <w:rPr>
                <w:sz w:val="14"/>
                <w:szCs w:val="14"/>
              </w:rPr>
            </w:pPr>
            <w:r w:rsidRPr="009D5F24">
              <w:rPr>
                <w:sz w:val="14"/>
                <w:szCs w:val="14"/>
              </w:rPr>
              <w:t>12 yrs</w:t>
            </w:r>
          </w:p>
        </w:tc>
        <w:tc>
          <w:tcPr>
            <w:tcW w:w="634" w:type="dxa"/>
            <w:tcBorders>
              <w:top w:val="single" w:sz="8" w:space="0" w:color="C00000"/>
              <w:left w:val="nil"/>
              <w:bottom w:val="single" w:sz="8" w:space="0" w:color="C00000"/>
              <w:right w:val="nil"/>
            </w:tcBorders>
            <w:shd w:val="clear" w:color="auto" w:fill="EDCDCF"/>
            <w:vAlign w:val="center"/>
          </w:tcPr>
          <w:p w14:paraId="00BDD65B" w14:textId="77777777" w:rsidR="009D5F24" w:rsidRPr="009D5F24" w:rsidRDefault="009D5F24" w:rsidP="009D5F24">
            <w:pPr>
              <w:pStyle w:val="Tablecolhead"/>
              <w:rPr>
                <w:sz w:val="14"/>
                <w:szCs w:val="14"/>
              </w:rPr>
            </w:pPr>
            <w:r w:rsidRPr="009D5F24">
              <w:rPr>
                <w:sz w:val="14"/>
                <w:szCs w:val="14"/>
              </w:rPr>
              <w:t>2014</w:t>
            </w:r>
          </w:p>
          <w:p w14:paraId="288A91B0" w14:textId="0DD4FF8F" w:rsidR="009D5F24" w:rsidRPr="009D5F24" w:rsidRDefault="009D5F24" w:rsidP="009D5F24">
            <w:pPr>
              <w:pStyle w:val="Tablecolhead"/>
              <w:rPr>
                <w:sz w:val="14"/>
                <w:szCs w:val="14"/>
              </w:rPr>
            </w:pPr>
            <w:r w:rsidRPr="009D5F24">
              <w:rPr>
                <w:sz w:val="14"/>
                <w:szCs w:val="14"/>
              </w:rPr>
              <w:t>13 yrs</w:t>
            </w:r>
          </w:p>
        </w:tc>
        <w:tc>
          <w:tcPr>
            <w:tcW w:w="634" w:type="dxa"/>
            <w:tcBorders>
              <w:top w:val="single" w:sz="8" w:space="0" w:color="C00000"/>
              <w:left w:val="nil"/>
              <w:bottom w:val="single" w:sz="8" w:space="0" w:color="C00000"/>
              <w:right w:val="nil"/>
            </w:tcBorders>
            <w:shd w:val="clear" w:color="auto" w:fill="EDCDCF"/>
            <w:vAlign w:val="center"/>
          </w:tcPr>
          <w:p w14:paraId="3F5CC1A7" w14:textId="77777777" w:rsidR="009D5F24" w:rsidRPr="009D5F24" w:rsidRDefault="009D5F24" w:rsidP="009D5F24">
            <w:pPr>
              <w:pStyle w:val="Tablecolhead"/>
              <w:rPr>
                <w:sz w:val="14"/>
                <w:szCs w:val="14"/>
              </w:rPr>
            </w:pPr>
            <w:r w:rsidRPr="009D5F24">
              <w:rPr>
                <w:sz w:val="14"/>
                <w:szCs w:val="14"/>
              </w:rPr>
              <w:t>2017</w:t>
            </w:r>
          </w:p>
          <w:p w14:paraId="6703DBFC" w14:textId="647E0B8E" w:rsidR="009D5F24" w:rsidRPr="009D5F24" w:rsidRDefault="009D5F24" w:rsidP="009D5F24">
            <w:pPr>
              <w:pStyle w:val="Tablecolhead"/>
              <w:rPr>
                <w:sz w:val="14"/>
                <w:szCs w:val="14"/>
              </w:rPr>
            </w:pPr>
            <w:r w:rsidRPr="009D5F24">
              <w:rPr>
                <w:sz w:val="14"/>
                <w:szCs w:val="14"/>
              </w:rPr>
              <w:t>13 yrs</w:t>
            </w:r>
          </w:p>
        </w:tc>
        <w:tc>
          <w:tcPr>
            <w:tcW w:w="634" w:type="dxa"/>
            <w:tcBorders>
              <w:top w:val="single" w:sz="8" w:space="0" w:color="C00000"/>
              <w:left w:val="nil"/>
              <w:bottom w:val="single" w:sz="8" w:space="0" w:color="C00000"/>
              <w:right w:val="nil"/>
            </w:tcBorders>
            <w:shd w:val="clear" w:color="auto" w:fill="EDCDCF"/>
            <w:vAlign w:val="center"/>
          </w:tcPr>
          <w:p w14:paraId="528E2DB0" w14:textId="77777777" w:rsidR="009D5F24" w:rsidRPr="009D5F24" w:rsidRDefault="009D5F24" w:rsidP="009D5F24">
            <w:pPr>
              <w:pStyle w:val="Tablecolhead"/>
              <w:rPr>
                <w:sz w:val="14"/>
                <w:szCs w:val="14"/>
              </w:rPr>
            </w:pPr>
            <w:r w:rsidRPr="009D5F24">
              <w:rPr>
                <w:sz w:val="14"/>
                <w:szCs w:val="14"/>
              </w:rPr>
              <w:t>2014</w:t>
            </w:r>
          </w:p>
          <w:p w14:paraId="1A1B4497" w14:textId="337B9061" w:rsidR="009D5F24" w:rsidRPr="009D5F24" w:rsidRDefault="009D5F24" w:rsidP="009D5F24">
            <w:pPr>
              <w:pStyle w:val="Tablecolhead"/>
              <w:rPr>
                <w:sz w:val="14"/>
                <w:szCs w:val="14"/>
              </w:rPr>
            </w:pPr>
            <w:r w:rsidRPr="009D5F24">
              <w:rPr>
                <w:sz w:val="14"/>
                <w:szCs w:val="14"/>
              </w:rPr>
              <w:t>14 yrs</w:t>
            </w:r>
          </w:p>
        </w:tc>
        <w:tc>
          <w:tcPr>
            <w:tcW w:w="634" w:type="dxa"/>
            <w:tcBorders>
              <w:top w:val="single" w:sz="8" w:space="0" w:color="C00000"/>
              <w:left w:val="nil"/>
              <w:bottom w:val="single" w:sz="8" w:space="0" w:color="C00000"/>
              <w:right w:val="nil"/>
            </w:tcBorders>
            <w:shd w:val="clear" w:color="auto" w:fill="EDCDCF"/>
            <w:vAlign w:val="center"/>
          </w:tcPr>
          <w:p w14:paraId="265EB21B" w14:textId="77777777" w:rsidR="009D5F24" w:rsidRPr="009D5F24" w:rsidRDefault="009D5F24" w:rsidP="009D5F24">
            <w:pPr>
              <w:pStyle w:val="Tablecolhead"/>
              <w:rPr>
                <w:sz w:val="14"/>
                <w:szCs w:val="14"/>
              </w:rPr>
            </w:pPr>
            <w:r w:rsidRPr="009D5F24">
              <w:rPr>
                <w:sz w:val="14"/>
                <w:szCs w:val="14"/>
              </w:rPr>
              <w:t>2017</w:t>
            </w:r>
          </w:p>
          <w:p w14:paraId="232319DE" w14:textId="19E3799F" w:rsidR="009D5F24" w:rsidRPr="009D5F24" w:rsidRDefault="009D5F24" w:rsidP="009D5F24">
            <w:pPr>
              <w:pStyle w:val="Tablecolhead"/>
              <w:rPr>
                <w:sz w:val="14"/>
                <w:szCs w:val="14"/>
              </w:rPr>
            </w:pPr>
            <w:r w:rsidRPr="009D5F24">
              <w:rPr>
                <w:sz w:val="14"/>
                <w:szCs w:val="14"/>
              </w:rPr>
              <w:t>14 yrs</w:t>
            </w:r>
          </w:p>
        </w:tc>
        <w:tc>
          <w:tcPr>
            <w:tcW w:w="634" w:type="dxa"/>
            <w:tcBorders>
              <w:top w:val="single" w:sz="8" w:space="0" w:color="C00000"/>
              <w:left w:val="nil"/>
              <w:bottom w:val="single" w:sz="8" w:space="0" w:color="C00000"/>
              <w:right w:val="nil"/>
            </w:tcBorders>
            <w:shd w:val="clear" w:color="auto" w:fill="EDCDCF"/>
            <w:vAlign w:val="center"/>
          </w:tcPr>
          <w:p w14:paraId="46BD8B00" w14:textId="77777777" w:rsidR="009D5F24" w:rsidRPr="009D5F24" w:rsidRDefault="009D5F24" w:rsidP="009D5F24">
            <w:pPr>
              <w:pStyle w:val="Tablecolhead"/>
              <w:rPr>
                <w:sz w:val="14"/>
                <w:szCs w:val="14"/>
              </w:rPr>
            </w:pPr>
            <w:r w:rsidRPr="009D5F24">
              <w:rPr>
                <w:sz w:val="14"/>
                <w:szCs w:val="14"/>
              </w:rPr>
              <w:t>2014</w:t>
            </w:r>
          </w:p>
          <w:p w14:paraId="14A4184B" w14:textId="708A485A" w:rsidR="009D5F24" w:rsidRPr="009D5F24" w:rsidRDefault="009D5F24" w:rsidP="009D5F24">
            <w:pPr>
              <w:pStyle w:val="Tablecolhead"/>
              <w:rPr>
                <w:sz w:val="14"/>
                <w:szCs w:val="14"/>
              </w:rPr>
            </w:pPr>
            <w:r w:rsidRPr="009D5F24">
              <w:rPr>
                <w:sz w:val="14"/>
                <w:szCs w:val="14"/>
              </w:rPr>
              <w:t>15 yrs</w:t>
            </w:r>
          </w:p>
        </w:tc>
        <w:tc>
          <w:tcPr>
            <w:tcW w:w="634" w:type="dxa"/>
            <w:tcBorders>
              <w:top w:val="single" w:sz="8" w:space="0" w:color="C00000"/>
              <w:left w:val="nil"/>
              <w:bottom w:val="single" w:sz="8" w:space="0" w:color="C00000"/>
              <w:right w:val="nil"/>
            </w:tcBorders>
            <w:shd w:val="clear" w:color="auto" w:fill="EDCDCF"/>
            <w:vAlign w:val="center"/>
          </w:tcPr>
          <w:p w14:paraId="04069E3C" w14:textId="77777777" w:rsidR="009D5F24" w:rsidRPr="009D5F24" w:rsidRDefault="009D5F24" w:rsidP="009D5F24">
            <w:pPr>
              <w:pStyle w:val="Tablecolhead"/>
              <w:rPr>
                <w:sz w:val="14"/>
                <w:szCs w:val="14"/>
              </w:rPr>
            </w:pPr>
            <w:r w:rsidRPr="009D5F24">
              <w:rPr>
                <w:sz w:val="14"/>
                <w:szCs w:val="14"/>
              </w:rPr>
              <w:t>2017</w:t>
            </w:r>
          </w:p>
          <w:p w14:paraId="7644A306" w14:textId="0CF108E4" w:rsidR="009D5F24" w:rsidRPr="009D5F24" w:rsidRDefault="009D5F24" w:rsidP="009D5F24">
            <w:pPr>
              <w:pStyle w:val="Tablecolhead"/>
              <w:rPr>
                <w:sz w:val="14"/>
                <w:szCs w:val="14"/>
              </w:rPr>
            </w:pPr>
            <w:r w:rsidRPr="009D5F24">
              <w:rPr>
                <w:sz w:val="14"/>
                <w:szCs w:val="14"/>
              </w:rPr>
              <w:t>15 yrs</w:t>
            </w:r>
          </w:p>
        </w:tc>
        <w:tc>
          <w:tcPr>
            <w:tcW w:w="634" w:type="dxa"/>
            <w:tcBorders>
              <w:top w:val="single" w:sz="8" w:space="0" w:color="C00000"/>
              <w:left w:val="nil"/>
              <w:bottom w:val="single" w:sz="8" w:space="0" w:color="C00000"/>
              <w:right w:val="nil"/>
            </w:tcBorders>
            <w:shd w:val="clear" w:color="auto" w:fill="EDCDCF"/>
            <w:vAlign w:val="center"/>
          </w:tcPr>
          <w:p w14:paraId="15EEC2EF" w14:textId="77777777" w:rsidR="009D5F24" w:rsidRPr="009D5F24" w:rsidRDefault="009D5F24" w:rsidP="009D5F24">
            <w:pPr>
              <w:pStyle w:val="Tablecolhead"/>
              <w:rPr>
                <w:sz w:val="14"/>
                <w:szCs w:val="14"/>
              </w:rPr>
            </w:pPr>
            <w:r w:rsidRPr="009D5F24">
              <w:rPr>
                <w:sz w:val="14"/>
                <w:szCs w:val="14"/>
              </w:rPr>
              <w:t>2014</w:t>
            </w:r>
          </w:p>
          <w:p w14:paraId="422F1CB5" w14:textId="03B915D5" w:rsidR="009D5F24" w:rsidRPr="009D5F24" w:rsidRDefault="009D5F24" w:rsidP="009D5F24">
            <w:pPr>
              <w:pStyle w:val="Tablecolhead"/>
              <w:rPr>
                <w:sz w:val="14"/>
                <w:szCs w:val="14"/>
              </w:rPr>
            </w:pPr>
            <w:r w:rsidRPr="009D5F24">
              <w:rPr>
                <w:sz w:val="14"/>
                <w:szCs w:val="14"/>
              </w:rPr>
              <w:t>16 yrs</w:t>
            </w:r>
          </w:p>
        </w:tc>
        <w:tc>
          <w:tcPr>
            <w:tcW w:w="634" w:type="dxa"/>
            <w:tcBorders>
              <w:top w:val="single" w:sz="8" w:space="0" w:color="C00000"/>
              <w:left w:val="nil"/>
              <w:bottom w:val="single" w:sz="8" w:space="0" w:color="C00000"/>
              <w:right w:val="nil"/>
            </w:tcBorders>
            <w:shd w:val="clear" w:color="auto" w:fill="EDCDCF"/>
            <w:vAlign w:val="center"/>
          </w:tcPr>
          <w:p w14:paraId="6E873909" w14:textId="77777777" w:rsidR="009D5F24" w:rsidRPr="009D5F24" w:rsidRDefault="009D5F24" w:rsidP="009D5F24">
            <w:pPr>
              <w:pStyle w:val="Tablecolhead"/>
              <w:rPr>
                <w:sz w:val="14"/>
                <w:szCs w:val="14"/>
              </w:rPr>
            </w:pPr>
            <w:r w:rsidRPr="009D5F24">
              <w:rPr>
                <w:sz w:val="14"/>
                <w:szCs w:val="14"/>
              </w:rPr>
              <w:t>2017</w:t>
            </w:r>
          </w:p>
          <w:p w14:paraId="246D2B97" w14:textId="54A3F200" w:rsidR="009D5F24" w:rsidRPr="009D5F24" w:rsidRDefault="009D5F24" w:rsidP="009D5F24">
            <w:pPr>
              <w:pStyle w:val="Tablecolhead"/>
              <w:rPr>
                <w:sz w:val="14"/>
                <w:szCs w:val="14"/>
              </w:rPr>
            </w:pPr>
            <w:r w:rsidRPr="009D5F24">
              <w:rPr>
                <w:sz w:val="14"/>
                <w:szCs w:val="14"/>
              </w:rPr>
              <w:t>16 yrs</w:t>
            </w:r>
          </w:p>
        </w:tc>
        <w:tc>
          <w:tcPr>
            <w:tcW w:w="634" w:type="dxa"/>
            <w:tcBorders>
              <w:top w:val="single" w:sz="8" w:space="0" w:color="C00000"/>
              <w:left w:val="nil"/>
              <w:bottom w:val="single" w:sz="8" w:space="0" w:color="C00000"/>
              <w:right w:val="nil"/>
            </w:tcBorders>
            <w:shd w:val="clear" w:color="auto" w:fill="EDCDCF"/>
            <w:vAlign w:val="center"/>
          </w:tcPr>
          <w:p w14:paraId="3087BAD9" w14:textId="77777777" w:rsidR="009D5F24" w:rsidRPr="009D5F24" w:rsidRDefault="009D5F24" w:rsidP="009D5F24">
            <w:pPr>
              <w:pStyle w:val="Tablecolhead"/>
              <w:rPr>
                <w:sz w:val="14"/>
                <w:szCs w:val="14"/>
              </w:rPr>
            </w:pPr>
            <w:r w:rsidRPr="009D5F24">
              <w:rPr>
                <w:sz w:val="14"/>
                <w:szCs w:val="14"/>
              </w:rPr>
              <w:t>2014</w:t>
            </w:r>
          </w:p>
          <w:p w14:paraId="0B2DFF8C" w14:textId="6217F04B" w:rsidR="009D5F24" w:rsidRPr="009D5F24" w:rsidRDefault="009D5F24" w:rsidP="009D5F24">
            <w:pPr>
              <w:pStyle w:val="Tablecolhead"/>
              <w:rPr>
                <w:sz w:val="14"/>
                <w:szCs w:val="14"/>
              </w:rPr>
            </w:pPr>
            <w:r w:rsidRPr="009D5F24">
              <w:rPr>
                <w:sz w:val="14"/>
                <w:szCs w:val="14"/>
              </w:rPr>
              <w:t>17 yrs</w:t>
            </w:r>
          </w:p>
        </w:tc>
        <w:tc>
          <w:tcPr>
            <w:tcW w:w="634" w:type="dxa"/>
            <w:tcBorders>
              <w:top w:val="single" w:sz="8" w:space="0" w:color="C00000"/>
              <w:left w:val="nil"/>
              <w:bottom w:val="single" w:sz="8" w:space="0" w:color="C00000"/>
              <w:right w:val="nil"/>
            </w:tcBorders>
            <w:shd w:val="clear" w:color="auto" w:fill="EDCDCF"/>
            <w:vAlign w:val="center"/>
          </w:tcPr>
          <w:p w14:paraId="4B6A68CD" w14:textId="77777777" w:rsidR="009D5F24" w:rsidRPr="009D5F24" w:rsidRDefault="009D5F24" w:rsidP="009D5F24">
            <w:pPr>
              <w:pStyle w:val="Tablecolhead"/>
              <w:rPr>
                <w:sz w:val="14"/>
                <w:szCs w:val="14"/>
              </w:rPr>
            </w:pPr>
            <w:r w:rsidRPr="009D5F24">
              <w:rPr>
                <w:sz w:val="14"/>
                <w:szCs w:val="14"/>
              </w:rPr>
              <w:t>2017</w:t>
            </w:r>
          </w:p>
          <w:p w14:paraId="7EB16078" w14:textId="4C436E78" w:rsidR="009D5F24" w:rsidRPr="009D5F24" w:rsidRDefault="009D5F24" w:rsidP="009D5F24">
            <w:pPr>
              <w:pStyle w:val="Tablecolhead"/>
              <w:rPr>
                <w:sz w:val="14"/>
                <w:szCs w:val="14"/>
              </w:rPr>
            </w:pPr>
            <w:r w:rsidRPr="009D5F24">
              <w:rPr>
                <w:sz w:val="14"/>
                <w:szCs w:val="14"/>
              </w:rPr>
              <w:t>12 yrs</w:t>
            </w:r>
          </w:p>
        </w:tc>
        <w:tc>
          <w:tcPr>
            <w:tcW w:w="634" w:type="dxa"/>
            <w:tcBorders>
              <w:top w:val="single" w:sz="8" w:space="0" w:color="C00000"/>
              <w:left w:val="nil"/>
              <w:bottom w:val="single" w:sz="8" w:space="0" w:color="C00000"/>
              <w:right w:val="single" w:sz="12" w:space="0" w:color="FFFFFF"/>
            </w:tcBorders>
            <w:shd w:val="clear" w:color="auto" w:fill="EDCDCF"/>
            <w:vAlign w:val="center"/>
          </w:tcPr>
          <w:p w14:paraId="51F1BDF2" w14:textId="77777777" w:rsidR="009D5F24" w:rsidRPr="009D5F24" w:rsidRDefault="009D5F24" w:rsidP="009D5F24">
            <w:pPr>
              <w:pStyle w:val="Tablecolhead"/>
              <w:rPr>
                <w:sz w:val="14"/>
                <w:szCs w:val="14"/>
              </w:rPr>
            </w:pPr>
            <w:r w:rsidRPr="009D5F24">
              <w:rPr>
                <w:sz w:val="14"/>
                <w:szCs w:val="14"/>
              </w:rPr>
              <w:t>2014</w:t>
            </w:r>
          </w:p>
          <w:p w14:paraId="75CEC7CA" w14:textId="4210CA46" w:rsidR="009D5F24" w:rsidRPr="009D5F24" w:rsidRDefault="009D5F24" w:rsidP="009D5F24">
            <w:pPr>
              <w:pStyle w:val="Tablecolhead"/>
              <w:rPr>
                <w:sz w:val="14"/>
                <w:szCs w:val="14"/>
              </w:rPr>
            </w:pPr>
            <w:r w:rsidRPr="009D5F24">
              <w:rPr>
                <w:sz w:val="14"/>
                <w:szCs w:val="14"/>
              </w:rPr>
              <w:t>12–17 yrs</w:t>
            </w:r>
          </w:p>
        </w:tc>
        <w:tc>
          <w:tcPr>
            <w:tcW w:w="634" w:type="dxa"/>
            <w:tcBorders>
              <w:top w:val="single" w:sz="8" w:space="0" w:color="C00000"/>
              <w:left w:val="nil"/>
              <w:bottom w:val="single" w:sz="8" w:space="0" w:color="C00000"/>
              <w:right w:val="nil"/>
            </w:tcBorders>
            <w:shd w:val="clear" w:color="auto" w:fill="EDCDCF"/>
            <w:vAlign w:val="center"/>
          </w:tcPr>
          <w:p w14:paraId="192CC5B6" w14:textId="77777777" w:rsidR="009D5F24" w:rsidRPr="009D5F24" w:rsidRDefault="009D5F24" w:rsidP="009D5F24">
            <w:pPr>
              <w:pStyle w:val="Tablecolhead"/>
              <w:rPr>
                <w:sz w:val="14"/>
                <w:szCs w:val="14"/>
              </w:rPr>
            </w:pPr>
            <w:r w:rsidRPr="009D5F24">
              <w:rPr>
                <w:sz w:val="14"/>
                <w:szCs w:val="14"/>
              </w:rPr>
              <w:t>2017</w:t>
            </w:r>
          </w:p>
          <w:p w14:paraId="18D37550" w14:textId="65A98845" w:rsidR="009D5F24" w:rsidRPr="009D5F24" w:rsidRDefault="009D5F24" w:rsidP="009D5F24">
            <w:pPr>
              <w:pStyle w:val="Tablecolhead"/>
              <w:rPr>
                <w:sz w:val="14"/>
                <w:szCs w:val="14"/>
              </w:rPr>
            </w:pPr>
            <w:r w:rsidRPr="009D5F24">
              <w:rPr>
                <w:sz w:val="14"/>
                <w:szCs w:val="14"/>
              </w:rPr>
              <w:t>12–17 yrs</w:t>
            </w:r>
          </w:p>
        </w:tc>
      </w:tr>
      <w:tr w:rsidR="009D5F24" w:rsidRPr="007744CA" w14:paraId="6D27DE80" w14:textId="77777777" w:rsidTr="00236D5F">
        <w:trPr>
          <w:trHeight w:val="175"/>
        </w:trPr>
        <w:tc>
          <w:tcPr>
            <w:tcW w:w="1120" w:type="dxa"/>
            <w:tcBorders>
              <w:top w:val="single" w:sz="8" w:space="0" w:color="C00000"/>
              <w:left w:val="nil"/>
              <w:bottom w:val="single" w:sz="8" w:space="0" w:color="C00000"/>
              <w:right w:val="nil"/>
            </w:tcBorders>
            <w:shd w:val="clear" w:color="000000" w:fill="FFFFFF" w:themeFill="background1"/>
            <w:vAlign w:val="center"/>
            <w:hideMark/>
          </w:tcPr>
          <w:p w14:paraId="6187C694" w14:textId="77777777" w:rsidR="009D5F24" w:rsidRPr="009D5F24" w:rsidRDefault="009D5F24" w:rsidP="009D5F24">
            <w:pPr>
              <w:pStyle w:val="Tabletext"/>
              <w:rPr>
                <w:sz w:val="14"/>
                <w:szCs w:val="14"/>
              </w:rPr>
            </w:pPr>
            <w:r w:rsidRPr="009D5F24">
              <w:rPr>
                <w:sz w:val="14"/>
                <w:szCs w:val="14"/>
              </w:rPr>
              <w:t>Males (%)</w:t>
            </w:r>
          </w:p>
        </w:tc>
        <w:tc>
          <w:tcPr>
            <w:tcW w:w="635" w:type="dxa"/>
            <w:tcBorders>
              <w:top w:val="single" w:sz="8" w:space="0" w:color="C00000"/>
              <w:left w:val="nil"/>
              <w:bottom w:val="single" w:sz="8" w:space="0" w:color="C00000"/>
              <w:right w:val="nil"/>
            </w:tcBorders>
            <w:shd w:val="clear" w:color="000000" w:fill="FFFFFF" w:themeFill="background1"/>
            <w:vAlign w:val="center"/>
            <w:hideMark/>
          </w:tcPr>
          <w:p w14:paraId="30DA15C0" w14:textId="77777777" w:rsidR="009D5F24" w:rsidRPr="009D5F24" w:rsidRDefault="009D5F24" w:rsidP="009D5F24">
            <w:pPr>
              <w:pStyle w:val="Tabletext"/>
              <w:rPr>
                <w:sz w:val="14"/>
                <w:szCs w:val="14"/>
              </w:rPr>
            </w:pPr>
            <w:r w:rsidRPr="009D5F24">
              <w:rPr>
                <w:sz w:val="14"/>
                <w:szCs w:val="14"/>
              </w:rPr>
              <w:t>1</w:t>
            </w:r>
          </w:p>
        </w:tc>
        <w:tc>
          <w:tcPr>
            <w:tcW w:w="635" w:type="dxa"/>
            <w:tcBorders>
              <w:top w:val="single" w:sz="8" w:space="0" w:color="C00000"/>
              <w:left w:val="nil"/>
              <w:bottom w:val="single" w:sz="8" w:space="0" w:color="C00000"/>
              <w:right w:val="nil"/>
            </w:tcBorders>
            <w:shd w:val="clear" w:color="000000" w:fill="FFFFFF" w:themeFill="background1"/>
            <w:vAlign w:val="center"/>
            <w:hideMark/>
          </w:tcPr>
          <w:p w14:paraId="39813580" w14:textId="77777777" w:rsidR="009D5F24" w:rsidRPr="009D5F24" w:rsidRDefault="009D5F24" w:rsidP="009D5F24">
            <w:pPr>
              <w:pStyle w:val="Tabletext"/>
              <w:rPr>
                <w:sz w:val="14"/>
                <w:szCs w:val="14"/>
              </w:rPr>
            </w:pPr>
            <w:r w:rsidRPr="009D5F24">
              <w:rPr>
                <w:sz w:val="14"/>
                <w:szCs w:val="14"/>
              </w:rPr>
              <w:t>1</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2CEE45AB" w14:textId="77777777" w:rsidR="009D5F24" w:rsidRPr="009D5F24" w:rsidRDefault="009D5F24" w:rsidP="009D5F24">
            <w:pPr>
              <w:pStyle w:val="Tabletext"/>
              <w:rPr>
                <w:sz w:val="14"/>
                <w:szCs w:val="14"/>
              </w:rPr>
            </w:pPr>
            <w:r w:rsidRPr="009D5F24">
              <w:rPr>
                <w:sz w:val="14"/>
                <w:szCs w:val="14"/>
              </w:rPr>
              <w:t>2</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4BF3869D" w14:textId="77777777" w:rsidR="009D5F24" w:rsidRPr="009D5F24" w:rsidRDefault="009D5F24" w:rsidP="009D5F24">
            <w:pPr>
              <w:pStyle w:val="Tabletext"/>
              <w:rPr>
                <w:sz w:val="14"/>
                <w:szCs w:val="14"/>
              </w:rPr>
            </w:pPr>
            <w:r w:rsidRPr="009D5F24">
              <w:rPr>
                <w:sz w:val="14"/>
                <w:szCs w:val="14"/>
              </w:rPr>
              <w:t>1</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5880188A" w14:textId="77777777" w:rsidR="009D5F24" w:rsidRPr="009D5F24" w:rsidRDefault="009D5F24" w:rsidP="009D5F24">
            <w:pPr>
              <w:pStyle w:val="Tabletext"/>
              <w:rPr>
                <w:sz w:val="14"/>
                <w:szCs w:val="14"/>
              </w:rPr>
            </w:pPr>
            <w:r w:rsidRPr="009D5F24">
              <w:rPr>
                <w:sz w:val="14"/>
                <w:szCs w:val="14"/>
              </w:rPr>
              <w:t>3</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453A485D" w14:textId="77777777" w:rsidR="009D5F24" w:rsidRPr="009D5F24" w:rsidRDefault="009D5F24" w:rsidP="009D5F24">
            <w:pPr>
              <w:pStyle w:val="Tabletext"/>
              <w:rPr>
                <w:sz w:val="14"/>
                <w:szCs w:val="14"/>
              </w:rPr>
            </w:pPr>
            <w:r w:rsidRPr="009D5F24">
              <w:rPr>
                <w:sz w:val="14"/>
                <w:szCs w:val="14"/>
              </w:rPr>
              <w:t>3</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67F6F6A4" w14:textId="77777777" w:rsidR="009D5F24" w:rsidRPr="009D5F24" w:rsidRDefault="009D5F24" w:rsidP="009D5F24">
            <w:pPr>
              <w:pStyle w:val="Tabletext"/>
              <w:rPr>
                <w:sz w:val="14"/>
                <w:szCs w:val="14"/>
              </w:rPr>
            </w:pPr>
            <w:r w:rsidRPr="009D5F24">
              <w:rPr>
                <w:sz w:val="14"/>
                <w:szCs w:val="14"/>
              </w:rPr>
              <w:t>5</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0860F023" w14:textId="77777777" w:rsidR="009D5F24" w:rsidRPr="009D5F24" w:rsidRDefault="009D5F24" w:rsidP="009D5F24">
            <w:pPr>
              <w:pStyle w:val="Tabletext"/>
              <w:rPr>
                <w:sz w:val="14"/>
                <w:szCs w:val="14"/>
              </w:rPr>
            </w:pPr>
            <w:r w:rsidRPr="009D5F24">
              <w:rPr>
                <w:sz w:val="14"/>
                <w:szCs w:val="14"/>
              </w:rPr>
              <w:t>6</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09E91A2D" w14:textId="77777777" w:rsidR="009D5F24" w:rsidRPr="009D5F24" w:rsidRDefault="009D5F24" w:rsidP="009D5F24">
            <w:pPr>
              <w:pStyle w:val="Tabletext"/>
              <w:rPr>
                <w:sz w:val="14"/>
                <w:szCs w:val="14"/>
              </w:rPr>
            </w:pPr>
            <w:r w:rsidRPr="009D5F24">
              <w:rPr>
                <w:sz w:val="14"/>
                <w:szCs w:val="14"/>
              </w:rPr>
              <w:t>10</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4E9DF14F" w14:textId="77777777" w:rsidR="009D5F24" w:rsidRPr="009D5F24" w:rsidRDefault="009D5F24" w:rsidP="009D5F24">
            <w:pPr>
              <w:pStyle w:val="Tabletext"/>
              <w:rPr>
                <w:sz w:val="14"/>
                <w:szCs w:val="14"/>
              </w:rPr>
            </w:pPr>
            <w:r w:rsidRPr="009D5F24">
              <w:rPr>
                <w:sz w:val="14"/>
                <w:szCs w:val="14"/>
              </w:rPr>
              <w:t>8</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1C3F500C" w14:textId="77777777" w:rsidR="009D5F24" w:rsidRPr="009D5F24" w:rsidRDefault="009D5F24" w:rsidP="009D5F24">
            <w:pPr>
              <w:pStyle w:val="Tabletext"/>
              <w:rPr>
                <w:sz w:val="14"/>
                <w:szCs w:val="14"/>
              </w:rPr>
            </w:pPr>
            <w:r w:rsidRPr="009D5F24">
              <w:rPr>
                <w:sz w:val="14"/>
                <w:szCs w:val="14"/>
              </w:rPr>
              <w:t>13</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43EEA8DC" w14:textId="77777777" w:rsidR="009D5F24" w:rsidRPr="009D5F24" w:rsidRDefault="009D5F24" w:rsidP="009D5F24">
            <w:pPr>
              <w:pStyle w:val="Tabletext"/>
              <w:rPr>
                <w:sz w:val="14"/>
                <w:szCs w:val="14"/>
              </w:rPr>
            </w:pPr>
            <w:r w:rsidRPr="009D5F24">
              <w:rPr>
                <w:sz w:val="14"/>
                <w:szCs w:val="14"/>
              </w:rPr>
              <w:t>9</w:t>
            </w:r>
          </w:p>
        </w:tc>
        <w:tc>
          <w:tcPr>
            <w:tcW w:w="634" w:type="dxa"/>
            <w:tcBorders>
              <w:top w:val="single" w:sz="8" w:space="0" w:color="C00000"/>
              <w:left w:val="nil"/>
              <w:bottom w:val="single" w:sz="8" w:space="0" w:color="C00000"/>
              <w:right w:val="single" w:sz="12" w:space="0" w:color="FFFFFF"/>
            </w:tcBorders>
            <w:shd w:val="clear" w:color="000000" w:fill="FFFFFF" w:themeFill="background1"/>
            <w:vAlign w:val="center"/>
            <w:hideMark/>
          </w:tcPr>
          <w:p w14:paraId="35D0EB38" w14:textId="77777777" w:rsidR="009D5F24" w:rsidRPr="009D5F24" w:rsidRDefault="009D5F24" w:rsidP="009D5F24">
            <w:pPr>
              <w:pStyle w:val="Tabletext"/>
              <w:rPr>
                <w:sz w:val="14"/>
                <w:szCs w:val="14"/>
              </w:rPr>
            </w:pPr>
            <w:r w:rsidRPr="009D5F24">
              <w:rPr>
                <w:sz w:val="14"/>
                <w:szCs w:val="14"/>
              </w:rPr>
              <w:t>6</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2ADCA161" w14:textId="77777777" w:rsidR="009D5F24" w:rsidRPr="009D5F24" w:rsidRDefault="009D5F24" w:rsidP="009D5F24">
            <w:pPr>
              <w:pStyle w:val="Tabletext"/>
              <w:rPr>
                <w:sz w:val="14"/>
                <w:szCs w:val="14"/>
              </w:rPr>
            </w:pPr>
            <w:r w:rsidRPr="009D5F24">
              <w:rPr>
                <w:sz w:val="14"/>
                <w:szCs w:val="14"/>
              </w:rPr>
              <w:t>4</w:t>
            </w:r>
          </w:p>
        </w:tc>
      </w:tr>
      <w:tr w:rsidR="009D5F24" w:rsidRPr="007744CA" w14:paraId="627E8B38" w14:textId="77777777" w:rsidTr="00236D5F">
        <w:trPr>
          <w:trHeight w:val="175"/>
        </w:trPr>
        <w:tc>
          <w:tcPr>
            <w:tcW w:w="1120" w:type="dxa"/>
            <w:tcBorders>
              <w:top w:val="single" w:sz="8" w:space="0" w:color="C00000"/>
              <w:left w:val="nil"/>
              <w:bottom w:val="single" w:sz="8" w:space="0" w:color="C00000"/>
              <w:right w:val="nil"/>
            </w:tcBorders>
            <w:shd w:val="clear" w:color="000000" w:fill="FFFFFF" w:themeFill="background1"/>
            <w:vAlign w:val="center"/>
            <w:hideMark/>
          </w:tcPr>
          <w:p w14:paraId="2D8FD3A8" w14:textId="77777777" w:rsidR="009D5F24" w:rsidRPr="009D5F24" w:rsidRDefault="009D5F24" w:rsidP="009D5F24">
            <w:pPr>
              <w:pStyle w:val="Tabletext"/>
              <w:rPr>
                <w:sz w:val="14"/>
                <w:szCs w:val="14"/>
              </w:rPr>
            </w:pPr>
            <w:r w:rsidRPr="009D5F24">
              <w:rPr>
                <w:sz w:val="14"/>
                <w:szCs w:val="14"/>
              </w:rPr>
              <w:t>Females (%)</w:t>
            </w:r>
          </w:p>
        </w:tc>
        <w:tc>
          <w:tcPr>
            <w:tcW w:w="635" w:type="dxa"/>
            <w:tcBorders>
              <w:top w:val="single" w:sz="8" w:space="0" w:color="C00000"/>
              <w:left w:val="nil"/>
              <w:bottom w:val="single" w:sz="8" w:space="0" w:color="C00000"/>
              <w:right w:val="nil"/>
            </w:tcBorders>
            <w:shd w:val="clear" w:color="000000" w:fill="FFFFFF" w:themeFill="background1"/>
            <w:vAlign w:val="center"/>
            <w:hideMark/>
          </w:tcPr>
          <w:p w14:paraId="01B790F4" w14:textId="77777777" w:rsidR="009D5F24" w:rsidRPr="009D5F24" w:rsidRDefault="009D5F24" w:rsidP="009D5F24">
            <w:pPr>
              <w:pStyle w:val="Tabletext"/>
              <w:rPr>
                <w:sz w:val="14"/>
                <w:szCs w:val="14"/>
              </w:rPr>
            </w:pPr>
            <w:r w:rsidRPr="009D5F24">
              <w:rPr>
                <w:sz w:val="14"/>
                <w:szCs w:val="14"/>
              </w:rPr>
              <w:t>1</w:t>
            </w:r>
          </w:p>
        </w:tc>
        <w:tc>
          <w:tcPr>
            <w:tcW w:w="635" w:type="dxa"/>
            <w:tcBorders>
              <w:top w:val="single" w:sz="8" w:space="0" w:color="C00000"/>
              <w:left w:val="nil"/>
              <w:bottom w:val="single" w:sz="8" w:space="0" w:color="C00000"/>
              <w:right w:val="nil"/>
            </w:tcBorders>
            <w:shd w:val="clear" w:color="000000" w:fill="FFFFFF" w:themeFill="background1"/>
            <w:vAlign w:val="center"/>
            <w:hideMark/>
          </w:tcPr>
          <w:p w14:paraId="7A40879A" w14:textId="77777777" w:rsidR="009D5F24" w:rsidRPr="009D5F24" w:rsidRDefault="009D5F24" w:rsidP="009D5F24">
            <w:pPr>
              <w:pStyle w:val="Tabletext"/>
              <w:rPr>
                <w:sz w:val="14"/>
                <w:szCs w:val="14"/>
              </w:rPr>
            </w:pPr>
            <w:r w:rsidRPr="009D5F24">
              <w:rPr>
                <w:sz w:val="14"/>
                <w:szCs w:val="14"/>
              </w:rPr>
              <w:t>1</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189F0A2C" w14:textId="77777777" w:rsidR="009D5F24" w:rsidRPr="009D5F24" w:rsidRDefault="009D5F24" w:rsidP="009D5F24">
            <w:pPr>
              <w:pStyle w:val="Tabletext"/>
              <w:rPr>
                <w:sz w:val="14"/>
                <w:szCs w:val="14"/>
              </w:rPr>
            </w:pPr>
            <w:r w:rsidRPr="009D5F24">
              <w:rPr>
                <w:sz w:val="14"/>
                <w:szCs w:val="14"/>
              </w:rPr>
              <w:t>2</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285601B1" w14:textId="77777777" w:rsidR="009D5F24" w:rsidRPr="009D5F24" w:rsidRDefault="009D5F24" w:rsidP="009D5F24">
            <w:pPr>
              <w:pStyle w:val="Tabletext"/>
              <w:rPr>
                <w:sz w:val="14"/>
                <w:szCs w:val="14"/>
              </w:rPr>
            </w:pPr>
            <w:r w:rsidRPr="009D5F24">
              <w:rPr>
                <w:sz w:val="14"/>
                <w:szCs w:val="14"/>
              </w:rPr>
              <w:t>1</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068BB6A0" w14:textId="77777777" w:rsidR="009D5F24" w:rsidRPr="009D5F24" w:rsidRDefault="009D5F24" w:rsidP="009D5F24">
            <w:pPr>
              <w:pStyle w:val="Tabletext"/>
              <w:rPr>
                <w:sz w:val="14"/>
                <w:szCs w:val="14"/>
              </w:rPr>
            </w:pPr>
            <w:r w:rsidRPr="009D5F24">
              <w:rPr>
                <w:sz w:val="14"/>
                <w:szCs w:val="14"/>
              </w:rPr>
              <w:t>4</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38E9CB01" w14:textId="77777777" w:rsidR="009D5F24" w:rsidRPr="009D5F24" w:rsidRDefault="009D5F24" w:rsidP="009D5F24">
            <w:pPr>
              <w:pStyle w:val="Tabletext"/>
              <w:rPr>
                <w:sz w:val="14"/>
                <w:szCs w:val="14"/>
              </w:rPr>
            </w:pPr>
            <w:r w:rsidRPr="009D5F24">
              <w:rPr>
                <w:sz w:val="14"/>
                <w:szCs w:val="14"/>
              </w:rPr>
              <w:t>4</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7C1DA5A6" w14:textId="77777777" w:rsidR="009D5F24" w:rsidRPr="009D5F24" w:rsidRDefault="009D5F24" w:rsidP="009D5F24">
            <w:pPr>
              <w:pStyle w:val="Tabletext"/>
              <w:rPr>
                <w:sz w:val="14"/>
                <w:szCs w:val="14"/>
              </w:rPr>
            </w:pPr>
            <w:r w:rsidRPr="009D5F24">
              <w:rPr>
                <w:sz w:val="14"/>
                <w:szCs w:val="14"/>
              </w:rPr>
              <w:t>6</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1868CBAA" w14:textId="77777777" w:rsidR="009D5F24" w:rsidRPr="009D5F24" w:rsidRDefault="009D5F24" w:rsidP="009D5F24">
            <w:pPr>
              <w:pStyle w:val="Tabletext"/>
              <w:rPr>
                <w:sz w:val="14"/>
                <w:szCs w:val="14"/>
              </w:rPr>
            </w:pPr>
            <w:r w:rsidRPr="009D5F24">
              <w:rPr>
                <w:sz w:val="14"/>
                <w:szCs w:val="14"/>
              </w:rPr>
              <w:t>5</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075A0411" w14:textId="77777777" w:rsidR="009D5F24" w:rsidRPr="009D5F24" w:rsidRDefault="009D5F24" w:rsidP="009D5F24">
            <w:pPr>
              <w:pStyle w:val="Tabletext"/>
              <w:rPr>
                <w:sz w:val="14"/>
                <w:szCs w:val="14"/>
              </w:rPr>
            </w:pPr>
            <w:r w:rsidRPr="009D5F24">
              <w:rPr>
                <w:sz w:val="14"/>
                <w:szCs w:val="14"/>
              </w:rPr>
              <w:t>7</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235AA258" w14:textId="77777777" w:rsidR="009D5F24" w:rsidRPr="009D5F24" w:rsidRDefault="009D5F24" w:rsidP="009D5F24">
            <w:pPr>
              <w:pStyle w:val="Tabletext"/>
              <w:rPr>
                <w:sz w:val="14"/>
                <w:szCs w:val="14"/>
              </w:rPr>
            </w:pPr>
            <w:r w:rsidRPr="009D5F24">
              <w:rPr>
                <w:sz w:val="14"/>
                <w:szCs w:val="14"/>
              </w:rPr>
              <w:t>7</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6712DD36" w14:textId="77777777" w:rsidR="009D5F24" w:rsidRPr="009D5F24" w:rsidRDefault="009D5F24" w:rsidP="009D5F24">
            <w:pPr>
              <w:pStyle w:val="Tabletext"/>
              <w:rPr>
                <w:sz w:val="14"/>
                <w:szCs w:val="14"/>
              </w:rPr>
            </w:pPr>
            <w:r w:rsidRPr="009D5F24">
              <w:rPr>
                <w:sz w:val="14"/>
                <w:szCs w:val="14"/>
              </w:rPr>
              <w:t>11</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59BD5940" w14:textId="77777777" w:rsidR="009D5F24" w:rsidRPr="009D5F24" w:rsidRDefault="009D5F24" w:rsidP="009D5F24">
            <w:pPr>
              <w:pStyle w:val="Tabletext"/>
              <w:rPr>
                <w:sz w:val="14"/>
                <w:szCs w:val="14"/>
              </w:rPr>
            </w:pPr>
            <w:r w:rsidRPr="009D5F24">
              <w:rPr>
                <w:sz w:val="14"/>
                <w:szCs w:val="14"/>
              </w:rPr>
              <w:t>9</w:t>
            </w:r>
          </w:p>
        </w:tc>
        <w:tc>
          <w:tcPr>
            <w:tcW w:w="634" w:type="dxa"/>
            <w:tcBorders>
              <w:top w:val="single" w:sz="8" w:space="0" w:color="C00000"/>
              <w:left w:val="nil"/>
              <w:bottom w:val="single" w:sz="8" w:space="0" w:color="C00000"/>
              <w:right w:val="single" w:sz="12" w:space="0" w:color="FFFFFF"/>
            </w:tcBorders>
            <w:shd w:val="clear" w:color="000000" w:fill="FFFFFF" w:themeFill="background1"/>
            <w:vAlign w:val="center"/>
            <w:hideMark/>
          </w:tcPr>
          <w:p w14:paraId="5015D706" w14:textId="77777777" w:rsidR="009D5F24" w:rsidRPr="009D5F24" w:rsidRDefault="009D5F24" w:rsidP="009D5F24">
            <w:pPr>
              <w:pStyle w:val="Tabletext"/>
              <w:rPr>
                <w:sz w:val="14"/>
                <w:szCs w:val="14"/>
              </w:rPr>
            </w:pPr>
            <w:r w:rsidRPr="009D5F24">
              <w:rPr>
                <w:sz w:val="14"/>
                <w:szCs w:val="14"/>
              </w:rPr>
              <w:t>6</w:t>
            </w:r>
          </w:p>
        </w:tc>
        <w:tc>
          <w:tcPr>
            <w:tcW w:w="634" w:type="dxa"/>
            <w:tcBorders>
              <w:top w:val="single" w:sz="8" w:space="0" w:color="C00000"/>
              <w:left w:val="nil"/>
              <w:bottom w:val="single" w:sz="8" w:space="0" w:color="C00000"/>
              <w:right w:val="nil"/>
            </w:tcBorders>
            <w:shd w:val="clear" w:color="000000" w:fill="FFFFFF" w:themeFill="background1"/>
            <w:vAlign w:val="center"/>
            <w:hideMark/>
          </w:tcPr>
          <w:p w14:paraId="70E6D4CC" w14:textId="77777777" w:rsidR="009D5F24" w:rsidRPr="009D5F24" w:rsidRDefault="009D5F24" w:rsidP="009D5F24">
            <w:pPr>
              <w:pStyle w:val="Tabletext"/>
              <w:rPr>
                <w:sz w:val="14"/>
                <w:szCs w:val="14"/>
              </w:rPr>
            </w:pPr>
            <w:r w:rsidRPr="009D5F24">
              <w:rPr>
                <w:sz w:val="14"/>
                <w:szCs w:val="14"/>
              </w:rPr>
              <w:t>4</w:t>
            </w:r>
          </w:p>
        </w:tc>
      </w:tr>
    </w:tbl>
    <w:bookmarkEnd w:id="385"/>
    <w:p w14:paraId="0420C47C" w14:textId="3128BD43" w:rsidR="004F0FAA" w:rsidRPr="000322A7" w:rsidRDefault="00554E1F" w:rsidP="00FA1AAC">
      <w:pPr>
        <w:pStyle w:val="Tablefigurenote"/>
        <w:rPr>
          <w:b/>
          <w:i/>
          <w:iCs/>
          <w:sz w:val="18"/>
          <w:szCs w:val="18"/>
        </w:rPr>
      </w:pPr>
      <w:r w:rsidRPr="000322A7">
        <w:rPr>
          <w:i/>
          <w:iCs/>
          <w:sz w:val="18"/>
          <w:szCs w:val="18"/>
        </w:rPr>
        <w:t>Source</w:t>
      </w:r>
      <w:r w:rsidR="004F0FAA" w:rsidRPr="000322A7">
        <w:rPr>
          <w:i/>
          <w:iCs/>
          <w:sz w:val="18"/>
          <w:szCs w:val="18"/>
        </w:rPr>
        <w:t>s</w:t>
      </w:r>
      <w:r w:rsidRPr="000322A7">
        <w:rPr>
          <w:i/>
          <w:iCs/>
          <w:sz w:val="18"/>
          <w:szCs w:val="18"/>
        </w:rPr>
        <w:t>:</w:t>
      </w:r>
      <w:r w:rsidR="00952FC7" w:rsidRPr="000322A7">
        <w:rPr>
          <w:b/>
          <w:i/>
          <w:iCs/>
          <w:sz w:val="18"/>
          <w:szCs w:val="18"/>
        </w:rPr>
        <w:t xml:space="preserve"> </w:t>
      </w:r>
    </w:p>
    <w:p w14:paraId="2E62B4E1" w14:textId="504683E5" w:rsidR="001F251D" w:rsidRPr="000322A7" w:rsidRDefault="001F251D" w:rsidP="00FA1AAC">
      <w:pPr>
        <w:pStyle w:val="Tablefigurenote"/>
        <w:rPr>
          <w:i/>
          <w:iCs/>
          <w:sz w:val="18"/>
          <w:szCs w:val="18"/>
          <w:lang w:val="en"/>
        </w:rPr>
      </w:pPr>
      <w:r w:rsidRPr="000322A7">
        <w:rPr>
          <w:i/>
          <w:iCs/>
          <w:sz w:val="18"/>
          <w:szCs w:val="18"/>
        </w:rPr>
        <w:t>Guerin N, White V, Gascoyne C 2020</w:t>
      </w:r>
      <w:r w:rsidR="00242AE0" w:rsidRPr="000322A7">
        <w:rPr>
          <w:i/>
          <w:iCs/>
          <w:sz w:val="18"/>
          <w:szCs w:val="18"/>
        </w:rPr>
        <w:t>,</w:t>
      </w:r>
      <w:r w:rsidRPr="000322A7">
        <w:rPr>
          <w:i/>
          <w:iCs/>
          <w:sz w:val="18"/>
          <w:szCs w:val="18"/>
        </w:rPr>
        <w:t xml:space="preserve"> ASSAD 2017 Victorian </w:t>
      </w:r>
      <w:r w:rsidR="00C00F9F" w:rsidRPr="000322A7">
        <w:rPr>
          <w:i/>
          <w:iCs/>
          <w:sz w:val="18"/>
          <w:szCs w:val="18"/>
        </w:rPr>
        <w:t>statistics &amp; t</w:t>
      </w:r>
      <w:r w:rsidRPr="000322A7">
        <w:rPr>
          <w:i/>
          <w:iCs/>
          <w:sz w:val="18"/>
          <w:szCs w:val="18"/>
        </w:rPr>
        <w:t>rends: Victori</w:t>
      </w:r>
      <w:r w:rsidR="00C00F9F" w:rsidRPr="000322A7">
        <w:rPr>
          <w:i/>
          <w:iCs/>
          <w:sz w:val="18"/>
          <w:szCs w:val="18"/>
        </w:rPr>
        <w:t>an secondary students’ use of tobacco, alcohol, over-the-counter drugs, and other substances</w:t>
      </w:r>
      <w:r w:rsidR="004F34D1" w:rsidRPr="000322A7">
        <w:rPr>
          <w:i/>
          <w:iCs/>
          <w:sz w:val="18"/>
          <w:szCs w:val="18"/>
        </w:rPr>
        <w:t>,</w:t>
      </w:r>
      <w:r w:rsidRPr="000322A7">
        <w:rPr>
          <w:i/>
          <w:iCs/>
          <w:sz w:val="18"/>
          <w:szCs w:val="18"/>
        </w:rPr>
        <w:t xml:space="preserve"> Second Edition. Cancer Council Victoria.</w:t>
      </w:r>
    </w:p>
    <w:p w14:paraId="355DCB5B" w14:textId="52E37D4C" w:rsidR="006D5B25" w:rsidRPr="000322A7" w:rsidRDefault="00554E1F" w:rsidP="00FA1AAC">
      <w:pPr>
        <w:pStyle w:val="Tablefigurenote"/>
        <w:rPr>
          <w:rStyle w:val="Hyperlink"/>
          <w:rFonts w:cs="Arial"/>
          <w:i/>
          <w:iCs/>
          <w:color w:val="auto"/>
          <w:sz w:val="18"/>
          <w:szCs w:val="18"/>
          <w:u w:val="none"/>
          <w:lang w:val="en"/>
        </w:rPr>
      </w:pPr>
      <w:r w:rsidRPr="000322A7">
        <w:rPr>
          <w:i/>
          <w:iCs/>
          <w:sz w:val="18"/>
          <w:szCs w:val="18"/>
          <w:lang w:val="en"/>
        </w:rPr>
        <w:t>White V</w:t>
      </w:r>
      <w:r w:rsidR="00557193" w:rsidRPr="000322A7">
        <w:rPr>
          <w:i/>
          <w:iCs/>
          <w:sz w:val="18"/>
          <w:szCs w:val="18"/>
          <w:lang w:val="en"/>
        </w:rPr>
        <w:t>,</w:t>
      </w:r>
      <w:r w:rsidRPr="000322A7">
        <w:rPr>
          <w:i/>
          <w:iCs/>
          <w:sz w:val="18"/>
          <w:szCs w:val="18"/>
          <w:lang w:val="en"/>
        </w:rPr>
        <w:t xml:space="preserve"> Williams T</w:t>
      </w:r>
      <w:r w:rsidR="00557193" w:rsidRPr="000322A7">
        <w:rPr>
          <w:i/>
          <w:iCs/>
          <w:sz w:val="18"/>
          <w:szCs w:val="18"/>
          <w:lang w:val="en"/>
        </w:rPr>
        <w:t xml:space="preserve"> 2015</w:t>
      </w:r>
      <w:r w:rsidR="00C00F9F" w:rsidRPr="000322A7">
        <w:rPr>
          <w:i/>
          <w:iCs/>
          <w:sz w:val="18"/>
          <w:szCs w:val="18"/>
          <w:lang w:val="en"/>
        </w:rPr>
        <w:t>,</w:t>
      </w:r>
      <w:r w:rsidRPr="000322A7">
        <w:rPr>
          <w:i/>
          <w:iCs/>
          <w:sz w:val="18"/>
          <w:szCs w:val="18"/>
          <w:lang w:val="en"/>
        </w:rPr>
        <w:t xml:space="preserve"> Australian secondary school students’ use of tobacco in 2014</w:t>
      </w:r>
      <w:r w:rsidR="004F34D1" w:rsidRPr="000322A7">
        <w:rPr>
          <w:i/>
          <w:iCs/>
          <w:sz w:val="18"/>
          <w:szCs w:val="18"/>
          <w:lang w:val="en"/>
        </w:rPr>
        <w:t>,</w:t>
      </w:r>
      <w:r w:rsidRPr="000322A7">
        <w:rPr>
          <w:i/>
          <w:iCs/>
          <w:sz w:val="18"/>
          <w:szCs w:val="18"/>
          <w:lang w:val="en"/>
        </w:rPr>
        <w:t xml:space="preserve"> Centre for Behavioural Research</w:t>
      </w:r>
      <w:r w:rsidR="006045EE" w:rsidRPr="000322A7">
        <w:rPr>
          <w:i/>
          <w:iCs/>
          <w:sz w:val="18"/>
          <w:szCs w:val="18"/>
          <w:lang w:val="en"/>
        </w:rPr>
        <w:t xml:space="preserve"> </w:t>
      </w:r>
      <w:r w:rsidRPr="000322A7">
        <w:rPr>
          <w:i/>
          <w:iCs/>
          <w:sz w:val="18"/>
          <w:szCs w:val="18"/>
          <w:lang w:val="en"/>
        </w:rPr>
        <w:t xml:space="preserve">in Cancer, Cancer Council Victoria. </w:t>
      </w:r>
    </w:p>
    <w:p w14:paraId="395E6E8E" w14:textId="27C00BFB" w:rsidR="001A6F9C" w:rsidRPr="000322A7" w:rsidRDefault="001A6F9C" w:rsidP="00FA1AAC">
      <w:pPr>
        <w:pStyle w:val="Tablefigurenote"/>
        <w:rPr>
          <w:i/>
          <w:iCs/>
          <w:sz w:val="18"/>
          <w:szCs w:val="18"/>
        </w:rPr>
      </w:pPr>
      <w:r w:rsidRPr="000322A7">
        <w:rPr>
          <w:i/>
          <w:iCs/>
          <w:sz w:val="18"/>
          <w:szCs w:val="18"/>
        </w:rPr>
        <w:t>Victorian Department of Health and Human Services 2016</w:t>
      </w:r>
      <w:r w:rsidR="004F34D1" w:rsidRPr="000322A7">
        <w:rPr>
          <w:i/>
          <w:iCs/>
          <w:sz w:val="18"/>
          <w:szCs w:val="18"/>
        </w:rPr>
        <w:t>,</w:t>
      </w:r>
      <w:r w:rsidRPr="000322A7">
        <w:rPr>
          <w:i/>
          <w:iCs/>
          <w:sz w:val="18"/>
          <w:szCs w:val="18"/>
        </w:rPr>
        <w:t xml:space="preserve"> Tobacco, alcohol, over-the-counter and illicit substance use among Victorian secondary school students 2014. </w:t>
      </w:r>
    </w:p>
    <w:p w14:paraId="4B427D18" w14:textId="0D776B5C" w:rsidR="00D13E39" w:rsidRDefault="00D13E39" w:rsidP="007C7F00">
      <w:pPr>
        <w:pStyle w:val="Heading4"/>
      </w:pPr>
      <w:r>
        <w:t>Measure assessment</w:t>
      </w:r>
    </w:p>
    <w:p w14:paraId="4F31C964" w14:textId="6F69B9AE" w:rsidR="00D13E39" w:rsidRPr="00F24B97" w:rsidRDefault="00F24B97" w:rsidP="00606436">
      <w:pPr>
        <w:pStyle w:val="Body"/>
        <w:rPr>
          <w:sz w:val="20"/>
        </w:rPr>
      </w:pPr>
      <w:r w:rsidRPr="00EA78AF">
        <w:rPr>
          <w:sz w:val="20"/>
        </w:rPr>
        <w:t>Traffic light rating:</w:t>
      </w:r>
      <w:r w:rsidRPr="00EA78AF">
        <w:rPr>
          <w:color w:val="AF272F"/>
          <w:sz w:val="20"/>
        </w:rPr>
        <w:t xml:space="preserve"> </w:t>
      </w:r>
      <w:r w:rsidRPr="00EA78AF">
        <w:rPr>
          <w:b/>
          <w:color w:val="C5511A"/>
          <w:sz w:val="20"/>
        </w:rPr>
        <w:t>Amber</w:t>
      </w:r>
      <w:r w:rsidRPr="00EA78AF">
        <w:rPr>
          <w:b/>
          <w:sz w:val="20"/>
        </w:rPr>
        <w:t xml:space="preserve"> </w:t>
      </w:r>
      <w:r w:rsidRPr="00EA78AF">
        <w:rPr>
          <w:sz w:val="20"/>
        </w:rPr>
        <w:t>(</w:t>
      </w:r>
      <w:r>
        <w:rPr>
          <w:sz w:val="20"/>
        </w:rPr>
        <w:t>desired</w:t>
      </w:r>
      <w:r w:rsidRPr="00EA78AF">
        <w:rPr>
          <w:sz w:val="20"/>
        </w:rPr>
        <w:t xml:space="preserve"> result not yet evident)</w:t>
      </w:r>
    </w:p>
    <w:p w14:paraId="7DBA636B" w14:textId="6CC4D14B" w:rsidR="00D13E39" w:rsidRPr="00B92B1A" w:rsidRDefault="00D13E39" w:rsidP="00606436">
      <w:pPr>
        <w:pStyle w:val="Body"/>
      </w:pPr>
      <w:bookmarkStart w:id="387" w:name="_Hlk136860327"/>
      <w:r w:rsidRPr="00B92B1A">
        <w:t xml:space="preserve">Overall trend: </w:t>
      </w:r>
      <w:r w:rsidR="0094592B">
        <w:t>Moving in the right direction</w:t>
      </w:r>
      <w:r w:rsidR="00BA0A7B">
        <w:t xml:space="preserve"> </w:t>
      </w:r>
      <w:r w:rsidR="00BA0A7B" w:rsidRPr="004A4321">
        <w:rPr>
          <w:rFonts w:cs="Arial"/>
        </w:rPr>
        <w:t>although because of the age of the data it is difficult to interpret whether the trend over time represents improved outcomes.</w:t>
      </w:r>
    </w:p>
    <w:bookmarkEnd w:id="387"/>
    <w:p w14:paraId="6F1421D7" w14:textId="5CB88158" w:rsidR="00245615" w:rsidRDefault="00D13E39" w:rsidP="00606436">
      <w:pPr>
        <w:pStyle w:val="Body"/>
        <w:rPr>
          <w:lang w:val="en"/>
        </w:rPr>
      </w:pPr>
      <w:r w:rsidRPr="004776EC">
        <w:t>Commentary:</w:t>
      </w:r>
      <w:r w:rsidR="00A54736" w:rsidRPr="004776EC">
        <w:t xml:space="preserve"> </w:t>
      </w:r>
      <w:r w:rsidR="00A54736" w:rsidRPr="004776EC">
        <w:rPr>
          <w:lang w:val="en"/>
        </w:rPr>
        <w:t xml:space="preserve">Most adults who </w:t>
      </w:r>
      <w:r w:rsidR="00683273" w:rsidRPr="004776EC">
        <w:rPr>
          <w:lang w:val="en"/>
        </w:rPr>
        <w:t xml:space="preserve">currently </w:t>
      </w:r>
      <w:r w:rsidR="00A54736" w:rsidRPr="004776EC">
        <w:rPr>
          <w:lang w:val="en"/>
        </w:rPr>
        <w:t xml:space="preserve">smoke </w:t>
      </w:r>
      <w:r w:rsidR="00683273" w:rsidRPr="004776EC">
        <w:rPr>
          <w:lang w:val="en"/>
        </w:rPr>
        <w:t xml:space="preserve">will have </w:t>
      </w:r>
      <w:r w:rsidR="00A54736" w:rsidRPr="004776EC">
        <w:rPr>
          <w:lang w:val="en"/>
        </w:rPr>
        <w:t xml:space="preserve">started smoking when they were </w:t>
      </w:r>
      <w:r w:rsidR="00917D46">
        <w:rPr>
          <w:lang w:val="en"/>
        </w:rPr>
        <w:t>adolescents</w:t>
      </w:r>
      <w:r w:rsidR="00A54736" w:rsidRPr="004776EC">
        <w:rPr>
          <w:lang w:val="en"/>
        </w:rPr>
        <w:t>,</w:t>
      </w:r>
      <w:r w:rsidR="00683273" w:rsidRPr="004776EC">
        <w:rPr>
          <w:rStyle w:val="FootnoteReference"/>
          <w:rFonts w:cs="Arial"/>
          <w:lang w:val="en"/>
        </w:rPr>
        <w:footnoteReference w:id="71"/>
      </w:r>
      <w:r w:rsidR="00A54736" w:rsidRPr="004776EC">
        <w:rPr>
          <w:lang w:val="en"/>
        </w:rPr>
        <w:t xml:space="preserve"> therefore preventing tobacco use among young people is an integral part of ending the tobacco epidemic.</w:t>
      </w:r>
      <w:r w:rsidR="00895E75" w:rsidRPr="004776EC">
        <w:rPr>
          <w:rStyle w:val="FootnoteReference"/>
          <w:rFonts w:cs="Arial"/>
          <w:lang w:val="en"/>
        </w:rPr>
        <w:footnoteReference w:id="72"/>
      </w:r>
      <w:r w:rsidR="00BA1378" w:rsidRPr="004776EC">
        <w:rPr>
          <w:lang w:val="en"/>
        </w:rPr>
        <w:t xml:space="preserve"> </w:t>
      </w:r>
      <w:r w:rsidR="00B50EDB" w:rsidRPr="004776EC">
        <w:rPr>
          <w:lang w:val="en"/>
        </w:rPr>
        <w:t>Table</w:t>
      </w:r>
      <w:r w:rsidR="000322A7">
        <w:rPr>
          <w:lang w:val="en"/>
        </w:rPr>
        <w:t>s</w:t>
      </w:r>
      <w:r w:rsidR="00B50EDB" w:rsidRPr="004776EC">
        <w:rPr>
          <w:lang w:val="en"/>
        </w:rPr>
        <w:t xml:space="preserve"> 6.2 </w:t>
      </w:r>
      <w:r w:rsidR="000322A7">
        <w:rPr>
          <w:lang w:val="en"/>
        </w:rPr>
        <w:t xml:space="preserve">and 6.2.1 </w:t>
      </w:r>
      <w:r w:rsidR="00B50EDB" w:rsidRPr="004776EC">
        <w:rPr>
          <w:lang w:val="en"/>
        </w:rPr>
        <w:t>show the proportion of males and females smoking cigarettes in different time periods at each age for Australia and Victoria</w:t>
      </w:r>
      <w:r w:rsidR="00245615">
        <w:rPr>
          <w:lang w:val="en"/>
        </w:rPr>
        <w:t xml:space="preserve"> in 2014 and 2017</w:t>
      </w:r>
      <w:r w:rsidR="00B50EDB" w:rsidRPr="004776EC">
        <w:rPr>
          <w:lang w:val="en"/>
        </w:rPr>
        <w:t>.</w:t>
      </w:r>
      <w:r w:rsidR="005F215B">
        <w:rPr>
          <w:rStyle w:val="FootnoteReference"/>
          <w:rFonts w:cs="Arial"/>
          <w:lang w:val="en"/>
        </w:rPr>
        <w:footnoteReference w:id="73"/>
      </w:r>
      <w:r w:rsidR="00A76B95" w:rsidRPr="00E33ED6">
        <w:rPr>
          <w:vertAlign w:val="superscript"/>
          <w:lang w:val="en"/>
        </w:rPr>
        <w:t>,</w:t>
      </w:r>
      <w:r w:rsidR="005F215B">
        <w:rPr>
          <w:rStyle w:val="FootnoteReference"/>
          <w:rFonts w:cs="Arial"/>
          <w:lang w:val="en"/>
        </w:rPr>
        <w:footnoteReference w:id="74"/>
      </w:r>
    </w:p>
    <w:p w14:paraId="57AAEDC8" w14:textId="4BA165C3" w:rsidR="00245615" w:rsidRDefault="00287B86" w:rsidP="00606436">
      <w:pPr>
        <w:pStyle w:val="Body"/>
        <w:rPr>
          <w:lang w:val="en"/>
        </w:rPr>
      </w:pPr>
      <w:r w:rsidRPr="004776EC">
        <w:rPr>
          <w:lang w:val="en"/>
        </w:rPr>
        <w:t xml:space="preserve">Involvement with smoking appears </w:t>
      </w:r>
      <w:r w:rsidR="007713C0" w:rsidRPr="004776EC">
        <w:rPr>
          <w:lang w:val="en"/>
        </w:rPr>
        <w:t>more</w:t>
      </w:r>
      <w:r w:rsidRPr="004776EC">
        <w:rPr>
          <w:lang w:val="en"/>
        </w:rPr>
        <w:t xml:space="preserve"> common as </w:t>
      </w:r>
      <w:r w:rsidR="00A719BB" w:rsidRPr="004776EC">
        <w:rPr>
          <w:lang w:val="en"/>
        </w:rPr>
        <w:t>adolescents</w:t>
      </w:r>
      <w:r w:rsidRPr="004776EC">
        <w:rPr>
          <w:lang w:val="en"/>
        </w:rPr>
        <w:t xml:space="preserve"> progress through secondary school both nationally and in Victoria.</w:t>
      </w:r>
      <w:r w:rsidR="00952FC7">
        <w:rPr>
          <w:lang w:val="en"/>
        </w:rPr>
        <w:t xml:space="preserve"> </w:t>
      </w:r>
      <w:r w:rsidR="00C44B55" w:rsidRPr="004776EC">
        <w:rPr>
          <w:lang w:val="en"/>
        </w:rPr>
        <w:t xml:space="preserve">In Victoria the proportion of adolescents who were current smokers increased from </w:t>
      </w:r>
      <w:r w:rsidR="008047A3">
        <w:rPr>
          <w:lang w:val="en"/>
        </w:rPr>
        <w:t>1.1</w:t>
      </w:r>
      <w:r w:rsidR="0054537F">
        <w:rPr>
          <w:lang w:val="en"/>
        </w:rPr>
        <w:t>%</w:t>
      </w:r>
      <w:r w:rsidR="00C44B55" w:rsidRPr="004776EC">
        <w:rPr>
          <w:lang w:val="en"/>
        </w:rPr>
        <w:t xml:space="preserve"> of 12</w:t>
      </w:r>
      <w:r w:rsidR="00D24CD5">
        <w:rPr>
          <w:lang w:val="en"/>
        </w:rPr>
        <w:t>-</w:t>
      </w:r>
      <w:r w:rsidR="00C44B55" w:rsidRPr="004776EC">
        <w:rPr>
          <w:lang w:val="en"/>
        </w:rPr>
        <w:t>year</w:t>
      </w:r>
      <w:r w:rsidR="00D24CD5">
        <w:rPr>
          <w:lang w:val="en"/>
        </w:rPr>
        <w:t>-</w:t>
      </w:r>
      <w:r w:rsidR="00C44B55" w:rsidRPr="004776EC">
        <w:rPr>
          <w:lang w:val="en"/>
        </w:rPr>
        <w:t xml:space="preserve">olds (males and females) </w:t>
      </w:r>
      <w:r w:rsidR="001F4443">
        <w:rPr>
          <w:lang w:val="en"/>
        </w:rPr>
        <w:t xml:space="preserve">in 2014 and 2017 </w:t>
      </w:r>
      <w:r w:rsidR="00C44B55" w:rsidRPr="004776EC">
        <w:rPr>
          <w:lang w:val="en"/>
        </w:rPr>
        <w:t xml:space="preserve">to </w:t>
      </w:r>
      <w:r w:rsidR="00453E7E">
        <w:rPr>
          <w:lang w:val="en"/>
        </w:rPr>
        <w:t>11</w:t>
      </w:r>
      <w:r w:rsidR="0054537F">
        <w:rPr>
          <w:lang w:val="en"/>
        </w:rPr>
        <w:t>%</w:t>
      </w:r>
      <w:r w:rsidR="00C44B55" w:rsidRPr="004776EC">
        <w:rPr>
          <w:lang w:val="en"/>
        </w:rPr>
        <w:t xml:space="preserve"> of 17-year-old </w:t>
      </w:r>
      <w:r w:rsidR="008047A3">
        <w:rPr>
          <w:lang w:val="en"/>
        </w:rPr>
        <w:t>(males and females)</w:t>
      </w:r>
      <w:r w:rsidR="001F4443">
        <w:rPr>
          <w:lang w:val="en"/>
        </w:rPr>
        <w:t xml:space="preserve"> (Table 6.2</w:t>
      </w:r>
      <w:r w:rsidR="000322A7">
        <w:rPr>
          <w:lang w:val="en"/>
        </w:rPr>
        <w:t>.1</w:t>
      </w:r>
      <w:r w:rsidR="001F4443">
        <w:rPr>
          <w:lang w:val="en"/>
        </w:rPr>
        <w:t>).</w:t>
      </w:r>
    </w:p>
    <w:p w14:paraId="357F9FEF" w14:textId="6E535BEE" w:rsidR="00482410" w:rsidRDefault="00C44B55" w:rsidP="00606436">
      <w:pPr>
        <w:pStyle w:val="Body"/>
      </w:pPr>
      <w:r w:rsidRPr="004776EC">
        <w:rPr>
          <w:lang w:val="en"/>
        </w:rPr>
        <w:lastRenderedPageBreak/>
        <w:t>Overall</w:t>
      </w:r>
      <w:r w:rsidR="00536555">
        <w:rPr>
          <w:lang w:val="en"/>
        </w:rPr>
        <w:t xml:space="preserve">, </w:t>
      </w:r>
      <w:r w:rsidR="00B507B1">
        <w:t>6</w:t>
      </w:r>
      <w:r w:rsidR="0054537F">
        <w:t>%</w:t>
      </w:r>
      <w:r w:rsidRPr="004776EC">
        <w:t xml:space="preserve"> of all Victorian adolescents 12</w:t>
      </w:r>
      <w:r w:rsidR="00690CD3">
        <w:t>–1</w:t>
      </w:r>
      <w:r w:rsidRPr="004776EC">
        <w:t>7 years were identified as current smokers</w:t>
      </w:r>
      <w:r w:rsidR="00557193">
        <w:t>,</w:t>
      </w:r>
      <w:r w:rsidRPr="004776EC">
        <w:rPr>
          <w:rStyle w:val="FootnoteReference"/>
          <w:rFonts w:cs="Arial"/>
        </w:rPr>
        <w:footnoteReference w:id="75"/>
      </w:r>
      <w:r w:rsidRPr="004776EC">
        <w:t xml:space="preserve"> which was higher than the population of 12- to 17-year-old secondary school</w:t>
      </w:r>
      <w:r w:rsidR="00557193">
        <w:t xml:space="preserve"> student</w:t>
      </w:r>
      <w:r w:rsidRPr="004776EC">
        <w:t>s throughout Australia (5.1</w:t>
      </w:r>
      <w:r w:rsidR="0054537F">
        <w:t>%</w:t>
      </w:r>
      <w:r w:rsidRPr="004776EC">
        <w:t>).</w:t>
      </w:r>
      <w:r w:rsidR="0065295E" w:rsidRPr="004776EC">
        <w:t xml:space="preserve"> </w:t>
      </w:r>
      <w:r w:rsidR="00B8263B">
        <w:t xml:space="preserve">However, this decreased to </w:t>
      </w:r>
      <w:r w:rsidR="00B507B1">
        <w:t>4</w:t>
      </w:r>
      <w:r w:rsidR="0054537F">
        <w:t>%</w:t>
      </w:r>
      <w:r w:rsidR="00B8263B">
        <w:t xml:space="preserve"> in 2017</w:t>
      </w:r>
      <w:r w:rsidR="00B507B1">
        <w:t>,</w:t>
      </w:r>
      <w:r w:rsidR="00B8263B">
        <w:t xml:space="preserve"> which was lower than the </w:t>
      </w:r>
      <w:r w:rsidR="00B8263B" w:rsidRPr="004776EC">
        <w:t>population of 12- to 17-year-old secondary school</w:t>
      </w:r>
      <w:r w:rsidR="00B8263B">
        <w:t xml:space="preserve"> student</w:t>
      </w:r>
      <w:r w:rsidR="00B8263B" w:rsidRPr="004776EC">
        <w:t>s throughout Australia (5</w:t>
      </w:r>
      <w:r w:rsidR="0054537F">
        <w:t>%</w:t>
      </w:r>
      <w:r w:rsidR="00B8263B" w:rsidRPr="004776EC">
        <w:t>)</w:t>
      </w:r>
      <w:r w:rsidR="00B8263B">
        <w:t xml:space="preserve"> for the same year</w:t>
      </w:r>
      <w:r w:rsidR="00785F4D">
        <w:t xml:space="preserve"> (Table 6.2)</w:t>
      </w:r>
      <w:r w:rsidR="00B8263B">
        <w:t>.</w:t>
      </w:r>
    </w:p>
    <w:p w14:paraId="1341E3D0" w14:textId="1D09F63F" w:rsidR="00D7488C" w:rsidRDefault="00960E96" w:rsidP="00606436">
      <w:pPr>
        <w:pStyle w:val="Body"/>
        <w:rPr>
          <w:lang w:val="en"/>
        </w:rPr>
      </w:pPr>
      <w:r w:rsidRPr="004776EC">
        <w:t>International comparisons of adolescent smoking prevalence show</w:t>
      </w:r>
      <w:r w:rsidR="001D6235">
        <w:t xml:space="preserve"> </w:t>
      </w:r>
      <w:r w:rsidRPr="004776EC">
        <w:t>similar figures to Victoria.</w:t>
      </w:r>
      <w:r w:rsidR="00952FC7">
        <w:t xml:space="preserve"> </w:t>
      </w:r>
      <w:r w:rsidRPr="004776EC">
        <w:t xml:space="preserve">For example, </w:t>
      </w:r>
      <w:r w:rsidR="00557193">
        <w:t>the</w:t>
      </w:r>
      <w:r w:rsidRPr="004776EC">
        <w:t xml:space="preserve"> Canadian Student Tobacco, Alcohol and Drugs Survey found that</w:t>
      </w:r>
      <w:r w:rsidR="00B507B1">
        <w:t>,</w:t>
      </w:r>
      <w:r w:rsidRPr="004776EC">
        <w:t xml:space="preserve"> in 201</w:t>
      </w:r>
      <w:r w:rsidR="00492EAA">
        <w:t>4</w:t>
      </w:r>
      <w:r w:rsidR="00246747">
        <w:t>–</w:t>
      </w:r>
      <w:r w:rsidR="00492EAA">
        <w:t>15</w:t>
      </w:r>
      <w:r w:rsidRPr="004776EC">
        <w:t xml:space="preserve">, </w:t>
      </w:r>
      <w:r w:rsidR="00492EAA">
        <w:rPr>
          <w:lang w:val="en"/>
        </w:rPr>
        <w:t>3</w:t>
      </w:r>
      <w:r w:rsidR="0054537F">
        <w:rPr>
          <w:lang w:val="en"/>
        </w:rPr>
        <w:t>%</w:t>
      </w:r>
      <w:r w:rsidRPr="004776EC">
        <w:rPr>
          <w:lang w:val="en"/>
        </w:rPr>
        <w:t xml:space="preserve"> of students aged 1</w:t>
      </w:r>
      <w:r w:rsidR="00492EAA">
        <w:rPr>
          <w:lang w:val="en"/>
        </w:rPr>
        <w:t>2</w:t>
      </w:r>
      <w:r w:rsidRPr="004776EC">
        <w:rPr>
          <w:lang w:val="en"/>
        </w:rPr>
        <w:t>–1</w:t>
      </w:r>
      <w:r w:rsidR="00492EAA">
        <w:rPr>
          <w:lang w:val="en"/>
        </w:rPr>
        <w:t>7</w:t>
      </w:r>
      <w:r w:rsidRPr="004776EC">
        <w:rPr>
          <w:lang w:val="en"/>
        </w:rPr>
        <w:t xml:space="preserve"> were current smokers</w:t>
      </w:r>
      <w:r w:rsidR="00246747">
        <w:rPr>
          <w:lang w:val="en"/>
        </w:rPr>
        <w:t>,</w:t>
      </w:r>
      <w:r w:rsidR="004776EC" w:rsidRPr="004776EC">
        <w:rPr>
          <w:rStyle w:val="FootnoteReference"/>
          <w:rFonts w:cs="Arial"/>
          <w:lang w:val="en"/>
        </w:rPr>
        <w:footnoteReference w:id="76"/>
      </w:r>
      <w:r w:rsidRPr="004776EC">
        <w:rPr>
          <w:lang w:val="en"/>
        </w:rPr>
        <w:t xml:space="preserve"> </w:t>
      </w:r>
      <w:r w:rsidR="00492EAA">
        <w:rPr>
          <w:lang w:val="en"/>
        </w:rPr>
        <w:t>which remained unchanged from 2016</w:t>
      </w:r>
      <w:r w:rsidR="00246747">
        <w:rPr>
          <w:lang w:val="en"/>
        </w:rPr>
        <w:t>–</w:t>
      </w:r>
      <w:r w:rsidR="00492EAA">
        <w:rPr>
          <w:lang w:val="en"/>
        </w:rPr>
        <w:t>17</w:t>
      </w:r>
      <w:r w:rsidR="00900ACE">
        <w:rPr>
          <w:lang w:val="en"/>
        </w:rPr>
        <w:t>.</w:t>
      </w:r>
      <w:r w:rsidR="00900ACE">
        <w:rPr>
          <w:rStyle w:val="FootnoteReference"/>
          <w:rFonts w:cs="Arial"/>
          <w:lang w:val="en"/>
        </w:rPr>
        <w:footnoteReference w:id="77"/>
      </w:r>
      <w:r w:rsidR="00900ACE">
        <w:rPr>
          <w:lang w:val="en"/>
        </w:rPr>
        <w:t xml:space="preserve"> </w:t>
      </w:r>
      <w:r w:rsidRPr="004776EC">
        <w:rPr>
          <w:lang w:val="en"/>
        </w:rPr>
        <w:t>Ireland’s</w:t>
      </w:r>
      <w:r>
        <w:rPr>
          <w:lang w:val="en"/>
        </w:rPr>
        <w:t xml:space="preserve"> </w:t>
      </w:r>
      <w:r w:rsidRPr="004776EC">
        <w:rPr>
          <w:lang w:val="en"/>
        </w:rPr>
        <w:t>Health Behaviour in School-aged Child</w:t>
      </w:r>
      <w:r w:rsidR="00917D46">
        <w:rPr>
          <w:lang w:val="en"/>
        </w:rPr>
        <w:t xml:space="preserve">ren Survey 2014 reported that </w:t>
      </w:r>
      <w:r w:rsidR="00B507B1">
        <w:rPr>
          <w:lang w:val="en"/>
        </w:rPr>
        <w:t>8</w:t>
      </w:r>
      <w:r w:rsidR="0054537F">
        <w:rPr>
          <w:lang w:val="en"/>
        </w:rPr>
        <w:t>%</w:t>
      </w:r>
      <w:r w:rsidRPr="004776EC">
        <w:rPr>
          <w:lang w:val="en"/>
        </w:rPr>
        <w:t xml:space="preserve"> of 10‒17</w:t>
      </w:r>
      <w:r w:rsidR="00D24CD5">
        <w:rPr>
          <w:lang w:val="en"/>
        </w:rPr>
        <w:t>-year-olds</w:t>
      </w:r>
      <w:r w:rsidRPr="004776EC">
        <w:rPr>
          <w:lang w:val="en"/>
        </w:rPr>
        <w:t xml:space="preserve"> were current smokers</w:t>
      </w:r>
      <w:r w:rsidR="00557193">
        <w:rPr>
          <w:lang w:val="en"/>
        </w:rPr>
        <w:t>,</w:t>
      </w:r>
      <w:r w:rsidR="004776EC" w:rsidRPr="004776EC">
        <w:rPr>
          <w:rStyle w:val="FootnoteReference"/>
          <w:rFonts w:cs="Arial"/>
          <w:lang w:val="en"/>
        </w:rPr>
        <w:footnoteReference w:id="78"/>
      </w:r>
      <w:r w:rsidR="004776EC" w:rsidRPr="004776EC">
        <w:t xml:space="preserve"> </w:t>
      </w:r>
      <w:r w:rsidR="00E978D2">
        <w:t>decreasing to 5</w:t>
      </w:r>
      <w:r w:rsidR="0054537F">
        <w:t>%</w:t>
      </w:r>
      <w:r w:rsidR="00E978D2">
        <w:t xml:space="preserve"> in 2018</w:t>
      </w:r>
      <w:r w:rsidR="00B507B1">
        <w:t>,</w:t>
      </w:r>
      <w:r w:rsidR="002840D5">
        <w:rPr>
          <w:rStyle w:val="FootnoteReference"/>
          <w:rFonts w:cs="Arial"/>
        </w:rPr>
        <w:footnoteReference w:id="79"/>
      </w:r>
      <w:r w:rsidR="00E978D2">
        <w:t xml:space="preserve"> </w:t>
      </w:r>
      <w:r w:rsidR="004776EC" w:rsidRPr="004776EC">
        <w:t>although it should be noted that the latter cannot be directly comparable with national and Victoria</w:t>
      </w:r>
      <w:r w:rsidR="00A4654A">
        <w:t>n</w:t>
      </w:r>
      <w:r w:rsidR="00917D46">
        <w:t xml:space="preserve"> </w:t>
      </w:r>
      <w:r w:rsidR="004776EC" w:rsidRPr="004776EC">
        <w:rPr>
          <w:lang w:val="en"/>
        </w:rPr>
        <w:t>data because the Irish study includes 10</w:t>
      </w:r>
      <w:r w:rsidR="00D24CD5">
        <w:rPr>
          <w:lang w:val="en"/>
        </w:rPr>
        <w:t xml:space="preserve">- </w:t>
      </w:r>
      <w:r w:rsidR="004776EC" w:rsidRPr="004776EC">
        <w:rPr>
          <w:lang w:val="en"/>
        </w:rPr>
        <w:t>and 11</w:t>
      </w:r>
      <w:r w:rsidR="00D24CD5">
        <w:rPr>
          <w:lang w:val="en"/>
        </w:rPr>
        <w:t>-</w:t>
      </w:r>
      <w:r w:rsidR="004776EC" w:rsidRPr="004776EC">
        <w:rPr>
          <w:lang w:val="en"/>
        </w:rPr>
        <w:t>year</w:t>
      </w:r>
      <w:r w:rsidR="00D24CD5">
        <w:rPr>
          <w:lang w:val="en"/>
        </w:rPr>
        <w:t>-</w:t>
      </w:r>
      <w:r w:rsidR="004776EC" w:rsidRPr="004776EC">
        <w:rPr>
          <w:lang w:val="en"/>
        </w:rPr>
        <w:t>olds.</w:t>
      </w:r>
    </w:p>
    <w:p w14:paraId="76F9FF3D" w14:textId="25F066F7" w:rsidR="00C9473B" w:rsidRPr="00A451D4" w:rsidRDefault="0094592B" w:rsidP="00E87AAA">
      <w:pPr>
        <w:pStyle w:val="Body"/>
        <w:rPr>
          <w:rStyle w:val="Heading3Char"/>
        </w:rPr>
      </w:pPr>
      <w:bookmarkStart w:id="388" w:name="_Hlk136860263"/>
      <w:r>
        <w:t>Overall</w:t>
      </w:r>
      <w:r w:rsidR="00C44B55" w:rsidRPr="00207DCB">
        <w:t xml:space="preserve">, </w:t>
      </w:r>
      <w:r w:rsidR="00DD3B43">
        <w:t xml:space="preserve">the </w:t>
      </w:r>
      <w:r w:rsidR="00DD3B43" w:rsidRPr="00207DCB">
        <w:t>target of a 30</w:t>
      </w:r>
      <w:r w:rsidR="0054537F">
        <w:t>%</w:t>
      </w:r>
      <w:r w:rsidR="00DD3B43" w:rsidRPr="00207DCB">
        <w:t xml:space="preserve"> decrease in smoking among adolescents by 2025</w:t>
      </w:r>
      <w:r w:rsidR="00DD3B43">
        <w:t xml:space="preserve"> (4.2</w:t>
      </w:r>
      <w:r w:rsidR="0054537F">
        <w:t>%</w:t>
      </w:r>
      <w:r w:rsidR="00DD3B43">
        <w:t xml:space="preserve">) </w:t>
      </w:r>
      <w:r w:rsidR="00DD3B43" w:rsidRPr="00207DCB">
        <w:t>from the 2014 baseline</w:t>
      </w:r>
      <w:r w:rsidR="00DD3B43">
        <w:t xml:space="preserve"> (6</w:t>
      </w:r>
      <w:r w:rsidR="0054537F">
        <w:t>%</w:t>
      </w:r>
      <w:r w:rsidR="00DD3B43">
        <w:t>)</w:t>
      </w:r>
      <w:r w:rsidR="00DD3B43" w:rsidRPr="00207DCB">
        <w:t xml:space="preserve"> </w:t>
      </w:r>
      <w:r w:rsidR="00DD3B43">
        <w:t>has been met. N</w:t>
      </w:r>
      <w:r w:rsidR="00D47AC2">
        <w:t xml:space="preserve">evertheless </w:t>
      </w:r>
      <w:r w:rsidR="00F24B97">
        <w:t xml:space="preserve">because of the age of the data </w:t>
      </w:r>
      <w:r w:rsidR="00DD3B43">
        <w:t xml:space="preserve">there is still the need for </w:t>
      </w:r>
      <w:r w:rsidR="00DA33BB" w:rsidRPr="00207DCB">
        <w:t xml:space="preserve">sustained </w:t>
      </w:r>
      <w:r w:rsidR="00432F20" w:rsidRPr="00207DCB">
        <w:t>attenti</w:t>
      </w:r>
      <w:r w:rsidR="00DA33BB" w:rsidRPr="00207DCB">
        <w:t>on</w:t>
      </w:r>
      <w:r w:rsidR="00432F20" w:rsidRPr="00207DCB">
        <w:t xml:space="preserve"> at </w:t>
      </w:r>
      <w:r w:rsidR="00B507B1">
        <w:t>the</w:t>
      </w:r>
      <w:r w:rsidR="00432F20" w:rsidRPr="00207DCB">
        <w:t xml:space="preserve"> population level</w:t>
      </w:r>
      <w:r w:rsidR="00557193">
        <w:t>,</w:t>
      </w:r>
      <w:r w:rsidR="00DA33BB" w:rsidRPr="00207DCB">
        <w:t xml:space="preserve"> particularly </w:t>
      </w:r>
      <w:r w:rsidR="00395AA3">
        <w:t>as</w:t>
      </w:r>
      <w:r w:rsidR="00557193">
        <w:t xml:space="preserve"> </w:t>
      </w:r>
      <w:r w:rsidR="00DA33BB" w:rsidRPr="00207DCB">
        <w:t>previous research has shown that smoking rates among adolescents increas</w:t>
      </w:r>
      <w:r w:rsidR="00557193">
        <w:t>e</w:t>
      </w:r>
      <w:r w:rsidR="00DA33BB" w:rsidRPr="00207DCB">
        <w:t xml:space="preserve"> when there </w:t>
      </w:r>
      <w:r w:rsidR="00557193">
        <w:t>i</w:t>
      </w:r>
      <w:r w:rsidR="00DA33BB" w:rsidRPr="00207DCB">
        <w:t>s a reduction in tobacco control activity, including tobacco control advertising campaign</w:t>
      </w:r>
      <w:r w:rsidR="00917D46">
        <w:t>s</w:t>
      </w:r>
      <w:r w:rsidR="00DA33BB" w:rsidRPr="00207DCB">
        <w:t>.</w:t>
      </w:r>
      <w:bookmarkEnd w:id="388"/>
      <w:r w:rsidR="00DA33BB" w:rsidRPr="00207DCB">
        <w:rPr>
          <w:rStyle w:val="FootnoteReference"/>
          <w:rFonts w:cs="Arial"/>
          <w:lang w:eastAsia="en-AU"/>
        </w:rPr>
        <w:footnoteReference w:id="80"/>
      </w:r>
      <w:r w:rsidR="00952FC7">
        <w:t xml:space="preserve"> </w:t>
      </w:r>
      <w:r w:rsidR="005E3030" w:rsidRPr="00207DCB">
        <w:t xml:space="preserve">To </w:t>
      </w:r>
      <w:r w:rsidR="00680FF5">
        <w:t>ensure</w:t>
      </w:r>
      <w:r w:rsidR="005E3030" w:rsidRPr="00207DCB">
        <w:t xml:space="preserve"> that the gains made in </w:t>
      </w:r>
      <w:r w:rsidR="00680FF5">
        <w:t>reducing</w:t>
      </w:r>
      <w:r w:rsidR="005E3030" w:rsidRPr="00207DCB">
        <w:t xml:space="preserve"> smoking </w:t>
      </w:r>
      <w:r w:rsidR="00091DEE" w:rsidRPr="00207DCB">
        <w:t xml:space="preserve">prevalence </w:t>
      </w:r>
      <w:r w:rsidR="005E3030" w:rsidRPr="00207DCB">
        <w:t xml:space="preserve">among Australian adolescents </w:t>
      </w:r>
      <w:r w:rsidR="00091DEE" w:rsidRPr="00207DCB">
        <w:t>from the 2014 baseline</w:t>
      </w:r>
      <w:r w:rsidR="00224322">
        <w:t xml:space="preserve"> are sustained</w:t>
      </w:r>
      <w:r w:rsidR="00091DEE" w:rsidRPr="00207DCB">
        <w:t xml:space="preserve">, </w:t>
      </w:r>
      <w:r w:rsidR="005E3030" w:rsidRPr="00207DCB">
        <w:t>interventions known to</w:t>
      </w:r>
      <w:r w:rsidR="00091DEE" w:rsidRPr="00207DCB">
        <w:t xml:space="preserve"> </w:t>
      </w:r>
      <w:r w:rsidR="005E3030" w:rsidRPr="00207DCB">
        <w:t xml:space="preserve">reduce adolescents’ involvement with smoking </w:t>
      </w:r>
      <w:r w:rsidR="00091DEE" w:rsidRPr="00207DCB">
        <w:t xml:space="preserve">will </w:t>
      </w:r>
      <w:r w:rsidR="005E3030" w:rsidRPr="00207DCB">
        <w:t>need to continue</w:t>
      </w:r>
      <w:r w:rsidR="00091DEE" w:rsidRPr="00207DCB">
        <w:t>.</w:t>
      </w:r>
      <w:r w:rsidR="0048790B" w:rsidRPr="00207DCB">
        <w:rPr>
          <w:rStyle w:val="FootnoteReference"/>
          <w:rFonts w:cs="Arial"/>
          <w:lang w:eastAsia="en-AU"/>
        </w:rPr>
        <w:footnoteReference w:id="81"/>
      </w:r>
      <w:r w:rsidR="00091DEE" w:rsidRPr="00207DCB">
        <w:t xml:space="preserve"> </w:t>
      </w:r>
      <w:r w:rsidR="007713C0" w:rsidRPr="00207DCB">
        <w:t>This will be important</w:t>
      </w:r>
      <w:r w:rsidR="00091DEE" w:rsidRPr="00207DCB">
        <w:t xml:space="preserve"> in</w:t>
      </w:r>
      <w:r w:rsidR="007713C0" w:rsidRPr="00207DCB">
        <w:t xml:space="preserve"> ensur</w:t>
      </w:r>
      <w:r w:rsidR="00091DEE" w:rsidRPr="00207DCB">
        <w:t>ing</w:t>
      </w:r>
      <w:r w:rsidR="007713C0" w:rsidRPr="00207DCB">
        <w:t xml:space="preserve"> </w:t>
      </w:r>
      <w:r w:rsidR="005E3030" w:rsidRPr="00207DCB">
        <w:t xml:space="preserve">the target </w:t>
      </w:r>
      <w:r w:rsidR="000D01A2">
        <w:t>continues to be met</w:t>
      </w:r>
      <w:r w:rsidR="00DD3B43">
        <w:t xml:space="preserve"> and or even reduced further </w:t>
      </w:r>
      <w:r w:rsidR="005F215B">
        <w:t>until 2025</w:t>
      </w:r>
      <w:r w:rsidR="005E3030" w:rsidRPr="00207DCB">
        <w:t>.</w:t>
      </w:r>
      <w:bookmarkStart w:id="389" w:name="_Measure_6.3_–"/>
      <w:bookmarkEnd w:id="389"/>
      <w:r w:rsidR="00D10B5A" w:rsidRPr="00091DEE">
        <w:br w:type="page"/>
      </w:r>
      <w:r w:rsidR="00C9473B" w:rsidRPr="76BE792E">
        <w:rPr>
          <w:rStyle w:val="Heading3Char"/>
          <w:b/>
        </w:rPr>
        <w:lastRenderedPageBreak/>
        <w:t xml:space="preserve">Measure 6.3 – </w:t>
      </w:r>
      <w:bookmarkStart w:id="390" w:name="_Hlk111621583"/>
      <w:r w:rsidR="00C9473B" w:rsidRPr="76BE792E">
        <w:rPr>
          <w:rStyle w:val="Heading3Char"/>
          <w:b/>
        </w:rPr>
        <w:t>Proportion of adults who consume alcohol at lifetime risk of harm</w:t>
      </w:r>
    </w:p>
    <w:p w14:paraId="7CEF0482" w14:textId="18AC5BC4" w:rsidR="003A001C" w:rsidRDefault="000D1A38" w:rsidP="003A001C">
      <w:pPr>
        <w:pStyle w:val="Figurecaption"/>
        <w:rPr>
          <w:sz w:val="20"/>
        </w:rPr>
      </w:pPr>
      <w:bookmarkStart w:id="391" w:name="_Toc19008058"/>
      <w:bookmarkStart w:id="392" w:name="_Toc19008297"/>
      <w:bookmarkStart w:id="393" w:name="_Toc19008444"/>
      <w:bookmarkStart w:id="394" w:name="_Toc19008591"/>
      <w:bookmarkStart w:id="395" w:name="_Toc132553025"/>
      <w:bookmarkStart w:id="396" w:name="_Toc140827633"/>
      <w:bookmarkEnd w:id="390"/>
      <w:r w:rsidRPr="00B33F2D">
        <w:rPr>
          <w:sz w:val="20"/>
        </w:rPr>
        <w:t>Figure 6.3</w:t>
      </w:r>
      <w:r w:rsidR="003B391F" w:rsidRPr="00B33F2D">
        <w:rPr>
          <w:sz w:val="20"/>
        </w:rPr>
        <w:t>:</w:t>
      </w:r>
      <w:r w:rsidRPr="00B33F2D">
        <w:rPr>
          <w:sz w:val="20"/>
        </w:rPr>
        <w:t xml:space="preserve"> Proportion of </w:t>
      </w:r>
      <w:r w:rsidR="00193C20" w:rsidRPr="00B33F2D">
        <w:rPr>
          <w:sz w:val="20"/>
        </w:rPr>
        <w:t xml:space="preserve">Victorian </w:t>
      </w:r>
      <w:r w:rsidRPr="00B33F2D">
        <w:rPr>
          <w:sz w:val="20"/>
        </w:rPr>
        <w:t xml:space="preserve">adults </w:t>
      </w:r>
      <w:r w:rsidR="00193C20" w:rsidRPr="00B33F2D">
        <w:rPr>
          <w:sz w:val="20"/>
        </w:rPr>
        <w:t>(</w:t>
      </w:r>
      <w:r w:rsidR="00193C20" w:rsidRPr="00B33F2D">
        <w:rPr>
          <w:rFonts w:cs="Arial"/>
          <w:bCs/>
          <w:color w:val="000000"/>
          <w:sz w:val="20"/>
        </w:rPr>
        <w:t>aged 18 y</w:t>
      </w:r>
      <w:r w:rsidR="00E9274F" w:rsidRPr="00B33F2D">
        <w:rPr>
          <w:rFonts w:cs="Arial"/>
          <w:bCs/>
          <w:color w:val="000000"/>
          <w:sz w:val="20"/>
        </w:rPr>
        <w:t>ea</w:t>
      </w:r>
      <w:r w:rsidR="00193C20" w:rsidRPr="00B33F2D">
        <w:rPr>
          <w:rFonts w:cs="Arial"/>
          <w:bCs/>
          <w:color w:val="000000"/>
          <w:sz w:val="20"/>
        </w:rPr>
        <w:t xml:space="preserve">rs </w:t>
      </w:r>
      <w:r w:rsidR="001B50BF" w:rsidRPr="00B33F2D">
        <w:rPr>
          <w:rFonts w:cs="Arial"/>
          <w:bCs/>
          <w:color w:val="000000"/>
          <w:sz w:val="20"/>
        </w:rPr>
        <w:t xml:space="preserve">or </w:t>
      </w:r>
      <w:r w:rsidR="00193C20" w:rsidRPr="00B33F2D">
        <w:rPr>
          <w:rFonts w:cs="Arial"/>
          <w:bCs/>
          <w:color w:val="000000"/>
          <w:sz w:val="20"/>
        </w:rPr>
        <w:t>older)</w:t>
      </w:r>
      <w:r w:rsidR="00193C20" w:rsidRPr="00B33F2D">
        <w:rPr>
          <w:sz w:val="20"/>
        </w:rPr>
        <w:t xml:space="preserve"> </w:t>
      </w:r>
      <w:r w:rsidRPr="00B33F2D">
        <w:rPr>
          <w:sz w:val="20"/>
        </w:rPr>
        <w:t>who consume alcohol at lifetime risk of harm</w:t>
      </w:r>
      <w:r w:rsidR="009956F1" w:rsidRPr="00B33F2D">
        <w:rPr>
          <w:sz w:val="20"/>
        </w:rPr>
        <w:t>,</w:t>
      </w:r>
      <w:r w:rsidR="002C7FB7" w:rsidRPr="00B33F2D">
        <w:rPr>
          <w:sz w:val="20"/>
        </w:rPr>
        <w:t xml:space="preserve"> by year, 201</w:t>
      </w:r>
      <w:r w:rsidR="00524A62" w:rsidRPr="00B33F2D">
        <w:rPr>
          <w:sz w:val="20"/>
        </w:rPr>
        <w:t>5</w:t>
      </w:r>
      <w:r w:rsidR="00CA2AD7" w:rsidRPr="00B33F2D">
        <w:rPr>
          <w:sz w:val="20"/>
        </w:rPr>
        <w:t>–</w:t>
      </w:r>
      <w:r w:rsidR="002C7FB7" w:rsidRPr="00B33F2D">
        <w:rPr>
          <w:sz w:val="20"/>
        </w:rPr>
        <w:t>201</w:t>
      </w:r>
      <w:bookmarkEnd w:id="391"/>
      <w:bookmarkEnd w:id="392"/>
      <w:bookmarkEnd w:id="393"/>
      <w:bookmarkEnd w:id="394"/>
      <w:r w:rsidR="00524A62" w:rsidRPr="00B33F2D">
        <w:rPr>
          <w:sz w:val="20"/>
        </w:rPr>
        <w:t>9</w:t>
      </w:r>
      <w:bookmarkEnd w:id="395"/>
      <w:bookmarkEnd w:id="396"/>
    </w:p>
    <w:p w14:paraId="47477AC9" w14:textId="2504820E" w:rsidR="00BE0B98" w:rsidRPr="00BE0B98" w:rsidRDefault="00CF734F" w:rsidP="00CF734F">
      <w:pPr>
        <w:pStyle w:val="DHHSbody"/>
      </w:pPr>
      <w:r w:rsidRPr="00CF734F">
        <w:rPr>
          <w:noProof/>
        </w:rPr>
        <w:drawing>
          <wp:inline distT="0" distB="0" distL="0" distR="0" wp14:anchorId="3712DAC6" wp14:editId="19574523">
            <wp:extent cx="5981700" cy="3534641"/>
            <wp:effectExtent l="0" t="0" r="0" b="8890"/>
            <wp:docPr id="281" name="Picture 281" descr="This figure presents data under Measure 6.3 - Proportion of adults who consume alcohol at lifetime risk of harm'. The data for this figure is available in this section for the study period 2015 to 2019 - refer to Tabl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This figure presents data under Measure 6.3 - Proportion of adults who consume alcohol at lifetime risk of harm'. The data for this figure is available in this section for the study period 2015 to 2019 - refer to Table 6.3."/>
                    <pic:cNvPicPr/>
                  </pic:nvPicPr>
                  <pic:blipFill>
                    <a:blip r:embed="rId77"/>
                    <a:stretch>
                      <a:fillRect/>
                    </a:stretch>
                  </pic:blipFill>
                  <pic:spPr>
                    <a:xfrm>
                      <a:off x="0" y="0"/>
                      <a:ext cx="5993462" cy="3541591"/>
                    </a:xfrm>
                    <a:prstGeom prst="rect">
                      <a:avLst/>
                    </a:prstGeom>
                  </pic:spPr>
                </pic:pic>
              </a:graphicData>
            </a:graphic>
          </wp:inline>
        </w:drawing>
      </w:r>
    </w:p>
    <w:p w14:paraId="7E8A0AB4" w14:textId="03731DF8" w:rsidR="004E5892" w:rsidRPr="00B33F2D" w:rsidRDefault="004E5892" w:rsidP="008C38C6">
      <w:pPr>
        <w:pStyle w:val="Tablecaption"/>
        <w:rPr>
          <w:sz w:val="20"/>
        </w:rPr>
      </w:pPr>
      <w:bookmarkStart w:id="397" w:name="_Toc18908729"/>
      <w:bookmarkStart w:id="398" w:name="_Toc132491526"/>
      <w:bookmarkStart w:id="399" w:name="_Toc140834918"/>
      <w:r w:rsidRPr="00B33F2D">
        <w:rPr>
          <w:sz w:val="20"/>
        </w:rPr>
        <w:t>Table 6.3</w:t>
      </w:r>
      <w:r w:rsidR="001F7E28" w:rsidRPr="00B33F2D">
        <w:rPr>
          <w:sz w:val="20"/>
        </w:rPr>
        <w:t>:</w:t>
      </w:r>
      <w:r w:rsidRPr="00B33F2D">
        <w:rPr>
          <w:sz w:val="20"/>
        </w:rPr>
        <w:t xml:space="preserve"> Proportion of Victorian adults (</w:t>
      </w:r>
      <w:r w:rsidRPr="00B33F2D">
        <w:rPr>
          <w:rFonts w:cs="Arial"/>
          <w:bCs/>
          <w:color w:val="000000"/>
          <w:sz w:val="20"/>
        </w:rPr>
        <w:t>aged 18 y</w:t>
      </w:r>
      <w:r w:rsidR="00E9274F" w:rsidRPr="00B33F2D">
        <w:rPr>
          <w:rFonts w:cs="Arial"/>
          <w:bCs/>
          <w:color w:val="000000"/>
          <w:sz w:val="20"/>
        </w:rPr>
        <w:t>ea</w:t>
      </w:r>
      <w:r w:rsidRPr="00B33F2D">
        <w:rPr>
          <w:rFonts w:cs="Arial"/>
          <w:bCs/>
          <w:color w:val="000000"/>
          <w:sz w:val="20"/>
        </w:rPr>
        <w:t xml:space="preserve">rs </w:t>
      </w:r>
      <w:r w:rsidR="00CA2AD7" w:rsidRPr="00B33F2D">
        <w:rPr>
          <w:rFonts w:cs="Arial"/>
          <w:bCs/>
          <w:color w:val="000000"/>
          <w:sz w:val="20"/>
        </w:rPr>
        <w:t xml:space="preserve">or </w:t>
      </w:r>
      <w:r w:rsidRPr="00B33F2D">
        <w:rPr>
          <w:rFonts w:cs="Arial"/>
          <w:bCs/>
          <w:color w:val="000000"/>
          <w:sz w:val="20"/>
        </w:rPr>
        <w:t>older)</w:t>
      </w:r>
      <w:r w:rsidRPr="00B33F2D">
        <w:rPr>
          <w:sz w:val="20"/>
        </w:rPr>
        <w:t xml:space="preserve"> who consume alcohol at lifetime risk of harm</w:t>
      </w:r>
      <w:r w:rsidR="009956F1" w:rsidRPr="00B33F2D">
        <w:rPr>
          <w:sz w:val="20"/>
        </w:rPr>
        <w:t>,</w:t>
      </w:r>
      <w:r w:rsidR="002C7FB7" w:rsidRPr="00B33F2D">
        <w:rPr>
          <w:sz w:val="20"/>
        </w:rPr>
        <w:t xml:space="preserve"> by year, 201</w:t>
      </w:r>
      <w:r w:rsidR="00524A62" w:rsidRPr="00B33F2D">
        <w:rPr>
          <w:sz w:val="20"/>
        </w:rPr>
        <w:t>5</w:t>
      </w:r>
      <w:r w:rsidR="00CA2AD7" w:rsidRPr="00B33F2D">
        <w:rPr>
          <w:sz w:val="20"/>
        </w:rPr>
        <w:t>–</w:t>
      </w:r>
      <w:r w:rsidR="002C7FB7" w:rsidRPr="00B33F2D">
        <w:rPr>
          <w:sz w:val="20"/>
        </w:rPr>
        <w:t>201</w:t>
      </w:r>
      <w:bookmarkEnd w:id="397"/>
      <w:r w:rsidR="00524A62" w:rsidRPr="00B33F2D">
        <w:rPr>
          <w:sz w:val="20"/>
        </w:rPr>
        <w:t>9</w:t>
      </w:r>
      <w:bookmarkEnd w:id="398"/>
      <w:bookmarkEnd w:id="399"/>
    </w:p>
    <w:tbl>
      <w:tblPr>
        <w:tblW w:w="0" w:type="auto"/>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1511"/>
        <w:gridCol w:w="1619"/>
        <w:gridCol w:w="1676"/>
        <w:gridCol w:w="1584"/>
        <w:gridCol w:w="1480"/>
        <w:gridCol w:w="1455"/>
      </w:tblGrid>
      <w:tr w:rsidR="00F86311" w:rsidRPr="000517B8" w14:paraId="74BAD747" w14:textId="16231C8D" w:rsidTr="009F1DCC">
        <w:trPr>
          <w:trHeight w:val="297"/>
        </w:trPr>
        <w:tc>
          <w:tcPr>
            <w:tcW w:w="1744" w:type="dxa"/>
            <w:shd w:val="clear" w:color="auto" w:fill="EDCDCF"/>
            <w:vAlign w:val="center"/>
          </w:tcPr>
          <w:p w14:paraId="214C7AFD" w14:textId="77777777" w:rsidR="00524A62" w:rsidRPr="00DB4F90" w:rsidRDefault="00524A62" w:rsidP="00573DB3">
            <w:pPr>
              <w:pStyle w:val="Tablecolhead"/>
            </w:pPr>
            <w:r w:rsidRPr="00DB4F90">
              <w:t>Year</w:t>
            </w:r>
          </w:p>
        </w:tc>
        <w:tc>
          <w:tcPr>
            <w:tcW w:w="1844" w:type="dxa"/>
            <w:shd w:val="clear" w:color="auto" w:fill="EDCDCF"/>
            <w:vAlign w:val="center"/>
          </w:tcPr>
          <w:p w14:paraId="23F297B9" w14:textId="77777777" w:rsidR="00524A62" w:rsidRPr="00DB4F90" w:rsidRDefault="00524A62" w:rsidP="00573DB3">
            <w:pPr>
              <w:pStyle w:val="Tablecolhead"/>
            </w:pPr>
            <w:r w:rsidRPr="00DB4F90">
              <w:t>2015</w:t>
            </w:r>
          </w:p>
        </w:tc>
        <w:tc>
          <w:tcPr>
            <w:tcW w:w="1917" w:type="dxa"/>
            <w:shd w:val="clear" w:color="auto" w:fill="EDCDCF"/>
            <w:vAlign w:val="center"/>
          </w:tcPr>
          <w:p w14:paraId="2CB34716" w14:textId="77777777" w:rsidR="00524A62" w:rsidRPr="00DB4F90" w:rsidRDefault="00524A62" w:rsidP="00573DB3">
            <w:pPr>
              <w:pStyle w:val="Tablecolhead"/>
            </w:pPr>
            <w:r w:rsidRPr="00DB4F90">
              <w:t>2016</w:t>
            </w:r>
          </w:p>
        </w:tc>
        <w:tc>
          <w:tcPr>
            <w:tcW w:w="1799" w:type="dxa"/>
            <w:shd w:val="clear" w:color="auto" w:fill="EDCDCF"/>
          </w:tcPr>
          <w:p w14:paraId="71002127" w14:textId="038E2732" w:rsidR="00524A62" w:rsidRPr="00DB4F90" w:rsidRDefault="00524A62" w:rsidP="00573DB3">
            <w:pPr>
              <w:pStyle w:val="Tablecolhead"/>
            </w:pPr>
            <w:r>
              <w:t>2017</w:t>
            </w:r>
          </w:p>
        </w:tc>
        <w:tc>
          <w:tcPr>
            <w:tcW w:w="1666" w:type="dxa"/>
            <w:shd w:val="clear" w:color="auto" w:fill="EDCDCF"/>
          </w:tcPr>
          <w:p w14:paraId="66AA804C" w14:textId="30931767" w:rsidR="00524A62" w:rsidRDefault="00524A62" w:rsidP="00573DB3">
            <w:pPr>
              <w:pStyle w:val="Tablecolhead"/>
            </w:pPr>
            <w:r>
              <w:t>2018</w:t>
            </w:r>
          </w:p>
        </w:tc>
        <w:tc>
          <w:tcPr>
            <w:tcW w:w="1666" w:type="dxa"/>
            <w:shd w:val="clear" w:color="auto" w:fill="EDCDCF"/>
          </w:tcPr>
          <w:p w14:paraId="5C0B154D" w14:textId="0DBC27C0" w:rsidR="00524A62" w:rsidRDefault="00524A62" w:rsidP="00573DB3">
            <w:pPr>
              <w:pStyle w:val="Tablecolhead"/>
            </w:pPr>
            <w:r>
              <w:t>2019</w:t>
            </w:r>
          </w:p>
        </w:tc>
      </w:tr>
      <w:tr w:rsidR="003522E9" w:rsidRPr="000517B8" w14:paraId="1024874E" w14:textId="303D2123" w:rsidTr="009F1DCC">
        <w:trPr>
          <w:trHeight w:val="297"/>
        </w:trPr>
        <w:tc>
          <w:tcPr>
            <w:tcW w:w="1744" w:type="dxa"/>
            <w:shd w:val="clear" w:color="auto" w:fill="auto"/>
            <w:vAlign w:val="center"/>
          </w:tcPr>
          <w:p w14:paraId="3EE1B927" w14:textId="77777777" w:rsidR="00524A62" w:rsidRPr="005E739D" w:rsidRDefault="00524A62" w:rsidP="00573DB3">
            <w:pPr>
              <w:pStyle w:val="Tabletext"/>
            </w:pPr>
            <w:r>
              <w:t>Per cent (%)</w:t>
            </w:r>
          </w:p>
        </w:tc>
        <w:tc>
          <w:tcPr>
            <w:tcW w:w="1844" w:type="dxa"/>
            <w:shd w:val="clear" w:color="auto" w:fill="auto"/>
            <w:vAlign w:val="center"/>
          </w:tcPr>
          <w:p w14:paraId="40E5627D" w14:textId="33F27749" w:rsidR="00524A62" w:rsidRPr="0069114D" w:rsidRDefault="00524A62" w:rsidP="00573DB3">
            <w:pPr>
              <w:pStyle w:val="Tabletext"/>
            </w:pPr>
            <w:r>
              <w:t>58.6</w:t>
            </w:r>
          </w:p>
        </w:tc>
        <w:tc>
          <w:tcPr>
            <w:tcW w:w="1917" w:type="dxa"/>
            <w:shd w:val="clear" w:color="auto" w:fill="auto"/>
            <w:vAlign w:val="center"/>
          </w:tcPr>
          <w:p w14:paraId="3B0028A8" w14:textId="77777777" w:rsidR="00524A62" w:rsidRPr="0069114D" w:rsidRDefault="00524A62" w:rsidP="00573DB3">
            <w:pPr>
              <w:pStyle w:val="Tabletext"/>
            </w:pPr>
            <w:r w:rsidRPr="0069114D">
              <w:t>57.7</w:t>
            </w:r>
          </w:p>
        </w:tc>
        <w:tc>
          <w:tcPr>
            <w:tcW w:w="1799" w:type="dxa"/>
          </w:tcPr>
          <w:p w14:paraId="2AB46F21" w14:textId="26AF6064" w:rsidR="00524A62" w:rsidRPr="0069114D" w:rsidRDefault="00524A62" w:rsidP="00573DB3">
            <w:pPr>
              <w:pStyle w:val="Tabletext"/>
            </w:pPr>
            <w:r>
              <w:t>59.5</w:t>
            </w:r>
          </w:p>
        </w:tc>
        <w:tc>
          <w:tcPr>
            <w:tcW w:w="1666" w:type="dxa"/>
          </w:tcPr>
          <w:p w14:paraId="0A699EA8" w14:textId="7CAADBF4" w:rsidR="00524A62" w:rsidRDefault="00F474AA" w:rsidP="00573DB3">
            <w:pPr>
              <w:pStyle w:val="Tabletext"/>
            </w:pPr>
            <w:r>
              <w:t>61.1</w:t>
            </w:r>
          </w:p>
        </w:tc>
        <w:tc>
          <w:tcPr>
            <w:tcW w:w="1666" w:type="dxa"/>
          </w:tcPr>
          <w:p w14:paraId="342D005A" w14:textId="76AB77A4" w:rsidR="00524A62" w:rsidRDefault="00F474AA" w:rsidP="00573DB3">
            <w:pPr>
              <w:pStyle w:val="Tabletext"/>
            </w:pPr>
            <w:r>
              <w:t>59</w:t>
            </w:r>
            <w:r w:rsidR="007A7F08">
              <w:t>.</w:t>
            </w:r>
            <w:r>
              <w:t>6</w:t>
            </w:r>
          </w:p>
        </w:tc>
      </w:tr>
      <w:tr w:rsidR="003522E9" w:rsidRPr="000517B8" w14:paraId="661D3963" w14:textId="3D733EDC" w:rsidTr="009F1DCC">
        <w:trPr>
          <w:trHeight w:val="297"/>
        </w:trPr>
        <w:tc>
          <w:tcPr>
            <w:tcW w:w="1744" w:type="dxa"/>
            <w:shd w:val="clear" w:color="auto" w:fill="auto"/>
            <w:vAlign w:val="center"/>
          </w:tcPr>
          <w:p w14:paraId="2417EC4D" w14:textId="4789255D" w:rsidR="00524A62" w:rsidRDefault="00524A62" w:rsidP="00573DB3">
            <w:pPr>
              <w:pStyle w:val="Tabletext"/>
            </w:pPr>
            <w:r>
              <w:t>95% CI</w:t>
            </w:r>
          </w:p>
        </w:tc>
        <w:tc>
          <w:tcPr>
            <w:tcW w:w="1844" w:type="dxa"/>
            <w:shd w:val="clear" w:color="auto" w:fill="auto"/>
            <w:vAlign w:val="center"/>
          </w:tcPr>
          <w:p w14:paraId="2303BFAA" w14:textId="18B73009" w:rsidR="00524A62" w:rsidRPr="0069114D" w:rsidRDefault="00524A62" w:rsidP="00573DB3">
            <w:pPr>
              <w:pStyle w:val="Tabletext"/>
            </w:pPr>
            <w:r w:rsidRPr="0069114D">
              <w:t>(</w:t>
            </w:r>
            <w:r>
              <w:t>57</w:t>
            </w:r>
            <w:r w:rsidRPr="0069114D">
              <w:t>.</w:t>
            </w:r>
            <w:r>
              <w:t>0–60</w:t>
            </w:r>
            <w:r w:rsidRPr="0069114D">
              <w:t>.</w:t>
            </w:r>
            <w:r>
              <w:t>2</w:t>
            </w:r>
            <w:r w:rsidRPr="0069114D">
              <w:t>)</w:t>
            </w:r>
          </w:p>
        </w:tc>
        <w:tc>
          <w:tcPr>
            <w:tcW w:w="1917" w:type="dxa"/>
            <w:shd w:val="clear" w:color="auto" w:fill="auto"/>
            <w:vAlign w:val="center"/>
          </w:tcPr>
          <w:p w14:paraId="61DC93C1" w14:textId="26872CA1" w:rsidR="00524A62" w:rsidRPr="0069114D" w:rsidRDefault="00524A62" w:rsidP="00573DB3">
            <w:pPr>
              <w:pStyle w:val="Tabletext"/>
            </w:pPr>
            <w:r w:rsidRPr="0069114D">
              <w:t>(</w:t>
            </w:r>
            <w:r>
              <w:t>56.3–59</w:t>
            </w:r>
            <w:r w:rsidRPr="0069114D">
              <w:t>.</w:t>
            </w:r>
            <w:r>
              <w:t>2</w:t>
            </w:r>
            <w:r w:rsidRPr="0069114D">
              <w:t>)</w:t>
            </w:r>
          </w:p>
        </w:tc>
        <w:tc>
          <w:tcPr>
            <w:tcW w:w="1799" w:type="dxa"/>
          </w:tcPr>
          <w:p w14:paraId="20A33C60" w14:textId="440AD2E2" w:rsidR="00524A62" w:rsidRPr="0069114D" w:rsidRDefault="00524A62" w:rsidP="00573DB3">
            <w:pPr>
              <w:pStyle w:val="Tabletext"/>
            </w:pPr>
            <w:r>
              <w:t>(58.6–60.4)</w:t>
            </w:r>
          </w:p>
        </w:tc>
        <w:tc>
          <w:tcPr>
            <w:tcW w:w="1666" w:type="dxa"/>
          </w:tcPr>
          <w:p w14:paraId="20FD6C28" w14:textId="4E7A8DF3" w:rsidR="00524A62" w:rsidRDefault="00F474AA" w:rsidP="00573DB3">
            <w:pPr>
              <w:pStyle w:val="Tabletext"/>
            </w:pPr>
            <w:r>
              <w:t>(59.6</w:t>
            </w:r>
            <w:r w:rsidR="007A7F08">
              <w:t>–</w:t>
            </w:r>
            <w:r>
              <w:t>62.7)</w:t>
            </w:r>
          </w:p>
        </w:tc>
        <w:tc>
          <w:tcPr>
            <w:tcW w:w="1666" w:type="dxa"/>
          </w:tcPr>
          <w:p w14:paraId="093F4050" w14:textId="1A7CF5C0" w:rsidR="00524A62" w:rsidRDefault="00F474AA" w:rsidP="00573DB3">
            <w:pPr>
              <w:pStyle w:val="Tabletext"/>
            </w:pPr>
            <w:r>
              <w:t>(58</w:t>
            </w:r>
            <w:r w:rsidR="007A7F08">
              <w:t>–</w:t>
            </w:r>
            <w:r>
              <w:t>61.1)</w:t>
            </w:r>
          </w:p>
        </w:tc>
      </w:tr>
    </w:tbl>
    <w:p w14:paraId="600B1824" w14:textId="1B0FC727" w:rsidR="006744C7" w:rsidRPr="00B33F2D" w:rsidRDefault="006744C7" w:rsidP="00FA1AAC">
      <w:pPr>
        <w:pStyle w:val="Tablefigurenote"/>
        <w:rPr>
          <w:i/>
          <w:iCs/>
          <w:sz w:val="18"/>
          <w:szCs w:val="18"/>
        </w:rPr>
      </w:pPr>
      <w:r w:rsidRPr="00B33F2D">
        <w:rPr>
          <w:i/>
          <w:iCs/>
          <w:sz w:val="18"/>
          <w:szCs w:val="18"/>
        </w:rPr>
        <w:t>Source</w:t>
      </w:r>
      <w:r w:rsidR="005F2BBD" w:rsidRPr="00B33F2D">
        <w:rPr>
          <w:i/>
          <w:iCs/>
          <w:sz w:val="18"/>
          <w:szCs w:val="18"/>
        </w:rPr>
        <w:t>s</w:t>
      </w:r>
      <w:r w:rsidRPr="00B33F2D">
        <w:rPr>
          <w:i/>
          <w:iCs/>
          <w:sz w:val="18"/>
          <w:szCs w:val="18"/>
        </w:rPr>
        <w:t>:</w:t>
      </w:r>
      <w:r w:rsidR="00986080" w:rsidRPr="00B33F2D">
        <w:rPr>
          <w:i/>
          <w:iCs/>
          <w:sz w:val="18"/>
          <w:szCs w:val="18"/>
        </w:rPr>
        <w:t xml:space="preserve"> Victorian Population Health Survey</w:t>
      </w:r>
      <w:r w:rsidR="00143AA5" w:rsidRPr="00B33F2D">
        <w:rPr>
          <w:i/>
          <w:iCs/>
          <w:sz w:val="18"/>
          <w:szCs w:val="18"/>
        </w:rPr>
        <w:t>s 201</w:t>
      </w:r>
      <w:r w:rsidR="00524A62" w:rsidRPr="00B33F2D">
        <w:rPr>
          <w:i/>
          <w:iCs/>
          <w:sz w:val="18"/>
          <w:szCs w:val="18"/>
        </w:rPr>
        <w:t>5</w:t>
      </w:r>
      <w:r w:rsidR="00CA2AD7" w:rsidRPr="00B33F2D">
        <w:rPr>
          <w:i/>
          <w:iCs/>
          <w:sz w:val="18"/>
          <w:szCs w:val="18"/>
        </w:rPr>
        <w:t>–</w:t>
      </w:r>
      <w:r w:rsidR="00143AA5" w:rsidRPr="00B33F2D">
        <w:rPr>
          <w:i/>
          <w:iCs/>
          <w:sz w:val="18"/>
          <w:szCs w:val="18"/>
        </w:rPr>
        <w:t>201</w:t>
      </w:r>
      <w:r w:rsidR="00524A62" w:rsidRPr="00B33F2D">
        <w:rPr>
          <w:i/>
          <w:iCs/>
          <w:sz w:val="18"/>
          <w:szCs w:val="18"/>
        </w:rPr>
        <w:t>9</w:t>
      </w:r>
      <w:r w:rsidR="007A7F08" w:rsidRPr="00B33F2D">
        <w:rPr>
          <w:i/>
          <w:iCs/>
          <w:sz w:val="18"/>
          <w:szCs w:val="18"/>
        </w:rPr>
        <w:t xml:space="preserve"> </w:t>
      </w:r>
      <w:r w:rsidR="00F101A6" w:rsidRPr="00B33F2D">
        <w:rPr>
          <w:i/>
          <w:iCs/>
          <w:sz w:val="18"/>
          <w:szCs w:val="18"/>
        </w:rPr>
        <w:t>(age</w:t>
      </w:r>
      <w:r w:rsidR="00A5064E" w:rsidRPr="00B33F2D">
        <w:rPr>
          <w:i/>
          <w:iCs/>
          <w:sz w:val="18"/>
          <w:szCs w:val="18"/>
        </w:rPr>
        <w:t>-</w:t>
      </w:r>
      <w:r w:rsidR="00F101A6" w:rsidRPr="00B33F2D">
        <w:rPr>
          <w:i/>
          <w:iCs/>
          <w:sz w:val="18"/>
          <w:szCs w:val="18"/>
        </w:rPr>
        <w:t>standardised to 2011 Victorian population)</w:t>
      </w:r>
    </w:p>
    <w:p w14:paraId="35CF526D" w14:textId="11D31D82" w:rsidR="005F2BBD" w:rsidRPr="00B33F2D" w:rsidRDefault="00524A62" w:rsidP="00FA1AAC">
      <w:pPr>
        <w:pStyle w:val="Tablefigurenote"/>
        <w:rPr>
          <w:rFonts w:cs="Arial"/>
          <w:i/>
          <w:iCs/>
          <w:sz w:val="18"/>
          <w:szCs w:val="18"/>
        </w:rPr>
      </w:pPr>
      <w:r w:rsidRPr="00B33F2D">
        <w:rPr>
          <w:rFonts w:cs="Arial"/>
          <w:i/>
          <w:iCs/>
          <w:sz w:val="18"/>
          <w:szCs w:val="18"/>
        </w:rPr>
        <w:t>N</w:t>
      </w:r>
      <w:r w:rsidR="005E3103" w:rsidRPr="00B33F2D">
        <w:rPr>
          <w:rFonts w:cs="Arial"/>
          <w:i/>
          <w:iCs/>
          <w:sz w:val="18"/>
          <w:szCs w:val="18"/>
        </w:rPr>
        <w:t>otes:</w:t>
      </w:r>
      <w:r w:rsidRPr="00B33F2D">
        <w:rPr>
          <w:rFonts w:cs="Arial"/>
          <w:i/>
          <w:iCs/>
          <w:sz w:val="18"/>
          <w:szCs w:val="18"/>
        </w:rPr>
        <w:t xml:space="preserve"> </w:t>
      </w:r>
    </w:p>
    <w:p w14:paraId="381BFE2F" w14:textId="6B1FB4A1" w:rsidR="009F1DCC" w:rsidRPr="00B33F2D" w:rsidRDefault="00524A62" w:rsidP="00FA1AAC">
      <w:pPr>
        <w:pStyle w:val="Tablefigurenote"/>
        <w:rPr>
          <w:rFonts w:cs="Arial"/>
          <w:i/>
          <w:iCs/>
          <w:sz w:val="18"/>
          <w:szCs w:val="18"/>
        </w:rPr>
      </w:pPr>
      <w:r w:rsidRPr="00B33F2D">
        <w:rPr>
          <w:rFonts w:cs="Arial"/>
          <w:i/>
          <w:iCs/>
          <w:sz w:val="18"/>
          <w:szCs w:val="18"/>
        </w:rPr>
        <w:t xml:space="preserve">Data prior to 2015 cannot be directly compared with data from 2015 onwards </w:t>
      </w:r>
      <w:r w:rsidR="005E3103" w:rsidRPr="00B33F2D">
        <w:rPr>
          <w:rFonts w:cs="Arial"/>
          <w:i/>
          <w:iCs/>
          <w:sz w:val="18"/>
          <w:szCs w:val="18"/>
        </w:rPr>
        <w:t xml:space="preserve">because </w:t>
      </w:r>
      <w:r w:rsidRPr="00B33F2D">
        <w:rPr>
          <w:rFonts w:cs="Arial"/>
          <w:i/>
          <w:iCs/>
          <w:sz w:val="18"/>
          <w:szCs w:val="18"/>
        </w:rPr>
        <w:t xml:space="preserve">there was a significant change in the sampling frame. </w:t>
      </w:r>
      <w:r w:rsidR="009F1DCC" w:rsidRPr="00B33F2D">
        <w:rPr>
          <w:rFonts w:cs="Arial"/>
          <w:i/>
          <w:iCs/>
          <w:sz w:val="18"/>
          <w:szCs w:val="18"/>
        </w:rPr>
        <w:t>Prior to 2015</w:t>
      </w:r>
      <w:r w:rsidR="005E3103" w:rsidRPr="00B33F2D">
        <w:rPr>
          <w:rFonts w:cs="Arial"/>
          <w:i/>
          <w:iCs/>
          <w:sz w:val="18"/>
          <w:szCs w:val="18"/>
        </w:rPr>
        <w:t xml:space="preserve"> the Victorian Agency for Health Information</w:t>
      </w:r>
      <w:r w:rsidR="009F1DCC" w:rsidRPr="00B33F2D">
        <w:rPr>
          <w:rFonts w:cs="Arial"/>
          <w:i/>
          <w:iCs/>
          <w:sz w:val="18"/>
          <w:szCs w:val="18"/>
        </w:rPr>
        <w:t xml:space="preserve"> </w:t>
      </w:r>
      <w:r w:rsidR="005E3103" w:rsidRPr="00B33F2D">
        <w:rPr>
          <w:rFonts w:cs="Arial"/>
          <w:i/>
          <w:iCs/>
          <w:sz w:val="18"/>
          <w:szCs w:val="18"/>
        </w:rPr>
        <w:t>(</w:t>
      </w:r>
      <w:r w:rsidR="009F1DCC" w:rsidRPr="00B33F2D">
        <w:rPr>
          <w:rFonts w:cs="Arial"/>
          <w:i/>
          <w:iCs/>
          <w:sz w:val="18"/>
          <w:szCs w:val="18"/>
        </w:rPr>
        <w:t>VAHI</w:t>
      </w:r>
      <w:r w:rsidR="005E3103" w:rsidRPr="00B33F2D">
        <w:rPr>
          <w:rFonts w:cs="Arial"/>
          <w:i/>
          <w:iCs/>
          <w:sz w:val="18"/>
          <w:szCs w:val="18"/>
        </w:rPr>
        <w:t>)</w:t>
      </w:r>
      <w:r w:rsidR="009F1DCC" w:rsidRPr="00B33F2D">
        <w:rPr>
          <w:rFonts w:cs="Arial"/>
          <w:i/>
          <w:iCs/>
          <w:sz w:val="18"/>
          <w:szCs w:val="18"/>
        </w:rPr>
        <w:t xml:space="preserve"> used landline telephone numbers only as their sampling frame, but from 2015 onwards VAHI used a dual overlapping sampling frame (with both landline and mobile telephone numbers).</w:t>
      </w:r>
    </w:p>
    <w:p w14:paraId="0A857BC2" w14:textId="3A616B5E" w:rsidR="009F1DCC" w:rsidRPr="00B33F2D" w:rsidRDefault="009F1DCC" w:rsidP="004F34D1">
      <w:pPr>
        <w:pStyle w:val="Tablefigurenote"/>
        <w:rPr>
          <w:i/>
          <w:iCs/>
          <w:sz w:val="18"/>
          <w:szCs w:val="18"/>
        </w:rPr>
      </w:pPr>
      <w:r w:rsidRPr="00B33F2D">
        <w:rPr>
          <w:rFonts w:cs="Arial"/>
          <w:i/>
          <w:iCs/>
          <w:sz w:val="18"/>
          <w:szCs w:val="18"/>
        </w:rPr>
        <w:t>Data</w:t>
      </w:r>
      <w:r w:rsidRPr="00B33F2D">
        <w:rPr>
          <w:i/>
          <w:iCs/>
          <w:sz w:val="18"/>
          <w:szCs w:val="18"/>
        </w:rPr>
        <w:t xml:space="preserve"> </w:t>
      </w:r>
      <w:r w:rsidR="00C44D76" w:rsidRPr="00B33F2D">
        <w:rPr>
          <w:i/>
          <w:iCs/>
          <w:sz w:val="18"/>
          <w:szCs w:val="18"/>
        </w:rPr>
        <w:t xml:space="preserve">specific to this measure </w:t>
      </w:r>
      <w:r w:rsidRPr="00B33F2D">
        <w:rPr>
          <w:b/>
          <w:bCs/>
          <w:i/>
          <w:iCs/>
          <w:sz w:val="18"/>
          <w:szCs w:val="18"/>
        </w:rPr>
        <w:t>was not collected</w:t>
      </w:r>
      <w:r w:rsidRPr="00B33F2D">
        <w:rPr>
          <w:i/>
          <w:iCs/>
          <w:sz w:val="18"/>
          <w:szCs w:val="18"/>
        </w:rPr>
        <w:t xml:space="preserve"> in the Victorian Population Health Survey 2020</w:t>
      </w:r>
      <w:r w:rsidR="005E3103" w:rsidRPr="00B33F2D">
        <w:rPr>
          <w:i/>
          <w:iCs/>
          <w:sz w:val="18"/>
          <w:szCs w:val="18"/>
        </w:rPr>
        <w:t xml:space="preserve"> because</w:t>
      </w:r>
      <w:r w:rsidRPr="00B33F2D">
        <w:rPr>
          <w:i/>
          <w:iCs/>
          <w:sz w:val="18"/>
          <w:szCs w:val="18"/>
        </w:rPr>
        <w:t xml:space="preserve"> it was modified to assess the impact of COVID-19 on population health.</w:t>
      </w:r>
    </w:p>
    <w:p w14:paraId="143E0068" w14:textId="4607B432" w:rsidR="009F1DCC" w:rsidRPr="00B33F2D" w:rsidRDefault="009F1DCC" w:rsidP="00FA1AAC">
      <w:pPr>
        <w:pStyle w:val="Tablefigurenote"/>
        <w:rPr>
          <w:rFonts w:cs="Arial"/>
          <w:i/>
          <w:iCs/>
          <w:sz w:val="18"/>
          <w:szCs w:val="18"/>
        </w:rPr>
      </w:pPr>
      <w:r w:rsidRPr="00B33F2D">
        <w:rPr>
          <w:rFonts w:cs="Arial"/>
          <w:i/>
          <w:iCs/>
          <w:sz w:val="18"/>
          <w:szCs w:val="18"/>
        </w:rPr>
        <w:t>The Victorian Population Health Survey was cancelled in 2021</w:t>
      </w:r>
      <w:r w:rsidR="00361E3A" w:rsidRPr="00B33F2D">
        <w:rPr>
          <w:rFonts w:cs="Arial"/>
          <w:i/>
          <w:iCs/>
          <w:sz w:val="18"/>
          <w:szCs w:val="18"/>
        </w:rPr>
        <w:t xml:space="preserve"> </w:t>
      </w:r>
      <w:r w:rsidR="00361E3A" w:rsidRPr="00B33F2D">
        <w:rPr>
          <w:i/>
          <w:iCs/>
          <w:sz w:val="18"/>
          <w:szCs w:val="18"/>
        </w:rPr>
        <w:t>due to the COVID-19 pandemic</w:t>
      </w:r>
      <w:r w:rsidR="00BE0B98" w:rsidRPr="00B33F2D">
        <w:rPr>
          <w:rFonts w:cs="Arial"/>
          <w:i/>
          <w:iCs/>
          <w:sz w:val="18"/>
          <w:szCs w:val="18"/>
        </w:rPr>
        <w:t>.</w:t>
      </w:r>
    </w:p>
    <w:p w14:paraId="64677FBE" w14:textId="6034AE2F" w:rsidR="003E20E9" w:rsidRDefault="003E20E9" w:rsidP="007C7F00">
      <w:pPr>
        <w:pStyle w:val="Heading4"/>
      </w:pPr>
      <w:r>
        <w:t>Measure assessment</w:t>
      </w:r>
    </w:p>
    <w:p w14:paraId="1F33997B" w14:textId="574FCB52" w:rsidR="003E20E9" w:rsidRPr="007A7F08" w:rsidRDefault="003E20E9" w:rsidP="00606436">
      <w:pPr>
        <w:pStyle w:val="Body"/>
      </w:pPr>
      <w:r w:rsidRPr="009F01B1">
        <w:t>Traffic light rating:</w:t>
      </w:r>
      <w:r w:rsidR="00D61F7B" w:rsidRPr="00B504AD">
        <w:rPr>
          <w:color w:val="AF272F"/>
        </w:rPr>
        <w:t xml:space="preserve"> </w:t>
      </w:r>
      <w:r w:rsidR="00D61F7B" w:rsidRPr="00B504AD">
        <w:rPr>
          <w:b/>
          <w:color w:val="AF272F"/>
        </w:rPr>
        <w:t xml:space="preserve">Red </w:t>
      </w:r>
      <w:r w:rsidR="00D61F7B" w:rsidRPr="007A7F08">
        <w:t>(result is of concern)</w:t>
      </w:r>
    </w:p>
    <w:p w14:paraId="525C77C6" w14:textId="513D5DB0" w:rsidR="003E20E9" w:rsidRDefault="003E20E9" w:rsidP="00606436">
      <w:pPr>
        <w:pStyle w:val="Body"/>
      </w:pPr>
      <w:r w:rsidRPr="009F01B1">
        <w:t>Overall trend</w:t>
      </w:r>
      <w:r w:rsidRPr="00843274">
        <w:t xml:space="preserve">: </w:t>
      </w:r>
      <w:r w:rsidR="00D61F7B">
        <w:t xml:space="preserve">Not moving </w:t>
      </w:r>
      <w:r w:rsidR="00B30937">
        <w:t>in the right direction</w:t>
      </w:r>
    </w:p>
    <w:p w14:paraId="7C6CF8F0" w14:textId="077679AD" w:rsidR="00A45BB3" w:rsidRPr="000B1800" w:rsidRDefault="003E20E9" w:rsidP="00E87AAA">
      <w:pPr>
        <w:pStyle w:val="Body"/>
      </w:pPr>
      <w:r w:rsidRPr="000B1800">
        <w:t>Commentary:</w:t>
      </w:r>
      <w:r w:rsidR="00400914" w:rsidRPr="000B1800">
        <w:t xml:space="preserve"> </w:t>
      </w:r>
      <w:r w:rsidR="004F752C" w:rsidRPr="000B1800">
        <w:t>Lifetime r</w:t>
      </w:r>
      <w:r w:rsidR="008B0A13" w:rsidRPr="000B1800">
        <w:t>isk of alcohol-related harm attempts to measure the risk associated with developing an illness that may include various cancers</w:t>
      </w:r>
      <w:r w:rsidR="00E4754D">
        <w:t>,</w:t>
      </w:r>
      <w:r w:rsidR="003C177C" w:rsidRPr="000B1800">
        <w:t xml:space="preserve"> </w:t>
      </w:r>
      <w:r w:rsidR="00D815F3" w:rsidRPr="000B1800">
        <w:t xml:space="preserve">namely </w:t>
      </w:r>
      <w:r w:rsidR="00D815F3" w:rsidRPr="000B1800">
        <w:rPr>
          <w:lang w:val="en"/>
        </w:rPr>
        <w:t xml:space="preserve">cancers of the upper aerodigestive </w:t>
      </w:r>
      <w:r w:rsidR="00D815F3" w:rsidRPr="000B1800">
        <w:rPr>
          <w:lang w:val="en"/>
        </w:rPr>
        <w:lastRenderedPageBreak/>
        <w:t xml:space="preserve">tract, liver, </w:t>
      </w:r>
      <w:r w:rsidR="007F0C99">
        <w:rPr>
          <w:lang w:val="en"/>
        </w:rPr>
        <w:t>bowel</w:t>
      </w:r>
      <w:r w:rsidR="007F0C99" w:rsidRPr="000B1800">
        <w:rPr>
          <w:lang w:val="en"/>
        </w:rPr>
        <w:t xml:space="preserve"> </w:t>
      </w:r>
      <w:r w:rsidR="00D815F3" w:rsidRPr="000B1800">
        <w:rPr>
          <w:lang w:val="en"/>
        </w:rPr>
        <w:t>and female breast</w:t>
      </w:r>
      <w:r w:rsidR="00802511" w:rsidRPr="000B1800">
        <w:rPr>
          <w:lang w:val="en"/>
        </w:rPr>
        <w:t>.</w:t>
      </w:r>
      <w:r w:rsidR="00802511" w:rsidRPr="000B1800">
        <w:rPr>
          <w:rStyle w:val="FootnoteReference"/>
          <w:rFonts w:cs="Arial"/>
          <w:color w:val="000000" w:themeColor="text1"/>
          <w:lang w:val="en"/>
        </w:rPr>
        <w:footnoteReference w:id="82"/>
      </w:r>
      <w:r w:rsidR="00952FC7">
        <w:rPr>
          <w:lang w:val="en"/>
        </w:rPr>
        <w:t xml:space="preserve"> </w:t>
      </w:r>
      <w:r w:rsidR="00A45BB3" w:rsidRPr="000B1800">
        <w:t>For the purposes of this measure</w:t>
      </w:r>
      <w:r w:rsidR="00E4754D">
        <w:t>,</w:t>
      </w:r>
      <w:r w:rsidR="00A45BB3" w:rsidRPr="000B1800">
        <w:t xml:space="preserve"> lifetime risky alcohol consumption was determined if alc</w:t>
      </w:r>
      <w:r w:rsidR="00BD2C2B" w:rsidRPr="000B1800">
        <w:t>ohol consumption exceed</w:t>
      </w:r>
      <w:r w:rsidR="00C279C3" w:rsidRPr="000B1800">
        <w:t>ed</w:t>
      </w:r>
      <w:r w:rsidR="00BD2C2B" w:rsidRPr="000B1800">
        <w:t xml:space="preserve"> the 2009 </w:t>
      </w:r>
      <w:r w:rsidR="00A45BB3" w:rsidRPr="000B1800">
        <w:t>National Health and Medical Research Council guidelines for reducing health risks associated with alcohol consumption.</w:t>
      </w:r>
      <w:r w:rsidR="00C279C3" w:rsidRPr="000B1800">
        <w:rPr>
          <w:rStyle w:val="FootnoteReference"/>
          <w:rFonts w:cs="Arial"/>
          <w:color w:val="000000" w:themeColor="text1"/>
        </w:rPr>
        <w:footnoteReference w:id="83"/>
      </w:r>
      <w:r w:rsidR="00A45BB3" w:rsidRPr="000B1800">
        <w:t xml:space="preserve"> </w:t>
      </w:r>
      <w:r w:rsidR="00C279C3" w:rsidRPr="000B1800">
        <w:t>These guidelines state that,</w:t>
      </w:r>
      <w:r w:rsidR="000B1800" w:rsidRPr="000B1800">
        <w:t xml:space="preserve"> </w:t>
      </w:r>
      <w:r w:rsidR="00C279C3" w:rsidRPr="000B1800">
        <w:t xml:space="preserve">for healthy men and women, </w:t>
      </w:r>
      <w:r w:rsidR="00CA2AD7">
        <w:rPr>
          <w:iCs/>
        </w:rPr>
        <w:t>‘</w:t>
      </w:r>
      <w:r w:rsidR="00C279C3" w:rsidRPr="76BE792E">
        <w:t>drinking no more than two standard drinks on any day reduces the lifetime risk of harm from alcohol-related disease or injury</w:t>
      </w:r>
      <w:r w:rsidR="00CA2AD7">
        <w:rPr>
          <w:iCs/>
        </w:rPr>
        <w:t>’</w:t>
      </w:r>
      <w:r w:rsidR="00C279C3" w:rsidRPr="00CA2AD7">
        <w:rPr>
          <w:iCs/>
        </w:rPr>
        <w:t>.</w:t>
      </w:r>
      <w:r w:rsidR="000B1800" w:rsidRPr="76BE792E">
        <w:rPr>
          <w:rStyle w:val="FootnoteReference"/>
          <w:color w:val="000000" w:themeColor="text1"/>
        </w:rPr>
        <w:footnoteReference w:id="84"/>
      </w:r>
    </w:p>
    <w:p w14:paraId="3DCA8A70" w14:textId="273EFC2A" w:rsidR="00963EA4" w:rsidRDefault="00BE7423" w:rsidP="00E87AAA">
      <w:pPr>
        <w:pStyle w:val="Body"/>
      </w:pPr>
      <w:bookmarkStart w:id="400" w:name="_Hlk111621603"/>
      <w:r>
        <w:t xml:space="preserve">The </w:t>
      </w:r>
      <w:r w:rsidRPr="0070536B">
        <w:rPr>
          <w:i/>
        </w:rPr>
        <w:t xml:space="preserve">Victorian </w:t>
      </w:r>
      <w:r w:rsidR="00C44D76">
        <w:rPr>
          <w:i/>
        </w:rPr>
        <w:t>p</w:t>
      </w:r>
      <w:r w:rsidRPr="0070536B">
        <w:rPr>
          <w:i/>
        </w:rPr>
        <w:t xml:space="preserve">ublic </w:t>
      </w:r>
      <w:r w:rsidR="00CA2AD7">
        <w:rPr>
          <w:i/>
        </w:rPr>
        <w:t>h</w:t>
      </w:r>
      <w:r w:rsidRPr="0070536B">
        <w:rPr>
          <w:i/>
        </w:rPr>
        <w:t xml:space="preserve">ealth and </w:t>
      </w:r>
      <w:r w:rsidR="00CA2AD7">
        <w:rPr>
          <w:i/>
        </w:rPr>
        <w:t>w</w:t>
      </w:r>
      <w:r w:rsidRPr="0070536B">
        <w:rPr>
          <w:i/>
        </w:rPr>
        <w:t xml:space="preserve">ellbeing </w:t>
      </w:r>
      <w:r w:rsidR="00CA2AD7">
        <w:rPr>
          <w:i/>
        </w:rPr>
        <w:t>o</w:t>
      </w:r>
      <w:r w:rsidRPr="0070536B">
        <w:rPr>
          <w:i/>
        </w:rPr>
        <w:t xml:space="preserve">utcomes </w:t>
      </w:r>
      <w:r w:rsidR="00CA2AD7">
        <w:rPr>
          <w:i/>
        </w:rPr>
        <w:t>f</w:t>
      </w:r>
      <w:r w:rsidRPr="0070536B">
        <w:rPr>
          <w:i/>
        </w:rPr>
        <w:t>ramework</w:t>
      </w:r>
      <w:r>
        <w:t xml:space="preserve"> has a target of a 10</w:t>
      </w:r>
      <w:r w:rsidR="0054537F">
        <w:t>%</w:t>
      </w:r>
      <w:r>
        <w:t xml:space="preserve"> decrease in the number of adults who consume excess alcohol by 2025, from the 2014 baseline of 59.2</w:t>
      </w:r>
      <w:bookmarkEnd w:id="400"/>
      <w:r w:rsidR="0054537F">
        <w:t>%</w:t>
      </w:r>
      <w:r w:rsidR="00485CB7">
        <w:t xml:space="preserve"> (Figure and Table 6.3)</w:t>
      </w:r>
      <w:r>
        <w:t>.</w:t>
      </w:r>
      <w:r w:rsidR="00707E8D">
        <w:t xml:space="preserve"> </w:t>
      </w:r>
    </w:p>
    <w:p w14:paraId="0415F476" w14:textId="33D45FCF" w:rsidR="00C9473B" w:rsidRPr="00A451D4" w:rsidRDefault="00BE7423" w:rsidP="00E87AAA">
      <w:pPr>
        <w:pStyle w:val="Body"/>
        <w:rPr>
          <w:rStyle w:val="Heading3Char"/>
        </w:rPr>
      </w:pPr>
      <w:r>
        <w:t xml:space="preserve">Currently Victoria is </w:t>
      </w:r>
      <w:r w:rsidR="00D61F7B">
        <w:t xml:space="preserve">not </w:t>
      </w:r>
      <w:r>
        <w:t>on track to meet the 2025 target of 53.3</w:t>
      </w:r>
      <w:r w:rsidR="0054537F">
        <w:t>%</w:t>
      </w:r>
      <w:r>
        <w:t>, with 5</w:t>
      </w:r>
      <w:r w:rsidR="00CE5D54">
        <w:t>9</w:t>
      </w:r>
      <w:r>
        <w:t>.</w:t>
      </w:r>
      <w:r w:rsidR="00D61F7B">
        <w:t>6</w:t>
      </w:r>
      <w:r w:rsidR="0054537F">
        <w:t>%</w:t>
      </w:r>
      <w:r>
        <w:t xml:space="preserve"> of adults reported in 201</w:t>
      </w:r>
      <w:r w:rsidR="00D61F7B">
        <w:t>9</w:t>
      </w:r>
      <w:r>
        <w:t xml:space="preserve"> as being at an increased lifetime risk of alcohol</w:t>
      </w:r>
      <w:r w:rsidR="00E4754D">
        <w:t>-</w:t>
      </w:r>
      <w:r>
        <w:t xml:space="preserve">related harm based on the </w:t>
      </w:r>
      <w:r w:rsidR="007F0C99" w:rsidRPr="000B1800">
        <w:t>National Health and Medical Research Council</w:t>
      </w:r>
      <w:r w:rsidR="007F0C99">
        <w:t>'s</w:t>
      </w:r>
      <w:r w:rsidR="007F0C99" w:rsidRPr="000B1800">
        <w:t xml:space="preserve"> </w:t>
      </w:r>
      <w:r>
        <w:t>2009 guidelines</w:t>
      </w:r>
      <w:r w:rsidR="00AD0244">
        <w:t>.</w:t>
      </w:r>
      <w:bookmarkStart w:id="401" w:name="_Measure_6.4_–"/>
      <w:bookmarkEnd w:id="401"/>
      <w:r w:rsidR="00D10B5A">
        <w:rPr>
          <w:lang w:eastAsia="en-AU"/>
        </w:rPr>
        <w:br w:type="page"/>
      </w:r>
      <w:r w:rsidR="00C9473B" w:rsidRPr="003E6A0B">
        <w:rPr>
          <w:rStyle w:val="Heading3Char"/>
          <w:b/>
          <w:bCs w:val="0"/>
        </w:rPr>
        <w:lastRenderedPageBreak/>
        <w:t>Measure 6.4 – Proportion of adolescents 12</w:t>
      </w:r>
      <w:r w:rsidR="00690CD3" w:rsidRPr="003E6A0B">
        <w:rPr>
          <w:rStyle w:val="Heading3Char"/>
          <w:b/>
          <w:bCs w:val="0"/>
        </w:rPr>
        <w:t>–1</w:t>
      </w:r>
      <w:r w:rsidR="00C9473B" w:rsidRPr="003E6A0B">
        <w:rPr>
          <w:rStyle w:val="Heading3Char"/>
          <w:b/>
          <w:bCs w:val="0"/>
        </w:rPr>
        <w:t>7 years who consume alcohol at least month</w:t>
      </w:r>
      <w:r w:rsidR="00D10B5A" w:rsidRPr="003E6A0B">
        <w:rPr>
          <w:rStyle w:val="Heading3Char"/>
          <w:b/>
          <w:bCs w:val="0"/>
        </w:rPr>
        <w:t>l</w:t>
      </w:r>
      <w:r w:rsidR="00C9473B" w:rsidRPr="003E6A0B">
        <w:rPr>
          <w:rStyle w:val="Heading3Char"/>
          <w:b/>
          <w:bCs w:val="0"/>
        </w:rPr>
        <w:t>y</w:t>
      </w:r>
    </w:p>
    <w:p w14:paraId="37326935" w14:textId="197B9105" w:rsidR="00752CB6" w:rsidRDefault="000D1A38" w:rsidP="00D0051D">
      <w:pPr>
        <w:pStyle w:val="Figurecaption"/>
        <w:rPr>
          <w:sz w:val="20"/>
        </w:rPr>
      </w:pPr>
      <w:bookmarkStart w:id="402" w:name="_Toc19008059"/>
      <w:bookmarkStart w:id="403" w:name="_Toc19008298"/>
      <w:bookmarkStart w:id="404" w:name="_Toc19008445"/>
      <w:bookmarkStart w:id="405" w:name="_Toc19008592"/>
      <w:bookmarkStart w:id="406" w:name="_Toc140827634"/>
      <w:r w:rsidRPr="00B33F2D">
        <w:rPr>
          <w:sz w:val="20"/>
        </w:rPr>
        <w:t>Figure 6.4</w:t>
      </w:r>
      <w:r w:rsidR="003B391F" w:rsidRPr="00B33F2D">
        <w:rPr>
          <w:sz w:val="20"/>
        </w:rPr>
        <w:t>:</w:t>
      </w:r>
      <w:r w:rsidRPr="00B33F2D">
        <w:rPr>
          <w:sz w:val="20"/>
        </w:rPr>
        <w:t xml:space="preserve"> Proportion of </w:t>
      </w:r>
      <w:r w:rsidR="00193C20" w:rsidRPr="00B33F2D">
        <w:rPr>
          <w:sz w:val="20"/>
        </w:rPr>
        <w:t xml:space="preserve">Victorian </w:t>
      </w:r>
      <w:r w:rsidRPr="00B33F2D">
        <w:rPr>
          <w:sz w:val="20"/>
        </w:rPr>
        <w:t xml:space="preserve">adolescents </w:t>
      </w:r>
      <w:r w:rsidR="00E4754D" w:rsidRPr="00B33F2D">
        <w:rPr>
          <w:sz w:val="20"/>
        </w:rPr>
        <w:t xml:space="preserve">aged </w:t>
      </w:r>
      <w:r w:rsidRPr="00B33F2D">
        <w:rPr>
          <w:sz w:val="20"/>
        </w:rPr>
        <w:t>12</w:t>
      </w:r>
      <w:r w:rsidR="00CA2AD7" w:rsidRPr="00B33F2D">
        <w:rPr>
          <w:sz w:val="20"/>
        </w:rPr>
        <w:t>–</w:t>
      </w:r>
      <w:r w:rsidRPr="00B33F2D">
        <w:rPr>
          <w:sz w:val="20"/>
        </w:rPr>
        <w:t>17 years</w:t>
      </w:r>
      <w:r w:rsidR="00193C20" w:rsidRPr="00B33F2D">
        <w:rPr>
          <w:sz w:val="20"/>
        </w:rPr>
        <w:t xml:space="preserve"> (boys and girls)</w:t>
      </w:r>
      <w:r w:rsidRPr="00B33F2D">
        <w:rPr>
          <w:sz w:val="20"/>
        </w:rPr>
        <w:t xml:space="preserve"> who consume alcohol at least monthly</w:t>
      </w:r>
      <w:r w:rsidR="00E4754D" w:rsidRPr="00B33F2D">
        <w:rPr>
          <w:sz w:val="20"/>
        </w:rPr>
        <w:t>,</w:t>
      </w:r>
      <w:r w:rsidR="00C071D8" w:rsidRPr="00B33F2D">
        <w:rPr>
          <w:sz w:val="20"/>
        </w:rPr>
        <w:t xml:space="preserve"> by year, 2014</w:t>
      </w:r>
      <w:r w:rsidR="00DF2502" w:rsidRPr="00B33F2D">
        <w:rPr>
          <w:sz w:val="20"/>
        </w:rPr>
        <w:t>,</w:t>
      </w:r>
      <w:r w:rsidR="00C071D8" w:rsidRPr="00B33F2D">
        <w:rPr>
          <w:sz w:val="20"/>
        </w:rPr>
        <w:t xml:space="preserve"> </w:t>
      </w:r>
      <w:r w:rsidR="00E85515" w:rsidRPr="00B33F2D">
        <w:rPr>
          <w:sz w:val="20"/>
        </w:rPr>
        <w:t>2016</w:t>
      </w:r>
      <w:bookmarkEnd w:id="402"/>
      <w:bookmarkEnd w:id="403"/>
      <w:bookmarkEnd w:id="404"/>
      <w:bookmarkEnd w:id="405"/>
      <w:r w:rsidR="00723DD3" w:rsidRPr="00B33F2D">
        <w:rPr>
          <w:sz w:val="20"/>
        </w:rPr>
        <w:t xml:space="preserve"> </w:t>
      </w:r>
      <w:r w:rsidR="00DF2502" w:rsidRPr="00B33F2D">
        <w:rPr>
          <w:sz w:val="20"/>
        </w:rPr>
        <w:t>and 2018</w:t>
      </w:r>
      <w:bookmarkEnd w:id="406"/>
    </w:p>
    <w:p w14:paraId="54BBA99C" w14:textId="6F709F12" w:rsidR="00EA3ED0" w:rsidRDefault="00292145" w:rsidP="00292145">
      <w:pPr>
        <w:pStyle w:val="DHHSbody"/>
      </w:pPr>
      <w:r w:rsidRPr="00292145">
        <w:rPr>
          <w:noProof/>
        </w:rPr>
        <w:drawing>
          <wp:inline distT="0" distB="0" distL="0" distR="0" wp14:anchorId="504C8C37" wp14:editId="503A80EB">
            <wp:extent cx="5981700" cy="3365299"/>
            <wp:effectExtent l="0" t="0" r="0" b="6985"/>
            <wp:docPr id="269" name="Picture 269" descr="This figure presents data under Measure 6.4 - Proportion of adolescents 12-17 years who consume alcohol at least  monthly'. The data for this figure is available in this section for 2014, 2016 and 2018 - refer to Tabl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This figure presents data under Measure 6.4 - Proportion of adolescents 12-17 years who consume alcohol at least  monthly'. The data for this figure is available in this section for 2014, 2016 and 2018 - refer to Table 6.4."/>
                    <pic:cNvPicPr/>
                  </pic:nvPicPr>
                  <pic:blipFill>
                    <a:blip r:embed="rId78"/>
                    <a:stretch>
                      <a:fillRect/>
                    </a:stretch>
                  </pic:blipFill>
                  <pic:spPr>
                    <a:xfrm>
                      <a:off x="0" y="0"/>
                      <a:ext cx="6000362" cy="3375798"/>
                    </a:xfrm>
                    <a:prstGeom prst="rect">
                      <a:avLst/>
                    </a:prstGeom>
                  </pic:spPr>
                </pic:pic>
              </a:graphicData>
            </a:graphic>
          </wp:inline>
        </w:drawing>
      </w:r>
    </w:p>
    <w:p w14:paraId="0544F8C1" w14:textId="1A544250" w:rsidR="005C1410" w:rsidRPr="00B33F2D" w:rsidRDefault="005C1410" w:rsidP="00B03932">
      <w:pPr>
        <w:pStyle w:val="Tablecaption"/>
        <w:rPr>
          <w:sz w:val="20"/>
        </w:rPr>
      </w:pPr>
      <w:bookmarkStart w:id="407" w:name="_Toc19008060"/>
      <w:bookmarkStart w:id="408" w:name="_Toc19008299"/>
      <w:bookmarkStart w:id="409" w:name="_Toc19008446"/>
      <w:bookmarkStart w:id="410" w:name="_Toc19008593"/>
      <w:bookmarkStart w:id="411" w:name="_Toc132491527"/>
      <w:bookmarkStart w:id="412" w:name="_Toc140834919"/>
      <w:r w:rsidRPr="00B33F2D">
        <w:rPr>
          <w:sz w:val="20"/>
        </w:rPr>
        <w:t>Table 6.4</w:t>
      </w:r>
      <w:r w:rsidR="001F7E28" w:rsidRPr="00B33F2D">
        <w:rPr>
          <w:sz w:val="20"/>
        </w:rPr>
        <w:t>:</w:t>
      </w:r>
      <w:r w:rsidRPr="00B33F2D">
        <w:rPr>
          <w:sz w:val="20"/>
        </w:rPr>
        <w:t xml:space="preserve"> </w:t>
      </w:r>
      <w:r w:rsidR="00695876" w:rsidRPr="00B33F2D">
        <w:rPr>
          <w:sz w:val="20"/>
        </w:rPr>
        <w:t>Proportion of Victorian adolescents aged 12–17 years (boys and girls) who consume alcohol at least monthly, by year, 2014</w:t>
      </w:r>
      <w:r w:rsidR="00DF2502" w:rsidRPr="00B33F2D">
        <w:rPr>
          <w:sz w:val="20"/>
        </w:rPr>
        <w:t>,</w:t>
      </w:r>
      <w:r w:rsidR="00695876" w:rsidRPr="00B33F2D">
        <w:rPr>
          <w:sz w:val="20"/>
        </w:rPr>
        <w:t xml:space="preserve"> 2016</w:t>
      </w:r>
      <w:bookmarkEnd w:id="407"/>
      <w:bookmarkEnd w:id="408"/>
      <w:bookmarkEnd w:id="409"/>
      <w:bookmarkEnd w:id="410"/>
      <w:r w:rsidR="00DF2502" w:rsidRPr="00B33F2D">
        <w:rPr>
          <w:sz w:val="20"/>
        </w:rPr>
        <w:t xml:space="preserve"> and 2018</w:t>
      </w:r>
      <w:bookmarkEnd w:id="411"/>
      <w:bookmarkEnd w:id="412"/>
    </w:p>
    <w:tbl>
      <w:tblPr>
        <w:tblW w:w="0" w:type="auto"/>
        <w:tblInd w:w="-92" w:type="dxa"/>
        <w:tblBorders>
          <w:bottom w:val="single" w:sz="4" w:space="0" w:color="C00000"/>
          <w:insideH w:val="single" w:sz="4" w:space="0" w:color="C00000"/>
        </w:tblBorders>
        <w:shd w:val="clear" w:color="auto" w:fill="EDCDCF"/>
        <w:tblLook w:val="04A0" w:firstRow="1" w:lastRow="0" w:firstColumn="1" w:lastColumn="0" w:noHBand="0" w:noVBand="1"/>
      </w:tblPr>
      <w:tblGrid>
        <w:gridCol w:w="2370"/>
        <w:gridCol w:w="2208"/>
        <w:gridCol w:w="2490"/>
        <w:gridCol w:w="2344"/>
      </w:tblGrid>
      <w:tr w:rsidR="00764121" w:rsidRPr="000517B8" w14:paraId="187302EC" w14:textId="0AFA9B6D" w:rsidTr="0084454E">
        <w:trPr>
          <w:trHeight w:val="295"/>
        </w:trPr>
        <w:tc>
          <w:tcPr>
            <w:tcW w:w="2589" w:type="dxa"/>
            <w:shd w:val="clear" w:color="auto" w:fill="EDCDCF"/>
            <w:vAlign w:val="center"/>
          </w:tcPr>
          <w:p w14:paraId="4207C4C7" w14:textId="77777777" w:rsidR="00764121" w:rsidRPr="00DB4F90" w:rsidRDefault="00764121" w:rsidP="00F1788A">
            <w:pPr>
              <w:pStyle w:val="Tablecolhead"/>
            </w:pPr>
            <w:r w:rsidRPr="00DB4F90">
              <w:t>Year</w:t>
            </w:r>
          </w:p>
        </w:tc>
        <w:tc>
          <w:tcPr>
            <w:tcW w:w="2388" w:type="dxa"/>
            <w:shd w:val="clear" w:color="auto" w:fill="EDCDCF"/>
            <w:vAlign w:val="center"/>
          </w:tcPr>
          <w:p w14:paraId="3F14D6C4" w14:textId="77777777" w:rsidR="00764121" w:rsidRPr="00DB4F90" w:rsidRDefault="00764121" w:rsidP="00F1788A">
            <w:pPr>
              <w:pStyle w:val="Tablecolhead"/>
            </w:pPr>
            <w:r w:rsidRPr="00DB4F90">
              <w:t>2014</w:t>
            </w:r>
          </w:p>
        </w:tc>
        <w:tc>
          <w:tcPr>
            <w:tcW w:w="2722" w:type="dxa"/>
            <w:shd w:val="clear" w:color="auto" w:fill="EDCDCF"/>
            <w:vAlign w:val="center"/>
          </w:tcPr>
          <w:p w14:paraId="51ADED3C" w14:textId="77777777" w:rsidR="00764121" w:rsidRPr="00DB4F90" w:rsidRDefault="00764121" w:rsidP="00F1788A">
            <w:pPr>
              <w:pStyle w:val="Tablecolhead"/>
            </w:pPr>
            <w:r w:rsidRPr="00DB4F90">
              <w:t>2016</w:t>
            </w:r>
          </w:p>
        </w:tc>
        <w:tc>
          <w:tcPr>
            <w:tcW w:w="2541" w:type="dxa"/>
            <w:shd w:val="clear" w:color="auto" w:fill="EDCDCF"/>
          </w:tcPr>
          <w:p w14:paraId="4B296C27" w14:textId="07E74C08" w:rsidR="00764121" w:rsidRPr="00DB4F90" w:rsidRDefault="00764121" w:rsidP="00F1788A">
            <w:pPr>
              <w:pStyle w:val="Tablecolhead"/>
            </w:pPr>
            <w:r>
              <w:t>2018</w:t>
            </w:r>
          </w:p>
        </w:tc>
      </w:tr>
      <w:tr w:rsidR="00764121" w:rsidRPr="000517B8" w14:paraId="5BBE3514" w14:textId="0F26FFEB" w:rsidTr="0084454E">
        <w:trPr>
          <w:trHeight w:val="295"/>
        </w:trPr>
        <w:tc>
          <w:tcPr>
            <w:tcW w:w="2589" w:type="dxa"/>
            <w:shd w:val="clear" w:color="auto" w:fill="auto"/>
            <w:vAlign w:val="center"/>
          </w:tcPr>
          <w:p w14:paraId="0F43CF56" w14:textId="77777777" w:rsidR="00764121" w:rsidRPr="005E739D" w:rsidRDefault="00764121" w:rsidP="00F1788A">
            <w:pPr>
              <w:pStyle w:val="Tabletext"/>
            </w:pPr>
            <w:r>
              <w:t>Per cent (%)</w:t>
            </w:r>
          </w:p>
        </w:tc>
        <w:tc>
          <w:tcPr>
            <w:tcW w:w="2388" w:type="dxa"/>
            <w:shd w:val="clear" w:color="auto" w:fill="auto"/>
            <w:vAlign w:val="center"/>
          </w:tcPr>
          <w:p w14:paraId="3775C12D" w14:textId="6C71B436" w:rsidR="00764121" w:rsidRPr="0069114D" w:rsidRDefault="00300181" w:rsidP="00F1788A">
            <w:pPr>
              <w:pStyle w:val="Tabletext"/>
            </w:pPr>
            <w:r>
              <w:t>20.6</w:t>
            </w:r>
          </w:p>
        </w:tc>
        <w:tc>
          <w:tcPr>
            <w:tcW w:w="2722" w:type="dxa"/>
            <w:shd w:val="clear" w:color="auto" w:fill="auto"/>
            <w:vAlign w:val="center"/>
          </w:tcPr>
          <w:p w14:paraId="54299ECE" w14:textId="5F267D7A" w:rsidR="00764121" w:rsidRPr="0069114D" w:rsidRDefault="00300181" w:rsidP="00F1788A">
            <w:pPr>
              <w:pStyle w:val="Tabletext"/>
            </w:pPr>
            <w:r>
              <w:t>18.9</w:t>
            </w:r>
          </w:p>
        </w:tc>
        <w:tc>
          <w:tcPr>
            <w:tcW w:w="2541" w:type="dxa"/>
          </w:tcPr>
          <w:p w14:paraId="6634957D" w14:textId="228F13EB" w:rsidR="00764121" w:rsidRDefault="00300181" w:rsidP="00F1788A">
            <w:pPr>
              <w:pStyle w:val="Tabletext"/>
            </w:pPr>
            <w:r>
              <w:t>17.7</w:t>
            </w:r>
          </w:p>
        </w:tc>
      </w:tr>
      <w:tr w:rsidR="00764121" w:rsidRPr="000517B8" w14:paraId="40EB8C31" w14:textId="0A57C251" w:rsidTr="0084454E">
        <w:trPr>
          <w:trHeight w:val="295"/>
        </w:trPr>
        <w:tc>
          <w:tcPr>
            <w:tcW w:w="2589" w:type="dxa"/>
            <w:shd w:val="clear" w:color="auto" w:fill="auto"/>
            <w:vAlign w:val="center"/>
          </w:tcPr>
          <w:p w14:paraId="2B071DDA" w14:textId="77777777" w:rsidR="00764121" w:rsidRDefault="00764121" w:rsidP="00F1788A">
            <w:pPr>
              <w:pStyle w:val="Tabletext"/>
            </w:pPr>
            <w:r>
              <w:t>95% CI</w:t>
            </w:r>
          </w:p>
        </w:tc>
        <w:tc>
          <w:tcPr>
            <w:tcW w:w="2388" w:type="dxa"/>
            <w:shd w:val="clear" w:color="auto" w:fill="auto"/>
            <w:vAlign w:val="center"/>
          </w:tcPr>
          <w:p w14:paraId="4B110904" w14:textId="6E86EDC6" w:rsidR="00764121" w:rsidRPr="0069114D" w:rsidRDefault="00764121" w:rsidP="00F1788A">
            <w:pPr>
              <w:pStyle w:val="Tabletext"/>
            </w:pPr>
            <w:r w:rsidRPr="0069114D">
              <w:t>(</w:t>
            </w:r>
            <w:r w:rsidR="005120D3">
              <w:t>18.7</w:t>
            </w:r>
            <w:r>
              <w:t>–</w:t>
            </w:r>
            <w:r w:rsidR="005120D3">
              <w:t>22.6</w:t>
            </w:r>
            <w:r w:rsidRPr="0069114D">
              <w:t>)</w:t>
            </w:r>
          </w:p>
        </w:tc>
        <w:tc>
          <w:tcPr>
            <w:tcW w:w="2722" w:type="dxa"/>
            <w:shd w:val="clear" w:color="auto" w:fill="auto"/>
            <w:vAlign w:val="center"/>
          </w:tcPr>
          <w:p w14:paraId="26DE8045" w14:textId="6CEDE3F3" w:rsidR="00764121" w:rsidRPr="0069114D" w:rsidRDefault="00764121" w:rsidP="00F1788A">
            <w:pPr>
              <w:pStyle w:val="Tabletext"/>
            </w:pPr>
            <w:r w:rsidRPr="0069114D">
              <w:t>(</w:t>
            </w:r>
            <w:r w:rsidR="005120D3">
              <w:t>18</w:t>
            </w:r>
            <w:r>
              <w:t>–</w:t>
            </w:r>
            <w:r w:rsidR="005120D3">
              <w:t>19.8</w:t>
            </w:r>
            <w:r w:rsidRPr="0069114D">
              <w:t>)</w:t>
            </w:r>
          </w:p>
        </w:tc>
        <w:tc>
          <w:tcPr>
            <w:tcW w:w="2541" w:type="dxa"/>
          </w:tcPr>
          <w:p w14:paraId="63C65219" w14:textId="352E84A5" w:rsidR="00764121" w:rsidRPr="0069114D" w:rsidRDefault="005120D3" w:rsidP="00F1788A">
            <w:pPr>
              <w:pStyle w:val="Tabletext"/>
            </w:pPr>
            <w:r>
              <w:t>(16.8</w:t>
            </w:r>
            <w:r w:rsidR="00764121">
              <w:t>–</w:t>
            </w:r>
            <w:r>
              <w:t>18.7</w:t>
            </w:r>
            <w:r w:rsidR="00C8737F">
              <w:t>)</w:t>
            </w:r>
          </w:p>
        </w:tc>
      </w:tr>
    </w:tbl>
    <w:p w14:paraId="18BD5D62" w14:textId="0415247A" w:rsidR="00E25FFE" w:rsidRPr="00B33F2D" w:rsidRDefault="00C470ED" w:rsidP="00D207B2">
      <w:pPr>
        <w:pStyle w:val="Tablefigurenote"/>
        <w:rPr>
          <w:i/>
          <w:iCs/>
        </w:rPr>
      </w:pPr>
      <w:r w:rsidRPr="00B33F2D">
        <w:rPr>
          <w:i/>
          <w:iCs/>
        </w:rPr>
        <w:t>Source</w:t>
      </w:r>
      <w:r w:rsidR="00CF71AF" w:rsidRPr="00B33F2D">
        <w:rPr>
          <w:i/>
          <w:iCs/>
        </w:rPr>
        <w:t>s</w:t>
      </w:r>
      <w:r w:rsidRPr="00B33F2D">
        <w:rPr>
          <w:i/>
          <w:iCs/>
        </w:rPr>
        <w:t>: Victorian Student Health and Wellbeing Survey</w:t>
      </w:r>
      <w:r w:rsidR="00D2582A" w:rsidRPr="00B33F2D">
        <w:rPr>
          <w:i/>
          <w:iCs/>
        </w:rPr>
        <w:t>s</w:t>
      </w:r>
      <w:r w:rsidRPr="00B33F2D">
        <w:rPr>
          <w:i/>
          <w:iCs/>
        </w:rPr>
        <w:t>, Department of Education and Training</w:t>
      </w:r>
      <w:r w:rsidR="00300181" w:rsidRPr="00B33F2D">
        <w:rPr>
          <w:i/>
          <w:iCs/>
        </w:rPr>
        <w:t>, 2014, 2016 and 2018</w:t>
      </w:r>
      <w:r w:rsidRPr="00B33F2D">
        <w:rPr>
          <w:i/>
          <w:iCs/>
        </w:rPr>
        <w:t xml:space="preserve"> </w:t>
      </w:r>
    </w:p>
    <w:p w14:paraId="4BE5CA4C" w14:textId="574F5003" w:rsidR="003E20E9" w:rsidRDefault="003E20E9" w:rsidP="00D207B2">
      <w:pPr>
        <w:pStyle w:val="Heading4"/>
      </w:pPr>
      <w:r>
        <w:t>Measure assessment</w:t>
      </w:r>
    </w:p>
    <w:p w14:paraId="00FD7FA4" w14:textId="73A991C6" w:rsidR="003E20E9" w:rsidRPr="00D2582A" w:rsidRDefault="003E20E9" w:rsidP="00606436">
      <w:pPr>
        <w:pStyle w:val="Body"/>
        <w:rPr>
          <w:color w:val="C5511A"/>
        </w:rPr>
      </w:pPr>
      <w:r w:rsidRPr="009F01B1">
        <w:t>Traffic light rating:</w:t>
      </w:r>
      <w:r w:rsidR="00D2582A" w:rsidRPr="00D2582A">
        <w:rPr>
          <w:b/>
        </w:rPr>
        <w:t xml:space="preserve"> </w:t>
      </w:r>
      <w:r w:rsidR="00D2582A" w:rsidRPr="00D207B2">
        <w:rPr>
          <w:b/>
          <w:color w:val="007B4B"/>
        </w:rPr>
        <w:t>Green</w:t>
      </w:r>
      <w:r w:rsidR="00D2582A">
        <w:t xml:space="preserve"> (satisfactory result)</w:t>
      </w:r>
    </w:p>
    <w:p w14:paraId="2F11EB35" w14:textId="7B05C4A7" w:rsidR="0098563F" w:rsidRDefault="003E20E9" w:rsidP="00606436">
      <w:pPr>
        <w:pStyle w:val="Body"/>
      </w:pPr>
      <w:r w:rsidRPr="009F01B1">
        <w:t>Overall trend</w:t>
      </w:r>
      <w:r w:rsidRPr="00843274">
        <w:t xml:space="preserve">: </w:t>
      </w:r>
      <w:r w:rsidR="00D2582A">
        <w:t>M</w:t>
      </w:r>
      <w:r w:rsidR="00B30937">
        <w:t>oving in the right direction</w:t>
      </w:r>
    </w:p>
    <w:p w14:paraId="0C4F3C75" w14:textId="22E917C0" w:rsidR="00784A70" w:rsidRPr="00CF6F8C" w:rsidRDefault="003E20E9" w:rsidP="004F34D1">
      <w:pPr>
        <w:pStyle w:val="Body"/>
        <w:rPr>
          <w:rStyle w:val="Heading2Char"/>
        </w:rPr>
      </w:pPr>
      <w:r w:rsidRPr="00786CFA">
        <w:rPr>
          <w:rFonts w:cs="Arial"/>
        </w:rPr>
        <w:t>Commentary:</w:t>
      </w:r>
      <w:r w:rsidR="00073722" w:rsidRPr="00786CFA">
        <w:rPr>
          <w:rFonts w:cs="Arial"/>
        </w:rPr>
        <w:t xml:space="preserve"> </w:t>
      </w:r>
      <w:r w:rsidR="00B71556" w:rsidRPr="00786CFA">
        <w:t xml:space="preserve">The </w:t>
      </w:r>
      <w:r w:rsidR="00B71556" w:rsidRPr="76BE792E">
        <w:rPr>
          <w:i/>
          <w:iCs/>
        </w:rPr>
        <w:t xml:space="preserve">Victorian </w:t>
      </w:r>
      <w:r w:rsidR="00CD038C" w:rsidRPr="76BE792E">
        <w:rPr>
          <w:i/>
          <w:iCs/>
        </w:rPr>
        <w:t>p</w:t>
      </w:r>
      <w:r w:rsidR="00B71556" w:rsidRPr="76BE792E">
        <w:rPr>
          <w:i/>
          <w:iCs/>
        </w:rPr>
        <w:t xml:space="preserve">ublic </w:t>
      </w:r>
      <w:r w:rsidR="00CD038C" w:rsidRPr="76BE792E">
        <w:rPr>
          <w:i/>
          <w:iCs/>
        </w:rPr>
        <w:t>h</w:t>
      </w:r>
      <w:r w:rsidR="00B71556" w:rsidRPr="76BE792E">
        <w:rPr>
          <w:i/>
          <w:iCs/>
        </w:rPr>
        <w:t xml:space="preserve">ealth and </w:t>
      </w:r>
      <w:r w:rsidR="00CD038C" w:rsidRPr="76BE792E">
        <w:rPr>
          <w:i/>
          <w:iCs/>
        </w:rPr>
        <w:t>w</w:t>
      </w:r>
      <w:r w:rsidR="00B71556" w:rsidRPr="76BE792E">
        <w:rPr>
          <w:i/>
          <w:iCs/>
        </w:rPr>
        <w:t xml:space="preserve">ellbeing </w:t>
      </w:r>
      <w:r w:rsidR="00CD038C" w:rsidRPr="76BE792E">
        <w:rPr>
          <w:i/>
          <w:iCs/>
        </w:rPr>
        <w:t>o</w:t>
      </w:r>
      <w:r w:rsidR="00B71556" w:rsidRPr="76BE792E">
        <w:rPr>
          <w:i/>
          <w:iCs/>
        </w:rPr>
        <w:t xml:space="preserve">utcomes </w:t>
      </w:r>
      <w:r w:rsidR="00CD038C" w:rsidRPr="76BE792E">
        <w:rPr>
          <w:i/>
          <w:iCs/>
        </w:rPr>
        <w:t>f</w:t>
      </w:r>
      <w:r w:rsidR="00B71556" w:rsidRPr="76BE792E">
        <w:rPr>
          <w:i/>
          <w:iCs/>
        </w:rPr>
        <w:t>ramework</w:t>
      </w:r>
      <w:r w:rsidR="00B71556" w:rsidRPr="00786CFA">
        <w:t xml:space="preserve"> has a target of</w:t>
      </w:r>
      <w:r w:rsidR="00E4754D">
        <w:t xml:space="preserve"> a</w:t>
      </w:r>
      <w:r w:rsidR="00B71556" w:rsidRPr="00786CFA">
        <w:t xml:space="preserve"> 1</w:t>
      </w:r>
      <w:r w:rsidR="005F2054">
        <w:t>0</w:t>
      </w:r>
      <w:r w:rsidR="0054537F">
        <w:t>%</w:t>
      </w:r>
      <w:r w:rsidR="00B71556" w:rsidRPr="00786CFA">
        <w:t xml:space="preserve"> decrease in adolescents excessively consuming alcohol by 2025</w:t>
      </w:r>
      <w:r w:rsidR="006E7AD9">
        <w:t xml:space="preserve"> from a baseline year of 2014</w:t>
      </w:r>
      <w:r w:rsidR="002321F3">
        <w:t xml:space="preserve">. </w:t>
      </w:r>
      <w:r w:rsidR="00153172">
        <w:t>Figure 6.4 shows that a</w:t>
      </w:r>
      <w:r w:rsidR="00073722" w:rsidRPr="00786CFA">
        <w:t xml:space="preserve">dolescents who consume alcohol at least </w:t>
      </w:r>
      <w:r w:rsidR="00D2582A">
        <w:t>every month is decreasing</w:t>
      </w:r>
      <w:r w:rsidR="00073722" w:rsidRPr="00786CFA">
        <w:t xml:space="preserve">, from </w:t>
      </w:r>
      <w:r w:rsidR="00C8737F">
        <w:t>20.6</w:t>
      </w:r>
      <w:r w:rsidR="0054537F">
        <w:t>%</w:t>
      </w:r>
      <w:r w:rsidR="00073722" w:rsidRPr="00786CFA">
        <w:t xml:space="preserve"> in 2014 to </w:t>
      </w:r>
      <w:r w:rsidR="00C8737F">
        <w:t>17.7</w:t>
      </w:r>
      <w:r w:rsidR="0054537F">
        <w:t>%</w:t>
      </w:r>
      <w:r w:rsidR="00073722" w:rsidRPr="00786CFA">
        <w:t xml:space="preserve"> in </w:t>
      </w:r>
      <w:r w:rsidR="00D2582A">
        <w:t>2018</w:t>
      </w:r>
      <w:r w:rsidR="00153172">
        <w:t>.</w:t>
      </w:r>
      <w:r w:rsidR="00073722" w:rsidRPr="00786CFA">
        <w:rPr>
          <w:rStyle w:val="FootnoteReference"/>
        </w:rPr>
        <w:footnoteReference w:id="85"/>
      </w:r>
      <w:r w:rsidR="00073722" w:rsidRPr="00786CFA">
        <w:t xml:space="preserve"> </w:t>
      </w:r>
      <w:r w:rsidR="00153172">
        <w:t>This means</w:t>
      </w:r>
      <w:r w:rsidR="00786CFA" w:rsidRPr="00786CFA">
        <w:t xml:space="preserve"> that </w:t>
      </w:r>
      <w:r w:rsidR="00BD7A5C">
        <w:t>Victoria is</w:t>
      </w:r>
      <w:r w:rsidR="00786CFA" w:rsidRPr="00786CFA">
        <w:t xml:space="preserve"> </w:t>
      </w:r>
      <w:r w:rsidR="008F75FA" w:rsidRPr="008F75FA">
        <w:t>moving in the right direction</w:t>
      </w:r>
      <w:r w:rsidR="00786CFA" w:rsidRPr="008F75FA">
        <w:t xml:space="preserve"> </w:t>
      </w:r>
      <w:r w:rsidR="00D2582A">
        <w:t xml:space="preserve">having met </w:t>
      </w:r>
      <w:r w:rsidR="00786CFA" w:rsidRPr="008F75FA">
        <w:t xml:space="preserve">the 2025 target of </w:t>
      </w:r>
      <w:r w:rsidR="00C8737F">
        <w:t>18.6</w:t>
      </w:r>
      <w:r w:rsidR="0054537F">
        <w:t>%</w:t>
      </w:r>
      <w:r w:rsidR="005F2054" w:rsidRPr="008F75FA">
        <w:t>.</w:t>
      </w:r>
      <w:r>
        <w:br w:type="page"/>
      </w:r>
      <w:bookmarkStart w:id="413" w:name="_Toc19008061"/>
      <w:r w:rsidR="00784A70" w:rsidRPr="00CF6F8C">
        <w:rPr>
          <w:rStyle w:val="Heading2Char"/>
        </w:rPr>
        <w:lastRenderedPageBreak/>
        <w:t>Key result: Fruit and vegetable consumption of adults, adolescents and children</w:t>
      </w:r>
      <w:bookmarkEnd w:id="413"/>
    </w:p>
    <w:p w14:paraId="56CF1CBC" w14:textId="77777777" w:rsidR="00895365" w:rsidRPr="003E6A0B" w:rsidRDefault="00784A70" w:rsidP="00A451D4">
      <w:pPr>
        <w:pStyle w:val="Heading3"/>
        <w:rPr>
          <w:b/>
          <w:bCs w:val="0"/>
        </w:rPr>
      </w:pPr>
      <w:bookmarkStart w:id="414" w:name="_Measure_7.1_–"/>
      <w:bookmarkStart w:id="415" w:name="_Toc19008062"/>
      <w:bookmarkEnd w:id="414"/>
      <w:r w:rsidRPr="003E6A0B">
        <w:rPr>
          <w:b/>
          <w:bCs w:val="0"/>
        </w:rPr>
        <w:t>Measure 7.1 – Mean daily serves of fruit in adults</w:t>
      </w:r>
      <w:bookmarkEnd w:id="415"/>
    </w:p>
    <w:p w14:paraId="628E3608" w14:textId="18318B7A" w:rsidR="00916EB0" w:rsidRDefault="00984C41" w:rsidP="0091523F">
      <w:pPr>
        <w:pStyle w:val="Figurecaption"/>
        <w:rPr>
          <w:sz w:val="20"/>
        </w:rPr>
      </w:pPr>
      <w:bookmarkStart w:id="416" w:name="_Toc19008063"/>
      <w:bookmarkStart w:id="417" w:name="_Toc19008300"/>
      <w:bookmarkStart w:id="418" w:name="_Toc19008447"/>
      <w:bookmarkStart w:id="419" w:name="_Toc19008594"/>
      <w:bookmarkStart w:id="420" w:name="_Toc132553026"/>
      <w:bookmarkStart w:id="421" w:name="_Toc140827635"/>
      <w:r w:rsidRPr="76BE792E">
        <w:rPr>
          <w:sz w:val="20"/>
        </w:rPr>
        <w:t>Figure 7.1</w:t>
      </w:r>
      <w:r w:rsidR="003B391F" w:rsidRPr="76BE792E">
        <w:rPr>
          <w:sz w:val="20"/>
        </w:rPr>
        <w:t>:</w:t>
      </w:r>
      <w:r w:rsidRPr="76BE792E">
        <w:rPr>
          <w:sz w:val="20"/>
        </w:rPr>
        <w:t xml:space="preserve"> Daily fruit consumption</w:t>
      </w:r>
      <w:r w:rsidR="00927274" w:rsidRPr="76BE792E">
        <w:rPr>
          <w:sz w:val="20"/>
        </w:rPr>
        <w:t xml:space="preserve"> among </w:t>
      </w:r>
      <w:r w:rsidR="00996B6E" w:rsidRPr="76BE792E">
        <w:rPr>
          <w:sz w:val="20"/>
        </w:rPr>
        <w:t>OECD adults, 201</w:t>
      </w:r>
      <w:r w:rsidR="00302979" w:rsidRPr="76BE792E">
        <w:rPr>
          <w:sz w:val="20"/>
        </w:rPr>
        <w:t>7</w:t>
      </w:r>
      <w:r w:rsidR="00996B6E" w:rsidRPr="76BE792E">
        <w:rPr>
          <w:sz w:val="20"/>
        </w:rPr>
        <w:t xml:space="preserve"> (or nearest year)</w:t>
      </w:r>
      <w:r w:rsidR="0079105B" w:rsidRPr="76BE792E">
        <w:rPr>
          <w:rStyle w:val="FootnoteReference"/>
          <w:sz w:val="20"/>
          <w:lang w:eastAsia="en-AU"/>
        </w:rPr>
        <w:footnoteReference w:id="86"/>
      </w:r>
      <w:bookmarkEnd w:id="416"/>
      <w:bookmarkEnd w:id="417"/>
      <w:bookmarkEnd w:id="418"/>
      <w:bookmarkEnd w:id="419"/>
      <w:bookmarkEnd w:id="420"/>
      <w:bookmarkEnd w:id="421"/>
    </w:p>
    <w:p w14:paraId="3FC08908" w14:textId="48DA2BEF" w:rsidR="00310090" w:rsidRPr="00310090" w:rsidRDefault="00310090" w:rsidP="00310090">
      <w:pPr>
        <w:pStyle w:val="DHHSbody"/>
      </w:pPr>
      <w:r w:rsidRPr="00310090">
        <w:rPr>
          <w:noProof/>
        </w:rPr>
        <w:drawing>
          <wp:inline distT="0" distB="0" distL="0" distR="0" wp14:anchorId="74D45B0B" wp14:editId="254E0BC0">
            <wp:extent cx="6076950" cy="2476861"/>
            <wp:effectExtent l="0" t="0" r="0" b="0"/>
            <wp:docPr id="1110204999" name="Picture 1110204999" descr="This figure shows the proportion of adult population (15 years and over) of OECD countries who consume at least one fruit per day by gender for 2017.  The data is available from the OECD website: https://doi.org/10.1787/4dd50c09-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4999" name="Picture 1110204999" descr="This figure shows the proportion of adult population (15 years and over) of OECD countries who consume at least one fruit per day by gender for 2017.  The data is available from the OECD website: https://doi.org/10.1787/4dd50c09-en. "/>
                    <pic:cNvPicPr/>
                  </pic:nvPicPr>
                  <pic:blipFill>
                    <a:blip r:embed="rId79"/>
                    <a:stretch>
                      <a:fillRect/>
                    </a:stretch>
                  </pic:blipFill>
                  <pic:spPr>
                    <a:xfrm>
                      <a:off x="0" y="0"/>
                      <a:ext cx="6092380" cy="2483150"/>
                    </a:xfrm>
                    <a:prstGeom prst="rect">
                      <a:avLst/>
                    </a:prstGeom>
                  </pic:spPr>
                </pic:pic>
              </a:graphicData>
            </a:graphic>
          </wp:inline>
        </w:drawing>
      </w:r>
    </w:p>
    <w:p w14:paraId="09D7FE56" w14:textId="43D7D9E1" w:rsidR="00302979" w:rsidRPr="00302979" w:rsidRDefault="00302979" w:rsidP="00E87AAA">
      <w:pPr>
        <w:pStyle w:val="Body"/>
      </w:pPr>
    </w:p>
    <w:p w14:paraId="4D31CFD3" w14:textId="6372F93F" w:rsidR="00A341CC" w:rsidRPr="00B33F2D" w:rsidRDefault="00275DB3" w:rsidP="00FA1AAC">
      <w:pPr>
        <w:pStyle w:val="Tablefigurenote"/>
        <w:rPr>
          <w:i/>
          <w:iCs/>
          <w:sz w:val="18"/>
          <w:szCs w:val="18"/>
        </w:rPr>
      </w:pPr>
      <w:r w:rsidRPr="00B33F2D">
        <w:rPr>
          <w:i/>
          <w:iCs/>
          <w:sz w:val="18"/>
          <w:szCs w:val="18"/>
        </w:rPr>
        <w:t>Source: OECD Health Statistics</w:t>
      </w:r>
      <w:r w:rsidR="0022084E" w:rsidRPr="00B33F2D">
        <w:rPr>
          <w:i/>
          <w:iCs/>
          <w:sz w:val="18"/>
          <w:szCs w:val="18"/>
        </w:rPr>
        <w:t xml:space="preserve"> 201</w:t>
      </w:r>
      <w:r w:rsidR="000F453C" w:rsidRPr="00B33F2D">
        <w:rPr>
          <w:i/>
          <w:iCs/>
          <w:sz w:val="18"/>
          <w:szCs w:val="18"/>
        </w:rPr>
        <w:t>9</w:t>
      </w:r>
    </w:p>
    <w:p w14:paraId="5CF41389" w14:textId="19A4F063" w:rsidR="00F934CC" w:rsidRPr="00B33F2D" w:rsidRDefault="00F934CC" w:rsidP="00FA1AAC">
      <w:pPr>
        <w:pStyle w:val="Tablefigurenote"/>
        <w:rPr>
          <w:i/>
          <w:iCs/>
          <w:sz w:val="18"/>
          <w:szCs w:val="18"/>
        </w:rPr>
      </w:pPr>
      <w:r w:rsidRPr="00B33F2D">
        <w:rPr>
          <w:i/>
          <w:iCs/>
          <w:sz w:val="18"/>
          <w:szCs w:val="18"/>
        </w:rPr>
        <w:t>Note: Data for Australia, Korea and New Zealand are derived from quantity-type questions</w:t>
      </w:r>
      <w:r w:rsidR="00652CB0" w:rsidRPr="00B33F2D">
        <w:rPr>
          <w:i/>
          <w:iCs/>
          <w:sz w:val="18"/>
          <w:szCs w:val="18"/>
        </w:rPr>
        <w:t>; OCED 34 = the average of 3</w:t>
      </w:r>
      <w:r w:rsidR="00A429B4" w:rsidRPr="00B33F2D">
        <w:rPr>
          <w:i/>
          <w:iCs/>
          <w:sz w:val="18"/>
          <w:szCs w:val="18"/>
        </w:rPr>
        <w:t>5</w:t>
      </w:r>
      <w:r w:rsidR="00652CB0" w:rsidRPr="00B33F2D">
        <w:rPr>
          <w:i/>
          <w:iCs/>
          <w:sz w:val="18"/>
          <w:szCs w:val="18"/>
        </w:rPr>
        <w:t xml:space="preserve"> OECD countries; Australia is highlighted in </w:t>
      </w:r>
      <w:r w:rsidR="00652CB0" w:rsidRPr="00B33F2D">
        <w:rPr>
          <w:i/>
          <w:iCs/>
          <w:color w:val="AF272F"/>
          <w:sz w:val="18"/>
          <w:szCs w:val="18"/>
        </w:rPr>
        <w:t>red</w:t>
      </w:r>
      <w:r w:rsidR="00CC4645" w:rsidRPr="00B33F2D">
        <w:rPr>
          <w:i/>
          <w:iCs/>
          <w:sz w:val="18"/>
          <w:szCs w:val="18"/>
        </w:rPr>
        <w:t>.</w:t>
      </w:r>
    </w:p>
    <w:p w14:paraId="5D3030FF" w14:textId="10658DF8" w:rsidR="00F462BD" w:rsidRDefault="00B64C81" w:rsidP="00F462BD">
      <w:pPr>
        <w:pStyle w:val="Figurecaption"/>
        <w:rPr>
          <w:sz w:val="20"/>
        </w:rPr>
      </w:pPr>
      <w:bookmarkStart w:id="422" w:name="_Toc19008064"/>
      <w:bookmarkStart w:id="423" w:name="_Toc19008301"/>
      <w:bookmarkStart w:id="424" w:name="_Toc19008448"/>
      <w:bookmarkStart w:id="425" w:name="_Toc19008595"/>
      <w:bookmarkStart w:id="426" w:name="_Toc132553027"/>
      <w:bookmarkStart w:id="427" w:name="_Toc140827636"/>
      <w:r w:rsidRPr="00B33F2D">
        <w:rPr>
          <w:sz w:val="20"/>
        </w:rPr>
        <w:t>Figure 7.1.1</w:t>
      </w:r>
      <w:r w:rsidR="003B391F" w:rsidRPr="00B33F2D">
        <w:rPr>
          <w:sz w:val="20"/>
        </w:rPr>
        <w:t>:</w:t>
      </w:r>
      <w:r w:rsidRPr="00B33F2D">
        <w:rPr>
          <w:sz w:val="20"/>
        </w:rPr>
        <w:t xml:space="preserve"> </w:t>
      </w:r>
      <w:r w:rsidR="001D6235" w:rsidRPr="00B33F2D">
        <w:rPr>
          <w:sz w:val="20"/>
        </w:rPr>
        <w:t>Australian a</w:t>
      </w:r>
      <w:r w:rsidRPr="00B33F2D">
        <w:rPr>
          <w:sz w:val="20"/>
        </w:rPr>
        <w:t xml:space="preserve">verage daily fruit intake for adults aged 18 years </w:t>
      </w:r>
      <w:r w:rsidR="008518CC" w:rsidRPr="00B33F2D">
        <w:rPr>
          <w:sz w:val="20"/>
        </w:rPr>
        <w:t>or o</w:t>
      </w:r>
      <w:r w:rsidR="00CA2AD7" w:rsidRPr="00B33F2D">
        <w:rPr>
          <w:sz w:val="20"/>
        </w:rPr>
        <w:t>lder</w:t>
      </w:r>
      <w:r w:rsidR="008518CC" w:rsidRPr="00B33F2D">
        <w:rPr>
          <w:sz w:val="20"/>
        </w:rPr>
        <w:t>, 2014</w:t>
      </w:r>
      <w:r w:rsidR="00CA2AD7" w:rsidRPr="00B33F2D">
        <w:rPr>
          <w:sz w:val="20"/>
        </w:rPr>
        <w:t>–</w:t>
      </w:r>
      <w:r w:rsidR="008518CC" w:rsidRPr="00B33F2D">
        <w:rPr>
          <w:sz w:val="20"/>
        </w:rPr>
        <w:t>15</w:t>
      </w:r>
      <w:bookmarkEnd w:id="422"/>
      <w:bookmarkEnd w:id="423"/>
      <w:bookmarkEnd w:id="424"/>
      <w:bookmarkEnd w:id="425"/>
      <w:r w:rsidR="00E47825" w:rsidRPr="00B33F2D">
        <w:rPr>
          <w:sz w:val="20"/>
        </w:rPr>
        <w:t xml:space="preserve"> and </w:t>
      </w:r>
      <w:r w:rsidR="00DE1F26" w:rsidRPr="00B33F2D">
        <w:rPr>
          <w:sz w:val="20"/>
        </w:rPr>
        <w:t>2017</w:t>
      </w:r>
      <w:r w:rsidR="00F462BD" w:rsidRPr="00B33F2D">
        <w:rPr>
          <w:sz w:val="20"/>
        </w:rPr>
        <w:t>–18</w:t>
      </w:r>
      <w:bookmarkEnd w:id="426"/>
      <w:bookmarkEnd w:id="427"/>
    </w:p>
    <w:p w14:paraId="217DEEAD" w14:textId="62693241" w:rsidR="00B16E1A" w:rsidRPr="00665B21" w:rsidRDefault="002635C2" w:rsidP="002635C2">
      <w:pPr>
        <w:pStyle w:val="DHHSbody"/>
      </w:pPr>
      <w:r w:rsidRPr="002635C2">
        <w:rPr>
          <w:noProof/>
        </w:rPr>
        <w:drawing>
          <wp:inline distT="0" distB="0" distL="0" distR="0" wp14:anchorId="44324D7B" wp14:editId="5AC6768E">
            <wp:extent cx="5989955" cy="2695575"/>
            <wp:effectExtent l="0" t="0" r="0" b="9525"/>
            <wp:docPr id="1110205005" name="Picture 1110205005" descr="This figure shows that Australian daily average fruit intake for adults aged 18 years or older by sex for 2014-2015 and 2017-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05" name="Picture 1110205005" descr="This figure shows that Australian daily average fruit intake for adults aged 18 years or older by sex for 2014-2015 and 2017-2018."/>
                    <pic:cNvPicPr/>
                  </pic:nvPicPr>
                  <pic:blipFill>
                    <a:blip r:embed="rId80"/>
                    <a:stretch>
                      <a:fillRect/>
                    </a:stretch>
                  </pic:blipFill>
                  <pic:spPr>
                    <a:xfrm>
                      <a:off x="0" y="0"/>
                      <a:ext cx="6013921" cy="2706360"/>
                    </a:xfrm>
                    <a:prstGeom prst="rect">
                      <a:avLst/>
                    </a:prstGeom>
                  </pic:spPr>
                </pic:pic>
              </a:graphicData>
            </a:graphic>
          </wp:inline>
        </w:drawing>
      </w:r>
    </w:p>
    <w:p w14:paraId="66333AE2" w14:textId="05800A1B" w:rsidR="00B16E1A" w:rsidRPr="00B33F2D" w:rsidRDefault="00300E46" w:rsidP="00FA1AAC">
      <w:pPr>
        <w:pStyle w:val="Tablefigurenote"/>
        <w:rPr>
          <w:i/>
          <w:iCs/>
          <w:sz w:val="18"/>
          <w:szCs w:val="18"/>
        </w:rPr>
      </w:pPr>
      <w:r w:rsidRPr="00B33F2D">
        <w:rPr>
          <w:rFonts w:cs="Arial"/>
          <w:i/>
          <w:iCs/>
          <w:sz w:val="18"/>
          <w:szCs w:val="18"/>
          <w:lang w:eastAsia="en-AU"/>
        </w:rPr>
        <w:t>Source</w:t>
      </w:r>
      <w:r w:rsidR="00CF71AF" w:rsidRPr="00B33F2D">
        <w:rPr>
          <w:rFonts w:cs="Arial"/>
          <w:i/>
          <w:iCs/>
          <w:sz w:val="18"/>
          <w:szCs w:val="18"/>
          <w:lang w:eastAsia="en-AU"/>
        </w:rPr>
        <w:t>s</w:t>
      </w:r>
      <w:r w:rsidRPr="00B33F2D">
        <w:rPr>
          <w:rFonts w:cs="Arial"/>
          <w:i/>
          <w:iCs/>
          <w:sz w:val="18"/>
          <w:szCs w:val="18"/>
          <w:lang w:eastAsia="en-AU"/>
        </w:rPr>
        <w:t xml:space="preserve">: </w:t>
      </w:r>
      <w:r w:rsidR="00781191" w:rsidRPr="00B33F2D">
        <w:rPr>
          <w:i/>
          <w:iCs/>
          <w:sz w:val="18"/>
          <w:szCs w:val="18"/>
        </w:rPr>
        <w:t>ABS</w:t>
      </w:r>
      <w:r w:rsidRPr="00B33F2D">
        <w:rPr>
          <w:i/>
          <w:iCs/>
          <w:sz w:val="18"/>
          <w:szCs w:val="18"/>
        </w:rPr>
        <w:t xml:space="preserve"> 2015</w:t>
      </w:r>
      <w:r w:rsidR="00CF71AF" w:rsidRPr="00B33F2D">
        <w:rPr>
          <w:i/>
          <w:iCs/>
          <w:sz w:val="18"/>
          <w:szCs w:val="18"/>
        </w:rPr>
        <w:t>,</w:t>
      </w:r>
      <w:r w:rsidRPr="00B33F2D">
        <w:rPr>
          <w:i/>
          <w:iCs/>
          <w:sz w:val="18"/>
          <w:szCs w:val="18"/>
        </w:rPr>
        <w:t xml:space="preserve"> 4364.0.55.001 National Health Survey: First </w:t>
      </w:r>
      <w:r w:rsidR="00CD038C" w:rsidRPr="00B33F2D">
        <w:rPr>
          <w:i/>
          <w:iCs/>
          <w:sz w:val="18"/>
          <w:szCs w:val="18"/>
        </w:rPr>
        <w:t>r</w:t>
      </w:r>
      <w:r w:rsidRPr="00B33F2D">
        <w:rPr>
          <w:i/>
          <w:iCs/>
          <w:sz w:val="18"/>
          <w:szCs w:val="18"/>
        </w:rPr>
        <w:t>esults 2014</w:t>
      </w:r>
      <w:r w:rsidR="00690CD3" w:rsidRPr="00B33F2D">
        <w:rPr>
          <w:i/>
          <w:iCs/>
          <w:sz w:val="18"/>
          <w:szCs w:val="18"/>
        </w:rPr>
        <w:t>–1</w:t>
      </w:r>
      <w:r w:rsidRPr="00B33F2D">
        <w:rPr>
          <w:i/>
          <w:iCs/>
          <w:sz w:val="18"/>
          <w:szCs w:val="18"/>
        </w:rPr>
        <w:t>5, Australia, Australian Government, Canberra</w:t>
      </w:r>
      <w:r w:rsidR="00F462BD" w:rsidRPr="00B33F2D">
        <w:rPr>
          <w:i/>
          <w:iCs/>
          <w:sz w:val="18"/>
          <w:szCs w:val="18"/>
        </w:rPr>
        <w:t>; ABS 2018</w:t>
      </w:r>
      <w:r w:rsidR="00CF71AF" w:rsidRPr="00B33F2D">
        <w:rPr>
          <w:i/>
          <w:iCs/>
          <w:sz w:val="18"/>
          <w:szCs w:val="18"/>
        </w:rPr>
        <w:t>,</w:t>
      </w:r>
      <w:r w:rsidR="00F462BD" w:rsidRPr="00B33F2D">
        <w:rPr>
          <w:i/>
          <w:iCs/>
          <w:sz w:val="18"/>
          <w:szCs w:val="18"/>
        </w:rPr>
        <w:t xml:space="preserve"> 4364.0.55.001 National Health Survey: First results 2017–18, Australia, Australian Government, Canberra</w:t>
      </w:r>
    </w:p>
    <w:p w14:paraId="66AE5592" w14:textId="74D93A18" w:rsidR="00E01969" w:rsidRPr="00652CB0" w:rsidRDefault="00300E46" w:rsidP="00FA1AAC">
      <w:pPr>
        <w:pStyle w:val="Tablefigurenote"/>
        <w:rPr>
          <w:rFonts w:cs="Arial"/>
          <w:lang w:eastAsia="en-AU"/>
        </w:rPr>
      </w:pPr>
      <w:r w:rsidRPr="00B33F2D">
        <w:rPr>
          <w:rFonts w:cs="Arial"/>
          <w:i/>
          <w:iCs/>
          <w:sz w:val="18"/>
          <w:szCs w:val="18"/>
          <w:lang w:eastAsia="en-AU"/>
        </w:rPr>
        <w:t>Note:</w:t>
      </w:r>
      <w:r w:rsidR="00952FC7" w:rsidRPr="00B33F2D">
        <w:rPr>
          <w:rFonts w:cs="Arial"/>
          <w:i/>
          <w:iCs/>
          <w:sz w:val="18"/>
          <w:szCs w:val="18"/>
          <w:lang w:eastAsia="en-AU"/>
        </w:rPr>
        <w:t xml:space="preserve"> </w:t>
      </w:r>
      <w:r w:rsidRPr="00B33F2D">
        <w:rPr>
          <w:rFonts w:cs="Arial"/>
          <w:i/>
          <w:iCs/>
          <w:sz w:val="18"/>
          <w:szCs w:val="18"/>
          <w:lang w:eastAsia="en-AU"/>
        </w:rPr>
        <w:t>Data not age-standardised</w:t>
      </w:r>
      <w:r w:rsidR="004F0FAA" w:rsidRPr="00B33F2D">
        <w:rPr>
          <w:rFonts w:cs="Arial"/>
          <w:i/>
          <w:iCs/>
          <w:sz w:val="18"/>
          <w:szCs w:val="18"/>
          <w:lang w:eastAsia="en-AU"/>
        </w:rPr>
        <w:t>.</w:t>
      </w:r>
      <w:r w:rsidR="00E01969">
        <w:rPr>
          <w:rFonts w:cs="Arial"/>
          <w:b/>
        </w:rPr>
        <w:br w:type="page"/>
      </w:r>
    </w:p>
    <w:p w14:paraId="61B1436C" w14:textId="0ABF002E" w:rsidR="003D4261" w:rsidRDefault="007718EF" w:rsidP="00DB1EBB">
      <w:pPr>
        <w:pStyle w:val="Figurecaption"/>
        <w:rPr>
          <w:sz w:val="20"/>
        </w:rPr>
      </w:pPr>
      <w:bookmarkStart w:id="428" w:name="_Toc19008065"/>
      <w:bookmarkStart w:id="429" w:name="_Toc19008302"/>
      <w:bookmarkStart w:id="430" w:name="_Toc19008449"/>
      <w:bookmarkStart w:id="431" w:name="_Toc19008596"/>
      <w:bookmarkStart w:id="432" w:name="_Toc132553028"/>
      <w:bookmarkStart w:id="433" w:name="_Toc140827637"/>
      <w:r w:rsidRPr="00B33F2D">
        <w:rPr>
          <w:sz w:val="20"/>
        </w:rPr>
        <w:lastRenderedPageBreak/>
        <w:t xml:space="preserve">Figure </w:t>
      </w:r>
      <w:r w:rsidR="00041A04" w:rsidRPr="00B33F2D">
        <w:rPr>
          <w:sz w:val="20"/>
        </w:rPr>
        <w:t>7.</w:t>
      </w:r>
      <w:r w:rsidR="00CE03E4" w:rsidRPr="00B33F2D">
        <w:rPr>
          <w:sz w:val="20"/>
        </w:rPr>
        <w:t>1.</w:t>
      </w:r>
      <w:r w:rsidR="00435354" w:rsidRPr="00B33F2D">
        <w:rPr>
          <w:sz w:val="20"/>
        </w:rPr>
        <w:t>2</w:t>
      </w:r>
      <w:r w:rsidR="003B391F" w:rsidRPr="00B33F2D">
        <w:rPr>
          <w:sz w:val="20"/>
        </w:rPr>
        <w:t>:</w:t>
      </w:r>
      <w:r w:rsidR="00CE03E4" w:rsidRPr="00B33F2D">
        <w:rPr>
          <w:sz w:val="20"/>
        </w:rPr>
        <w:t xml:space="preserve"> </w:t>
      </w:r>
      <w:r w:rsidRPr="00B33F2D">
        <w:rPr>
          <w:sz w:val="20"/>
        </w:rPr>
        <w:t>Mean daily serves of fruit in Victorian adults</w:t>
      </w:r>
      <w:r w:rsidR="00193C20" w:rsidRPr="00B33F2D">
        <w:rPr>
          <w:sz w:val="20"/>
        </w:rPr>
        <w:t xml:space="preserve"> (</w:t>
      </w:r>
      <w:r w:rsidR="00193C20" w:rsidRPr="00B33F2D">
        <w:rPr>
          <w:bCs/>
          <w:color w:val="000000"/>
          <w:sz w:val="20"/>
        </w:rPr>
        <w:t>aged 18 y</w:t>
      </w:r>
      <w:r w:rsidR="00E9274F" w:rsidRPr="00B33F2D">
        <w:rPr>
          <w:bCs/>
          <w:color w:val="000000"/>
          <w:sz w:val="20"/>
        </w:rPr>
        <w:t>ea</w:t>
      </w:r>
      <w:r w:rsidR="00193C20" w:rsidRPr="00B33F2D">
        <w:rPr>
          <w:bCs/>
          <w:color w:val="000000"/>
          <w:sz w:val="20"/>
        </w:rPr>
        <w:t xml:space="preserve">rs </w:t>
      </w:r>
      <w:r w:rsidR="00CA2AD7" w:rsidRPr="00B33F2D">
        <w:rPr>
          <w:bCs/>
          <w:color w:val="000000"/>
          <w:sz w:val="20"/>
        </w:rPr>
        <w:t xml:space="preserve">or </w:t>
      </w:r>
      <w:r w:rsidR="00193C20" w:rsidRPr="00B33F2D">
        <w:rPr>
          <w:bCs/>
          <w:color w:val="000000"/>
          <w:sz w:val="20"/>
        </w:rPr>
        <w:t>older)</w:t>
      </w:r>
      <w:r w:rsidR="00E4754D" w:rsidRPr="00B33F2D">
        <w:rPr>
          <w:bCs/>
          <w:color w:val="000000"/>
          <w:sz w:val="20"/>
        </w:rPr>
        <w:t>,</w:t>
      </w:r>
      <w:r w:rsidRPr="00B33F2D">
        <w:rPr>
          <w:sz w:val="20"/>
        </w:rPr>
        <w:t xml:space="preserve"> by year, 2011</w:t>
      </w:r>
      <w:r w:rsidR="00CA2AD7" w:rsidRPr="00B33F2D">
        <w:rPr>
          <w:sz w:val="20"/>
        </w:rPr>
        <w:t>–</w:t>
      </w:r>
      <w:r w:rsidRPr="00B33F2D">
        <w:rPr>
          <w:sz w:val="20"/>
        </w:rPr>
        <w:t>201</w:t>
      </w:r>
      <w:r w:rsidR="006F2D4C" w:rsidRPr="00B33F2D">
        <w:rPr>
          <w:sz w:val="20"/>
        </w:rPr>
        <w:t>9</w:t>
      </w:r>
      <w:bookmarkEnd w:id="428"/>
      <w:bookmarkEnd w:id="429"/>
      <w:bookmarkEnd w:id="430"/>
      <w:bookmarkEnd w:id="431"/>
      <w:bookmarkEnd w:id="432"/>
      <w:bookmarkEnd w:id="433"/>
    </w:p>
    <w:p w14:paraId="18022FF7" w14:textId="48515FD3" w:rsidR="00A02038" w:rsidRPr="00A02038" w:rsidRDefault="002635C2" w:rsidP="002635C2">
      <w:pPr>
        <w:pStyle w:val="DHHSbody"/>
      </w:pPr>
      <w:r w:rsidRPr="002635C2">
        <w:rPr>
          <w:noProof/>
        </w:rPr>
        <w:drawing>
          <wp:inline distT="0" distB="0" distL="0" distR="0" wp14:anchorId="0C0EC1A8" wp14:editId="09089B3D">
            <wp:extent cx="6124575" cy="2814252"/>
            <wp:effectExtent l="0" t="0" r="0" b="5715"/>
            <wp:docPr id="1110205006" name="Picture 1110205006" descr="This figure presents data under the 'Measure 7.1 - Mean daily serves of fruit in adults'. It shows  the mean daily serves of fruit in Victorian adults (aged 18 years or older) for the study period 2011 to 2019. The data for this figure is available in this section - refer to Tabl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06" name="Picture 1110205006" descr="This figure presents data under the 'Measure 7.1 - Mean daily serves of fruit in adults'. It shows  the mean daily serves of fruit in Victorian adults (aged 18 years or older) for the study period 2011 to 2019. The data for this figure is available in this section - refer to Table 7.1."/>
                    <pic:cNvPicPr/>
                  </pic:nvPicPr>
                  <pic:blipFill>
                    <a:blip r:embed="rId81"/>
                    <a:stretch>
                      <a:fillRect/>
                    </a:stretch>
                  </pic:blipFill>
                  <pic:spPr>
                    <a:xfrm>
                      <a:off x="0" y="0"/>
                      <a:ext cx="6141083" cy="2821838"/>
                    </a:xfrm>
                    <a:prstGeom prst="rect">
                      <a:avLst/>
                    </a:prstGeom>
                  </pic:spPr>
                </pic:pic>
              </a:graphicData>
            </a:graphic>
          </wp:inline>
        </w:drawing>
      </w:r>
    </w:p>
    <w:p w14:paraId="6ED25081" w14:textId="78E4F9B7" w:rsidR="007718EF" w:rsidRPr="00B33F2D" w:rsidRDefault="007718EF" w:rsidP="008C38C6">
      <w:pPr>
        <w:pStyle w:val="Tablecaption"/>
        <w:rPr>
          <w:noProof/>
          <w:sz w:val="20"/>
        </w:rPr>
      </w:pPr>
      <w:bookmarkStart w:id="434" w:name="_Toc18908730"/>
      <w:bookmarkStart w:id="435" w:name="_Toc132491528"/>
      <w:bookmarkStart w:id="436" w:name="_Toc140834920"/>
      <w:r w:rsidRPr="00B33F2D">
        <w:rPr>
          <w:noProof/>
          <w:sz w:val="20"/>
        </w:rPr>
        <w:t>Table 7.1</w:t>
      </w:r>
      <w:r w:rsidR="001F7E28" w:rsidRPr="00B33F2D">
        <w:rPr>
          <w:sz w:val="20"/>
        </w:rPr>
        <w:t>:</w:t>
      </w:r>
      <w:r w:rsidRPr="00B33F2D">
        <w:rPr>
          <w:noProof/>
          <w:sz w:val="20"/>
        </w:rPr>
        <w:t xml:space="preserve"> Mean daily serves of fruit in Victorian adults </w:t>
      </w:r>
      <w:r w:rsidR="00193C20" w:rsidRPr="00B33F2D">
        <w:rPr>
          <w:noProof/>
          <w:sz w:val="20"/>
        </w:rPr>
        <w:t>(</w:t>
      </w:r>
      <w:r w:rsidR="00193C20" w:rsidRPr="00B33F2D">
        <w:rPr>
          <w:rFonts w:cs="Arial"/>
          <w:bCs/>
          <w:color w:val="000000"/>
          <w:sz w:val="20"/>
        </w:rPr>
        <w:t>aged 18 y</w:t>
      </w:r>
      <w:r w:rsidR="00E9274F" w:rsidRPr="00B33F2D">
        <w:rPr>
          <w:rFonts w:cs="Arial"/>
          <w:bCs/>
          <w:color w:val="000000"/>
          <w:sz w:val="20"/>
        </w:rPr>
        <w:t>ea</w:t>
      </w:r>
      <w:r w:rsidR="00193C20" w:rsidRPr="00B33F2D">
        <w:rPr>
          <w:rFonts w:cs="Arial"/>
          <w:bCs/>
          <w:color w:val="000000"/>
          <w:sz w:val="20"/>
        </w:rPr>
        <w:t xml:space="preserve">rs </w:t>
      </w:r>
      <w:r w:rsidR="001B50BF" w:rsidRPr="00B33F2D">
        <w:rPr>
          <w:rFonts w:cs="Arial"/>
          <w:bCs/>
          <w:color w:val="000000"/>
          <w:sz w:val="20"/>
        </w:rPr>
        <w:t xml:space="preserve">or </w:t>
      </w:r>
      <w:r w:rsidR="00193C20" w:rsidRPr="00B33F2D">
        <w:rPr>
          <w:rFonts w:cs="Arial"/>
          <w:bCs/>
          <w:color w:val="000000"/>
          <w:sz w:val="20"/>
        </w:rPr>
        <w:t>older</w:t>
      </w:r>
      <w:r w:rsidR="00193C20" w:rsidRPr="00B33F2D">
        <w:rPr>
          <w:noProof/>
          <w:sz w:val="20"/>
        </w:rPr>
        <w:t>)</w:t>
      </w:r>
      <w:r w:rsidR="00E4754D" w:rsidRPr="00B33F2D">
        <w:rPr>
          <w:noProof/>
          <w:sz w:val="20"/>
        </w:rPr>
        <w:t>,</w:t>
      </w:r>
      <w:r w:rsidR="00193C20" w:rsidRPr="00B33F2D">
        <w:rPr>
          <w:noProof/>
          <w:sz w:val="20"/>
        </w:rPr>
        <w:t xml:space="preserve"> </w:t>
      </w:r>
      <w:r w:rsidRPr="00B33F2D">
        <w:rPr>
          <w:noProof/>
          <w:sz w:val="20"/>
        </w:rPr>
        <w:t>by year, 2011</w:t>
      </w:r>
      <w:r w:rsidR="00690CD3" w:rsidRPr="00B33F2D">
        <w:rPr>
          <w:noProof/>
          <w:sz w:val="20"/>
        </w:rPr>
        <w:t>–</w:t>
      </w:r>
      <w:r w:rsidRPr="00B33F2D">
        <w:rPr>
          <w:noProof/>
          <w:sz w:val="20"/>
        </w:rPr>
        <w:t>201</w:t>
      </w:r>
      <w:r w:rsidR="0027246E" w:rsidRPr="00B33F2D">
        <w:rPr>
          <w:noProof/>
          <w:sz w:val="20"/>
        </w:rPr>
        <w:t>9</w:t>
      </w:r>
      <w:bookmarkEnd w:id="434"/>
      <w:bookmarkEnd w:id="435"/>
      <w:bookmarkEnd w:id="436"/>
    </w:p>
    <w:tbl>
      <w:tblPr>
        <w:tblW w:w="9608" w:type="dxa"/>
        <w:jc w:val="center"/>
        <w:tblBorders>
          <w:bottom w:val="single" w:sz="4" w:space="0" w:color="C00000"/>
          <w:insideH w:val="single" w:sz="4" w:space="0" w:color="C00000"/>
        </w:tblBorders>
        <w:shd w:val="clear" w:color="auto" w:fill="EDCDCF"/>
        <w:tblLook w:val="04A0" w:firstRow="1" w:lastRow="0" w:firstColumn="1" w:lastColumn="0" w:noHBand="0" w:noVBand="1"/>
      </w:tblPr>
      <w:tblGrid>
        <w:gridCol w:w="709"/>
        <w:gridCol w:w="992"/>
        <w:gridCol w:w="993"/>
        <w:gridCol w:w="963"/>
        <w:gridCol w:w="29"/>
        <w:gridCol w:w="934"/>
        <w:gridCol w:w="31"/>
        <w:gridCol w:w="932"/>
        <w:gridCol w:w="31"/>
        <w:gridCol w:w="932"/>
        <w:gridCol w:w="31"/>
        <w:gridCol w:w="1051"/>
        <w:gridCol w:w="31"/>
        <w:gridCol w:w="932"/>
        <w:gridCol w:w="31"/>
        <w:gridCol w:w="955"/>
        <w:gridCol w:w="31"/>
      </w:tblGrid>
      <w:tr w:rsidR="00850865" w:rsidRPr="0027246E" w14:paraId="0F0AC011" w14:textId="356AB696" w:rsidTr="0001257D">
        <w:trPr>
          <w:gridAfter w:val="1"/>
          <w:wAfter w:w="31" w:type="dxa"/>
          <w:trHeight w:val="310"/>
          <w:jc w:val="center"/>
        </w:trPr>
        <w:tc>
          <w:tcPr>
            <w:tcW w:w="709" w:type="dxa"/>
            <w:shd w:val="clear" w:color="auto" w:fill="EDCDCF"/>
            <w:vAlign w:val="center"/>
          </w:tcPr>
          <w:p w14:paraId="43231176" w14:textId="77777777" w:rsidR="006F2D4C" w:rsidRPr="0001257D" w:rsidRDefault="006F2D4C" w:rsidP="009868A0">
            <w:pPr>
              <w:pStyle w:val="Tablecolhead"/>
              <w:rPr>
                <w:sz w:val="14"/>
                <w:szCs w:val="14"/>
              </w:rPr>
            </w:pPr>
            <w:bookmarkStart w:id="437" w:name="_Hlk1049742"/>
            <w:r w:rsidRPr="0001257D">
              <w:rPr>
                <w:sz w:val="14"/>
                <w:szCs w:val="14"/>
              </w:rPr>
              <w:t>Year</w:t>
            </w:r>
          </w:p>
        </w:tc>
        <w:tc>
          <w:tcPr>
            <w:tcW w:w="992" w:type="dxa"/>
            <w:shd w:val="clear" w:color="auto" w:fill="EDCDCF"/>
            <w:vAlign w:val="center"/>
          </w:tcPr>
          <w:p w14:paraId="3361AA9E" w14:textId="2442B8C1" w:rsidR="006F2D4C" w:rsidRPr="0001257D" w:rsidRDefault="006F2D4C" w:rsidP="009868A0">
            <w:pPr>
              <w:pStyle w:val="Tablecolhead"/>
              <w:rPr>
                <w:sz w:val="14"/>
                <w:szCs w:val="14"/>
              </w:rPr>
            </w:pPr>
            <w:r w:rsidRPr="0001257D">
              <w:rPr>
                <w:sz w:val="14"/>
                <w:szCs w:val="14"/>
              </w:rPr>
              <w:t>2011</w:t>
            </w:r>
          </w:p>
        </w:tc>
        <w:tc>
          <w:tcPr>
            <w:tcW w:w="993" w:type="dxa"/>
            <w:shd w:val="clear" w:color="auto" w:fill="EDCDCF"/>
            <w:vAlign w:val="center"/>
          </w:tcPr>
          <w:p w14:paraId="44DB4591" w14:textId="77777777" w:rsidR="006F2D4C" w:rsidRPr="0001257D" w:rsidRDefault="006F2D4C" w:rsidP="009868A0">
            <w:pPr>
              <w:pStyle w:val="Tablecolhead"/>
              <w:rPr>
                <w:sz w:val="14"/>
                <w:szCs w:val="14"/>
              </w:rPr>
            </w:pPr>
            <w:r w:rsidRPr="0001257D">
              <w:rPr>
                <w:sz w:val="14"/>
                <w:szCs w:val="14"/>
              </w:rPr>
              <w:t>2012</w:t>
            </w:r>
          </w:p>
        </w:tc>
        <w:tc>
          <w:tcPr>
            <w:tcW w:w="963" w:type="dxa"/>
            <w:shd w:val="clear" w:color="auto" w:fill="EDCDCF"/>
            <w:vAlign w:val="center"/>
          </w:tcPr>
          <w:p w14:paraId="2B08A12C" w14:textId="13C935E1" w:rsidR="006F2D4C" w:rsidRPr="0001257D" w:rsidRDefault="006F2D4C" w:rsidP="009868A0">
            <w:pPr>
              <w:pStyle w:val="Tablecolhead"/>
              <w:rPr>
                <w:sz w:val="14"/>
                <w:szCs w:val="14"/>
              </w:rPr>
            </w:pPr>
            <w:r w:rsidRPr="0001257D">
              <w:rPr>
                <w:sz w:val="14"/>
                <w:szCs w:val="14"/>
              </w:rPr>
              <w:t>2013</w:t>
            </w:r>
            <w:r w:rsidRPr="0001257D">
              <w:rPr>
                <w:sz w:val="14"/>
                <w:szCs w:val="14"/>
                <w:vertAlign w:val="superscript"/>
              </w:rPr>
              <w:t>*</w:t>
            </w:r>
          </w:p>
        </w:tc>
        <w:tc>
          <w:tcPr>
            <w:tcW w:w="963" w:type="dxa"/>
            <w:gridSpan w:val="2"/>
            <w:shd w:val="clear" w:color="auto" w:fill="EDCDCF"/>
            <w:vAlign w:val="center"/>
          </w:tcPr>
          <w:p w14:paraId="051BD221" w14:textId="2924B415" w:rsidR="006F2D4C" w:rsidRPr="0001257D" w:rsidRDefault="006F2D4C" w:rsidP="009868A0">
            <w:pPr>
              <w:pStyle w:val="Tablecolhead"/>
              <w:rPr>
                <w:sz w:val="14"/>
                <w:szCs w:val="14"/>
              </w:rPr>
            </w:pPr>
            <w:r w:rsidRPr="0001257D">
              <w:rPr>
                <w:sz w:val="14"/>
                <w:szCs w:val="14"/>
              </w:rPr>
              <w:t>2014</w:t>
            </w:r>
          </w:p>
        </w:tc>
        <w:tc>
          <w:tcPr>
            <w:tcW w:w="963" w:type="dxa"/>
            <w:gridSpan w:val="2"/>
            <w:shd w:val="clear" w:color="auto" w:fill="EDCDCF"/>
            <w:vAlign w:val="center"/>
          </w:tcPr>
          <w:p w14:paraId="1758F7DC" w14:textId="77777777" w:rsidR="006F2D4C" w:rsidRPr="0001257D" w:rsidRDefault="006F2D4C" w:rsidP="009868A0">
            <w:pPr>
              <w:pStyle w:val="Tablecolhead"/>
              <w:rPr>
                <w:sz w:val="14"/>
                <w:szCs w:val="14"/>
              </w:rPr>
            </w:pPr>
            <w:r w:rsidRPr="0001257D">
              <w:rPr>
                <w:sz w:val="14"/>
                <w:szCs w:val="14"/>
              </w:rPr>
              <w:t>2015</w:t>
            </w:r>
          </w:p>
        </w:tc>
        <w:tc>
          <w:tcPr>
            <w:tcW w:w="963" w:type="dxa"/>
            <w:gridSpan w:val="2"/>
            <w:shd w:val="clear" w:color="auto" w:fill="EDCDCF"/>
            <w:vAlign w:val="center"/>
          </w:tcPr>
          <w:p w14:paraId="4B296B6B" w14:textId="77777777" w:rsidR="006F2D4C" w:rsidRPr="0001257D" w:rsidRDefault="006F2D4C" w:rsidP="009868A0">
            <w:pPr>
              <w:pStyle w:val="Tablecolhead"/>
              <w:rPr>
                <w:sz w:val="14"/>
                <w:szCs w:val="14"/>
              </w:rPr>
            </w:pPr>
            <w:r w:rsidRPr="0001257D">
              <w:rPr>
                <w:sz w:val="14"/>
                <w:szCs w:val="14"/>
              </w:rPr>
              <w:t>2016</w:t>
            </w:r>
          </w:p>
        </w:tc>
        <w:tc>
          <w:tcPr>
            <w:tcW w:w="1082" w:type="dxa"/>
            <w:gridSpan w:val="2"/>
            <w:shd w:val="clear" w:color="auto" w:fill="EDCDCF"/>
          </w:tcPr>
          <w:p w14:paraId="672E4AEE" w14:textId="61153B0E" w:rsidR="006F2D4C" w:rsidRPr="0001257D" w:rsidRDefault="006F2D4C" w:rsidP="009868A0">
            <w:pPr>
              <w:pStyle w:val="Tablecolhead"/>
              <w:rPr>
                <w:sz w:val="14"/>
                <w:szCs w:val="14"/>
              </w:rPr>
            </w:pPr>
            <w:r w:rsidRPr="0001257D">
              <w:rPr>
                <w:sz w:val="14"/>
                <w:szCs w:val="14"/>
              </w:rPr>
              <w:t>2017</w:t>
            </w:r>
          </w:p>
        </w:tc>
        <w:tc>
          <w:tcPr>
            <w:tcW w:w="963" w:type="dxa"/>
            <w:gridSpan w:val="2"/>
            <w:shd w:val="clear" w:color="auto" w:fill="EDCDCF"/>
          </w:tcPr>
          <w:p w14:paraId="322A20D2" w14:textId="64AAE251" w:rsidR="006F2D4C" w:rsidRPr="0001257D" w:rsidRDefault="006F2D4C" w:rsidP="009868A0">
            <w:pPr>
              <w:pStyle w:val="Tablecolhead"/>
              <w:rPr>
                <w:sz w:val="14"/>
                <w:szCs w:val="14"/>
              </w:rPr>
            </w:pPr>
            <w:r w:rsidRPr="0001257D">
              <w:rPr>
                <w:sz w:val="14"/>
                <w:szCs w:val="14"/>
              </w:rPr>
              <w:t>2018</w:t>
            </w:r>
          </w:p>
        </w:tc>
        <w:tc>
          <w:tcPr>
            <w:tcW w:w="986" w:type="dxa"/>
            <w:gridSpan w:val="2"/>
            <w:shd w:val="clear" w:color="auto" w:fill="EDCDCF"/>
          </w:tcPr>
          <w:p w14:paraId="59EB7926" w14:textId="2BDE58BC" w:rsidR="006F2D4C" w:rsidRPr="0001257D" w:rsidRDefault="006F2D4C" w:rsidP="009868A0">
            <w:pPr>
              <w:pStyle w:val="Tablecolhead"/>
              <w:rPr>
                <w:sz w:val="14"/>
                <w:szCs w:val="14"/>
              </w:rPr>
            </w:pPr>
            <w:r w:rsidRPr="0001257D">
              <w:rPr>
                <w:sz w:val="14"/>
                <w:szCs w:val="14"/>
              </w:rPr>
              <w:t>2019</w:t>
            </w:r>
          </w:p>
        </w:tc>
      </w:tr>
      <w:tr w:rsidR="00850865" w:rsidRPr="0027246E" w14:paraId="44D6B89C" w14:textId="39938CC8" w:rsidTr="0001257D">
        <w:trPr>
          <w:trHeight w:val="345"/>
          <w:jc w:val="center"/>
        </w:trPr>
        <w:tc>
          <w:tcPr>
            <w:tcW w:w="709" w:type="dxa"/>
            <w:shd w:val="clear" w:color="auto" w:fill="auto"/>
            <w:vAlign w:val="center"/>
          </w:tcPr>
          <w:p w14:paraId="2A76F7A3" w14:textId="77777777" w:rsidR="006F2D4C" w:rsidRPr="0001257D" w:rsidRDefault="006F2D4C" w:rsidP="001824D3">
            <w:pPr>
              <w:pStyle w:val="Tabletext"/>
              <w:rPr>
                <w:sz w:val="14"/>
                <w:szCs w:val="14"/>
              </w:rPr>
            </w:pPr>
            <w:r w:rsidRPr="0001257D">
              <w:rPr>
                <w:sz w:val="14"/>
                <w:szCs w:val="14"/>
              </w:rPr>
              <w:t>Mean</w:t>
            </w:r>
          </w:p>
        </w:tc>
        <w:tc>
          <w:tcPr>
            <w:tcW w:w="992" w:type="dxa"/>
            <w:shd w:val="clear" w:color="auto" w:fill="auto"/>
            <w:vAlign w:val="center"/>
          </w:tcPr>
          <w:p w14:paraId="3106E92E" w14:textId="51EB9DA6" w:rsidR="006F2D4C" w:rsidRPr="0001257D" w:rsidRDefault="006F2D4C" w:rsidP="001824D3">
            <w:pPr>
              <w:pStyle w:val="Tabletext"/>
              <w:rPr>
                <w:sz w:val="14"/>
                <w:szCs w:val="14"/>
              </w:rPr>
            </w:pPr>
            <w:r w:rsidRPr="0001257D">
              <w:rPr>
                <w:sz w:val="14"/>
                <w:szCs w:val="14"/>
              </w:rPr>
              <w:t>1.6</w:t>
            </w:r>
          </w:p>
        </w:tc>
        <w:tc>
          <w:tcPr>
            <w:tcW w:w="993" w:type="dxa"/>
            <w:shd w:val="clear" w:color="auto" w:fill="auto"/>
            <w:vAlign w:val="center"/>
          </w:tcPr>
          <w:p w14:paraId="712C4FB1" w14:textId="307BF9BD" w:rsidR="006F2D4C" w:rsidRPr="0001257D" w:rsidRDefault="006F2D4C" w:rsidP="001824D3">
            <w:pPr>
              <w:pStyle w:val="Tabletext"/>
              <w:rPr>
                <w:sz w:val="14"/>
                <w:szCs w:val="14"/>
              </w:rPr>
            </w:pPr>
            <w:r w:rsidRPr="0001257D">
              <w:rPr>
                <w:sz w:val="14"/>
                <w:szCs w:val="14"/>
              </w:rPr>
              <w:t>1.3</w:t>
            </w:r>
          </w:p>
        </w:tc>
        <w:tc>
          <w:tcPr>
            <w:tcW w:w="992" w:type="dxa"/>
            <w:gridSpan w:val="2"/>
            <w:shd w:val="clear" w:color="auto" w:fill="auto"/>
            <w:vAlign w:val="center"/>
          </w:tcPr>
          <w:p w14:paraId="4BFA2C2A" w14:textId="70BA9745" w:rsidR="006F2D4C" w:rsidRPr="0001257D" w:rsidRDefault="006F2D4C" w:rsidP="001824D3">
            <w:pPr>
              <w:pStyle w:val="Tabletext"/>
              <w:rPr>
                <w:sz w:val="14"/>
                <w:szCs w:val="14"/>
              </w:rPr>
            </w:pPr>
            <w:r w:rsidRPr="0001257D">
              <w:rPr>
                <w:sz w:val="14"/>
                <w:szCs w:val="14"/>
              </w:rPr>
              <w:t>1.8</w:t>
            </w:r>
          </w:p>
        </w:tc>
        <w:tc>
          <w:tcPr>
            <w:tcW w:w="965" w:type="dxa"/>
            <w:gridSpan w:val="2"/>
            <w:shd w:val="clear" w:color="auto" w:fill="auto"/>
            <w:vAlign w:val="center"/>
          </w:tcPr>
          <w:p w14:paraId="577D32A1" w14:textId="2158CFB0" w:rsidR="006F2D4C" w:rsidRPr="0001257D" w:rsidRDefault="006F2D4C" w:rsidP="001824D3">
            <w:pPr>
              <w:pStyle w:val="Tabletext"/>
              <w:rPr>
                <w:sz w:val="14"/>
                <w:szCs w:val="14"/>
              </w:rPr>
            </w:pPr>
            <w:r w:rsidRPr="0001257D">
              <w:rPr>
                <w:sz w:val="14"/>
                <w:szCs w:val="14"/>
              </w:rPr>
              <w:t>1.7</w:t>
            </w:r>
          </w:p>
        </w:tc>
        <w:tc>
          <w:tcPr>
            <w:tcW w:w="963" w:type="dxa"/>
            <w:gridSpan w:val="2"/>
            <w:shd w:val="clear" w:color="auto" w:fill="auto"/>
            <w:vAlign w:val="center"/>
          </w:tcPr>
          <w:p w14:paraId="790C2F7D" w14:textId="0ABDCB44" w:rsidR="006F2D4C" w:rsidRPr="0001257D" w:rsidRDefault="006F2D4C" w:rsidP="001824D3">
            <w:pPr>
              <w:pStyle w:val="Tabletext"/>
              <w:rPr>
                <w:sz w:val="14"/>
                <w:szCs w:val="14"/>
              </w:rPr>
            </w:pPr>
            <w:r w:rsidRPr="0001257D">
              <w:rPr>
                <w:sz w:val="14"/>
                <w:szCs w:val="14"/>
              </w:rPr>
              <w:t>1.6</w:t>
            </w:r>
          </w:p>
        </w:tc>
        <w:tc>
          <w:tcPr>
            <w:tcW w:w="963" w:type="dxa"/>
            <w:gridSpan w:val="2"/>
            <w:shd w:val="clear" w:color="auto" w:fill="auto"/>
            <w:vAlign w:val="center"/>
          </w:tcPr>
          <w:p w14:paraId="6386C8EB" w14:textId="2E2BAAF9" w:rsidR="006F2D4C" w:rsidRPr="0001257D" w:rsidRDefault="006F2D4C" w:rsidP="001824D3">
            <w:pPr>
              <w:pStyle w:val="Tabletext"/>
              <w:rPr>
                <w:sz w:val="14"/>
                <w:szCs w:val="14"/>
              </w:rPr>
            </w:pPr>
            <w:r w:rsidRPr="0001257D">
              <w:rPr>
                <w:sz w:val="14"/>
                <w:szCs w:val="14"/>
              </w:rPr>
              <w:t>1.5</w:t>
            </w:r>
          </w:p>
        </w:tc>
        <w:tc>
          <w:tcPr>
            <w:tcW w:w="1082" w:type="dxa"/>
            <w:gridSpan w:val="2"/>
            <w:vAlign w:val="center"/>
          </w:tcPr>
          <w:p w14:paraId="169ABA84" w14:textId="458D9DF0" w:rsidR="006F2D4C" w:rsidRPr="0001257D" w:rsidRDefault="0027246E" w:rsidP="001824D3">
            <w:pPr>
              <w:pStyle w:val="Tabletext"/>
              <w:rPr>
                <w:sz w:val="14"/>
                <w:szCs w:val="14"/>
              </w:rPr>
            </w:pPr>
            <w:r w:rsidRPr="0001257D">
              <w:rPr>
                <w:sz w:val="14"/>
                <w:szCs w:val="14"/>
              </w:rPr>
              <w:t>1.6</w:t>
            </w:r>
          </w:p>
        </w:tc>
        <w:tc>
          <w:tcPr>
            <w:tcW w:w="963" w:type="dxa"/>
            <w:gridSpan w:val="2"/>
            <w:vAlign w:val="center"/>
          </w:tcPr>
          <w:p w14:paraId="69F6BA13" w14:textId="6D52AADE" w:rsidR="006F2D4C" w:rsidRPr="0001257D" w:rsidRDefault="0027246E" w:rsidP="001824D3">
            <w:pPr>
              <w:pStyle w:val="Tabletext"/>
              <w:rPr>
                <w:sz w:val="14"/>
                <w:szCs w:val="14"/>
              </w:rPr>
            </w:pPr>
            <w:r w:rsidRPr="0001257D">
              <w:rPr>
                <w:sz w:val="14"/>
                <w:szCs w:val="14"/>
              </w:rPr>
              <w:t>1.6</w:t>
            </w:r>
          </w:p>
        </w:tc>
        <w:tc>
          <w:tcPr>
            <w:tcW w:w="986" w:type="dxa"/>
            <w:gridSpan w:val="2"/>
            <w:vAlign w:val="center"/>
          </w:tcPr>
          <w:p w14:paraId="6C8CB6A9" w14:textId="1B6C947B" w:rsidR="006F2D4C" w:rsidRPr="0001257D" w:rsidRDefault="0027246E" w:rsidP="001824D3">
            <w:pPr>
              <w:pStyle w:val="Tabletext"/>
              <w:rPr>
                <w:sz w:val="14"/>
                <w:szCs w:val="14"/>
              </w:rPr>
            </w:pPr>
            <w:r w:rsidRPr="0001257D">
              <w:rPr>
                <w:sz w:val="14"/>
                <w:szCs w:val="14"/>
              </w:rPr>
              <w:t>1.5</w:t>
            </w:r>
          </w:p>
        </w:tc>
      </w:tr>
      <w:tr w:rsidR="00850865" w:rsidRPr="0027246E" w14:paraId="1E1A04FD" w14:textId="6D4861B6" w:rsidTr="0001257D">
        <w:trPr>
          <w:trHeight w:val="345"/>
          <w:jc w:val="center"/>
        </w:trPr>
        <w:tc>
          <w:tcPr>
            <w:tcW w:w="709" w:type="dxa"/>
            <w:shd w:val="clear" w:color="auto" w:fill="auto"/>
            <w:vAlign w:val="center"/>
          </w:tcPr>
          <w:p w14:paraId="0F041122" w14:textId="2C03A256" w:rsidR="0027246E" w:rsidRPr="0001257D" w:rsidRDefault="0027246E" w:rsidP="0027246E">
            <w:pPr>
              <w:pStyle w:val="Tabletext"/>
              <w:rPr>
                <w:sz w:val="14"/>
                <w:szCs w:val="14"/>
              </w:rPr>
            </w:pPr>
            <w:r w:rsidRPr="0001257D">
              <w:rPr>
                <w:sz w:val="14"/>
                <w:szCs w:val="14"/>
              </w:rPr>
              <w:t>(95% CI)</w:t>
            </w:r>
          </w:p>
        </w:tc>
        <w:tc>
          <w:tcPr>
            <w:tcW w:w="992" w:type="dxa"/>
            <w:shd w:val="clear" w:color="auto" w:fill="auto"/>
            <w:vAlign w:val="center"/>
          </w:tcPr>
          <w:p w14:paraId="2A121022" w14:textId="621F4AB9" w:rsidR="0027246E" w:rsidRPr="0001257D" w:rsidRDefault="0027246E" w:rsidP="0027246E">
            <w:pPr>
              <w:pStyle w:val="Tabletext"/>
              <w:rPr>
                <w:sz w:val="14"/>
                <w:szCs w:val="14"/>
              </w:rPr>
            </w:pPr>
            <w:r w:rsidRPr="0001257D">
              <w:rPr>
                <w:sz w:val="14"/>
                <w:szCs w:val="14"/>
              </w:rPr>
              <w:t>(1.61–1.65)</w:t>
            </w:r>
          </w:p>
        </w:tc>
        <w:tc>
          <w:tcPr>
            <w:tcW w:w="993" w:type="dxa"/>
            <w:shd w:val="clear" w:color="auto" w:fill="auto"/>
            <w:vAlign w:val="center"/>
          </w:tcPr>
          <w:p w14:paraId="1201A678" w14:textId="228BDADE" w:rsidR="0027246E" w:rsidRPr="0001257D" w:rsidRDefault="0027246E" w:rsidP="0027246E">
            <w:pPr>
              <w:pStyle w:val="Tabletext"/>
              <w:rPr>
                <w:sz w:val="14"/>
                <w:szCs w:val="14"/>
              </w:rPr>
            </w:pPr>
            <w:r w:rsidRPr="0001257D">
              <w:rPr>
                <w:sz w:val="14"/>
                <w:szCs w:val="14"/>
              </w:rPr>
              <w:t>(1.27–1.33)</w:t>
            </w:r>
          </w:p>
        </w:tc>
        <w:tc>
          <w:tcPr>
            <w:tcW w:w="992" w:type="dxa"/>
            <w:gridSpan w:val="2"/>
            <w:shd w:val="clear" w:color="auto" w:fill="auto"/>
            <w:vAlign w:val="center"/>
          </w:tcPr>
          <w:p w14:paraId="645C1352" w14:textId="65828321" w:rsidR="0027246E" w:rsidRPr="0001257D" w:rsidRDefault="0027246E" w:rsidP="0027246E">
            <w:pPr>
              <w:pStyle w:val="Tabletext"/>
              <w:rPr>
                <w:sz w:val="14"/>
                <w:szCs w:val="14"/>
              </w:rPr>
            </w:pPr>
            <w:r w:rsidRPr="0001257D">
              <w:rPr>
                <w:sz w:val="14"/>
                <w:szCs w:val="14"/>
              </w:rPr>
              <w:t>(1.68–1.82)</w:t>
            </w:r>
          </w:p>
        </w:tc>
        <w:tc>
          <w:tcPr>
            <w:tcW w:w="965" w:type="dxa"/>
            <w:gridSpan w:val="2"/>
            <w:shd w:val="clear" w:color="auto" w:fill="auto"/>
            <w:vAlign w:val="center"/>
          </w:tcPr>
          <w:p w14:paraId="3B5E26CD" w14:textId="5AED86B7" w:rsidR="0027246E" w:rsidRPr="0001257D" w:rsidRDefault="0027246E" w:rsidP="0027246E">
            <w:pPr>
              <w:pStyle w:val="Tabletext"/>
              <w:rPr>
                <w:sz w:val="14"/>
                <w:szCs w:val="14"/>
              </w:rPr>
            </w:pPr>
            <w:r w:rsidRPr="0001257D">
              <w:rPr>
                <w:sz w:val="14"/>
                <w:szCs w:val="14"/>
              </w:rPr>
              <w:t>(1.66–1.71)</w:t>
            </w:r>
          </w:p>
        </w:tc>
        <w:tc>
          <w:tcPr>
            <w:tcW w:w="963" w:type="dxa"/>
            <w:gridSpan w:val="2"/>
            <w:shd w:val="clear" w:color="auto" w:fill="auto"/>
            <w:vAlign w:val="center"/>
          </w:tcPr>
          <w:p w14:paraId="26036389" w14:textId="655612BD" w:rsidR="0027246E" w:rsidRPr="0001257D" w:rsidRDefault="0027246E" w:rsidP="0027246E">
            <w:pPr>
              <w:pStyle w:val="Tabletext"/>
              <w:rPr>
                <w:sz w:val="14"/>
                <w:szCs w:val="14"/>
              </w:rPr>
            </w:pPr>
            <w:r w:rsidRPr="0001257D">
              <w:rPr>
                <w:sz w:val="14"/>
                <w:szCs w:val="14"/>
              </w:rPr>
              <w:t>(1.55–1.62)</w:t>
            </w:r>
          </w:p>
        </w:tc>
        <w:tc>
          <w:tcPr>
            <w:tcW w:w="963" w:type="dxa"/>
            <w:gridSpan w:val="2"/>
            <w:shd w:val="clear" w:color="auto" w:fill="auto"/>
            <w:vAlign w:val="center"/>
          </w:tcPr>
          <w:p w14:paraId="6B0E492C" w14:textId="3219CAF5" w:rsidR="0027246E" w:rsidRPr="0001257D" w:rsidRDefault="0027246E" w:rsidP="0027246E">
            <w:pPr>
              <w:pStyle w:val="Tabletext"/>
              <w:rPr>
                <w:sz w:val="14"/>
                <w:szCs w:val="14"/>
              </w:rPr>
            </w:pPr>
            <w:r w:rsidRPr="0001257D">
              <w:rPr>
                <w:sz w:val="14"/>
                <w:szCs w:val="14"/>
              </w:rPr>
              <w:t>(1.48–1.55)</w:t>
            </w:r>
          </w:p>
        </w:tc>
        <w:tc>
          <w:tcPr>
            <w:tcW w:w="1082" w:type="dxa"/>
            <w:gridSpan w:val="2"/>
            <w:vAlign w:val="center"/>
          </w:tcPr>
          <w:p w14:paraId="0B66EAB4" w14:textId="31398C47" w:rsidR="0027246E" w:rsidRPr="0001257D" w:rsidRDefault="0027246E" w:rsidP="0027246E">
            <w:pPr>
              <w:pStyle w:val="Tabletext"/>
              <w:rPr>
                <w:sz w:val="14"/>
                <w:szCs w:val="14"/>
              </w:rPr>
            </w:pPr>
            <w:r w:rsidRPr="0001257D">
              <w:rPr>
                <w:sz w:val="14"/>
                <w:szCs w:val="14"/>
              </w:rPr>
              <w:t>(1.58–1.62)</w:t>
            </w:r>
          </w:p>
        </w:tc>
        <w:tc>
          <w:tcPr>
            <w:tcW w:w="963" w:type="dxa"/>
            <w:gridSpan w:val="2"/>
            <w:vAlign w:val="center"/>
          </w:tcPr>
          <w:p w14:paraId="660DAAC7" w14:textId="57F11F23" w:rsidR="0027246E" w:rsidRPr="0001257D" w:rsidRDefault="0027246E" w:rsidP="0027246E">
            <w:pPr>
              <w:pStyle w:val="Tabletext"/>
              <w:rPr>
                <w:sz w:val="14"/>
                <w:szCs w:val="14"/>
              </w:rPr>
            </w:pPr>
            <w:r w:rsidRPr="0001257D">
              <w:rPr>
                <w:sz w:val="14"/>
                <w:szCs w:val="14"/>
              </w:rPr>
              <w:t>(1.52–1.60)</w:t>
            </w:r>
          </w:p>
        </w:tc>
        <w:tc>
          <w:tcPr>
            <w:tcW w:w="986" w:type="dxa"/>
            <w:gridSpan w:val="2"/>
            <w:vAlign w:val="center"/>
          </w:tcPr>
          <w:p w14:paraId="0CD967C0" w14:textId="55421B27" w:rsidR="0027246E" w:rsidRPr="0001257D" w:rsidRDefault="0027246E" w:rsidP="0027246E">
            <w:pPr>
              <w:pStyle w:val="Tabletext"/>
              <w:rPr>
                <w:sz w:val="14"/>
                <w:szCs w:val="14"/>
              </w:rPr>
            </w:pPr>
            <w:r w:rsidRPr="0001257D">
              <w:rPr>
                <w:sz w:val="14"/>
                <w:szCs w:val="14"/>
              </w:rPr>
              <w:t>(1.47–1.54)</w:t>
            </w:r>
          </w:p>
        </w:tc>
      </w:tr>
    </w:tbl>
    <w:bookmarkEnd w:id="437"/>
    <w:p w14:paraId="747D28EF" w14:textId="1FB0729F" w:rsidR="007718EF" w:rsidRPr="00B33F2D" w:rsidRDefault="007718EF" w:rsidP="00FA1AAC">
      <w:pPr>
        <w:pStyle w:val="Tablefigurenote"/>
        <w:rPr>
          <w:i/>
          <w:iCs/>
          <w:noProof/>
          <w:sz w:val="18"/>
          <w:szCs w:val="18"/>
        </w:rPr>
      </w:pPr>
      <w:r w:rsidRPr="00B33F2D">
        <w:rPr>
          <w:i/>
          <w:iCs/>
          <w:noProof/>
          <w:sz w:val="18"/>
          <w:szCs w:val="18"/>
        </w:rPr>
        <w:t>Source</w:t>
      </w:r>
      <w:r w:rsidR="00CF71AF" w:rsidRPr="00B33F2D">
        <w:rPr>
          <w:i/>
          <w:iCs/>
          <w:noProof/>
          <w:sz w:val="18"/>
          <w:szCs w:val="18"/>
        </w:rPr>
        <w:t>s</w:t>
      </w:r>
      <w:r w:rsidRPr="00B33F2D">
        <w:rPr>
          <w:i/>
          <w:iCs/>
          <w:noProof/>
          <w:sz w:val="18"/>
          <w:szCs w:val="18"/>
        </w:rPr>
        <w:t>: Victorian Population He</w:t>
      </w:r>
      <w:r w:rsidR="00303884" w:rsidRPr="00B33F2D">
        <w:rPr>
          <w:i/>
          <w:iCs/>
          <w:noProof/>
          <w:sz w:val="18"/>
          <w:szCs w:val="18"/>
        </w:rPr>
        <w:t>alt</w:t>
      </w:r>
      <w:r w:rsidR="00D82CAF" w:rsidRPr="00B33F2D">
        <w:rPr>
          <w:i/>
          <w:iCs/>
          <w:noProof/>
          <w:sz w:val="18"/>
          <w:szCs w:val="18"/>
        </w:rPr>
        <w:t xml:space="preserve">h </w:t>
      </w:r>
      <w:r w:rsidRPr="00B33F2D">
        <w:rPr>
          <w:i/>
          <w:iCs/>
          <w:noProof/>
          <w:sz w:val="18"/>
          <w:szCs w:val="18"/>
        </w:rPr>
        <w:t>Survey</w:t>
      </w:r>
      <w:r w:rsidR="00303884" w:rsidRPr="00B33F2D">
        <w:rPr>
          <w:i/>
          <w:iCs/>
          <w:noProof/>
          <w:sz w:val="18"/>
          <w:szCs w:val="18"/>
        </w:rPr>
        <w:t>s</w:t>
      </w:r>
      <w:r w:rsidRPr="00B33F2D">
        <w:rPr>
          <w:i/>
          <w:iCs/>
          <w:noProof/>
          <w:sz w:val="18"/>
          <w:szCs w:val="18"/>
        </w:rPr>
        <w:t xml:space="preserve"> 2011</w:t>
      </w:r>
      <w:r w:rsidR="001B50BF" w:rsidRPr="00B33F2D">
        <w:rPr>
          <w:i/>
          <w:iCs/>
          <w:noProof/>
          <w:sz w:val="18"/>
          <w:szCs w:val="18"/>
        </w:rPr>
        <w:t>–</w:t>
      </w:r>
      <w:r w:rsidRPr="00B33F2D">
        <w:rPr>
          <w:i/>
          <w:iCs/>
          <w:noProof/>
          <w:sz w:val="18"/>
          <w:szCs w:val="18"/>
        </w:rPr>
        <w:t>201</w:t>
      </w:r>
      <w:r w:rsidR="006F2D4C" w:rsidRPr="00B33F2D">
        <w:rPr>
          <w:i/>
          <w:iCs/>
          <w:noProof/>
          <w:sz w:val="18"/>
          <w:szCs w:val="18"/>
        </w:rPr>
        <w:t>9</w:t>
      </w:r>
      <w:r w:rsidR="00E732A3">
        <w:rPr>
          <w:i/>
          <w:iCs/>
          <w:noProof/>
          <w:sz w:val="18"/>
          <w:szCs w:val="18"/>
        </w:rPr>
        <w:t xml:space="preserve">. </w:t>
      </w:r>
      <w:r w:rsidR="00E732A3" w:rsidRPr="00B33F2D">
        <w:rPr>
          <w:i/>
          <w:iCs/>
          <w:sz w:val="18"/>
          <w:szCs w:val="18"/>
        </w:rPr>
        <w:t xml:space="preserve">There were changes to the 2020 Victorian Population Health Survey to allow for pandemic-relevant questions. As a result questions specific to </w:t>
      </w:r>
      <w:r w:rsidR="00E732A3">
        <w:rPr>
          <w:i/>
          <w:iCs/>
          <w:sz w:val="18"/>
          <w:szCs w:val="18"/>
        </w:rPr>
        <w:t>fruit consumption</w:t>
      </w:r>
      <w:r w:rsidR="00E732A3" w:rsidRPr="00B33F2D">
        <w:rPr>
          <w:i/>
          <w:iCs/>
          <w:sz w:val="18"/>
          <w:szCs w:val="18"/>
        </w:rPr>
        <w:t xml:space="preserve"> </w:t>
      </w:r>
      <w:r w:rsidR="00E732A3">
        <w:rPr>
          <w:i/>
          <w:iCs/>
          <w:sz w:val="18"/>
          <w:szCs w:val="18"/>
        </w:rPr>
        <w:t xml:space="preserve">in adults </w:t>
      </w:r>
      <w:r w:rsidR="00E732A3" w:rsidRPr="00B33F2D">
        <w:rPr>
          <w:i/>
          <w:iCs/>
          <w:sz w:val="18"/>
          <w:szCs w:val="18"/>
        </w:rPr>
        <w:t>were removed. The 2021 survey was cancelled due to the COVID-19 pandemic.</w:t>
      </w:r>
      <w:r w:rsidR="00E732A3">
        <w:rPr>
          <w:i/>
          <w:iCs/>
          <w:sz w:val="18"/>
          <w:szCs w:val="18"/>
        </w:rPr>
        <w:t xml:space="preserve"> </w:t>
      </w:r>
      <w:r w:rsidR="00E732A3">
        <w:rPr>
          <w:i/>
          <w:iCs/>
          <w:noProof/>
          <w:sz w:val="18"/>
          <w:szCs w:val="18"/>
        </w:rPr>
        <w:t>Data on fruit consumption specific to adults was not collected in the 2022 survey.</w:t>
      </w:r>
    </w:p>
    <w:p w14:paraId="7CBE16F8" w14:textId="31B3E352" w:rsidR="00447D13" w:rsidRPr="00B33F2D" w:rsidRDefault="006045EE" w:rsidP="00FA1AAC">
      <w:pPr>
        <w:pStyle w:val="Tablefigurenote"/>
        <w:rPr>
          <w:i/>
          <w:iCs/>
          <w:noProof/>
          <w:sz w:val="18"/>
          <w:szCs w:val="18"/>
        </w:rPr>
      </w:pPr>
      <w:r w:rsidRPr="00B33F2D">
        <w:rPr>
          <w:i/>
          <w:iCs/>
          <w:noProof/>
          <w:sz w:val="18"/>
          <w:szCs w:val="18"/>
        </w:rPr>
        <w:t>*</w:t>
      </w:r>
      <w:r w:rsidR="00447D13" w:rsidRPr="00B33F2D">
        <w:rPr>
          <w:i/>
          <w:iCs/>
          <w:noProof/>
          <w:sz w:val="18"/>
          <w:szCs w:val="18"/>
        </w:rPr>
        <w:t xml:space="preserve">Note that the </w:t>
      </w:r>
      <w:r w:rsidR="00447D13" w:rsidRPr="00B33F2D">
        <w:rPr>
          <w:rFonts w:cs="Arial"/>
          <w:i/>
          <w:iCs/>
          <w:sz w:val="18"/>
          <w:szCs w:val="18"/>
          <w:lang w:val="en"/>
        </w:rPr>
        <w:t>new Australian dietary guidelines introduced in 2013 altered some of the serving sizes and recommendations for fruit consumption based on age and sex.</w:t>
      </w:r>
    </w:p>
    <w:p w14:paraId="7C751F52" w14:textId="165275C8" w:rsidR="00745C68" w:rsidRPr="00987007" w:rsidRDefault="00745C68" w:rsidP="007C7F00">
      <w:pPr>
        <w:pStyle w:val="Heading4"/>
      </w:pPr>
      <w:r w:rsidRPr="00987007">
        <w:t>Measure assessment</w:t>
      </w:r>
    </w:p>
    <w:p w14:paraId="0DA57557" w14:textId="77777777" w:rsidR="00447D13" w:rsidRPr="00A76B95" w:rsidRDefault="00745C68" w:rsidP="00606436">
      <w:pPr>
        <w:pStyle w:val="Body"/>
      </w:pPr>
      <w:r w:rsidRPr="000F33B5">
        <w:t>Traffic light rating:</w:t>
      </w:r>
      <w:r w:rsidRPr="00B504AD">
        <w:rPr>
          <w:color w:val="AF272F"/>
        </w:rPr>
        <w:t xml:space="preserve"> </w:t>
      </w:r>
      <w:r w:rsidR="00447D13" w:rsidRPr="00B504AD">
        <w:rPr>
          <w:b/>
          <w:color w:val="AF272F"/>
        </w:rPr>
        <w:t xml:space="preserve">Red </w:t>
      </w:r>
      <w:r w:rsidR="00447D13" w:rsidRPr="00A76B95">
        <w:t>(result is of concern)</w:t>
      </w:r>
    </w:p>
    <w:p w14:paraId="1F934EA5" w14:textId="77777777" w:rsidR="00447D13" w:rsidRDefault="00447D13" w:rsidP="00606436">
      <w:pPr>
        <w:pStyle w:val="Body"/>
      </w:pPr>
      <w:r w:rsidRPr="0076537E">
        <w:t>Overall trend: Not moving in the right direction</w:t>
      </w:r>
    </w:p>
    <w:p w14:paraId="5C5E8948" w14:textId="6340EFF3" w:rsidR="00E44E92" w:rsidRPr="006078FE" w:rsidRDefault="00745C68" w:rsidP="00E87AAA">
      <w:pPr>
        <w:pStyle w:val="Body"/>
      </w:pPr>
      <w:r w:rsidRPr="00D82CAF">
        <w:t>Commentary:</w:t>
      </w:r>
      <w:r w:rsidR="00143762" w:rsidRPr="00D82CAF">
        <w:t xml:space="preserve"> </w:t>
      </w:r>
      <w:r w:rsidR="00E44E92">
        <w:t>Fruit is high in nutrients that potentially protect against chronic disease such as cancer.</w:t>
      </w:r>
      <w:r w:rsidR="00793D18">
        <w:t xml:space="preserve"> </w:t>
      </w:r>
      <w:r w:rsidR="00CF71AF">
        <w:t>F</w:t>
      </w:r>
      <w:r w:rsidR="00331DB8">
        <w:t xml:space="preserve">ruit </w:t>
      </w:r>
      <w:r w:rsidR="00CF71AF">
        <w:t xml:space="preserve">consumption </w:t>
      </w:r>
      <w:r w:rsidR="00793D18">
        <w:t>play</w:t>
      </w:r>
      <w:r w:rsidR="00331DB8">
        <w:t>s</w:t>
      </w:r>
      <w:r w:rsidR="00793D18">
        <w:t xml:space="preserve"> a key role in helping to maintain a healthy bodyweight. Unhealthy bodyweight (obesity) </w:t>
      </w:r>
      <w:r w:rsidR="0035684F">
        <w:t>is</w:t>
      </w:r>
      <w:r w:rsidR="00793D18">
        <w:t xml:space="preserve"> a risk factor for cancer of the bowel, kidney, pancreas,</w:t>
      </w:r>
      <w:r w:rsidR="00793D18" w:rsidRPr="00793D18">
        <w:rPr>
          <w:color w:val="000000"/>
        </w:rPr>
        <w:t xml:space="preserve"> </w:t>
      </w:r>
      <w:r w:rsidR="00793D18">
        <w:rPr>
          <w:color w:val="000000"/>
        </w:rPr>
        <w:t>oesophagus, endometrium and breast (in post-menopausal women)</w:t>
      </w:r>
      <w:r w:rsidR="00331DB8">
        <w:rPr>
          <w:color w:val="000000"/>
        </w:rPr>
        <w:t>.</w:t>
      </w:r>
      <w:r w:rsidR="00331DB8">
        <w:rPr>
          <w:rStyle w:val="FootnoteReference"/>
          <w:color w:val="000000"/>
        </w:rPr>
        <w:footnoteReference w:id="87"/>
      </w:r>
      <w:r w:rsidR="00041A04">
        <w:rPr>
          <w:color w:val="000000"/>
        </w:rPr>
        <w:t xml:space="preserve"> </w:t>
      </w:r>
      <w:r w:rsidR="000765DF">
        <w:rPr>
          <w:color w:val="000000"/>
        </w:rPr>
        <w:t xml:space="preserve">An Australian study suggests that </w:t>
      </w:r>
      <w:r w:rsidR="00CF71AF">
        <w:rPr>
          <w:color w:val="000000"/>
        </w:rPr>
        <w:t>2</w:t>
      </w:r>
      <w:r w:rsidR="0054537F">
        <w:rPr>
          <w:color w:val="000000" w:themeColor="text1"/>
        </w:rPr>
        <w:t>%</w:t>
      </w:r>
      <w:r w:rsidR="000765DF">
        <w:rPr>
          <w:color w:val="000000"/>
        </w:rPr>
        <w:t xml:space="preserve"> of cancers </w:t>
      </w:r>
      <w:r w:rsidR="00826CF1">
        <w:rPr>
          <w:color w:val="000000"/>
        </w:rPr>
        <w:t xml:space="preserve">are </w:t>
      </w:r>
      <w:r w:rsidR="000765DF">
        <w:rPr>
          <w:color w:val="000000"/>
        </w:rPr>
        <w:t xml:space="preserve">attributable to low </w:t>
      </w:r>
      <w:r w:rsidR="000765DF" w:rsidRPr="006078FE">
        <w:t>consumption of fruit and vegetables.</w:t>
      </w:r>
      <w:r w:rsidR="00CB765F" w:rsidRPr="006078FE">
        <w:rPr>
          <w:rStyle w:val="FootnoteReference"/>
        </w:rPr>
        <w:footnoteReference w:id="88"/>
      </w:r>
    </w:p>
    <w:p w14:paraId="2BF02111" w14:textId="1AC86059" w:rsidR="00B17619" w:rsidRPr="006078FE" w:rsidRDefault="00B17619" w:rsidP="00E87AAA">
      <w:pPr>
        <w:pStyle w:val="Body"/>
        <w:rPr>
          <w:lang w:val="en"/>
        </w:rPr>
      </w:pPr>
      <w:r w:rsidRPr="006078FE">
        <w:rPr>
          <w:lang w:val="en"/>
        </w:rPr>
        <w:t xml:space="preserve">Comparable international data </w:t>
      </w:r>
      <w:r w:rsidR="00826CF1">
        <w:rPr>
          <w:lang w:val="en"/>
        </w:rPr>
        <w:t>is</w:t>
      </w:r>
      <w:r w:rsidR="00826CF1" w:rsidRPr="006078FE">
        <w:rPr>
          <w:lang w:val="en"/>
        </w:rPr>
        <w:t xml:space="preserve"> </w:t>
      </w:r>
      <w:r w:rsidR="00C2125A" w:rsidRPr="006078FE">
        <w:rPr>
          <w:lang w:val="en"/>
        </w:rPr>
        <w:t>un</w:t>
      </w:r>
      <w:r w:rsidRPr="006078FE">
        <w:rPr>
          <w:lang w:val="en"/>
        </w:rPr>
        <w:t>available on</w:t>
      </w:r>
      <w:r w:rsidR="00B027FC" w:rsidRPr="006078FE">
        <w:rPr>
          <w:lang w:val="en"/>
        </w:rPr>
        <w:t xml:space="preserve"> the</w:t>
      </w:r>
      <w:r w:rsidRPr="006078FE">
        <w:rPr>
          <w:lang w:val="en"/>
        </w:rPr>
        <w:t xml:space="preserve"> level of daily fruit intake. However, </w:t>
      </w:r>
      <w:r w:rsidR="00826CF1">
        <w:rPr>
          <w:lang w:val="en"/>
        </w:rPr>
        <w:t>a 201</w:t>
      </w:r>
      <w:r w:rsidR="006F0BA8">
        <w:rPr>
          <w:lang w:val="en"/>
        </w:rPr>
        <w:t>7</w:t>
      </w:r>
      <w:r w:rsidR="00826CF1" w:rsidRPr="006078FE">
        <w:rPr>
          <w:lang w:val="en"/>
        </w:rPr>
        <w:t xml:space="preserve"> </w:t>
      </w:r>
      <w:r w:rsidRPr="006078FE">
        <w:rPr>
          <w:lang w:val="en"/>
        </w:rPr>
        <w:t>OECD report (</w:t>
      </w:r>
      <w:r w:rsidRPr="00CA2AD7">
        <w:t xml:space="preserve">Figure 7.1) shows that </w:t>
      </w:r>
      <w:r w:rsidRPr="006078FE">
        <w:rPr>
          <w:lang w:val="en"/>
        </w:rPr>
        <w:t xml:space="preserve">Australian males and females aged 15 years had the highest proportions reporting daily fruit consumption among the </w:t>
      </w:r>
      <w:r w:rsidR="00E47825">
        <w:rPr>
          <w:lang w:val="en"/>
        </w:rPr>
        <w:t>35</w:t>
      </w:r>
      <w:r w:rsidRPr="006078FE">
        <w:rPr>
          <w:lang w:val="en"/>
        </w:rPr>
        <w:t xml:space="preserve"> countries of the OECD</w:t>
      </w:r>
      <w:r w:rsidR="00CA2AD7">
        <w:rPr>
          <w:lang w:val="en"/>
        </w:rPr>
        <w:t>.</w:t>
      </w:r>
      <w:r w:rsidRPr="006078FE">
        <w:rPr>
          <w:rStyle w:val="FootnoteReference"/>
          <w:rFonts w:cs="Arial"/>
          <w:lang w:val="en"/>
        </w:rPr>
        <w:footnoteReference w:id="89"/>
      </w:r>
      <w:r w:rsidRPr="006078FE">
        <w:rPr>
          <w:lang w:val="en"/>
        </w:rPr>
        <w:t xml:space="preserve"> </w:t>
      </w:r>
      <w:bookmarkStart w:id="438" w:name="_Hlk136865561"/>
      <w:r w:rsidR="00EF47D4" w:rsidRPr="006078FE">
        <w:rPr>
          <w:lang w:val="en"/>
        </w:rPr>
        <w:t>C</w:t>
      </w:r>
      <w:r w:rsidRPr="006078FE">
        <w:rPr>
          <w:lang w:val="en"/>
        </w:rPr>
        <w:t xml:space="preserve">aution is </w:t>
      </w:r>
      <w:r w:rsidRPr="006078FE">
        <w:rPr>
          <w:lang w:val="en"/>
        </w:rPr>
        <w:lastRenderedPageBreak/>
        <w:t>advised when interpreting these findings due to differences in survey methodologies and variation in population ages reported</w:t>
      </w:r>
      <w:r w:rsidR="006806AE">
        <w:rPr>
          <w:lang w:val="en"/>
        </w:rPr>
        <w:t xml:space="preserve"> as well as the potential impact of the COVID pandemic on this measure</w:t>
      </w:r>
      <w:bookmarkEnd w:id="438"/>
      <w:r w:rsidRPr="006078FE">
        <w:rPr>
          <w:lang w:val="en"/>
        </w:rPr>
        <w:t>.</w:t>
      </w:r>
      <w:r w:rsidR="00952FC7" w:rsidRPr="006078FE">
        <w:rPr>
          <w:lang w:val="en"/>
        </w:rPr>
        <w:t xml:space="preserve"> </w:t>
      </w:r>
    </w:p>
    <w:p w14:paraId="352FE924" w14:textId="665C2EBA" w:rsidR="00447D13" w:rsidRDefault="00315CF6" w:rsidP="00E87AAA">
      <w:pPr>
        <w:pStyle w:val="Body"/>
        <w:rPr>
          <w:lang w:val="en" w:eastAsia="en-AU"/>
        </w:rPr>
      </w:pPr>
      <w:r w:rsidRPr="00447D13">
        <w:t xml:space="preserve">Consuming at least </w:t>
      </w:r>
      <w:r w:rsidR="00F05352" w:rsidRPr="00447D13">
        <w:t>two</w:t>
      </w:r>
      <w:r w:rsidRPr="00447D13">
        <w:t xml:space="preserve"> serves of fruit per day is recommended for all </w:t>
      </w:r>
      <w:r w:rsidR="000765DF" w:rsidRPr="00447D13">
        <w:t xml:space="preserve">Australian </w:t>
      </w:r>
      <w:r w:rsidRPr="00447D13">
        <w:t>adults</w:t>
      </w:r>
      <w:r w:rsidR="00B0545A" w:rsidRPr="00447D13">
        <w:rPr>
          <w:rStyle w:val="FootnoteReference"/>
          <w:rFonts w:cs="Arial"/>
        </w:rPr>
        <w:footnoteReference w:id="90"/>
      </w:r>
      <w:r w:rsidR="00570C07" w:rsidRPr="00447D13">
        <w:t xml:space="preserve"> </w:t>
      </w:r>
      <w:r w:rsidR="00796CF2" w:rsidRPr="00447D13">
        <w:t>and form</w:t>
      </w:r>
      <w:r w:rsidR="00826CF1" w:rsidRPr="00447D13">
        <w:t>s</w:t>
      </w:r>
      <w:r w:rsidR="00796CF2" w:rsidRPr="00447D13">
        <w:t xml:space="preserve"> the basis for this measure. </w:t>
      </w:r>
      <w:r w:rsidR="00570C07" w:rsidRPr="00447D13">
        <w:rPr>
          <w:lang w:val="en"/>
        </w:rPr>
        <w:t>In 2014</w:t>
      </w:r>
      <w:r w:rsidR="00CA2AD7" w:rsidRPr="00447D13">
        <w:rPr>
          <w:lang w:val="en"/>
        </w:rPr>
        <w:t>–</w:t>
      </w:r>
      <w:r w:rsidR="00570C07" w:rsidRPr="00447D13">
        <w:rPr>
          <w:lang w:val="en"/>
        </w:rPr>
        <w:t>15 almost half (49.8</w:t>
      </w:r>
      <w:r w:rsidR="0054537F">
        <w:rPr>
          <w:lang w:val="en"/>
        </w:rPr>
        <w:t>%</w:t>
      </w:r>
      <w:r w:rsidR="00570C07" w:rsidRPr="00447D13">
        <w:rPr>
          <w:lang w:val="en"/>
        </w:rPr>
        <w:t xml:space="preserve">) or 8.8 million Australians aged 18 years </w:t>
      </w:r>
      <w:r w:rsidR="001B50BF" w:rsidRPr="00447D13">
        <w:rPr>
          <w:lang w:val="en"/>
        </w:rPr>
        <w:t>or older</w:t>
      </w:r>
      <w:r w:rsidR="00570C07" w:rsidRPr="00447D13">
        <w:rPr>
          <w:lang w:val="en"/>
        </w:rPr>
        <w:t xml:space="preserve"> reported consum</w:t>
      </w:r>
      <w:r w:rsidR="00CF71AF">
        <w:rPr>
          <w:lang w:val="en"/>
        </w:rPr>
        <w:t>ing</w:t>
      </w:r>
      <w:r w:rsidR="00570C07" w:rsidRPr="00447D13">
        <w:rPr>
          <w:lang w:val="en"/>
        </w:rPr>
        <w:t xml:space="preserve"> two or more serves of fruit per day (the recommended daily intake)</w:t>
      </w:r>
      <w:r w:rsidR="00D82CAF" w:rsidRPr="00447D13">
        <w:rPr>
          <w:lang w:val="en"/>
        </w:rPr>
        <w:t>.</w:t>
      </w:r>
      <w:r w:rsidR="00952FC7" w:rsidRPr="00447D13">
        <w:rPr>
          <w:lang w:val="en"/>
        </w:rPr>
        <w:t xml:space="preserve"> </w:t>
      </w:r>
      <w:r w:rsidR="001F3DBA" w:rsidRPr="00447D13">
        <w:rPr>
          <w:lang w:val="en" w:eastAsia="en-AU"/>
        </w:rPr>
        <w:t>The proportion of females meeting the national guideline (55.4</w:t>
      </w:r>
      <w:r w:rsidR="0054537F">
        <w:rPr>
          <w:lang w:val="en" w:eastAsia="en-AU"/>
        </w:rPr>
        <w:t>%</w:t>
      </w:r>
      <w:r w:rsidR="001F3DBA" w:rsidRPr="00447D13">
        <w:rPr>
          <w:lang w:val="en" w:eastAsia="en-AU"/>
        </w:rPr>
        <w:t>) was higher than the proportion for males (44</w:t>
      </w:r>
      <w:r w:rsidR="0054537F">
        <w:rPr>
          <w:lang w:val="en" w:eastAsia="en-AU"/>
        </w:rPr>
        <w:t>%</w:t>
      </w:r>
      <w:r w:rsidR="001F3DBA" w:rsidRPr="00447D13">
        <w:rPr>
          <w:lang w:val="en" w:eastAsia="en-AU"/>
        </w:rPr>
        <w:t>).</w:t>
      </w:r>
      <w:r w:rsidR="001F3DBA" w:rsidRPr="00447D13">
        <w:rPr>
          <w:rStyle w:val="FootnoteReference"/>
          <w:rFonts w:cs="Arial"/>
        </w:rPr>
        <w:footnoteReference w:id="91"/>
      </w:r>
      <w:r w:rsidR="00447D13" w:rsidRPr="00447D13">
        <w:rPr>
          <w:lang w:val="en" w:eastAsia="en-AU"/>
        </w:rPr>
        <w:t xml:space="preserve"> I</w:t>
      </w:r>
      <w:r w:rsidR="00447D13" w:rsidRPr="00447D13">
        <w:rPr>
          <w:shd w:val="clear" w:color="auto" w:fill="FFFFFF"/>
        </w:rPr>
        <w:t>n 2017</w:t>
      </w:r>
      <w:r w:rsidR="000320F5">
        <w:rPr>
          <w:shd w:val="clear" w:color="auto" w:fill="FFFFFF"/>
        </w:rPr>
        <w:t>–</w:t>
      </w:r>
      <w:r w:rsidR="00447D13" w:rsidRPr="00447D13">
        <w:rPr>
          <w:shd w:val="clear" w:color="auto" w:fill="FFFFFF"/>
        </w:rPr>
        <w:t>18 just over half (51.3</w:t>
      </w:r>
      <w:r w:rsidR="0054537F">
        <w:t>%</w:t>
      </w:r>
      <w:r w:rsidR="00447D13" w:rsidRPr="00447D13">
        <w:rPr>
          <w:shd w:val="clear" w:color="auto" w:fill="FFFFFF"/>
        </w:rPr>
        <w:t xml:space="preserve">) of Australians aged 18 years </w:t>
      </w:r>
      <w:r w:rsidR="00CF71AF">
        <w:rPr>
          <w:shd w:val="clear" w:color="auto" w:fill="FFFFFF"/>
        </w:rPr>
        <w:t>or older</w:t>
      </w:r>
      <w:r w:rsidR="00447D13" w:rsidRPr="00447D13">
        <w:rPr>
          <w:shd w:val="clear" w:color="auto" w:fill="FFFFFF"/>
        </w:rPr>
        <w:t xml:space="preserve"> met the guidelines for the recommended daily serves of fruit (</w:t>
      </w:r>
      <w:r w:rsidR="000320F5">
        <w:rPr>
          <w:shd w:val="clear" w:color="auto" w:fill="FFFFFF"/>
        </w:rPr>
        <w:t>two</w:t>
      </w:r>
      <w:r w:rsidR="00447D13" w:rsidRPr="00447D13">
        <w:rPr>
          <w:shd w:val="clear" w:color="auto" w:fill="FFFFFF"/>
        </w:rPr>
        <w:t xml:space="preserve"> or more serves).</w:t>
      </w:r>
      <w:r w:rsidR="00447D13">
        <w:rPr>
          <w:rStyle w:val="FootnoteReference"/>
          <w:rFonts w:cs="Arial"/>
          <w:shd w:val="clear" w:color="auto" w:fill="FFFFFF"/>
        </w:rPr>
        <w:footnoteReference w:id="92"/>
      </w:r>
    </w:p>
    <w:p w14:paraId="0AA39556" w14:textId="398FD20C" w:rsidR="001F3DBA" w:rsidRPr="004038FB" w:rsidRDefault="006045EE" w:rsidP="00E87AAA">
      <w:pPr>
        <w:pStyle w:val="Body"/>
        <w:rPr>
          <w:lang w:val="en"/>
        </w:rPr>
      </w:pPr>
      <w:r w:rsidRPr="004038FB">
        <w:rPr>
          <w:lang w:val="en"/>
        </w:rPr>
        <w:t>Overall,</w:t>
      </w:r>
      <w:r w:rsidR="001F3DBA" w:rsidRPr="004038FB">
        <w:rPr>
          <w:lang w:val="en"/>
        </w:rPr>
        <w:t xml:space="preserve"> the average daily fruit intake </w:t>
      </w:r>
      <w:r w:rsidR="00435354" w:rsidRPr="004038FB">
        <w:rPr>
          <w:lang w:val="en"/>
        </w:rPr>
        <w:t>among adult Australian</w:t>
      </w:r>
      <w:r w:rsidR="001D6235">
        <w:rPr>
          <w:lang w:val="en"/>
        </w:rPr>
        <w:t>s</w:t>
      </w:r>
      <w:r w:rsidR="00435354" w:rsidRPr="004038FB">
        <w:rPr>
          <w:lang w:val="en"/>
        </w:rPr>
        <w:t xml:space="preserve"> aged 18 years </w:t>
      </w:r>
      <w:r w:rsidR="001B50BF">
        <w:rPr>
          <w:lang w:val="en"/>
        </w:rPr>
        <w:t>or older</w:t>
      </w:r>
      <w:r w:rsidR="00435354" w:rsidRPr="004038FB">
        <w:rPr>
          <w:lang w:val="en"/>
        </w:rPr>
        <w:t xml:space="preserve"> was 1.7 serves</w:t>
      </w:r>
      <w:r w:rsidR="00447D13">
        <w:rPr>
          <w:lang w:val="en"/>
        </w:rPr>
        <w:t xml:space="preserve"> for both 2014 and 2017</w:t>
      </w:r>
      <w:r w:rsidR="00826CF1">
        <w:rPr>
          <w:lang w:val="en"/>
        </w:rPr>
        <w:t>, which is</w:t>
      </w:r>
      <w:r w:rsidR="00435354" w:rsidRPr="004038FB">
        <w:rPr>
          <w:lang w:val="en"/>
        </w:rPr>
        <w:t xml:space="preserve"> slightly higher among females compared </w:t>
      </w:r>
      <w:r w:rsidR="001B50BF">
        <w:rPr>
          <w:lang w:val="en"/>
        </w:rPr>
        <w:t>with</w:t>
      </w:r>
      <w:r w:rsidR="001B50BF" w:rsidRPr="004038FB">
        <w:rPr>
          <w:lang w:val="en"/>
        </w:rPr>
        <w:t xml:space="preserve"> </w:t>
      </w:r>
      <w:r w:rsidR="00435354" w:rsidRPr="004038FB">
        <w:rPr>
          <w:lang w:val="en"/>
        </w:rPr>
        <w:t>males.</w:t>
      </w:r>
      <w:r w:rsidR="00952FC7">
        <w:rPr>
          <w:lang w:val="en"/>
        </w:rPr>
        <w:t xml:space="preserve"> </w:t>
      </w:r>
      <w:r w:rsidR="00435354" w:rsidRPr="004038FB">
        <w:rPr>
          <w:lang w:val="en"/>
        </w:rPr>
        <w:t>Figure 7.1.1 show</w:t>
      </w:r>
      <w:r w:rsidR="00826CF1">
        <w:rPr>
          <w:lang w:val="en"/>
        </w:rPr>
        <w:t>s</w:t>
      </w:r>
      <w:r w:rsidR="00435354" w:rsidRPr="004038FB">
        <w:rPr>
          <w:lang w:val="en"/>
        </w:rPr>
        <w:t xml:space="preserve"> that the average daily fruit intake was similar for the age groups 18</w:t>
      </w:r>
      <w:r w:rsidR="00CA2AD7">
        <w:rPr>
          <w:lang w:val="en"/>
        </w:rPr>
        <w:t>–</w:t>
      </w:r>
      <w:r w:rsidR="00435354" w:rsidRPr="004038FB">
        <w:rPr>
          <w:lang w:val="en"/>
        </w:rPr>
        <w:t>24, 25</w:t>
      </w:r>
      <w:r w:rsidR="00CA2AD7">
        <w:rPr>
          <w:lang w:val="en"/>
        </w:rPr>
        <w:t>–</w:t>
      </w:r>
      <w:r w:rsidR="00435354" w:rsidRPr="004038FB">
        <w:rPr>
          <w:lang w:val="en"/>
        </w:rPr>
        <w:t>34, 35</w:t>
      </w:r>
      <w:r w:rsidR="00CA2AD7">
        <w:rPr>
          <w:lang w:val="en"/>
        </w:rPr>
        <w:t>–</w:t>
      </w:r>
      <w:r w:rsidR="00435354" w:rsidRPr="004038FB">
        <w:rPr>
          <w:lang w:val="en"/>
        </w:rPr>
        <w:t>44 and 45</w:t>
      </w:r>
      <w:r w:rsidR="00CA2AD7">
        <w:rPr>
          <w:lang w:val="en"/>
        </w:rPr>
        <w:t>–</w:t>
      </w:r>
      <w:r w:rsidR="00435354" w:rsidRPr="004038FB">
        <w:rPr>
          <w:lang w:val="en"/>
        </w:rPr>
        <w:t>54 years but increased for the age group</w:t>
      </w:r>
      <w:r w:rsidR="00826CF1">
        <w:rPr>
          <w:lang w:val="en"/>
        </w:rPr>
        <w:t>s</w:t>
      </w:r>
      <w:r w:rsidR="00435354" w:rsidRPr="004038FB">
        <w:rPr>
          <w:lang w:val="en"/>
        </w:rPr>
        <w:t xml:space="preserve"> 55</w:t>
      </w:r>
      <w:r w:rsidR="00CA2AD7">
        <w:rPr>
          <w:lang w:val="en"/>
        </w:rPr>
        <w:t>–</w:t>
      </w:r>
      <w:r w:rsidR="00435354" w:rsidRPr="004038FB">
        <w:rPr>
          <w:lang w:val="en"/>
        </w:rPr>
        <w:t>64 and 65</w:t>
      </w:r>
      <w:r w:rsidR="00CA2AD7">
        <w:rPr>
          <w:lang w:val="en"/>
        </w:rPr>
        <w:t>–</w:t>
      </w:r>
      <w:r w:rsidR="00435354" w:rsidRPr="004038FB">
        <w:rPr>
          <w:lang w:val="en"/>
        </w:rPr>
        <w:t>74 years</w:t>
      </w:r>
      <w:r w:rsidR="00826CF1">
        <w:rPr>
          <w:lang w:val="en"/>
        </w:rPr>
        <w:t>,</w:t>
      </w:r>
      <w:r w:rsidR="008A15B3" w:rsidRPr="004038FB">
        <w:rPr>
          <w:lang w:val="en"/>
        </w:rPr>
        <w:t xml:space="preserve"> especially in females.</w:t>
      </w:r>
    </w:p>
    <w:p w14:paraId="1257D01D" w14:textId="1C47A92E" w:rsidR="005346D6" w:rsidRPr="00A451D4" w:rsidRDefault="007E6187" w:rsidP="006D0DC0">
      <w:pPr>
        <w:pStyle w:val="Body"/>
        <w:rPr>
          <w:sz w:val="20"/>
          <w:lang w:eastAsia="en-AU"/>
        </w:rPr>
      </w:pPr>
      <w:r w:rsidRPr="004038FB">
        <w:rPr>
          <w:lang w:val="en"/>
        </w:rPr>
        <w:t>In Victoria t</w:t>
      </w:r>
      <w:r w:rsidR="00D82CAF" w:rsidRPr="004038FB">
        <w:rPr>
          <w:lang w:val="en"/>
        </w:rPr>
        <w:t xml:space="preserve">he significant increase between 2012 and 2013 </w:t>
      </w:r>
      <w:r w:rsidR="00075064" w:rsidRPr="004038FB">
        <w:rPr>
          <w:lang w:val="en"/>
        </w:rPr>
        <w:t>is most likely in response to new Australian dietary guidelines introduced in 2013 that altered some of the serving sizes and recommendations for fruit consumption based on age and sex</w:t>
      </w:r>
      <w:r w:rsidR="00963F8E" w:rsidRPr="004038FB">
        <w:rPr>
          <w:lang w:val="en"/>
        </w:rPr>
        <w:t xml:space="preserve"> (Figure 7.</w:t>
      </w:r>
      <w:r w:rsidR="00CE03E4" w:rsidRPr="004038FB">
        <w:rPr>
          <w:lang w:val="en"/>
        </w:rPr>
        <w:t>1.1</w:t>
      </w:r>
      <w:r w:rsidR="00963F8E" w:rsidRPr="004038FB">
        <w:rPr>
          <w:lang w:val="en"/>
        </w:rPr>
        <w:t>)</w:t>
      </w:r>
      <w:r w:rsidR="00075064" w:rsidRPr="004038FB">
        <w:rPr>
          <w:lang w:val="en"/>
        </w:rPr>
        <w:t>.</w:t>
      </w:r>
      <w:r w:rsidR="00952FC7">
        <w:rPr>
          <w:lang w:val="en"/>
        </w:rPr>
        <w:t xml:space="preserve"> </w:t>
      </w:r>
      <w:r w:rsidR="00447D13">
        <w:rPr>
          <w:lang w:val="en"/>
        </w:rPr>
        <w:t>Nevertheless, w</w:t>
      </w:r>
      <w:r w:rsidR="00473022" w:rsidRPr="004038FB">
        <w:rPr>
          <w:lang w:val="en"/>
        </w:rPr>
        <w:t>hile no target has been set for this measure</w:t>
      </w:r>
      <w:r w:rsidR="00536873" w:rsidRPr="004038FB">
        <w:rPr>
          <w:lang w:val="en"/>
        </w:rPr>
        <w:t>,</w:t>
      </w:r>
      <w:r w:rsidR="00473022" w:rsidRPr="004038FB">
        <w:rPr>
          <w:lang w:val="en"/>
        </w:rPr>
        <w:t xml:space="preserve"> Figure 7.</w:t>
      </w:r>
      <w:r w:rsidR="00CE03E4" w:rsidRPr="004038FB">
        <w:rPr>
          <w:lang w:val="en"/>
        </w:rPr>
        <w:t>1.</w:t>
      </w:r>
      <w:r w:rsidR="008A15B3" w:rsidRPr="004038FB">
        <w:rPr>
          <w:lang w:val="en"/>
        </w:rPr>
        <w:t>2</w:t>
      </w:r>
      <w:r w:rsidR="00EA38E3" w:rsidRPr="004038FB">
        <w:rPr>
          <w:lang w:val="en"/>
        </w:rPr>
        <w:t xml:space="preserve"> and Table 7.1 </w:t>
      </w:r>
      <w:r w:rsidR="00E57F0C" w:rsidRPr="004038FB">
        <w:rPr>
          <w:lang w:val="en"/>
        </w:rPr>
        <w:t>show</w:t>
      </w:r>
      <w:r w:rsidR="00473022" w:rsidRPr="004038FB">
        <w:rPr>
          <w:lang w:val="en"/>
        </w:rPr>
        <w:t xml:space="preserve"> that </w:t>
      </w:r>
      <w:r w:rsidR="00447D13">
        <w:rPr>
          <w:lang w:val="en"/>
        </w:rPr>
        <w:t xml:space="preserve">even after 2013 </w:t>
      </w:r>
      <w:r w:rsidR="00E57F0C" w:rsidRPr="004038FB">
        <w:rPr>
          <w:lang w:val="en"/>
        </w:rPr>
        <w:t xml:space="preserve">the </w:t>
      </w:r>
      <w:r w:rsidR="00473022" w:rsidRPr="004038FB">
        <w:rPr>
          <w:lang w:val="en"/>
        </w:rPr>
        <w:t xml:space="preserve">daily fruit consumption for all Victorian adults </w:t>
      </w:r>
      <w:r w:rsidR="00850865">
        <w:rPr>
          <w:lang w:val="en"/>
        </w:rPr>
        <w:t>continues to</w:t>
      </w:r>
      <w:r w:rsidR="00473022" w:rsidRPr="004038FB">
        <w:rPr>
          <w:lang w:val="en"/>
        </w:rPr>
        <w:t xml:space="preserve"> not mee</w:t>
      </w:r>
      <w:r w:rsidR="00447D13">
        <w:rPr>
          <w:lang w:val="en"/>
        </w:rPr>
        <w:t>t</w:t>
      </w:r>
      <w:r w:rsidR="00473022" w:rsidRPr="004038FB">
        <w:rPr>
          <w:lang w:val="en"/>
        </w:rPr>
        <w:t xml:space="preserve"> the recommended national guideline.</w:t>
      </w:r>
      <w:r w:rsidR="005346D6" w:rsidRPr="00A451D4">
        <w:br w:type="page"/>
      </w:r>
    </w:p>
    <w:p w14:paraId="589FE3E8" w14:textId="153E4E8A" w:rsidR="00784A70" w:rsidRPr="003E6A0B" w:rsidRDefault="00784A70" w:rsidP="00A451D4">
      <w:pPr>
        <w:pStyle w:val="Heading3"/>
        <w:rPr>
          <w:b/>
          <w:bCs w:val="0"/>
        </w:rPr>
      </w:pPr>
      <w:bookmarkStart w:id="439" w:name="_Measure_7.2_–"/>
      <w:bookmarkEnd w:id="439"/>
      <w:r w:rsidRPr="003E6A0B">
        <w:rPr>
          <w:b/>
          <w:bCs w:val="0"/>
        </w:rPr>
        <w:lastRenderedPageBreak/>
        <w:t xml:space="preserve">Measure 7.2 – </w:t>
      </w:r>
      <w:r w:rsidR="00BE61B2" w:rsidRPr="003E6A0B">
        <w:rPr>
          <w:b/>
          <w:bCs w:val="0"/>
        </w:rPr>
        <w:t xml:space="preserve">Proportion of </w:t>
      </w:r>
      <w:r w:rsidRPr="003E6A0B">
        <w:rPr>
          <w:b/>
          <w:bCs w:val="0"/>
        </w:rPr>
        <w:t>adolescents 10</w:t>
      </w:r>
      <w:r w:rsidR="00690CD3" w:rsidRPr="003E6A0B">
        <w:rPr>
          <w:b/>
          <w:bCs w:val="0"/>
        </w:rPr>
        <w:t>–1</w:t>
      </w:r>
      <w:r w:rsidRPr="003E6A0B">
        <w:rPr>
          <w:b/>
          <w:bCs w:val="0"/>
        </w:rPr>
        <w:t>7 years</w:t>
      </w:r>
      <w:r w:rsidR="00BE61B2" w:rsidRPr="003E6A0B">
        <w:rPr>
          <w:b/>
          <w:bCs w:val="0"/>
        </w:rPr>
        <w:t xml:space="preserve"> who eat the daily recommended serves of fruit</w:t>
      </w:r>
    </w:p>
    <w:p w14:paraId="56585533" w14:textId="74D600CF" w:rsidR="0065118F" w:rsidRDefault="004D3A85" w:rsidP="0091523F">
      <w:pPr>
        <w:pStyle w:val="Figurecaption"/>
        <w:rPr>
          <w:noProof/>
          <w:sz w:val="20"/>
        </w:rPr>
      </w:pPr>
      <w:bookmarkStart w:id="440" w:name="_Toc19008066"/>
      <w:bookmarkStart w:id="441" w:name="_Toc19008303"/>
      <w:bookmarkStart w:id="442" w:name="_Toc19008450"/>
      <w:bookmarkStart w:id="443" w:name="_Toc19008597"/>
      <w:bookmarkStart w:id="444" w:name="_Toc132553029"/>
      <w:bookmarkStart w:id="445" w:name="_Toc140827638"/>
      <w:r w:rsidRPr="00B33F2D">
        <w:rPr>
          <w:sz w:val="20"/>
        </w:rPr>
        <w:t>Figure 7.2</w:t>
      </w:r>
      <w:r w:rsidR="003B391F" w:rsidRPr="00B33F2D">
        <w:rPr>
          <w:sz w:val="20"/>
        </w:rPr>
        <w:t>:</w:t>
      </w:r>
      <w:r w:rsidRPr="00B33F2D">
        <w:rPr>
          <w:sz w:val="20"/>
        </w:rPr>
        <w:t xml:space="preserve"> Proportion of </w:t>
      </w:r>
      <w:r w:rsidRPr="00B33F2D">
        <w:rPr>
          <w:noProof/>
          <w:sz w:val="20"/>
        </w:rPr>
        <w:t xml:space="preserve">Victorian adolescents </w:t>
      </w:r>
      <w:r w:rsidR="00826CF1" w:rsidRPr="00B33F2D">
        <w:rPr>
          <w:noProof/>
          <w:sz w:val="20"/>
        </w:rPr>
        <w:t xml:space="preserve">aged </w:t>
      </w:r>
      <w:r w:rsidRPr="00B33F2D">
        <w:rPr>
          <w:noProof/>
          <w:sz w:val="20"/>
        </w:rPr>
        <w:t>10</w:t>
      </w:r>
      <w:r w:rsidR="00CA2AD7" w:rsidRPr="00B33F2D">
        <w:rPr>
          <w:noProof/>
          <w:sz w:val="20"/>
        </w:rPr>
        <w:t>–</w:t>
      </w:r>
      <w:r w:rsidRPr="00B33F2D">
        <w:rPr>
          <w:noProof/>
          <w:sz w:val="20"/>
        </w:rPr>
        <w:t>17 years (boys and girls) who eat the daily recommended serves of fruit</w:t>
      </w:r>
      <w:r w:rsidR="00826CF1" w:rsidRPr="00B33F2D">
        <w:rPr>
          <w:noProof/>
          <w:sz w:val="20"/>
        </w:rPr>
        <w:t>,</w:t>
      </w:r>
      <w:r w:rsidRPr="00B33F2D">
        <w:rPr>
          <w:noProof/>
          <w:sz w:val="20"/>
        </w:rPr>
        <w:t xml:space="preserve"> by year, 2014</w:t>
      </w:r>
      <w:r w:rsidR="00231F28" w:rsidRPr="00B33F2D">
        <w:rPr>
          <w:noProof/>
          <w:sz w:val="20"/>
        </w:rPr>
        <w:t>,</w:t>
      </w:r>
      <w:r w:rsidRPr="00B33F2D">
        <w:rPr>
          <w:noProof/>
          <w:sz w:val="20"/>
        </w:rPr>
        <w:t xml:space="preserve"> 2016</w:t>
      </w:r>
      <w:bookmarkEnd w:id="440"/>
      <w:bookmarkEnd w:id="441"/>
      <w:bookmarkEnd w:id="442"/>
      <w:bookmarkEnd w:id="443"/>
      <w:r w:rsidR="00231F28" w:rsidRPr="00B33F2D">
        <w:rPr>
          <w:noProof/>
          <w:sz w:val="20"/>
        </w:rPr>
        <w:t xml:space="preserve"> and 2018</w:t>
      </w:r>
      <w:bookmarkEnd w:id="444"/>
      <w:bookmarkEnd w:id="445"/>
    </w:p>
    <w:p w14:paraId="50E9F943" w14:textId="6276BA77" w:rsidR="002635C2" w:rsidRPr="002635C2" w:rsidRDefault="002635C2" w:rsidP="002635C2">
      <w:pPr>
        <w:pStyle w:val="DHHSbody"/>
      </w:pPr>
      <w:r w:rsidRPr="002635C2">
        <w:rPr>
          <w:noProof/>
        </w:rPr>
        <w:drawing>
          <wp:inline distT="0" distB="0" distL="0" distR="0" wp14:anchorId="7FDC53F3" wp14:editId="610AE55E">
            <wp:extent cx="5981700" cy="3762534"/>
            <wp:effectExtent l="0" t="0" r="0" b="9525"/>
            <wp:docPr id="1110205007" name="Picture 1110205007" descr="This figure presents data under the ‘Measure 7.2 - Proportion of adolescents 10-17 years who eat the daily recommended serves of fruit'. The data for this figure is available in this section - refer to Tabl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07" name="Picture 1110205007" descr="This figure presents data under the ‘Measure 7.2 - Proportion of adolescents 10-17 years who eat the daily recommended serves of fruit'. The data for this figure is available in this section - refer to Table 7.2."/>
                    <pic:cNvPicPr/>
                  </pic:nvPicPr>
                  <pic:blipFill>
                    <a:blip r:embed="rId82"/>
                    <a:stretch>
                      <a:fillRect/>
                    </a:stretch>
                  </pic:blipFill>
                  <pic:spPr>
                    <a:xfrm>
                      <a:off x="0" y="0"/>
                      <a:ext cx="5990459" cy="3768043"/>
                    </a:xfrm>
                    <a:prstGeom prst="rect">
                      <a:avLst/>
                    </a:prstGeom>
                  </pic:spPr>
                </pic:pic>
              </a:graphicData>
            </a:graphic>
          </wp:inline>
        </w:drawing>
      </w:r>
    </w:p>
    <w:p w14:paraId="2299EAF8" w14:textId="5F748129" w:rsidR="00AF1578" w:rsidRPr="00AF1578" w:rsidRDefault="00AF1578" w:rsidP="00E87AAA">
      <w:pPr>
        <w:pStyle w:val="Body"/>
      </w:pPr>
    </w:p>
    <w:p w14:paraId="7BE06CE2" w14:textId="6A5052E2" w:rsidR="009C0AFB" w:rsidRPr="00B33F2D" w:rsidRDefault="009C0AFB" w:rsidP="005C595C">
      <w:pPr>
        <w:pStyle w:val="Tablecaption"/>
        <w:rPr>
          <w:sz w:val="20"/>
          <w:lang w:eastAsia="en-AU"/>
        </w:rPr>
      </w:pPr>
      <w:bookmarkStart w:id="446" w:name="_Toc18908731"/>
      <w:bookmarkStart w:id="447" w:name="_Toc132491529"/>
      <w:bookmarkStart w:id="448" w:name="_Toc140834921"/>
      <w:r w:rsidRPr="00B33F2D">
        <w:rPr>
          <w:sz w:val="20"/>
          <w:lang w:eastAsia="en-AU"/>
        </w:rPr>
        <w:t>Table 7.2</w:t>
      </w:r>
      <w:r w:rsidR="001F7E28" w:rsidRPr="00B33F2D">
        <w:rPr>
          <w:sz w:val="20"/>
        </w:rPr>
        <w:t>:</w:t>
      </w:r>
      <w:r w:rsidRPr="00B33F2D">
        <w:rPr>
          <w:sz w:val="20"/>
          <w:lang w:eastAsia="en-AU"/>
        </w:rPr>
        <w:t xml:space="preserve"> </w:t>
      </w:r>
      <w:r w:rsidRPr="00B33F2D">
        <w:rPr>
          <w:sz w:val="20"/>
        </w:rPr>
        <w:t xml:space="preserve">Proportion of </w:t>
      </w:r>
      <w:r w:rsidRPr="00B33F2D">
        <w:rPr>
          <w:noProof/>
          <w:sz w:val="20"/>
        </w:rPr>
        <w:t>Victorian adolescents aged 10–17 years (boys and girls) who eat the daily recommended serves of fruit, by year, 2014</w:t>
      </w:r>
      <w:r w:rsidR="00231F28" w:rsidRPr="00B33F2D">
        <w:rPr>
          <w:noProof/>
          <w:sz w:val="20"/>
        </w:rPr>
        <w:t>,</w:t>
      </w:r>
      <w:r w:rsidRPr="00B33F2D">
        <w:rPr>
          <w:noProof/>
          <w:sz w:val="20"/>
        </w:rPr>
        <w:t xml:space="preserve"> 2016</w:t>
      </w:r>
      <w:bookmarkEnd w:id="446"/>
      <w:r w:rsidR="00231F28" w:rsidRPr="00B33F2D">
        <w:rPr>
          <w:noProof/>
          <w:sz w:val="20"/>
        </w:rPr>
        <w:t xml:space="preserve"> and 2018</w:t>
      </w:r>
      <w:bookmarkEnd w:id="447"/>
      <w:bookmarkEnd w:id="448"/>
    </w:p>
    <w:tbl>
      <w:tblPr>
        <w:tblW w:w="9388" w:type="dxa"/>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1869"/>
        <w:gridCol w:w="1785"/>
        <w:gridCol w:w="1107"/>
        <w:gridCol w:w="2729"/>
        <w:gridCol w:w="1898"/>
      </w:tblGrid>
      <w:tr w:rsidR="00231F28" w:rsidRPr="00DB4F90" w14:paraId="4B2DDF36" w14:textId="70F9B9BF" w:rsidTr="0001257D">
        <w:trPr>
          <w:trHeight w:val="285"/>
        </w:trPr>
        <w:tc>
          <w:tcPr>
            <w:tcW w:w="1869" w:type="dxa"/>
            <w:shd w:val="clear" w:color="auto" w:fill="EDCDCF"/>
            <w:vAlign w:val="center"/>
          </w:tcPr>
          <w:p w14:paraId="632B4474" w14:textId="77777777" w:rsidR="00231F28" w:rsidRPr="00DB4F90" w:rsidRDefault="00231F28" w:rsidP="00F1788A">
            <w:pPr>
              <w:pStyle w:val="Tablecolhead"/>
            </w:pPr>
            <w:r w:rsidRPr="00DB4F90">
              <w:t>Year</w:t>
            </w:r>
          </w:p>
        </w:tc>
        <w:tc>
          <w:tcPr>
            <w:tcW w:w="1785" w:type="dxa"/>
            <w:shd w:val="clear" w:color="auto" w:fill="EDCDCF"/>
            <w:vAlign w:val="center"/>
          </w:tcPr>
          <w:p w14:paraId="0DEDF441" w14:textId="77777777" w:rsidR="00231F28" w:rsidRPr="00DB4F90" w:rsidRDefault="00231F28" w:rsidP="00F1788A">
            <w:pPr>
              <w:pStyle w:val="Tablecolhead"/>
            </w:pPr>
            <w:r w:rsidRPr="00DB4F90">
              <w:t>2014</w:t>
            </w:r>
          </w:p>
        </w:tc>
        <w:tc>
          <w:tcPr>
            <w:tcW w:w="1107" w:type="dxa"/>
            <w:shd w:val="clear" w:color="auto" w:fill="EDCDCF"/>
            <w:vAlign w:val="center"/>
          </w:tcPr>
          <w:p w14:paraId="7CC01A7B" w14:textId="77777777" w:rsidR="00231F28" w:rsidRPr="00DB4F90" w:rsidRDefault="00231F28" w:rsidP="00F1788A">
            <w:pPr>
              <w:pStyle w:val="Tablecolhead"/>
            </w:pPr>
          </w:p>
        </w:tc>
        <w:tc>
          <w:tcPr>
            <w:tcW w:w="2729" w:type="dxa"/>
            <w:shd w:val="clear" w:color="auto" w:fill="EDCDCF"/>
            <w:vAlign w:val="center"/>
          </w:tcPr>
          <w:p w14:paraId="70C4DBB7" w14:textId="77777777" w:rsidR="00231F28" w:rsidRPr="00DB4F90" w:rsidRDefault="00231F28" w:rsidP="00F1788A">
            <w:pPr>
              <w:pStyle w:val="Tablecolhead"/>
            </w:pPr>
            <w:r w:rsidRPr="00DB4F90">
              <w:t>2016</w:t>
            </w:r>
          </w:p>
        </w:tc>
        <w:tc>
          <w:tcPr>
            <w:tcW w:w="1898" w:type="dxa"/>
            <w:shd w:val="clear" w:color="auto" w:fill="EDCDCF"/>
          </w:tcPr>
          <w:p w14:paraId="3757D052" w14:textId="3245D822" w:rsidR="00231F28" w:rsidRPr="00DB4F90" w:rsidRDefault="00231F28" w:rsidP="00F1788A">
            <w:pPr>
              <w:pStyle w:val="Tablecolhead"/>
            </w:pPr>
            <w:r w:rsidRPr="00231F28">
              <w:rPr>
                <w:color w:val="C00000"/>
              </w:rPr>
              <w:t>2018</w:t>
            </w:r>
          </w:p>
        </w:tc>
      </w:tr>
      <w:tr w:rsidR="00231F28" w:rsidRPr="0069114D" w14:paraId="4A8A00F0" w14:textId="3EDF9E0D" w:rsidTr="0001257D">
        <w:trPr>
          <w:trHeight w:val="285"/>
        </w:trPr>
        <w:tc>
          <w:tcPr>
            <w:tcW w:w="1869" w:type="dxa"/>
            <w:shd w:val="clear" w:color="auto" w:fill="auto"/>
            <w:vAlign w:val="center"/>
          </w:tcPr>
          <w:p w14:paraId="39D8EB77" w14:textId="77777777" w:rsidR="00231F28" w:rsidRPr="005E739D" w:rsidRDefault="00231F28" w:rsidP="00F1788A">
            <w:pPr>
              <w:pStyle w:val="Tabletext"/>
            </w:pPr>
            <w:r>
              <w:t>Per cent (%)</w:t>
            </w:r>
          </w:p>
        </w:tc>
        <w:tc>
          <w:tcPr>
            <w:tcW w:w="1785" w:type="dxa"/>
            <w:shd w:val="clear" w:color="auto" w:fill="auto"/>
            <w:vAlign w:val="center"/>
          </w:tcPr>
          <w:p w14:paraId="51CE0DB2" w14:textId="1905458B" w:rsidR="00231F28" w:rsidRPr="0069114D" w:rsidRDefault="00231F28" w:rsidP="00F1788A">
            <w:pPr>
              <w:pStyle w:val="Tabletext"/>
            </w:pPr>
            <w:r>
              <w:t>69.5</w:t>
            </w:r>
          </w:p>
        </w:tc>
        <w:tc>
          <w:tcPr>
            <w:tcW w:w="1107" w:type="dxa"/>
            <w:shd w:val="clear" w:color="auto" w:fill="auto"/>
            <w:vAlign w:val="center"/>
          </w:tcPr>
          <w:p w14:paraId="68F03ADB" w14:textId="77777777" w:rsidR="00231F28" w:rsidRPr="0069114D" w:rsidRDefault="00231F28" w:rsidP="00F1788A">
            <w:pPr>
              <w:pStyle w:val="Tabletext"/>
            </w:pPr>
          </w:p>
        </w:tc>
        <w:tc>
          <w:tcPr>
            <w:tcW w:w="2729" w:type="dxa"/>
            <w:shd w:val="clear" w:color="auto" w:fill="auto"/>
            <w:vAlign w:val="center"/>
          </w:tcPr>
          <w:p w14:paraId="630ED18D" w14:textId="558A4FA5" w:rsidR="00231F28" w:rsidRPr="0069114D" w:rsidRDefault="00231F28" w:rsidP="00F1788A">
            <w:pPr>
              <w:pStyle w:val="Tabletext"/>
            </w:pPr>
            <w:r>
              <w:t>67.1</w:t>
            </w:r>
          </w:p>
        </w:tc>
        <w:tc>
          <w:tcPr>
            <w:tcW w:w="1898" w:type="dxa"/>
          </w:tcPr>
          <w:p w14:paraId="23BF1E68" w14:textId="4FEF9DD7" w:rsidR="00231F28" w:rsidRDefault="00231F28" w:rsidP="00F1788A">
            <w:pPr>
              <w:pStyle w:val="Tabletext"/>
            </w:pPr>
            <w:r>
              <w:t>67.4</w:t>
            </w:r>
          </w:p>
        </w:tc>
      </w:tr>
      <w:tr w:rsidR="00231F28" w:rsidRPr="0069114D" w14:paraId="54F250C1" w14:textId="75FE52C5" w:rsidTr="0001257D">
        <w:trPr>
          <w:trHeight w:val="285"/>
        </w:trPr>
        <w:tc>
          <w:tcPr>
            <w:tcW w:w="1869" w:type="dxa"/>
            <w:shd w:val="clear" w:color="auto" w:fill="auto"/>
            <w:vAlign w:val="center"/>
          </w:tcPr>
          <w:p w14:paraId="2B52D48D" w14:textId="77777777" w:rsidR="00231F28" w:rsidRDefault="00231F28" w:rsidP="00F1788A">
            <w:pPr>
              <w:pStyle w:val="Tabletext"/>
            </w:pPr>
            <w:r>
              <w:t>95% CI</w:t>
            </w:r>
          </w:p>
        </w:tc>
        <w:tc>
          <w:tcPr>
            <w:tcW w:w="1785" w:type="dxa"/>
            <w:shd w:val="clear" w:color="auto" w:fill="auto"/>
            <w:vAlign w:val="center"/>
          </w:tcPr>
          <w:p w14:paraId="23B0E523" w14:textId="6142AC54" w:rsidR="00231F28" w:rsidRPr="0069114D" w:rsidRDefault="00231F28" w:rsidP="00F1788A">
            <w:pPr>
              <w:pStyle w:val="Tabletext"/>
            </w:pPr>
            <w:r w:rsidRPr="0069114D">
              <w:t>(</w:t>
            </w:r>
            <w:r>
              <w:t>68.1–70.8</w:t>
            </w:r>
            <w:r w:rsidRPr="0069114D">
              <w:t>)</w:t>
            </w:r>
          </w:p>
        </w:tc>
        <w:tc>
          <w:tcPr>
            <w:tcW w:w="1107" w:type="dxa"/>
            <w:shd w:val="clear" w:color="auto" w:fill="auto"/>
            <w:vAlign w:val="center"/>
          </w:tcPr>
          <w:p w14:paraId="5453473B" w14:textId="77777777" w:rsidR="00231F28" w:rsidRPr="0069114D" w:rsidRDefault="00231F28" w:rsidP="00F1788A">
            <w:pPr>
              <w:pStyle w:val="Tabletext"/>
            </w:pPr>
          </w:p>
        </w:tc>
        <w:tc>
          <w:tcPr>
            <w:tcW w:w="2729" w:type="dxa"/>
            <w:shd w:val="clear" w:color="auto" w:fill="auto"/>
            <w:vAlign w:val="center"/>
          </w:tcPr>
          <w:p w14:paraId="19E08245" w14:textId="66B08C9A" w:rsidR="00231F28" w:rsidRPr="0069114D" w:rsidRDefault="00231F28" w:rsidP="00F1788A">
            <w:pPr>
              <w:pStyle w:val="Tabletext"/>
            </w:pPr>
            <w:r w:rsidRPr="0069114D">
              <w:t>(</w:t>
            </w:r>
            <w:r>
              <w:t>66.3–68</w:t>
            </w:r>
            <w:r w:rsidRPr="0069114D">
              <w:t>.</w:t>
            </w:r>
            <w:r>
              <w:t>0</w:t>
            </w:r>
            <w:r w:rsidRPr="0069114D">
              <w:t>)</w:t>
            </w:r>
          </w:p>
        </w:tc>
        <w:tc>
          <w:tcPr>
            <w:tcW w:w="1898" w:type="dxa"/>
          </w:tcPr>
          <w:p w14:paraId="38BA4B59" w14:textId="27ADD655" w:rsidR="00231F28" w:rsidRPr="0069114D" w:rsidRDefault="00231F28" w:rsidP="00F1788A">
            <w:pPr>
              <w:pStyle w:val="Tabletext"/>
            </w:pPr>
            <w:r>
              <w:t>(66.5–68.3)</w:t>
            </w:r>
          </w:p>
        </w:tc>
      </w:tr>
    </w:tbl>
    <w:p w14:paraId="0ACA34D2" w14:textId="1748CEE6" w:rsidR="00E975C3" w:rsidRPr="00B33F2D" w:rsidRDefault="00345EFA" w:rsidP="00D34E07">
      <w:pPr>
        <w:pStyle w:val="Tablefigurenote"/>
        <w:rPr>
          <w:i/>
          <w:iCs/>
          <w:sz w:val="18"/>
          <w:szCs w:val="18"/>
        </w:rPr>
      </w:pPr>
      <w:r w:rsidRPr="00B33F2D">
        <w:rPr>
          <w:i/>
          <w:iCs/>
          <w:sz w:val="18"/>
          <w:szCs w:val="18"/>
        </w:rPr>
        <w:t>Source</w:t>
      </w:r>
      <w:r w:rsidR="0088046F" w:rsidRPr="00B33F2D">
        <w:rPr>
          <w:i/>
          <w:iCs/>
          <w:sz w:val="18"/>
          <w:szCs w:val="18"/>
        </w:rPr>
        <w:t>s</w:t>
      </w:r>
      <w:r w:rsidRPr="00B33F2D">
        <w:rPr>
          <w:i/>
          <w:iCs/>
          <w:sz w:val="18"/>
          <w:szCs w:val="18"/>
        </w:rPr>
        <w:t xml:space="preserve">: Victorian </w:t>
      </w:r>
      <w:r w:rsidR="00D57AF9" w:rsidRPr="00B33F2D">
        <w:rPr>
          <w:i/>
          <w:iCs/>
          <w:sz w:val="18"/>
          <w:szCs w:val="18"/>
        </w:rPr>
        <w:t>Student Health and Wellbeing Survey</w:t>
      </w:r>
      <w:r w:rsidR="00231F28" w:rsidRPr="00B33F2D">
        <w:rPr>
          <w:i/>
          <w:iCs/>
          <w:sz w:val="18"/>
          <w:szCs w:val="18"/>
        </w:rPr>
        <w:t>s</w:t>
      </w:r>
      <w:r w:rsidR="00D57AF9" w:rsidRPr="00B33F2D">
        <w:rPr>
          <w:i/>
          <w:iCs/>
          <w:sz w:val="18"/>
          <w:szCs w:val="18"/>
        </w:rPr>
        <w:t xml:space="preserve"> </w:t>
      </w:r>
      <w:r w:rsidR="0088046F" w:rsidRPr="00B33F2D">
        <w:rPr>
          <w:rStyle w:val="DHHSbodyChar"/>
          <w:i/>
          <w:iCs/>
          <w:sz w:val="18"/>
          <w:szCs w:val="18"/>
        </w:rPr>
        <w:t>2014, 2016 and 2018</w:t>
      </w:r>
    </w:p>
    <w:p w14:paraId="18B016E3" w14:textId="7A0E325E" w:rsidR="00E975C3" w:rsidRDefault="00E975C3" w:rsidP="0091523F">
      <w:pPr>
        <w:pStyle w:val="Figurecaption"/>
        <w:rPr>
          <w:sz w:val="20"/>
        </w:rPr>
      </w:pPr>
      <w:bookmarkStart w:id="449" w:name="_Toc19008067"/>
      <w:bookmarkStart w:id="450" w:name="_Toc19008304"/>
      <w:bookmarkStart w:id="451" w:name="_Toc19008451"/>
      <w:bookmarkStart w:id="452" w:name="_Toc19008598"/>
      <w:bookmarkStart w:id="453" w:name="_Toc132553030"/>
      <w:bookmarkStart w:id="454" w:name="_Toc140827639"/>
      <w:r w:rsidRPr="00B33F2D">
        <w:rPr>
          <w:sz w:val="20"/>
        </w:rPr>
        <w:lastRenderedPageBreak/>
        <w:t>Figure 7.2.1</w:t>
      </w:r>
      <w:r w:rsidR="003B391F" w:rsidRPr="00B33F2D">
        <w:rPr>
          <w:sz w:val="20"/>
        </w:rPr>
        <w:t>:</w:t>
      </w:r>
      <w:r w:rsidRPr="00B33F2D">
        <w:rPr>
          <w:sz w:val="20"/>
        </w:rPr>
        <w:t xml:space="preserve"> Proportion of Victorian adolescents </w:t>
      </w:r>
      <w:r w:rsidR="00826CF1" w:rsidRPr="00B33F2D">
        <w:rPr>
          <w:sz w:val="20"/>
        </w:rPr>
        <w:t xml:space="preserve">aged </w:t>
      </w:r>
      <w:r w:rsidRPr="00B33F2D">
        <w:rPr>
          <w:sz w:val="20"/>
        </w:rPr>
        <w:t>10</w:t>
      </w:r>
      <w:r w:rsidR="00CA2AD7" w:rsidRPr="00B33F2D">
        <w:rPr>
          <w:sz w:val="20"/>
        </w:rPr>
        <w:t>–</w:t>
      </w:r>
      <w:r w:rsidRPr="00B33F2D">
        <w:rPr>
          <w:sz w:val="20"/>
        </w:rPr>
        <w:t>17 years (boys and girls) who eat the daily recommended serves of fruit</w:t>
      </w:r>
      <w:r w:rsidR="00826CF1" w:rsidRPr="00B33F2D">
        <w:rPr>
          <w:sz w:val="20"/>
        </w:rPr>
        <w:t>,</w:t>
      </w:r>
      <w:r w:rsidRPr="00B33F2D">
        <w:rPr>
          <w:sz w:val="20"/>
        </w:rPr>
        <w:t xml:space="preserve"> by remoteness area and gender, 2014</w:t>
      </w:r>
      <w:r w:rsidR="00231F28" w:rsidRPr="00B33F2D">
        <w:rPr>
          <w:sz w:val="20"/>
        </w:rPr>
        <w:t>,</w:t>
      </w:r>
      <w:r w:rsidRPr="00B33F2D">
        <w:rPr>
          <w:sz w:val="20"/>
        </w:rPr>
        <w:t xml:space="preserve"> 2016</w:t>
      </w:r>
      <w:bookmarkEnd w:id="449"/>
      <w:bookmarkEnd w:id="450"/>
      <w:bookmarkEnd w:id="451"/>
      <w:bookmarkEnd w:id="452"/>
      <w:r w:rsidR="00231F28" w:rsidRPr="00B33F2D">
        <w:rPr>
          <w:sz w:val="20"/>
        </w:rPr>
        <w:t xml:space="preserve"> and 2018</w:t>
      </w:r>
      <w:bookmarkEnd w:id="453"/>
      <w:bookmarkEnd w:id="454"/>
    </w:p>
    <w:p w14:paraId="0DAF3D95" w14:textId="4211BCF1" w:rsidR="002635C2" w:rsidRPr="002635C2" w:rsidRDefault="002635C2" w:rsidP="002635C2">
      <w:pPr>
        <w:pStyle w:val="DHHSbody"/>
      </w:pPr>
      <w:r w:rsidRPr="002635C2">
        <w:rPr>
          <w:noProof/>
        </w:rPr>
        <w:drawing>
          <wp:inline distT="0" distB="0" distL="0" distR="0" wp14:anchorId="3D8A505A" wp14:editId="368D7F1C">
            <wp:extent cx="5800725" cy="3305592"/>
            <wp:effectExtent l="0" t="0" r="0" b="9525"/>
            <wp:docPr id="1110205008" name="Picture 1110205008" descr="This figure presents data by remoteness and gender under the 'Measure 7.2 - Proportion of adolescents 10-17 years who eat the daily recommended serves of fruit' for 2014, 2016 and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08" name="Picture 1110205008" descr="This figure presents data by remoteness and gender under the 'Measure 7.2 - Proportion of adolescents 10-17 years who eat the daily recommended serves of fruit' for 2014, 2016 and 2018."/>
                    <pic:cNvPicPr/>
                  </pic:nvPicPr>
                  <pic:blipFill>
                    <a:blip r:embed="rId83"/>
                    <a:stretch>
                      <a:fillRect/>
                    </a:stretch>
                  </pic:blipFill>
                  <pic:spPr>
                    <a:xfrm>
                      <a:off x="0" y="0"/>
                      <a:ext cx="5813152" cy="3312674"/>
                    </a:xfrm>
                    <a:prstGeom prst="rect">
                      <a:avLst/>
                    </a:prstGeom>
                  </pic:spPr>
                </pic:pic>
              </a:graphicData>
            </a:graphic>
          </wp:inline>
        </w:drawing>
      </w:r>
    </w:p>
    <w:p w14:paraId="567D14D9" w14:textId="6D5238E6" w:rsidR="00021B91" w:rsidRPr="00021B91" w:rsidRDefault="00021B91" w:rsidP="00E87AAA">
      <w:pPr>
        <w:pStyle w:val="Body"/>
      </w:pPr>
    </w:p>
    <w:p w14:paraId="0E860163" w14:textId="16E297A5" w:rsidR="00676597" w:rsidRPr="00B33F2D" w:rsidRDefault="000763F2" w:rsidP="0057168A">
      <w:pPr>
        <w:pStyle w:val="Tablefigurenote"/>
        <w:rPr>
          <w:i/>
          <w:iCs/>
          <w:sz w:val="18"/>
          <w:szCs w:val="18"/>
        </w:rPr>
      </w:pPr>
      <w:r w:rsidRPr="00B33F2D">
        <w:rPr>
          <w:rStyle w:val="DHHSbodyChar"/>
          <w:i/>
          <w:iCs/>
          <w:sz w:val="18"/>
          <w:szCs w:val="18"/>
        </w:rPr>
        <w:t>Source</w:t>
      </w:r>
      <w:r w:rsidR="0088046F" w:rsidRPr="00B33F2D">
        <w:rPr>
          <w:rStyle w:val="DHHSbodyChar"/>
          <w:i/>
          <w:iCs/>
          <w:sz w:val="18"/>
          <w:szCs w:val="18"/>
        </w:rPr>
        <w:t>s</w:t>
      </w:r>
      <w:r w:rsidRPr="00B33F2D">
        <w:rPr>
          <w:rStyle w:val="DHHSbodyChar"/>
          <w:i/>
          <w:iCs/>
          <w:sz w:val="18"/>
          <w:szCs w:val="18"/>
        </w:rPr>
        <w:t xml:space="preserve">: Victorian </w:t>
      </w:r>
      <w:r w:rsidR="00314A5E" w:rsidRPr="00B33F2D">
        <w:rPr>
          <w:rStyle w:val="DHHSbodyChar"/>
          <w:i/>
          <w:iCs/>
          <w:sz w:val="18"/>
          <w:szCs w:val="18"/>
        </w:rPr>
        <w:t>Student</w:t>
      </w:r>
      <w:r w:rsidRPr="00B33F2D">
        <w:rPr>
          <w:rStyle w:val="DHHSbodyChar"/>
          <w:i/>
          <w:iCs/>
          <w:sz w:val="18"/>
          <w:szCs w:val="18"/>
        </w:rPr>
        <w:t xml:space="preserve"> Health and Wellbeing Survey</w:t>
      </w:r>
      <w:r w:rsidR="00E776C9" w:rsidRPr="00B33F2D">
        <w:rPr>
          <w:rStyle w:val="DHHSbodyChar"/>
          <w:i/>
          <w:iCs/>
          <w:sz w:val="18"/>
          <w:szCs w:val="18"/>
        </w:rPr>
        <w:t>s 2014</w:t>
      </w:r>
      <w:r w:rsidR="00231F28" w:rsidRPr="00B33F2D">
        <w:rPr>
          <w:rStyle w:val="DHHSbodyChar"/>
          <w:i/>
          <w:iCs/>
          <w:sz w:val="18"/>
          <w:szCs w:val="18"/>
        </w:rPr>
        <w:t>,</w:t>
      </w:r>
      <w:r w:rsidR="00E776C9" w:rsidRPr="00B33F2D">
        <w:rPr>
          <w:rStyle w:val="DHHSbodyChar"/>
          <w:i/>
          <w:iCs/>
          <w:sz w:val="18"/>
          <w:szCs w:val="18"/>
        </w:rPr>
        <w:t xml:space="preserve"> </w:t>
      </w:r>
      <w:r w:rsidR="00314A5E" w:rsidRPr="00B33F2D">
        <w:rPr>
          <w:rStyle w:val="DHHSbodyChar"/>
          <w:i/>
          <w:iCs/>
          <w:sz w:val="18"/>
          <w:szCs w:val="18"/>
        </w:rPr>
        <w:t>2016</w:t>
      </w:r>
      <w:r w:rsidR="00231F28" w:rsidRPr="00B33F2D">
        <w:rPr>
          <w:rStyle w:val="DHHSbodyChar"/>
          <w:i/>
          <w:iCs/>
          <w:sz w:val="18"/>
          <w:szCs w:val="18"/>
        </w:rPr>
        <w:t xml:space="preserve"> and 2018</w:t>
      </w:r>
    </w:p>
    <w:p w14:paraId="08F73066" w14:textId="17D2D6C5" w:rsidR="000E2681" w:rsidRPr="0076537E" w:rsidRDefault="004D3A85" w:rsidP="007C7F00">
      <w:pPr>
        <w:pStyle w:val="Heading4"/>
      </w:pPr>
      <w:r w:rsidRPr="0076537E">
        <w:t>M</w:t>
      </w:r>
      <w:r w:rsidR="000E2681" w:rsidRPr="0076537E">
        <w:t>easure assessment</w:t>
      </w:r>
    </w:p>
    <w:p w14:paraId="696BAA56" w14:textId="3804DFA3" w:rsidR="00E23039" w:rsidRPr="0076537E" w:rsidRDefault="000E2681" w:rsidP="00606436">
      <w:pPr>
        <w:pStyle w:val="Body"/>
      </w:pPr>
      <w:r w:rsidRPr="0076537E">
        <w:t>Traffic light rating:</w:t>
      </w:r>
      <w:r w:rsidRPr="00B504AD">
        <w:rPr>
          <w:color w:val="AF272F"/>
        </w:rPr>
        <w:t xml:space="preserve"> </w:t>
      </w:r>
      <w:r w:rsidR="009E55C1" w:rsidRPr="00B504AD">
        <w:rPr>
          <w:b/>
          <w:color w:val="AF272F"/>
        </w:rPr>
        <w:t xml:space="preserve">Red </w:t>
      </w:r>
      <w:r w:rsidR="009E55C1" w:rsidRPr="00CF6F8C">
        <w:t>(result is of concern)</w:t>
      </w:r>
    </w:p>
    <w:p w14:paraId="639E4052" w14:textId="47467985" w:rsidR="000E2681" w:rsidRDefault="000E2681" w:rsidP="00606436">
      <w:pPr>
        <w:pStyle w:val="Body"/>
      </w:pPr>
      <w:r w:rsidRPr="0076537E">
        <w:t xml:space="preserve">Overall trend: </w:t>
      </w:r>
      <w:r w:rsidR="009E55C1" w:rsidRPr="0076537E">
        <w:t>Not m</w:t>
      </w:r>
      <w:r w:rsidR="004D3A85" w:rsidRPr="0076537E">
        <w:t>oving in the right direction</w:t>
      </w:r>
    </w:p>
    <w:p w14:paraId="2F7E5ADE" w14:textId="2392B179" w:rsidR="00A57F34" w:rsidRPr="00A451D4" w:rsidRDefault="000E2681" w:rsidP="00E87AAA">
      <w:pPr>
        <w:pStyle w:val="Body"/>
        <w:rPr>
          <w:rStyle w:val="Heading3Char"/>
        </w:rPr>
      </w:pPr>
      <w:r w:rsidRPr="008B7095">
        <w:rPr>
          <w:rFonts w:cs="Arial"/>
        </w:rPr>
        <w:t>Commentary</w:t>
      </w:r>
      <w:r w:rsidR="004D3A85" w:rsidRPr="008B7095">
        <w:rPr>
          <w:rFonts w:cs="Arial"/>
        </w:rPr>
        <w:t>:</w:t>
      </w:r>
      <w:r w:rsidR="008C14DD" w:rsidRPr="008B7095">
        <w:rPr>
          <w:rFonts w:cs="Arial"/>
        </w:rPr>
        <w:t xml:space="preserve"> </w:t>
      </w:r>
      <w:r w:rsidR="008C14DD" w:rsidRPr="008B7095">
        <w:rPr>
          <w:lang w:val="en"/>
        </w:rPr>
        <w:t>High consumption of fruit has been associated with reduced risk of chronic diseases such as cancer.</w:t>
      </w:r>
      <w:r w:rsidR="008C14DD" w:rsidRPr="008B7095">
        <w:rPr>
          <w:rStyle w:val="FootnoteReference"/>
          <w:lang w:val="en"/>
        </w:rPr>
        <w:footnoteReference w:id="93"/>
      </w:r>
      <w:r w:rsidR="00303308" w:rsidRPr="008B7095">
        <w:rPr>
          <w:lang w:val="en"/>
        </w:rPr>
        <w:t xml:space="preserve"> A </w:t>
      </w:r>
      <w:r w:rsidR="008C14DD" w:rsidRPr="008B7095">
        <w:rPr>
          <w:lang w:val="en"/>
        </w:rPr>
        <w:t xml:space="preserve">longitudinal study </w:t>
      </w:r>
      <w:r w:rsidR="00303308" w:rsidRPr="008B7095">
        <w:rPr>
          <w:lang w:val="en"/>
        </w:rPr>
        <w:t xml:space="preserve">has </w:t>
      </w:r>
      <w:r w:rsidR="008C14DD" w:rsidRPr="008B7095">
        <w:rPr>
          <w:lang w:val="en"/>
        </w:rPr>
        <w:t>suggest</w:t>
      </w:r>
      <w:r w:rsidR="00303308" w:rsidRPr="008B7095">
        <w:rPr>
          <w:lang w:val="en"/>
        </w:rPr>
        <w:t>ed</w:t>
      </w:r>
      <w:r w:rsidR="008C14DD" w:rsidRPr="008B7095">
        <w:rPr>
          <w:lang w:val="en"/>
        </w:rPr>
        <w:t xml:space="preserve"> that high fruit consumption in adolescence has a beneficial influence on self-rated </w:t>
      </w:r>
      <w:r w:rsidR="0053711F" w:rsidRPr="008B7095">
        <w:rPr>
          <w:lang w:val="en"/>
        </w:rPr>
        <w:t>h</w:t>
      </w:r>
      <w:r w:rsidR="008C14DD" w:rsidRPr="008B7095">
        <w:rPr>
          <w:lang w:val="en"/>
        </w:rPr>
        <w:t>ealth in early adulthood</w:t>
      </w:r>
      <w:r w:rsidR="00303308" w:rsidRPr="008B7095">
        <w:rPr>
          <w:lang w:val="en"/>
        </w:rPr>
        <w:t>.</w:t>
      </w:r>
      <w:r w:rsidR="00303308" w:rsidRPr="008B7095">
        <w:rPr>
          <w:rStyle w:val="FootnoteReference"/>
          <w:lang w:val="en"/>
        </w:rPr>
        <w:footnoteReference w:id="94"/>
      </w:r>
      <w:r w:rsidR="0053711F" w:rsidRPr="008B7095">
        <w:rPr>
          <w:lang w:val="en"/>
        </w:rPr>
        <w:t xml:space="preserve"> </w:t>
      </w:r>
      <w:r w:rsidR="00884956" w:rsidRPr="008B7095">
        <w:rPr>
          <w:lang w:val="en"/>
        </w:rPr>
        <w:t xml:space="preserve">Consuming a minimum of two serves of </w:t>
      </w:r>
      <w:r w:rsidR="00884956" w:rsidRPr="002B0CEB">
        <w:rPr>
          <w:lang w:val="en"/>
        </w:rPr>
        <w:t>fruit</w:t>
      </w:r>
      <w:r w:rsidR="0053711F" w:rsidRPr="008B7095">
        <w:rPr>
          <w:lang w:val="en"/>
        </w:rPr>
        <w:t xml:space="preserve"> </w:t>
      </w:r>
      <w:r w:rsidR="00342486" w:rsidRPr="008B7095">
        <w:rPr>
          <w:lang w:val="en"/>
        </w:rPr>
        <w:t>per day is recommended for all adolescents.</w:t>
      </w:r>
      <w:r w:rsidR="00342486" w:rsidRPr="008B7095">
        <w:rPr>
          <w:rStyle w:val="FootnoteReference"/>
          <w:rFonts w:cs="Arial"/>
        </w:rPr>
        <w:footnoteReference w:id="95"/>
      </w:r>
      <w:r w:rsidR="00342486" w:rsidRPr="008B7095">
        <w:rPr>
          <w:lang w:val="en"/>
        </w:rPr>
        <w:t xml:space="preserve"> </w:t>
      </w:r>
      <w:r w:rsidR="00A86AEB" w:rsidRPr="008B7095">
        <w:t>While no target has been set</w:t>
      </w:r>
      <w:r w:rsidR="00A86AEB">
        <w:t>,</w:t>
      </w:r>
      <w:r w:rsidR="00A86AEB" w:rsidRPr="008B7095">
        <w:rPr>
          <w:lang w:val="en"/>
        </w:rPr>
        <w:t xml:space="preserve"> </w:t>
      </w:r>
      <w:r w:rsidR="0053711F" w:rsidRPr="008B7095">
        <w:rPr>
          <w:lang w:val="en"/>
        </w:rPr>
        <w:t>Figure 7.2</w:t>
      </w:r>
      <w:r w:rsidR="00B775BD">
        <w:rPr>
          <w:lang w:val="en"/>
        </w:rPr>
        <w:t xml:space="preserve"> and Table 7.2</w:t>
      </w:r>
      <w:r w:rsidR="0053711F" w:rsidRPr="008B7095">
        <w:rPr>
          <w:lang w:val="en"/>
        </w:rPr>
        <w:t xml:space="preserve"> show that</w:t>
      </w:r>
      <w:r w:rsidR="00A86AEB">
        <w:rPr>
          <w:lang w:val="en"/>
        </w:rPr>
        <w:t xml:space="preserve"> overall</w:t>
      </w:r>
      <w:r w:rsidR="0053711F" w:rsidRPr="008B7095">
        <w:rPr>
          <w:lang w:val="en"/>
        </w:rPr>
        <w:t xml:space="preserve"> the proportion of adolescents aged 10</w:t>
      </w:r>
      <w:r w:rsidR="00CA2AD7">
        <w:rPr>
          <w:lang w:val="en"/>
        </w:rPr>
        <w:t>–</w:t>
      </w:r>
      <w:r w:rsidR="0053711F" w:rsidRPr="008B7095">
        <w:rPr>
          <w:lang w:val="en"/>
        </w:rPr>
        <w:t>17 years in Victoria consuming fruit (excluding fruit juice) decreased between 2014 and 2016 among all children and for boys and girls</w:t>
      </w:r>
      <w:r w:rsidR="00C141BA">
        <w:rPr>
          <w:lang w:val="en"/>
        </w:rPr>
        <w:t xml:space="preserve"> but increased slightly in 2018</w:t>
      </w:r>
      <w:r w:rsidR="0053711F" w:rsidRPr="008B7095">
        <w:rPr>
          <w:lang w:val="en"/>
        </w:rPr>
        <w:t>.</w:t>
      </w:r>
      <w:r w:rsidR="00655AF8" w:rsidRPr="008B7095">
        <w:rPr>
          <w:lang w:val="en"/>
        </w:rPr>
        <w:t xml:space="preserve"> </w:t>
      </w:r>
      <w:r w:rsidR="00A86AEB">
        <w:rPr>
          <w:lang w:val="en"/>
        </w:rPr>
        <w:t>B</w:t>
      </w:r>
      <w:r w:rsidR="00655AF8" w:rsidRPr="008B7095">
        <w:t xml:space="preserve">oth boys and girls reported </w:t>
      </w:r>
      <w:r w:rsidR="00A86AEB">
        <w:t>de</w:t>
      </w:r>
      <w:r w:rsidR="00884956" w:rsidRPr="008B7095">
        <w:t>creased</w:t>
      </w:r>
      <w:r w:rsidR="00655AF8" w:rsidRPr="008B7095">
        <w:t xml:space="preserve"> amounts of fruit consumed </w:t>
      </w:r>
      <w:r w:rsidR="001D6235">
        <w:t>(</w:t>
      </w:r>
      <w:r w:rsidR="00884956" w:rsidRPr="008B7095">
        <w:t>across the two surveys</w:t>
      </w:r>
      <w:r w:rsidR="001D6235">
        <w:t>)</w:t>
      </w:r>
      <w:r w:rsidR="00231A1F" w:rsidRPr="008B7095">
        <w:t xml:space="preserve"> as recommended in the 2013 </w:t>
      </w:r>
      <w:r w:rsidR="002E6B06" w:rsidRPr="008B7095">
        <w:t xml:space="preserve">Australian </w:t>
      </w:r>
      <w:r w:rsidR="0090744C">
        <w:t>d</w:t>
      </w:r>
      <w:r w:rsidR="002E6B06" w:rsidRPr="008B7095">
        <w:t xml:space="preserve">ietary </w:t>
      </w:r>
      <w:r w:rsidR="0090744C">
        <w:t>g</w:t>
      </w:r>
      <w:r w:rsidR="002E6B06" w:rsidRPr="008B7095">
        <w:t>uidelines</w:t>
      </w:r>
      <w:r w:rsidR="00231A1F" w:rsidRPr="008B7095">
        <w:t>.</w:t>
      </w:r>
      <w:r w:rsidR="002E6B06" w:rsidRPr="008B7095">
        <w:t xml:space="preserve"> The proportion of all adolescents living in metropolitan areas consuming fruit also </w:t>
      </w:r>
      <w:r w:rsidR="00A86AEB">
        <w:t>de</w:t>
      </w:r>
      <w:r w:rsidR="002E6B06" w:rsidRPr="008B7095">
        <w:t>creased between 2014</w:t>
      </w:r>
      <w:r w:rsidR="0080509C">
        <w:t xml:space="preserve"> and</w:t>
      </w:r>
      <w:r w:rsidR="002E6B06" w:rsidRPr="008B7095">
        <w:t xml:space="preserve"> 2016</w:t>
      </w:r>
      <w:r w:rsidR="0076537E">
        <w:t xml:space="preserve"> but slightly increased in 2018</w:t>
      </w:r>
      <w:r w:rsidR="00E1096A">
        <w:t>,</w:t>
      </w:r>
      <w:r w:rsidR="002E6B06" w:rsidRPr="008B7095">
        <w:t xml:space="preserve"> wh</w:t>
      </w:r>
      <w:r w:rsidR="0080509C">
        <w:t>ile</w:t>
      </w:r>
      <w:r w:rsidR="002E6B06" w:rsidRPr="008B7095">
        <w:t xml:space="preserve"> the proportion </w:t>
      </w:r>
      <w:r w:rsidR="001D6235">
        <w:t>for</w:t>
      </w:r>
      <w:r w:rsidR="002E6B06" w:rsidRPr="008B7095">
        <w:t xml:space="preserve"> all adolescents living in Victorian regional areas </w:t>
      </w:r>
      <w:r w:rsidR="0076537E">
        <w:t>decreased also</w:t>
      </w:r>
      <w:r w:rsidR="009D594D">
        <w:t xml:space="preserve"> (Figure 7.2.1)</w:t>
      </w:r>
      <w:r w:rsidR="002E6B06" w:rsidRPr="008B7095">
        <w:t>.</w:t>
      </w:r>
      <w:bookmarkStart w:id="455" w:name="_Measure_7.3_–"/>
      <w:bookmarkStart w:id="456" w:name="_Toc19008068"/>
      <w:bookmarkEnd w:id="455"/>
      <w:r w:rsidR="006806AE">
        <w:t xml:space="preserve"> </w:t>
      </w:r>
      <w:bookmarkStart w:id="457" w:name="_Hlk136865734"/>
      <w:r w:rsidR="006806AE" w:rsidRPr="006078FE">
        <w:rPr>
          <w:lang w:val="en"/>
        </w:rPr>
        <w:t xml:space="preserve">Caution is advised when interpreting these findings due to </w:t>
      </w:r>
      <w:r w:rsidR="006806AE">
        <w:rPr>
          <w:lang w:val="en"/>
        </w:rPr>
        <w:t>the age of the data as well as the potential impact of the COVID pandemic on this measure</w:t>
      </w:r>
      <w:r w:rsidR="006806AE" w:rsidRPr="006078FE">
        <w:rPr>
          <w:lang w:val="en"/>
        </w:rPr>
        <w:t xml:space="preserve">. </w:t>
      </w:r>
      <w:r w:rsidR="00A57F34" w:rsidRPr="00A451D4">
        <w:rPr>
          <w:rStyle w:val="Heading3Char"/>
        </w:rPr>
        <w:br w:type="page"/>
      </w:r>
    </w:p>
    <w:bookmarkEnd w:id="457"/>
    <w:p w14:paraId="168359F6" w14:textId="4C3438AF" w:rsidR="00784A70" w:rsidRPr="003E6A0B" w:rsidRDefault="00784A70" w:rsidP="00A451D4">
      <w:pPr>
        <w:pStyle w:val="Heading3"/>
        <w:rPr>
          <w:b/>
          <w:bCs w:val="0"/>
        </w:rPr>
      </w:pPr>
      <w:r w:rsidRPr="003E6A0B">
        <w:rPr>
          <w:b/>
          <w:bCs w:val="0"/>
        </w:rPr>
        <w:lastRenderedPageBreak/>
        <w:t xml:space="preserve">Measure 7.3 – </w:t>
      </w:r>
      <w:r w:rsidR="00BE61B2" w:rsidRPr="003E6A0B">
        <w:rPr>
          <w:b/>
          <w:bCs w:val="0"/>
        </w:rPr>
        <w:t xml:space="preserve">Proportion of </w:t>
      </w:r>
      <w:r w:rsidR="00782252" w:rsidRPr="003E6A0B">
        <w:rPr>
          <w:b/>
          <w:bCs w:val="0"/>
        </w:rPr>
        <w:t>children 4</w:t>
      </w:r>
      <w:r w:rsidR="00690CD3" w:rsidRPr="003E6A0B">
        <w:rPr>
          <w:b/>
          <w:bCs w:val="0"/>
        </w:rPr>
        <w:t>–1</w:t>
      </w:r>
      <w:r w:rsidR="00782252" w:rsidRPr="003E6A0B">
        <w:rPr>
          <w:b/>
          <w:bCs w:val="0"/>
        </w:rPr>
        <w:t>2 years</w:t>
      </w:r>
      <w:r w:rsidR="00BE61B2" w:rsidRPr="003E6A0B">
        <w:rPr>
          <w:b/>
          <w:bCs w:val="0"/>
        </w:rPr>
        <w:t xml:space="preserve"> who eat the daily recommended serves of fruit</w:t>
      </w:r>
      <w:bookmarkEnd w:id="456"/>
    </w:p>
    <w:p w14:paraId="53D8847C" w14:textId="58363B94" w:rsidR="006631C9" w:rsidRDefault="00B77CF7" w:rsidP="0091523F">
      <w:pPr>
        <w:pStyle w:val="Figurecaption"/>
        <w:rPr>
          <w:sz w:val="20"/>
        </w:rPr>
      </w:pPr>
      <w:bookmarkStart w:id="458" w:name="_Toc19008069"/>
      <w:bookmarkStart w:id="459" w:name="_Toc19008305"/>
      <w:bookmarkStart w:id="460" w:name="_Toc19008452"/>
      <w:bookmarkStart w:id="461" w:name="_Toc19008599"/>
      <w:bookmarkStart w:id="462" w:name="_Toc132553031"/>
      <w:bookmarkStart w:id="463" w:name="_Toc140827640"/>
      <w:r w:rsidRPr="00B33F2D">
        <w:rPr>
          <w:sz w:val="20"/>
        </w:rPr>
        <w:t>Figure 7.3</w:t>
      </w:r>
      <w:r w:rsidR="003B391F" w:rsidRPr="00B33F2D">
        <w:rPr>
          <w:sz w:val="20"/>
        </w:rPr>
        <w:t>:</w:t>
      </w:r>
      <w:r w:rsidRPr="00B33F2D">
        <w:rPr>
          <w:sz w:val="20"/>
        </w:rPr>
        <w:t xml:space="preserve"> Proportion of children </w:t>
      </w:r>
      <w:r w:rsidR="00E1096A" w:rsidRPr="00B33F2D">
        <w:rPr>
          <w:sz w:val="20"/>
        </w:rPr>
        <w:t xml:space="preserve">aged </w:t>
      </w:r>
      <w:r w:rsidRPr="00B33F2D">
        <w:rPr>
          <w:sz w:val="20"/>
        </w:rPr>
        <w:t>4</w:t>
      </w:r>
      <w:r w:rsidR="00CA2AD7" w:rsidRPr="00B33F2D">
        <w:rPr>
          <w:sz w:val="20"/>
        </w:rPr>
        <w:t>–</w:t>
      </w:r>
      <w:r w:rsidRPr="00B33F2D">
        <w:rPr>
          <w:sz w:val="20"/>
        </w:rPr>
        <w:t>12 years who eat the daily recommended serves of fruit</w:t>
      </w:r>
      <w:r w:rsidR="00E1096A" w:rsidRPr="00B33F2D">
        <w:rPr>
          <w:sz w:val="20"/>
        </w:rPr>
        <w:t>,</w:t>
      </w:r>
      <w:r w:rsidR="00F702AC" w:rsidRPr="00B33F2D">
        <w:rPr>
          <w:sz w:val="20"/>
        </w:rPr>
        <w:t xml:space="preserve"> by year, 2013</w:t>
      </w:r>
      <w:r w:rsidR="00AE4144" w:rsidRPr="00B33F2D">
        <w:rPr>
          <w:sz w:val="20"/>
        </w:rPr>
        <w:t>,</w:t>
      </w:r>
      <w:r w:rsidR="002E75FE" w:rsidRPr="00B33F2D">
        <w:rPr>
          <w:sz w:val="20"/>
        </w:rPr>
        <w:t xml:space="preserve"> 2017</w:t>
      </w:r>
      <w:bookmarkEnd w:id="458"/>
      <w:bookmarkEnd w:id="459"/>
      <w:bookmarkEnd w:id="460"/>
      <w:bookmarkEnd w:id="461"/>
      <w:r w:rsidR="00616F42">
        <w:rPr>
          <w:sz w:val="20"/>
        </w:rPr>
        <w:t xml:space="preserve">, </w:t>
      </w:r>
      <w:r w:rsidR="00AE4144" w:rsidRPr="00B33F2D">
        <w:rPr>
          <w:sz w:val="20"/>
        </w:rPr>
        <w:t>2019</w:t>
      </w:r>
      <w:bookmarkEnd w:id="462"/>
      <w:r w:rsidR="00616F42">
        <w:rPr>
          <w:sz w:val="20"/>
        </w:rPr>
        <w:t xml:space="preserve"> and 2021</w:t>
      </w:r>
      <w:bookmarkEnd w:id="463"/>
    </w:p>
    <w:p w14:paraId="3398781B" w14:textId="266616F4" w:rsidR="008F2839" w:rsidRPr="008F2839" w:rsidRDefault="008F2839" w:rsidP="008F2839">
      <w:pPr>
        <w:pStyle w:val="DHHSbody"/>
      </w:pPr>
      <w:r w:rsidRPr="008F2839">
        <w:rPr>
          <w:noProof/>
        </w:rPr>
        <w:drawing>
          <wp:inline distT="0" distB="0" distL="0" distR="0" wp14:anchorId="358B5AC5" wp14:editId="5D7F9998">
            <wp:extent cx="6191250" cy="3599100"/>
            <wp:effectExtent l="0" t="0" r="0" b="1905"/>
            <wp:docPr id="1110205010" name="Picture 1110205010" descr="This figure presents data under the Measure 7.3 - Proportion of children 4-12 years who eat the daily recommended serves of fruit'. The data (2013, 2017, 2019 and 2021 only) for this figure is available in this section - refer to Tabl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10" name="Picture 1110205010" descr="This figure presents data under the Measure 7.3 - Proportion of children 4-12 years who eat the daily recommended serves of fruit'. The data (2013, 2017, 2019 and 2021 only) for this figure is available in this section - refer to Table 7.3."/>
                    <pic:cNvPicPr/>
                  </pic:nvPicPr>
                  <pic:blipFill>
                    <a:blip r:embed="rId84"/>
                    <a:stretch>
                      <a:fillRect/>
                    </a:stretch>
                  </pic:blipFill>
                  <pic:spPr>
                    <a:xfrm>
                      <a:off x="0" y="0"/>
                      <a:ext cx="6202019" cy="3605360"/>
                    </a:xfrm>
                    <a:prstGeom prst="rect">
                      <a:avLst/>
                    </a:prstGeom>
                  </pic:spPr>
                </pic:pic>
              </a:graphicData>
            </a:graphic>
          </wp:inline>
        </w:drawing>
      </w:r>
    </w:p>
    <w:p w14:paraId="354B7772" w14:textId="06142398" w:rsidR="00CF0B46" w:rsidRPr="00CF0B46" w:rsidRDefault="00CF0B46" w:rsidP="00CF0B46">
      <w:pPr>
        <w:pStyle w:val="DHHSbody"/>
      </w:pPr>
    </w:p>
    <w:p w14:paraId="114C86CE" w14:textId="67B56C06" w:rsidR="002E75FE" w:rsidRPr="00B33F2D" w:rsidRDefault="002E75FE" w:rsidP="00545F73">
      <w:pPr>
        <w:pStyle w:val="Tablecaption"/>
        <w:rPr>
          <w:sz w:val="20"/>
        </w:rPr>
      </w:pPr>
      <w:bookmarkStart w:id="464" w:name="_Toc18908732"/>
      <w:bookmarkStart w:id="465" w:name="_Toc132491530"/>
      <w:bookmarkStart w:id="466" w:name="_Toc140834922"/>
      <w:r w:rsidRPr="00B33F2D">
        <w:rPr>
          <w:sz w:val="20"/>
        </w:rPr>
        <w:t>Table 7.3</w:t>
      </w:r>
      <w:r w:rsidR="001F7E28" w:rsidRPr="00B33F2D">
        <w:rPr>
          <w:sz w:val="20"/>
        </w:rPr>
        <w:t>:</w:t>
      </w:r>
      <w:r w:rsidRPr="00B33F2D">
        <w:rPr>
          <w:sz w:val="20"/>
        </w:rPr>
        <w:t xml:space="preserve"> Proportion of children aged 4–12 years who eat the daily recommended serves of fruit, by year, 2013</w:t>
      </w:r>
      <w:r w:rsidR="00743622" w:rsidRPr="00B33F2D">
        <w:rPr>
          <w:sz w:val="20"/>
        </w:rPr>
        <w:t>,</w:t>
      </w:r>
      <w:r w:rsidRPr="00B33F2D">
        <w:rPr>
          <w:sz w:val="20"/>
        </w:rPr>
        <w:t xml:space="preserve"> 2017</w:t>
      </w:r>
      <w:bookmarkEnd w:id="464"/>
      <w:r w:rsidR="00743622" w:rsidRPr="00B33F2D">
        <w:rPr>
          <w:sz w:val="20"/>
        </w:rPr>
        <w:t xml:space="preserve">, </w:t>
      </w:r>
      <w:r w:rsidR="00171D3F" w:rsidRPr="00B33F2D">
        <w:rPr>
          <w:sz w:val="20"/>
        </w:rPr>
        <w:t>2019</w:t>
      </w:r>
      <w:bookmarkEnd w:id="465"/>
      <w:r w:rsidR="00D62B41">
        <w:rPr>
          <w:sz w:val="20"/>
        </w:rPr>
        <w:t xml:space="preserve"> and 2021</w:t>
      </w:r>
      <w:bookmarkEnd w:id="466"/>
    </w:p>
    <w:tbl>
      <w:tblPr>
        <w:tblW w:w="9219" w:type="dxa"/>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1564"/>
        <w:gridCol w:w="1985"/>
        <w:gridCol w:w="1927"/>
        <w:gridCol w:w="1843"/>
        <w:gridCol w:w="1900"/>
      </w:tblGrid>
      <w:tr w:rsidR="00C23CC8" w:rsidRPr="00DB4F90" w14:paraId="44E52680" w14:textId="2383074C" w:rsidTr="00C23CC8">
        <w:trPr>
          <w:trHeight w:val="297"/>
        </w:trPr>
        <w:tc>
          <w:tcPr>
            <w:tcW w:w="1564" w:type="dxa"/>
            <w:shd w:val="clear" w:color="auto" w:fill="EDCDCF"/>
            <w:vAlign w:val="center"/>
          </w:tcPr>
          <w:p w14:paraId="2D0E4B41" w14:textId="77777777" w:rsidR="00C23CC8" w:rsidRPr="00DB4F90" w:rsidRDefault="00C23CC8" w:rsidP="00397050">
            <w:pPr>
              <w:pStyle w:val="Tablecolhead"/>
            </w:pPr>
            <w:r w:rsidRPr="00DB4F90">
              <w:t>Year</w:t>
            </w:r>
          </w:p>
        </w:tc>
        <w:tc>
          <w:tcPr>
            <w:tcW w:w="1985" w:type="dxa"/>
            <w:shd w:val="clear" w:color="auto" w:fill="EDCDCF"/>
            <w:vAlign w:val="center"/>
          </w:tcPr>
          <w:p w14:paraId="1869B6E9" w14:textId="34756A1A" w:rsidR="00C23CC8" w:rsidRPr="00DB4F90" w:rsidRDefault="00C23CC8" w:rsidP="00397050">
            <w:pPr>
              <w:pStyle w:val="Tablecolhead"/>
            </w:pPr>
            <w:r w:rsidRPr="00DB4F90">
              <w:t>201</w:t>
            </w:r>
            <w:r>
              <w:t>3</w:t>
            </w:r>
          </w:p>
        </w:tc>
        <w:tc>
          <w:tcPr>
            <w:tcW w:w="1927" w:type="dxa"/>
            <w:shd w:val="clear" w:color="auto" w:fill="EDCDCF"/>
            <w:vAlign w:val="center"/>
          </w:tcPr>
          <w:p w14:paraId="0F016DFC" w14:textId="7984CB5B" w:rsidR="00C23CC8" w:rsidRPr="00DB4F90" w:rsidRDefault="00C23CC8" w:rsidP="00397050">
            <w:pPr>
              <w:pStyle w:val="Tablecolhead"/>
            </w:pPr>
            <w:r w:rsidRPr="00DB4F90">
              <w:t>201</w:t>
            </w:r>
            <w:r>
              <w:t>7</w:t>
            </w:r>
          </w:p>
        </w:tc>
        <w:tc>
          <w:tcPr>
            <w:tcW w:w="1843" w:type="dxa"/>
            <w:shd w:val="clear" w:color="auto" w:fill="EDCDCF"/>
          </w:tcPr>
          <w:p w14:paraId="20AF57FD" w14:textId="6EA4BCA8" w:rsidR="00C23CC8" w:rsidRPr="00DB4F90" w:rsidRDefault="00C23CC8" w:rsidP="00397050">
            <w:pPr>
              <w:pStyle w:val="Tablecolhead"/>
            </w:pPr>
            <w:r>
              <w:t>2019</w:t>
            </w:r>
          </w:p>
        </w:tc>
        <w:tc>
          <w:tcPr>
            <w:tcW w:w="1900" w:type="dxa"/>
            <w:shd w:val="clear" w:color="auto" w:fill="EDCDCF"/>
          </w:tcPr>
          <w:p w14:paraId="74BBA1EF" w14:textId="7BBA78A9" w:rsidR="00C23CC8" w:rsidRDefault="00C23CC8" w:rsidP="00397050">
            <w:pPr>
              <w:pStyle w:val="Tablecolhead"/>
            </w:pPr>
            <w:r>
              <w:t>2021</w:t>
            </w:r>
          </w:p>
        </w:tc>
      </w:tr>
      <w:tr w:rsidR="00C23CC8" w:rsidRPr="0069114D" w14:paraId="1F1A9A92" w14:textId="5D4037EC" w:rsidTr="00C23CC8">
        <w:trPr>
          <w:trHeight w:val="297"/>
        </w:trPr>
        <w:tc>
          <w:tcPr>
            <w:tcW w:w="1564" w:type="dxa"/>
            <w:shd w:val="clear" w:color="auto" w:fill="auto"/>
            <w:vAlign w:val="center"/>
          </w:tcPr>
          <w:p w14:paraId="2602E10E" w14:textId="77777777" w:rsidR="00C23CC8" w:rsidRPr="005E739D" w:rsidRDefault="00C23CC8" w:rsidP="00397050">
            <w:pPr>
              <w:pStyle w:val="Tabletext"/>
            </w:pPr>
            <w:r>
              <w:t>Per cent (%)</w:t>
            </w:r>
          </w:p>
        </w:tc>
        <w:tc>
          <w:tcPr>
            <w:tcW w:w="1985" w:type="dxa"/>
            <w:shd w:val="clear" w:color="auto" w:fill="auto"/>
            <w:vAlign w:val="center"/>
          </w:tcPr>
          <w:p w14:paraId="5780A6C8" w14:textId="27348A55" w:rsidR="00C23CC8" w:rsidRPr="0069114D" w:rsidRDefault="00C23CC8" w:rsidP="00397050">
            <w:pPr>
              <w:pStyle w:val="Tabletext"/>
            </w:pPr>
            <w:r>
              <w:t>73</w:t>
            </w:r>
            <w:r w:rsidRPr="0069114D">
              <w:t>.</w:t>
            </w:r>
            <w:r>
              <w:t>2</w:t>
            </w:r>
          </w:p>
        </w:tc>
        <w:tc>
          <w:tcPr>
            <w:tcW w:w="1927" w:type="dxa"/>
            <w:shd w:val="clear" w:color="auto" w:fill="auto"/>
            <w:vAlign w:val="center"/>
          </w:tcPr>
          <w:p w14:paraId="6105304B" w14:textId="30F1E089" w:rsidR="00C23CC8" w:rsidRPr="0069114D" w:rsidRDefault="00C23CC8" w:rsidP="00397050">
            <w:pPr>
              <w:pStyle w:val="Tabletext"/>
            </w:pPr>
            <w:r>
              <w:t>76.7</w:t>
            </w:r>
          </w:p>
        </w:tc>
        <w:tc>
          <w:tcPr>
            <w:tcW w:w="1843" w:type="dxa"/>
          </w:tcPr>
          <w:p w14:paraId="05656322" w14:textId="2567DC1F" w:rsidR="00C23CC8" w:rsidRDefault="00C23CC8" w:rsidP="00397050">
            <w:pPr>
              <w:pStyle w:val="Tabletext"/>
            </w:pPr>
            <w:r>
              <w:t>74.8</w:t>
            </w:r>
          </w:p>
        </w:tc>
        <w:tc>
          <w:tcPr>
            <w:tcW w:w="1900" w:type="dxa"/>
          </w:tcPr>
          <w:p w14:paraId="03AE3A5F" w14:textId="423BBAC5" w:rsidR="00C23CC8" w:rsidRDefault="00C23CC8" w:rsidP="00397050">
            <w:pPr>
              <w:pStyle w:val="Tabletext"/>
            </w:pPr>
            <w:r>
              <w:t>72.0</w:t>
            </w:r>
          </w:p>
        </w:tc>
      </w:tr>
      <w:tr w:rsidR="006B2F26" w:rsidRPr="0069114D" w14:paraId="12EF200D" w14:textId="4E01F5A0" w:rsidTr="00C23CC8">
        <w:trPr>
          <w:trHeight w:val="297"/>
        </w:trPr>
        <w:tc>
          <w:tcPr>
            <w:tcW w:w="1564" w:type="dxa"/>
            <w:shd w:val="clear" w:color="auto" w:fill="auto"/>
            <w:vAlign w:val="center"/>
          </w:tcPr>
          <w:p w14:paraId="5AA8870A" w14:textId="77777777" w:rsidR="006B2F26" w:rsidRDefault="006B2F26" w:rsidP="006B2F26">
            <w:pPr>
              <w:pStyle w:val="Tabletext"/>
            </w:pPr>
            <w:r>
              <w:t>95% CI</w:t>
            </w:r>
          </w:p>
        </w:tc>
        <w:tc>
          <w:tcPr>
            <w:tcW w:w="1985" w:type="dxa"/>
            <w:shd w:val="clear" w:color="auto" w:fill="auto"/>
            <w:vAlign w:val="center"/>
          </w:tcPr>
          <w:p w14:paraId="0E5166B9" w14:textId="54D8AFCE" w:rsidR="006B2F26" w:rsidRPr="0069114D" w:rsidRDefault="006B2F26" w:rsidP="006B2F26">
            <w:pPr>
              <w:pStyle w:val="Tabletext"/>
            </w:pPr>
            <w:r w:rsidRPr="0069114D">
              <w:t>(</w:t>
            </w:r>
            <w:r>
              <w:t>71</w:t>
            </w:r>
            <w:r w:rsidRPr="0069114D">
              <w:t>.</w:t>
            </w:r>
            <w:r>
              <w:t>7–74</w:t>
            </w:r>
            <w:r w:rsidRPr="0069114D">
              <w:t>.</w:t>
            </w:r>
            <w:r>
              <w:t>5</w:t>
            </w:r>
            <w:r w:rsidRPr="0069114D">
              <w:t>)</w:t>
            </w:r>
          </w:p>
        </w:tc>
        <w:tc>
          <w:tcPr>
            <w:tcW w:w="1927" w:type="dxa"/>
            <w:shd w:val="clear" w:color="auto" w:fill="auto"/>
            <w:vAlign w:val="center"/>
          </w:tcPr>
          <w:p w14:paraId="6A712D98" w14:textId="2B7BEF82" w:rsidR="006B2F26" w:rsidRPr="0069114D" w:rsidRDefault="006B2F26" w:rsidP="006B2F26">
            <w:pPr>
              <w:pStyle w:val="Tabletext"/>
            </w:pPr>
            <w:r w:rsidRPr="0069114D">
              <w:t>(</w:t>
            </w:r>
            <w:r>
              <w:t>74.2–79</w:t>
            </w:r>
            <w:r w:rsidRPr="0069114D">
              <w:t>.</w:t>
            </w:r>
            <w:r>
              <w:t>0</w:t>
            </w:r>
            <w:r w:rsidRPr="0069114D">
              <w:t>)</w:t>
            </w:r>
          </w:p>
        </w:tc>
        <w:tc>
          <w:tcPr>
            <w:tcW w:w="1843" w:type="dxa"/>
          </w:tcPr>
          <w:p w14:paraId="07D34F0E" w14:textId="150B3A3A" w:rsidR="006B2F26" w:rsidRPr="0069114D" w:rsidRDefault="006B2F26" w:rsidP="006B2F26">
            <w:pPr>
              <w:pStyle w:val="Tabletext"/>
            </w:pPr>
            <w:r>
              <w:t>(73.2–76.4)</w:t>
            </w:r>
          </w:p>
        </w:tc>
        <w:tc>
          <w:tcPr>
            <w:tcW w:w="1900" w:type="dxa"/>
          </w:tcPr>
          <w:p w14:paraId="3C38CDEC" w14:textId="4D57AE0B" w:rsidR="006B2F26" w:rsidRDefault="006B2F26" w:rsidP="006B2F26">
            <w:pPr>
              <w:pStyle w:val="Tabletext"/>
            </w:pPr>
            <w:r>
              <w:t>(70.</w:t>
            </w:r>
            <w:r w:rsidR="00E31BB2">
              <w:t>3</w:t>
            </w:r>
            <w:r>
              <w:t>–7</w:t>
            </w:r>
            <w:r w:rsidR="00E31BB2">
              <w:t>3</w:t>
            </w:r>
            <w:r>
              <w:t>.</w:t>
            </w:r>
            <w:r w:rsidR="00E31BB2">
              <w:t>6</w:t>
            </w:r>
            <w:r>
              <w:t>)</w:t>
            </w:r>
          </w:p>
        </w:tc>
      </w:tr>
    </w:tbl>
    <w:p w14:paraId="4DDF0D73" w14:textId="3E6C445F" w:rsidR="001725EE" w:rsidRPr="00B33F2D" w:rsidRDefault="00FE5B83" w:rsidP="00FA1AAC">
      <w:pPr>
        <w:pStyle w:val="Tablefigurenote"/>
        <w:rPr>
          <w:i/>
          <w:iCs/>
          <w:sz w:val="18"/>
          <w:szCs w:val="18"/>
        </w:rPr>
      </w:pPr>
      <w:r w:rsidRPr="00B33F2D">
        <w:rPr>
          <w:i/>
          <w:iCs/>
          <w:sz w:val="18"/>
          <w:szCs w:val="18"/>
        </w:rPr>
        <w:t>Source</w:t>
      </w:r>
      <w:r w:rsidR="0088046F" w:rsidRPr="00B33F2D">
        <w:rPr>
          <w:i/>
          <w:iCs/>
          <w:sz w:val="18"/>
          <w:szCs w:val="18"/>
        </w:rPr>
        <w:t>s</w:t>
      </w:r>
      <w:r w:rsidRPr="00B33F2D">
        <w:rPr>
          <w:i/>
          <w:iCs/>
          <w:sz w:val="18"/>
          <w:szCs w:val="18"/>
        </w:rPr>
        <w:t>: Victorian Child Heal</w:t>
      </w:r>
      <w:r w:rsidR="00AA147F" w:rsidRPr="00B33F2D">
        <w:rPr>
          <w:i/>
          <w:iCs/>
          <w:sz w:val="18"/>
          <w:szCs w:val="18"/>
        </w:rPr>
        <w:t>th and Wellbeing Survey</w:t>
      </w:r>
      <w:r w:rsidR="00DB71B1" w:rsidRPr="00B33F2D">
        <w:rPr>
          <w:i/>
          <w:iCs/>
          <w:sz w:val="18"/>
          <w:szCs w:val="18"/>
        </w:rPr>
        <w:t>s</w:t>
      </w:r>
      <w:r w:rsidR="006E23D9" w:rsidRPr="00B33F2D">
        <w:rPr>
          <w:i/>
          <w:iCs/>
          <w:sz w:val="18"/>
          <w:szCs w:val="18"/>
        </w:rPr>
        <w:t xml:space="preserve"> 2013</w:t>
      </w:r>
      <w:r w:rsidR="00171D3F" w:rsidRPr="00B33F2D">
        <w:rPr>
          <w:i/>
          <w:iCs/>
          <w:sz w:val="18"/>
          <w:szCs w:val="18"/>
        </w:rPr>
        <w:t>,</w:t>
      </w:r>
      <w:r w:rsidR="00DB71B1" w:rsidRPr="00B33F2D">
        <w:rPr>
          <w:i/>
          <w:iCs/>
          <w:sz w:val="18"/>
          <w:szCs w:val="18"/>
        </w:rPr>
        <w:t xml:space="preserve"> 2017</w:t>
      </w:r>
      <w:r w:rsidR="005D1A3E">
        <w:rPr>
          <w:i/>
          <w:iCs/>
          <w:sz w:val="18"/>
          <w:szCs w:val="18"/>
        </w:rPr>
        <w:t xml:space="preserve">, </w:t>
      </w:r>
      <w:r w:rsidR="00171D3F" w:rsidRPr="00B33F2D">
        <w:rPr>
          <w:i/>
          <w:iCs/>
          <w:sz w:val="18"/>
          <w:szCs w:val="18"/>
        </w:rPr>
        <w:t>2019</w:t>
      </w:r>
      <w:r w:rsidR="005D1A3E">
        <w:rPr>
          <w:i/>
          <w:iCs/>
          <w:sz w:val="18"/>
          <w:szCs w:val="18"/>
        </w:rPr>
        <w:t xml:space="preserve"> and 2021</w:t>
      </w:r>
    </w:p>
    <w:p w14:paraId="42E7498E" w14:textId="275DA113" w:rsidR="00B26527" w:rsidRDefault="001725EE" w:rsidP="00FA1AAC">
      <w:pPr>
        <w:pStyle w:val="Tablefigurenote"/>
        <w:rPr>
          <w:i/>
          <w:iCs/>
          <w:color w:val="333333"/>
          <w:sz w:val="18"/>
          <w:szCs w:val="18"/>
        </w:rPr>
      </w:pPr>
      <w:r w:rsidRPr="00B33F2D">
        <w:rPr>
          <w:i/>
          <w:iCs/>
          <w:sz w:val="18"/>
          <w:szCs w:val="18"/>
        </w:rPr>
        <w:t xml:space="preserve">Note: </w:t>
      </w:r>
      <w:r w:rsidR="00676EB9" w:rsidRPr="00B33F2D">
        <w:rPr>
          <w:i/>
          <w:iCs/>
          <w:sz w:val="18"/>
          <w:szCs w:val="18"/>
        </w:rPr>
        <w:t>T</w:t>
      </w:r>
      <w:r w:rsidRPr="00B33F2D">
        <w:rPr>
          <w:i/>
          <w:iCs/>
          <w:sz w:val="18"/>
          <w:szCs w:val="18"/>
        </w:rPr>
        <w:t>he minimum recommended serves of fruit daily is</w:t>
      </w:r>
      <w:r w:rsidR="00755729" w:rsidRPr="00B33F2D">
        <w:rPr>
          <w:i/>
          <w:iCs/>
          <w:sz w:val="18"/>
          <w:szCs w:val="18"/>
        </w:rPr>
        <w:t>:</w:t>
      </w:r>
      <w:r w:rsidRPr="00B33F2D">
        <w:rPr>
          <w:i/>
          <w:iCs/>
          <w:sz w:val="18"/>
          <w:szCs w:val="18"/>
        </w:rPr>
        <w:t xml:space="preserve"> </w:t>
      </w:r>
      <w:r w:rsidR="00D2344A" w:rsidRPr="00B33F2D">
        <w:rPr>
          <w:i/>
          <w:iCs/>
          <w:sz w:val="18"/>
          <w:szCs w:val="18"/>
        </w:rPr>
        <w:t>2</w:t>
      </w:r>
      <w:r w:rsidR="00CA2AD7" w:rsidRPr="00B33F2D">
        <w:rPr>
          <w:i/>
          <w:iCs/>
          <w:sz w:val="18"/>
          <w:szCs w:val="18"/>
        </w:rPr>
        <w:t>–</w:t>
      </w:r>
      <w:r w:rsidR="00D2344A" w:rsidRPr="00B33F2D">
        <w:rPr>
          <w:i/>
          <w:iCs/>
          <w:sz w:val="18"/>
          <w:szCs w:val="18"/>
        </w:rPr>
        <w:t>3 years: 1 serve; 4</w:t>
      </w:r>
      <w:r w:rsidR="00CA2AD7" w:rsidRPr="00B33F2D">
        <w:rPr>
          <w:i/>
          <w:iCs/>
          <w:sz w:val="18"/>
          <w:szCs w:val="18"/>
        </w:rPr>
        <w:t>–</w:t>
      </w:r>
      <w:r w:rsidR="00D2344A" w:rsidRPr="00B33F2D">
        <w:rPr>
          <w:i/>
          <w:iCs/>
          <w:sz w:val="18"/>
          <w:szCs w:val="18"/>
        </w:rPr>
        <w:t>8 years: 1</w:t>
      </w:r>
      <w:r w:rsidR="00D2344A" w:rsidRPr="00B33F2D">
        <w:rPr>
          <w:i/>
          <w:iCs/>
          <w:color w:val="333333"/>
          <w:sz w:val="18"/>
          <w:szCs w:val="18"/>
        </w:rPr>
        <w:t>½ serves; 9</w:t>
      </w:r>
      <w:r w:rsidR="00CA2AD7" w:rsidRPr="00B33F2D">
        <w:rPr>
          <w:i/>
          <w:iCs/>
          <w:color w:val="333333"/>
          <w:sz w:val="18"/>
          <w:szCs w:val="18"/>
        </w:rPr>
        <w:t>–</w:t>
      </w:r>
      <w:r w:rsidR="00D2344A" w:rsidRPr="00B33F2D">
        <w:rPr>
          <w:i/>
          <w:iCs/>
          <w:color w:val="333333"/>
          <w:sz w:val="18"/>
          <w:szCs w:val="18"/>
        </w:rPr>
        <w:t>11 years 2 serves; 12</w:t>
      </w:r>
      <w:r w:rsidR="00CA2AD7" w:rsidRPr="00B33F2D">
        <w:rPr>
          <w:i/>
          <w:iCs/>
          <w:color w:val="333333"/>
          <w:sz w:val="18"/>
          <w:szCs w:val="18"/>
        </w:rPr>
        <w:t>–</w:t>
      </w:r>
      <w:r w:rsidR="00D2344A" w:rsidRPr="00B33F2D">
        <w:rPr>
          <w:i/>
          <w:iCs/>
          <w:color w:val="333333"/>
          <w:sz w:val="18"/>
          <w:szCs w:val="18"/>
        </w:rPr>
        <w:t>13 years: 2 serves</w:t>
      </w:r>
      <w:r w:rsidR="006E23D9" w:rsidRPr="00B33F2D">
        <w:rPr>
          <w:i/>
          <w:iCs/>
          <w:color w:val="333333"/>
          <w:sz w:val="18"/>
          <w:szCs w:val="18"/>
        </w:rPr>
        <w:t>.</w:t>
      </w:r>
    </w:p>
    <w:p w14:paraId="45512781" w14:textId="03344CFD" w:rsidR="00B26527" w:rsidRDefault="00B26527" w:rsidP="0091523F">
      <w:pPr>
        <w:pStyle w:val="Figurecaption"/>
        <w:rPr>
          <w:sz w:val="20"/>
        </w:rPr>
      </w:pPr>
      <w:bookmarkStart w:id="467" w:name="_Toc19008070"/>
      <w:bookmarkStart w:id="468" w:name="_Toc19008306"/>
      <w:bookmarkStart w:id="469" w:name="_Toc19008453"/>
      <w:bookmarkStart w:id="470" w:name="_Toc19008600"/>
      <w:bookmarkStart w:id="471" w:name="_Toc132553032"/>
      <w:bookmarkStart w:id="472" w:name="_Toc140827641"/>
      <w:r w:rsidRPr="00F66798">
        <w:rPr>
          <w:sz w:val="20"/>
        </w:rPr>
        <w:lastRenderedPageBreak/>
        <w:t>Figure 7.</w:t>
      </w:r>
      <w:r w:rsidR="00CE03E4" w:rsidRPr="00F66798">
        <w:rPr>
          <w:sz w:val="20"/>
        </w:rPr>
        <w:t>3.1</w:t>
      </w:r>
      <w:r w:rsidR="003B391F" w:rsidRPr="00F66798">
        <w:rPr>
          <w:sz w:val="20"/>
        </w:rPr>
        <w:t>:</w:t>
      </w:r>
      <w:r w:rsidR="00CE03E4" w:rsidRPr="00F66798">
        <w:rPr>
          <w:sz w:val="20"/>
        </w:rPr>
        <w:t xml:space="preserve"> </w:t>
      </w:r>
      <w:r w:rsidRPr="00F66798">
        <w:rPr>
          <w:sz w:val="20"/>
        </w:rPr>
        <w:t>Proportion of children</w:t>
      </w:r>
      <w:r w:rsidR="00507613" w:rsidRPr="00F66798">
        <w:rPr>
          <w:sz w:val="20"/>
        </w:rPr>
        <w:t xml:space="preserve"> aged</w:t>
      </w:r>
      <w:r w:rsidRPr="00F66798">
        <w:rPr>
          <w:sz w:val="20"/>
        </w:rPr>
        <w:t xml:space="preserve"> 4</w:t>
      </w:r>
      <w:r w:rsidR="00CA2AD7" w:rsidRPr="00F66798">
        <w:rPr>
          <w:sz w:val="20"/>
        </w:rPr>
        <w:t>–</w:t>
      </w:r>
      <w:r w:rsidRPr="00F66798">
        <w:rPr>
          <w:sz w:val="20"/>
        </w:rPr>
        <w:t>12 years who eat the daily recommended serves of fruit</w:t>
      </w:r>
      <w:r w:rsidR="00507613" w:rsidRPr="00F66798">
        <w:rPr>
          <w:sz w:val="20"/>
        </w:rPr>
        <w:t>,</w:t>
      </w:r>
      <w:r w:rsidRPr="00F66798">
        <w:rPr>
          <w:sz w:val="20"/>
        </w:rPr>
        <w:t xml:space="preserve"> by </w:t>
      </w:r>
      <w:r w:rsidR="0018518E" w:rsidRPr="00F66798">
        <w:rPr>
          <w:sz w:val="20"/>
        </w:rPr>
        <w:t xml:space="preserve">gender, age, remoteness areas and </w:t>
      </w:r>
      <w:r w:rsidR="00DE7FFE" w:rsidRPr="00F66798">
        <w:rPr>
          <w:sz w:val="20"/>
        </w:rPr>
        <w:t>SES</w:t>
      </w:r>
      <w:r w:rsidR="00CC7253" w:rsidRPr="00F66798">
        <w:rPr>
          <w:sz w:val="20"/>
        </w:rPr>
        <w:t>, 2013</w:t>
      </w:r>
      <w:r w:rsidR="00236A79" w:rsidRPr="00F66798">
        <w:rPr>
          <w:sz w:val="20"/>
        </w:rPr>
        <w:t>,</w:t>
      </w:r>
      <w:r w:rsidR="00D20AEE" w:rsidRPr="00F66798">
        <w:rPr>
          <w:sz w:val="20"/>
        </w:rPr>
        <w:t xml:space="preserve"> 2017</w:t>
      </w:r>
      <w:bookmarkEnd w:id="467"/>
      <w:bookmarkEnd w:id="468"/>
      <w:bookmarkEnd w:id="469"/>
      <w:bookmarkEnd w:id="470"/>
      <w:r w:rsidR="00F66798" w:rsidRPr="00F66798">
        <w:rPr>
          <w:sz w:val="20"/>
        </w:rPr>
        <w:t>,</w:t>
      </w:r>
      <w:r w:rsidR="00236A79" w:rsidRPr="00F66798">
        <w:rPr>
          <w:sz w:val="20"/>
        </w:rPr>
        <w:t xml:space="preserve"> 2019</w:t>
      </w:r>
      <w:bookmarkEnd w:id="471"/>
      <w:r w:rsidR="00F66798" w:rsidRPr="00F66798">
        <w:rPr>
          <w:sz w:val="20"/>
        </w:rPr>
        <w:t xml:space="preserve"> and 2021</w:t>
      </w:r>
      <w:bookmarkEnd w:id="472"/>
    </w:p>
    <w:p w14:paraId="492F0FF9" w14:textId="74529E75" w:rsidR="00D348AC" w:rsidRPr="00D348AC" w:rsidRDefault="008F2839" w:rsidP="00AE6AC7">
      <w:pPr>
        <w:pStyle w:val="DHHSbody"/>
      </w:pPr>
      <w:r w:rsidRPr="008F2839">
        <w:rPr>
          <w:noProof/>
        </w:rPr>
        <w:drawing>
          <wp:inline distT="0" distB="0" distL="0" distR="0" wp14:anchorId="7C3B5D91" wp14:editId="1E5210CD">
            <wp:extent cx="5924170" cy="4438650"/>
            <wp:effectExtent l="0" t="0" r="635" b="0"/>
            <wp:docPr id="1110205011" name="Picture 1110205011" descr="This figure presents data by gender, age, remoteness and socioeconomic status under the Measure 7.3 - Proportion of children aged 4-12years who eat the daily recommended serves of fruit' for 2013, 2017, 2019 a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11" name="Picture 1110205011" descr="This figure presents data by gender, age, remoteness and socioeconomic status under the Measure 7.3 - Proportion of children aged 4-12years who eat the daily recommended serves of fruit' for 2013, 2017, 2019 and 2021."/>
                    <pic:cNvPicPr/>
                  </pic:nvPicPr>
                  <pic:blipFill>
                    <a:blip r:embed="rId85"/>
                    <a:stretch>
                      <a:fillRect/>
                    </a:stretch>
                  </pic:blipFill>
                  <pic:spPr>
                    <a:xfrm>
                      <a:off x="0" y="0"/>
                      <a:ext cx="5939757" cy="4450328"/>
                    </a:xfrm>
                    <a:prstGeom prst="rect">
                      <a:avLst/>
                    </a:prstGeom>
                  </pic:spPr>
                </pic:pic>
              </a:graphicData>
            </a:graphic>
          </wp:inline>
        </w:drawing>
      </w:r>
    </w:p>
    <w:p w14:paraId="4276C3CA" w14:textId="2BE73554" w:rsidR="00CE03E4" w:rsidRPr="00B33F2D" w:rsidRDefault="00CC7253" w:rsidP="00FA1AAC">
      <w:pPr>
        <w:pStyle w:val="Tablefigurenote"/>
        <w:rPr>
          <w:i/>
          <w:iCs/>
          <w:sz w:val="18"/>
          <w:szCs w:val="18"/>
        </w:rPr>
      </w:pPr>
      <w:r w:rsidRPr="00B33F2D">
        <w:rPr>
          <w:i/>
          <w:iCs/>
          <w:sz w:val="18"/>
          <w:szCs w:val="18"/>
        </w:rPr>
        <w:t>Source</w:t>
      </w:r>
      <w:r w:rsidR="0088046F" w:rsidRPr="00B33F2D">
        <w:rPr>
          <w:i/>
          <w:iCs/>
          <w:sz w:val="18"/>
          <w:szCs w:val="18"/>
        </w:rPr>
        <w:t>s</w:t>
      </w:r>
      <w:r w:rsidRPr="00B33F2D">
        <w:rPr>
          <w:i/>
          <w:iCs/>
          <w:sz w:val="18"/>
          <w:szCs w:val="18"/>
        </w:rPr>
        <w:t>: Victorian Child Health and Wellbeing Survey</w:t>
      </w:r>
      <w:r w:rsidR="00057AC2" w:rsidRPr="00B33F2D">
        <w:rPr>
          <w:i/>
          <w:iCs/>
          <w:sz w:val="18"/>
          <w:szCs w:val="18"/>
        </w:rPr>
        <w:t>s</w:t>
      </w:r>
      <w:r w:rsidR="006E23D9" w:rsidRPr="00B33F2D">
        <w:rPr>
          <w:i/>
          <w:iCs/>
          <w:sz w:val="18"/>
          <w:szCs w:val="18"/>
        </w:rPr>
        <w:t xml:space="preserve"> 2013</w:t>
      </w:r>
      <w:r w:rsidR="00F66798">
        <w:rPr>
          <w:i/>
          <w:iCs/>
          <w:sz w:val="18"/>
          <w:szCs w:val="18"/>
        </w:rPr>
        <w:t xml:space="preserve">, </w:t>
      </w:r>
      <w:r w:rsidR="00057AC2" w:rsidRPr="00B33F2D">
        <w:rPr>
          <w:i/>
          <w:iCs/>
          <w:sz w:val="18"/>
          <w:szCs w:val="18"/>
        </w:rPr>
        <w:t>2017</w:t>
      </w:r>
      <w:r w:rsidR="00F66798">
        <w:rPr>
          <w:i/>
          <w:iCs/>
          <w:sz w:val="18"/>
          <w:szCs w:val="18"/>
        </w:rPr>
        <w:t>, 2019 and 2021</w:t>
      </w:r>
    </w:p>
    <w:p w14:paraId="001F4A77" w14:textId="630E9BAA" w:rsidR="00950E44" w:rsidRDefault="00950E44" w:rsidP="007C7F00">
      <w:pPr>
        <w:pStyle w:val="Heading4"/>
      </w:pPr>
      <w:r>
        <w:t>Measure assessment</w:t>
      </w:r>
    </w:p>
    <w:p w14:paraId="1669F945" w14:textId="0DC61A1D" w:rsidR="00320DEB" w:rsidRPr="009E55C1" w:rsidRDefault="00950E44" w:rsidP="00606436">
      <w:pPr>
        <w:pStyle w:val="Body"/>
      </w:pPr>
      <w:r w:rsidRPr="009F01B1">
        <w:t>Traffic light rating:</w:t>
      </w:r>
      <w:r w:rsidR="00E14901">
        <w:t xml:space="preserve"> </w:t>
      </w:r>
      <w:r w:rsidR="009E55C1" w:rsidRPr="00D207B2">
        <w:rPr>
          <w:b/>
          <w:color w:val="007B4B"/>
        </w:rPr>
        <w:t>Green</w:t>
      </w:r>
      <w:r w:rsidR="009E55C1">
        <w:t xml:space="preserve"> (satisfactory result)</w:t>
      </w:r>
    </w:p>
    <w:p w14:paraId="0EF90C0D" w14:textId="51BABAD3" w:rsidR="00950E44" w:rsidRDefault="00950E44" w:rsidP="00606436">
      <w:pPr>
        <w:pStyle w:val="Body"/>
      </w:pPr>
      <w:r w:rsidRPr="009F01B1">
        <w:t>Overall trend</w:t>
      </w:r>
      <w:r w:rsidRPr="00843274">
        <w:t xml:space="preserve">: </w:t>
      </w:r>
      <w:r w:rsidR="009E55C1">
        <w:t xml:space="preserve">Moving in the right </w:t>
      </w:r>
      <w:r w:rsidR="002139F1">
        <w:t>direction</w:t>
      </w:r>
    </w:p>
    <w:p w14:paraId="197C2C04" w14:textId="2986DC9A" w:rsidR="00B10D50" w:rsidRPr="00400403" w:rsidRDefault="00950E44" w:rsidP="00E87AAA">
      <w:pPr>
        <w:pStyle w:val="Body"/>
        <w:rPr>
          <w:highlight w:val="yellow"/>
        </w:rPr>
      </w:pPr>
      <w:r w:rsidRPr="00F829F0">
        <w:t>Commentary</w:t>
      </w:r>
      <w:r w:rsidR="00B77CF7">
        <w:t>:</w:t>
      </w:r>
      <w:r w:rsidR="00944AD7">
        <w:t xml:space="preserve"> </w:t>
      </w:r>
      <w:r w:rsidR="002900A0">
        <w:t>Data from t</w:t>
      </w:r>
      <w:r w:rsidR="00944AD7">
        <w:t>he 2013</w:t>
      </w:r>
      <w:r w:rsidR="00236A79">
        <w:t>,</w:t>
      </w:r>
      <w:r w:rsidR="00AB051D">
        <w:t xml:space="preserve"> </w:t>
      </w:r>
      <w:r w:rsidR="00545F73">
        <w:t>2017</w:t>
      </w:r>
      <w:r w:rsidR="00400403">
        <w:t xml:space="preserve">, </w:t>
      </w:r>
      <w:r w:rsidR="00AE6AC7">
        <w:t xml:space="preserve">2019 </w:t>
      </w:r>
      <w:r w:rsidR="00400403">
        <w:t>and 2021</w:t>
      </w:r>
      <w:r w:rsidR="00236A79">
        <w:t xml:space="preserve"> </w:t>
      </w:r>
      <w:r w:rsidR="00944AD7">
        <w:t xml:space="preserve">Victorian Child Health and Wellbeing </w:t>
      </w:r>
      <w:r w:rsidR="00944AD7" w:rsidRPr="00400403">
        <w:t>Survey</w:t>
      </w:r>
      <w:r w:rsidR="00AB051D" w:rsidRPr="00400403">
        <w:t>s</w:t>
      </w:r>
      <w:r w:rsidR="00944AD7" w:rsidRPr="00400403">
        <w:t xml:space="preserve"> show that</w:t>
      </w:r>
      <w:r w:rsidR="006E23D9" w:rsidRPr="00400403">
        <w:t>,</w:t>
      </w:r>
      <w:r w:rsidR="00944AD7" w:rsidRPr="00400403">
        <w:t xml:space="preserve"> among Victorian children aged between </w:t>
      </w:r>
      <w:r w:rsidR="00CA2AD7" w:rsidRPr="00400403">
        <w:t>four</w:t>
      </w:r>
      <w:r w:rsidR="00944AD7" w:rsidRPr="00400403">
        <w:t xml:space="preserve"> and 12 years, </w:t>
      </w:r>
      <w:r w:rsidR="0088046F" w:rsidRPr="00400403">
        <w:t xml:space="preserve">more than </w:t>
      </w:r>
      <w:r w:rsidR="00545F73" w:rsidRPr="00400403">
        <w:t>70</w:t>
      </w:r>
      <w:r w:rsidR="0054537F">
        <w:t>%</w:t>
      </w:r>
      <w:r w:rsidR="00545F73" w:rsidRPr="00400403">
        <w:t xml:space="preserve"> </w:t>
      </w:r>
      <w:r w:rsidR="00B71A96" w:rsidRPr="00400403">
        <w:t>(Figure 7.3</w:t>
      </w:r>
      <w:r w:rsidR="00545F73" w:rsidRPr="00400403">
        <w:t xml:space="preserve"> and Table 7.3</w:t>
      </w:r>
      <w:r w:rsidR="00B71A96" w:rsidRPr="00400403">
        <w:t xml:space="preserve">) </w:t>
      </w:r>
      <w:r w:rsidR="00944AD7" w:rsidRPr="00400403">
        <w:t xml:space="preserve">met the </w:t>
      </w:r>
      <w:r w:rsidR="009F6D45" w:rsidRPr="00400403">
        <w:t>recommended daily intake</w:t>
      </w:r>
      <w:r w:rsidR="00A77FBA" w:rsidRPr="00400403">
        <w:t xml:space="preserve"> for servings of fruit in </w:t>
      </w:r>
      <w:r w:rsidR="0088046F" w:rsidRPr="00400403">
        <w:t xml:space="preserve">line </w:t>
      </w:r>
      <w:r w:rsidR="00A77FBA" w:rsidRPr="00400403">
        <w:t xml:space="preserve">with the </w:t>
      </w:r>
      <w:r w:rsidR="00944AD7" w:rsidRPr="00400403">
        <w:t xml:space="preserve">2013 Australian </w:t>
      </w:r>
      <w:r w:rsidR="0022026C" w:rsidRPr="00400403">
        <w:t>d</w:t>
      </w:r>
      <w:r w:rsidR="00944AD7" w:rsidRPr="00400403">
        <w:t xml:space="preserve">ietary </w:t>
      </w:r>
      <w:r w:rsidR="0022026C" w:rsidRPr="00400403">
        <w:t>g</w:t>
      </w:r>
      <w:r w:rsidR="00944AD7" w:rsidRPr="00400403">
        <w:t>uidelines</w:t>
      </w:r>
      <w:r w:rsidR="00A77FBA" w:rsidRPr="00400403">
        <w:t>.</w:t>
      </w:r>
      <w:r w:rsidR="00952FC7" w:rsidRPr="00400403">
        <w:t xml:space="preserve"> </w:t>
      </w:r>
      <w:r w:rsidR="00AE6AC7" w:rsidRPr="00AE6AC7">
        <w:t>Each</w:t>
      </w:r>
      <w:r w:rsidR="0091516B" w:rsidRPr="00AE6AC7">
        <w:t xml:space="preserve"> survey showed </w:t>
      </w:r>
      <w:r w:rsidR="00A77FBA" w:rsidRPr="00AE6AC7">
        <w:t>a marked difference in consumption by age</w:t>
      </w:r>
      <w:r w:rsidR="006E23D9" w:rsidRPr="00AE6AC7">
        <w:t>,</w:t>
      </w:r>
      <w:r w:rsidR="00A77FBA" w:rsidRPr="00AE6AC7">
        <w:t xml:space="preserve"> </w:t>
      </w:r>
      <w:r w:rsidR="00AE6AC7" w:rsidRPr="00AE6AC7">
        <w:t>notably</w:t>
      </w:r>
      <w:r w:rsidR="0091516B" w:rsidRPr="00AE6AC7">
        <w:t xml:space="preserve"> in 20</w:t>
      </w:r>
      <w:r w:rsidR="00AE6AC7" w:rsidRPr="00AE6AC7">
        <w:t>21</w:t>
      </w:r>
      <w:r w:rsidR="0091516B" w:rsidRPr="00AE6AC7">
        <w:t xml:space="preserve"> </w:t>
      </w:r>
      <w:r w:rsidR="00A77FBA" w:rsidRPr="00AE6AC7">
        <w:t xml:space="preserve">only </w:t>
      </w:r>
      <w:r w:rsidR="00B2357F" w:rsidRPr="00AE6AC7">
        <w:t>6</w:t>
      </w:r>
      <w:r w:rsidR="00AE6AC7" w:rsidRPr="00AE6AC7">
        <w:t>4</w:t>
      </w:r>
      <w:r w:rsidR="00B2357F" w:rsidRPr="00AE6AC7">
        <w:t>.</w:t>
      </w:r>
      <w:r w:rsidR="00AE6AC7" w:rsidRPr="00AE6AC7">
        <w:t>8</w:t>
      </w:r>
      <w:r w:rsidR="0054537F">
        <w:t>%</w:t>
      </w:r>
      <w:r w:rsidR="00A77FBA" w:rsidRPr="00AE6AC7">
        <w:t xml:space="preserve"> of </w:t>
      </w:r>
      <w:r w:rsidR="00003F72" w:rsidRPr="00AE6AC7">
        <w:t>9</w:t>
      </w:r>
      <w:r w:rsidR="00CA2AD7" w:rsidRPr="00AE6AC7">
        <w:t>–</w:t>
      </w:r>
      <w:r w:rsidR="00003F72" w:rsidRPr="00AE6AC7">
        <w:t>12</w:t>
      </w:r>
      <w:r w:rsidR="00D24CD5" w:rsidRPr="00AE6AC7">
        <w:t>-year-olds</w:t>
      </w:r>
      <w:r w:rsidR="00A77FBA" w:rsidRPr="00AE6AC7">
        <w:t xml:space="preserve"> meeting this target compared with </w:t>
      </w:r>
      <w:r w:rsidR="00B2357F" w:rsidRPr="00AE6AC7">
        <w:t>7</w:t>
      </w:r>
      <w:r w:rsidR="00AE6AC7" w:rsidRPr="00AE6AC7">
        <w:t>7</w:t>
      </w:r>
      <w:r w:rsidR="00B2357F" w:rsidRPr="00AE6AC7">
        <w:t>.</w:t>
      </w:r>
      <w:r w:rsidR="00AE6AC7" w:rsidRPr="00AE6AC7">
        <w:t>4</w:t>
      </w:r>
      <w:r w:rsidR="0054537F">
        <w:t>%</w:t>
      </w:r>
      <w:r w:rsidR="00A77FBA" w:rsidRPr="00AE6AC7">
        <w:t xml:space="preserve"> in the youn</w:t>
      </w:r>
      <w:r w:rsidR="00B71A96" w:rsidRPr="00AE6AC7">
        <w:t>ger age cohort (aged 4</w:t>
      </w:r>
      <w:r w:rsidR="00CA2AD7" w:rsidRPr="00AE6AC7">
        <w:t>–</w:t>
      </w:r>
      <w:r w:rsidR="00B71A96" w:rsidRPr="00AE6AC7">
        <w:t xml:space="preserve">8 years) (Figure 7.3.1). </w:t>
      </w:r>
      <w:r w:rsidR="0091516B" w:rsidRPr="00AE6AC7">
        <w:t>Figure 7.3.1 also shows t</w:t>
      </w:r>
      <w:r w:rsidR="00B71A96" w:rsidRPr="00AE6AC7">
        <w:t xml:space="preserve">here was </w:t>
      </w:r>
      <w:r w:rsidR="0091516B" w:rsidRPr="00AE6AC7">
        <w:t xml:space="preserve">little variation between the </w:t>
      </w:r>
      <w:r w:rsidR="00B71A96" w:rsidRPr="00AE6AC7">
        <w:t xml:space="preserve">proportion of children </w:t>
      </w:r>
      <w:r w:rsidR="006E23D9" w:rsidRPr="00AE6AC7">
        <w:t xml:space="preserve">aged four to </w:t>
      </w:r>
      <w:r w:rsidR="00B71A96" w:rsidRPr="00AE6AC7">
        <w:t xml:space="preserve">12 years living in regional areas compared </w:t>
      </w:r>
      <w:r w:rsidR="001B50BF" w:rsidRPr="00AE6AC7">
        <w:t xml:space="preserve">with </w:t>
      </w:r>
      <w:r w:rsidR="00B71A96" w:rsidRPr="00AE6AC7">
        <w:t>metropolitan areas who were consuming the daily recommended serves of fruit. However</w:t>
      </w:r>
      <w:r w:rsidR="0052153B" w:rsidRPr="00AE6AC7">
        <w:t>,</w:t>
      </w:r>
      <w:r w:rsidR="00B71A96" w:rsidRPr="00AE6AC7">
        <w:t xml:space="preserve"> there was an increasing gradient </w:t>
      </w:r>
      <w:r w:rsidR="0091516B" w:rsidRPr="00AE6AC7">
        <w:t xml:space="preserve">between </w:t>
      </w:r>
      <w:r w:rsidR="00CA2AD7" w:rsidRPr="00AE6AC7">
        <w:t>SES</w:t>
      </w:r>
      <w:r w:rsidR="00B71A96" w:rsidRPr="00AE6AC7">
        <w:t xml:space="preserve"> and daily recommended serves of fruit</w:t>
      </w:r>
      <w:r w:rsidR="0091516B" w:rsidRPr="00AE6AC7">
        <w:t xml:space="preserve"> between 2013 and 20</w:t>
      </w:r>
      <w:r w:rsidR="00AE6AC7" w:rsidRPr="00AE6AC7">
        <w:t>21</w:t>
      </w:r>
      <w:r w:rsidR="006E23D9" w:rsidRPr="00AE6AC7">
        <w:t>,</w:t>
      </w:r>
      <w:r w:rsidR="00B71A96" w:rsidRPr="00AE6AC7">
        <w:t xml:space="preserve"> with children </w:t>
      </w:r>
      <w:r w:rsidR="006E23D9" w:rsidRPr="00AE6AC7">
        <w:t xml:space="preserve">aged four to </w:t>
      </w:r>
      <w:r w:rsidR="00B71A96" w:rsidRPr="00AE6AC7">
        <w:t xml:space="preserve">12 years </w:t>
      </w:r>
      <w:r w:rsidR="00B2357F" w:rsidRPr="00AE6AC7">
        <w:t xml:space="preserve">in 2019 </w:t>
      </w:r>
      <w:r w:rsidR="00B71A96" w:rsidRPr="00AE6AC7">
        <w:t>living in least disadvantaged quintiles (</w:t>
      </w:r>
      <w:r w:rsidR="0088046F" w:rsidRPr="00AE6AC7">
        <w:t xml:space="preserve">SES </w:t>
      </w:r>
      <w:r w:rsidR="00B71A96" w:rsidRPr="00AE6AC7">
        <w:t xml:space="preserve">5) </w:t>
      </w:r>
      <w:r w:rsidR="0091516B" w:rsidRPr="00AE6AC7">
        <w:t xml:space="preserve">more recently </w:t>
      </w:r>
      <w:r w:rsidR="00AE6AC7" w:rsidRPr="00AE6AC7">
        <w:t xml:space="preserve">(2021) </w:t>
      </w:r>
      <w:r w:rsidR="00A113D1" w:rsidRPr="00AE6AC7">
        <w:t>consuming</w:t>
      </w:r>
      <w:r w:rsidR="00B71A96" w:rsidRPr="00AE6AC7">
        <w:t xml:space="preserve"> a higher proportion</w:t>
      </w:r>
      <w:r w:rsidR="004D1E9D" w:rsidRPr="00AE6AC7">
        <w:t xml:space="preserve"> of fruit</w:t>
      </w:r>
      <w:r w:rsidR="00B71A96" w:rsidRPr="00AE6AC7">
        <w:t xml:space="preserve"> (7</w:t>
      </w:r>
      <w:r w:rsidR="00AE6AC7" w:rsidRPr="00AE6AC7">
        <w:t>5</w:t>
      </w:r>
      <w:r w:rsidR="0054537F">
        <w:t>%</w:t>
      </w:r>
      <w:r w:rsidR="00B71A96" w:rsidRPr="00AE6AC7">
        <w:t xml:space="preserve"> compared </w:t>
      </w:r>
      <w:r w:rsidR="001B50BF" w:rsidRPr="00AE6AC7">
        <w:t xml:space="preserve">with </w:t>
      </w:r>
      <w:r w:rsidR="00AE6AC7" w:rsidRPr="00AE6AC7">
        <w:t>68.3</w:t>
      </w:r>
      <w:r w:rsidR="0054537F">
        <w:t>%</w:t>
      </w:r>
      <w:r w:rsidR="00B71A96" w:rsidRPr="00AE6AC7">
        <w:t xml:space="preserve"> </w:t>
      </w:r>
      <w:r w:rsidR="00AE6AC7" w:rsidRPr="00AE6AC7">
        <w:t>(</w:t>
      </w:r>
      <w:r w:rsidR="0088046F" w:rsidRPr="00AE6AC7">
        <w:t xml:space="preserve">SES </w:t>
      </w:r>
      <w:r w:rsidR="00B71A96" w:rsidRPr="00AE6AC7">
        <w:t>1</w:t>
      </w:r>
      <w:r w:rsidR="00AE6AC7" w:rsidRPr="00AE6AC7">
        <w:t>)</w:t>
      </w:r>
      <w:r w:rsidR="006E23D9" w:rsidRPr="00AE6AC7">
        <w:t>)</w:t>
      </w:r>
      <w:r w:rsidR="00B71A96" w:rsidRPr="00AE6AC7">
        <w:t>.</w:t>
      </w:r>
    </w:p>
    <w:p w14:paraId="718C0DE1" w14:textId="35C9D969" w:rsidR="007E73DD" w:rsidRPr="00A451D4" w:rsidRDefault="005D1A3E" w:rsidP="007E73DD">
      <w:pPr>
        <w:pStyle w:val="Body"/>
        <w:rPr>
          <w:rStyle w:val="Heading3Char"/>
        </w:rPr>
      </w:pPr>
      <w:r>
        <w:t xml:space="preserve">From the available </w:t>
      </w:r>
      <w:r w:rsidR="00E14901" w:rsidRPr="00AE6AC7">
        <w:t xml:space="preserve">trend </w:t>
      </w:r>
      <w:r w:rsidR="00680FF5" w:rsidRPr="00AE6AC7">
        <w:t>data</w:t>
      </w:r>
      <w:r w:rsidR="00E14901" w:rsidRPr="00AE6AC7">
        <w:t xml:space="preserve"> for this age group, </w:t>
      </w:r>
      <w:r w:rsidR="004747EE" w:rsidRPr="00AE6AC7">
        <w:t xml:space="preserve">it is encouraging </w:t>
      </w:r>
      <w:r w:rsidR="00E14901" w:rsidRPr="00AE6AC7">
        <w:t xml:space="preserve">that </w:t>
      </w:r>
      <w:r w:rsidR="009E55C1" w:rsidRPr="00AE6AC7">
        <w:t>in 20</w:t>
      </w:r>
      <w:r w:rsidR="00AE6AC7" w:rsidRPr="00AE6AC7">
        <w:t>21</w:t>
      </w:r>
      <w:r w:rsidR="009E55C1" w:rsidRPr="00AE6AC7">
        <w:t xml:space="preserve"> </w:t>
      </w:r>
      <w:r w:rsidR="00AE6AC7" w:rsidRPr="00AE6AC7">
        <w:t>more than</w:t>
      </w:r>
      <w:r w:rsidR="00E14901" w:rsidRPr="00AE6AC7">
        <w:t xml:space="preserve"> 7</w:t>
      </w:r>
      <w:r w:rsidR="00AE6AC7" w:rsidRPr="00AE6AC7">
        <w:t>0</w:t>
      </w:r>
      <w:r w:rsidR="0054537F">
        <w:t>%</w:t>
      </w:r>
      <w:r w:rsidR="00E14901" w:rsidRPr="00AE6AC7">
        <w:t xml:space="preserve"> of </w:t>
      </w:r>
      <w:r w:rsidR="00A70494" w:rsidRPr="00AE6AC7">
        <w:t xml:space="preserve">Victorian </w:t>
      </w:r>
      <w:r w:rsidR="00E14901" w:rsidRPr="00AE6AC7">
        <w:t xml:space="preserve">children </w:t>
      </w:r>
      <w:r w:rsidR="006E23D9" w:rsidRPr="00AE6AC7">
        <w:t xml:space="preserve">aged between </w:t>
      </w:r>
      <w:r w:rsidR="00D742D0" w:rsidRPr="00AE6AC7">
        <w:t>four and 12</w:t>
      </w:r>
      <w:r w:rsidR="004747EE" w:rsidRPr="00AE6AC7">
        <w:t xml:space="preserve"> </w:t>
      </w:r>
      <w:r w:rsidR="00D742D0" w:rsidRPr="00AE6AC7">
        <w:t>years</w:t>
      </w:r>
      <w:r w:rsidR="00E14901" w:rsidRPr="00AE6AC7">
        <w:t xml:space="preserve"> </w:t>
      </w:r>
      <w:r w:rsidR="00E14901" w:rsidRPr="00AE6AC7">
        <w:rPr>
          <w:lang w:val="en"/>
        </w:rPr>
        <w:t>met the national dietary guideline for daily fruit intake</w:t>
      </w:r>
      <w:r w:rsidR="002B0CEB" w:rsidRPr="00AE6AC7">
        <w:t>.</w:t>
      </w:r>
      <w:r w:rsidR="007E73DD" w:rsidRPr="00AE6AC7">
        <w:t xml:space="preserve"> </w:t>
      </w:r>
      <w:bookmarkStart w:id="473" w:name="_Hlk136867172"/>
      <w:r w:rsidR="007E73DD" w:rsidRPr="00AE6AC7">
        <w:t>C</w:t>
      </w:r>
      <w:r w:rsidR="007E73DD" w:rsidRPr="00AE6AC7">
        <w:rPr>
          <w:lang w:val="en"/>
        </w:rPr>
        <w:t>aution is advised when interpreting these findings</w:t>
      </w:r>
      <w:r w:rsidR="0025634E" w:rsidRPr="00AE6AC7">
        <w:rPr>
          <w:lang w:val="en"/>
        </w:rPr>
        <w:t xml:space="preserve"> as it relates to this measure</w:t>
      </w:r>
      <w:r w:rsidR="007E73DD" w:rsidRPr="00AE6AC7">
        <w:rPr>
          <w:lang w:val="en"/>
        </w:rPr>
        <w:t xml:space="preserve"> as consumption trends may have altered due to the </w:t>
      </w:r>
      <w:r w:rsidR="0025634E" w:rsidRPr="00AE6AC7">
        <w:rPr>
          <w:lang w:val="en"/>
        </w:rPr>
        <w:t xml:space="preserve">restrictive measures imposed to reduce the impact of </w:t>
      </w:r>
      <w:r w:rsidR="007E73DD" w:rsidRPr="00AE6AC7">
        <w:rPr>
          <w:lang w:val="en"/>
        </w:rPr>
        <w:t>COVID</w:t>
      </w:r>
      <w:r w:rsidR="0025634E" w:rsidRPr="00AE6AC7">
        <w:rPr>
          <w:lang w:val="en"/>
        </w:rPr>
        <w:t>-19</w:t>
      </w:r>
      <w:r w:rsidR="007E73DD" w:rsidRPr="00AE6AC7">
        <w:rPr>
          <w:lang w:val="en"/>
        </w:rPr>
        <w:t>.</w:t>
      </w:r>
      <w:r w:rsidR="007E73DD" w:rsidRPr="006078FE">
        <w:rPr>
          <w:lang w:val="en"/>
        </w:rPr>
        <w:t xml:space="preserve"> </w:t>
      </w:r>
      <w:bookmarkEnd w:id="473"/>
      <w:r w:rsidR="007E73DD" w:rsidRPr="00A451D4">
        <w:rPr>
          <w:rStyle w:val="Heading3Char"/>
        </w:rPr>
        <w:br w:type="page"/>
      </w:r>
    </w:p>
    <w:p w14:paraId="643E3678" w14:textId="24FD5DFC" w:rsidR="009B17F6" w:rsidRDefault="009B17F6" w:rsidP="00E87AAA">
      <w:pPr>
        <w:pStyle w:val="Body"/>
      </w:pPr>
    </w:p>
    <w:p w14:paraId="2F125478" w14:textId="41BC874A" w:rsidR="00784A70" w:rsidRPr="003E6A0B" w:rsidRDefault="00784A70" w:rsidP="00A451D4">
      <w:pPr>
        <w:pStyle w:val="Heading3"/>
        <w:rPr>
          <w:b/>
          <w:bCs w:val="0"/>
        </w:rPr>
      </w:pPr>
      <w:bookmarkStart w:id="474" w:name="_Measure_7.4_–"/>
      <w:bookmarkEnd w:id="474"/>
      <w:r w:rsidRPr="003E6A0B">
        <w:rPr>
          <w:b/>
          <w:bCs w:val="0"/>
        </w:rPr>
        <w:t>Measure 7.4 –</w:t>
      </w:r>
      <w:r w:rsidR="00782252" w:rsidRPr="003E6A0B">
        <w:rPr>
          <w:b/>
          <w:bCs w:val="0"/>
        </w:rPr>
        <w:t xml:space="preserve"> Mean daily serves of vegetables in adults</w:t>
      </w:r>
    </w:p>
    <w:p w14:paraId="6D3F4786" w14:textId="4D5B397A" w:rsidR="00275DB3" w:rsidRDefault="00275DB3" w:rsidP="0091523F">
      <w:pPr>
        <w:pStyle w:val="Figurecaption"/>
        <w:rPr>
          <w:sz w:val="20"/>
        </w:rPr>
      </w:pPr>
      <w:bookmarkStart w:id="475" w:name="_Toc19008071"/>
      <w:bookmarkStart w:id="476" w:name="_Toc19008307"/>
      <w:bookmarkStart w:id="477" w:name="_Toc19008454"/>
      <w:bookmarkStart w:id="478" w:name="_Toc19008601"/>
      <w:bookmarkStart w:id="479" w:name="_Toc132553033"/>
      <w:bookmarkStart w:id="480" w:name="_Toc140827642"/>
      <w:r w:rsidRPr="76BE792E">
        <w:rPr>
          <w:sz w:val="20"/>
        </w:rPr>
        <w:t>Figure 7.4</w:t>
      </w:r>
      <w:r w:rsidR="003B391F" w:rsidRPr="76BE792E">
        <w:rPr>
          <w:sz w:val="20"/>
        </w:rPr>
        <w:t>:</w:t>
      </w:r>
      <w:r w:rsidR="0079105B" w:rsidRPr="76BE792E">
        <w:rPr>
          <w:sz w:val="20"/>
        </w:rPr>
        <w:t xml:space="preserve"> Daily vegetable consumption among OECD adults, 201</w:t>
      </w:r>
      <w:r w:rsidR="00F47813" w:rsidRPr="76BE792E">
        <w:rPr>
          <w:sz w:val="20"/>
        </w:rPr>
        <w:t>7</w:t>
      </w:r>
      <w:r w:rsidR="0079105B" w:rsidRPr="76BE792E">
        <w:rPr>
          <w:sz w:val="20"/>
        </w:rPr>
        <w:t xml:space="preserve"> (or nearest year)</w:t>
      </w:r>
      <w:r w:rsidR="0079105B" w:rsidRPr="76BE792E">
        <w:rPr>
          <w:rStyle w:val="FootnoteReference"/>
          <w:sz w:val="20"/>
          <w:lang w:eastAsia="en-AU"/>
        </w:rPr>
        <w:footnoteReference w:id="96"/>
      </w:r>
      <w:bookmarkEnd w:id="475"/>
      <w:bookmarkEnd w:id="476"/>
      <w:bookmarkEnd w:id="477"/>
      <w:bookmarkEnd w:id="478"/>
      <w:bookmarkEnd w:id="479"/>
      <w:bookmarkEnd w:id="480"/>
    </w:p>
    <w:p w14:paraId="30A49867" w14:textId="43AAD61B" w:rsidR="00C6049D" w:rsidRPr="00C6049D" w:rsidRDefault="008F2839" w:rsidP="008F2839">
      <w:pPr>
        <w:pStyle w:val="DHHSbody"/>
      </w:pPr>
      <w:r w:rsidRPr="008F2839">
        <w:rPr>
          <w:noProof/>
        </w:rPr>
        <w:drawing>
          <wp:inline distT="0" distB="0" distL="0" distR="0" wp14:anchorId="1DDAAD93" wp14:editId="6DB13E2A">
            <wp:extent cx="6096000" cy="2695575"/>
            <wp:effectExtent l="0" t="0" r="0" b="9525"/>
            <wp:docPr id="1110205012" name="Picture 1110205012" descr="This figure shows the proportion of adult population (15 years and over) of OECD countries who consume at least one serving of vegetables per day by gender for 2017.  The data is available from the OECD website: https://doi.org/10.1787/4dd50c09-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12" name="Picture 1110205012" descr="This figure shows the proportion of adult population (15 years and over) of OECD countries who consume at least one serving of vegetables per day by gender for 2017.  The data is available from the OECD website: https://doi.org/10.1787/4dd50c09-en. "/>
                    <pic:cNvPicPr/>
                  </pic:nvPicPr>
                  <pic:blipFill>
                    <a:blip r:embed="rId86"/>
                    <a:stretch>
                      <a:fillRect/>
                    </a:stretch>
                  </pic:blipFill>
                  <pic:spPr>
                    <a:xfrm>
                      <a:off x="0" y="0"/>
                      <a:ext cx="6110035" cy="2701781"/>
                    </a:xfrm>
                    <a:prstGeom prst="rect">
                      <a:avLst/>
                    </a:prstGeom>
                  </pic:spPr>
                </pic:pic>
              </a:graphicData>
            </a:graphic>
          </wp:inline>
        </w:drawing>
      </w:r>
    </w:p>
    <w:p w14:paraId="561F549A" w14:textId="500929D7" w:rsidR="0022084E" w:rsidRPr="00B33F2D" w:rsidRDefault="0022084E" w:rsidP="00FA1AAC">
      <w:pPr>
        <w:pStyle w:val="Tablefigurenote"/>
        <w:rPr>
          <w:i/>
          <w:iCs/>
          <w:sz w:val="18"/>
          <w:szCs w:val="18"/>
        </w:rPr>
      </w:pPr>
      <w:r w:rsidRPr="00B33F2D">
        <w:rPr>
          <w:i/>
          <w:iCs/>
          <w:sz w:val="18"/>
          <w:szCs w:val="18"/>
        </w:rPr>
        <w:t>Source: OECD Health Statistics 201</w:t>
      </w:r>
      <w:r w:rsidR="00F47813" w:rsidRPr="00B33F2D">
        <w:rPr>
          <w:i/>
          <w:iCs/>
          <w:sz w:val="18"/>
          <w:szCs w:val="18"/>
        </w:rPr>
        <w:t>9</w:t>
      </w:r>
    </w:p>
    <w:p w14:paraId="6D02E039" w14:textId="4C0DC87C" w:rsidR="00BB646C" w:rsidRPr="00B33F2D" w:rsidRDefault="00BB646C" w:rsidP="00FA1AAC">
      <w:pPr>
        <w:pStyle w:val="Tablefigurenote"/>
        <w:rPr>
          <w:i/>
          <w:iCs/>
          <w:sz w:val="18"/>
          <w:szCs w:val="18"/>
        </w:rPr>
      </w:pPr>
      <w:r w:rsidRPr="00B33F2D">
        <w:rPr>
          <w:i/>
          <w:iCs/>
          <w:sz w:val="18"/>
          <w:szCs w:val="18"/>
        </w:rPr>
        <w:t xml:space="preserve">Note: Data for Australia, Korea and New Zealand are derived from quantity-type questions: OCED 34 = the average of 34 OECD countries; Australia is highlighted in </w:t>
      </w:r>
      <w:r w:rsidRPr="00B33F2D">
        <w:rPr>
          <w:i/>
          <w:iCs/>
          <w:color w:val="C00000"/>
          <w:sz w:val="18"/>
          <w:szCs w:val="18"/>
        </w:rPr>
        <w:t>red</w:t>
      </w:r>
      <w:r w:rsidR="00F904DE" w:rsidRPr="00B33F2D">
        <w:rPr>
          <w:i/>
          <w:iCs/>
          <w:sz w:val="18"/>
          <w:szCs w:val="18"/>
        </w:rPr>
        <w:t>.</w:t>
      </w:r>
    </w:p>
    <w:p w14:paraId="016B84EB" w14:textId="0BE4A599" w:rsidR="00F0519E" w:rsidRDefault="00F0519E" w:rsidP="0091523F">
      <w:pPr>
        <w:pStyle w:val="Figurecaption"/>
        <w:rPr>
          <w:sz w:val="20"/>
        </w:rPr>
      </w:pPr>
      <w:bookmarkStart w:id="481" w:name="_Toc19008072"/>
      <w:bookmarkStart w:id="482" w:name="_Toc19008308"/>
      <w:bookmarkStart w:id="483" w:name="_Toc19008455"/>
      <w:bookmarkStart w:id="484" w:name="_Toc19008602"/>
      <w:bookmarkStart w:id="485" w:name="_Toc132553034"/>
      <w:bookmarkStart w:id="486" w:name="_Toc140827643"/>
      <w:r w:rsidRPr="00B33F2D">
        <w:rPr>
          <w:sz w:val="20"/>
        </w:rPr>
        <w:t>Figure 7.4.1</w:t>
      </w:r>
      <w:r w:rsidR="003B391F" w:rsidRPr="00B33F2D">
        <w:rPr>
          <w:sz w:val="20"/>
        </w:rPr>
        <w:t>:</w:t>
      </w:r>
      <w:r w:rsidRPr="00B33F2D">
        <w:rPr>
          <w:sz w:val="20"/>
        </w:rPr>
        <w:t xml:space="preserve"> Average daily vegetable intake for adults aged 18 years </w:t>
      </w:r>
      <w:r w:rsidR="00CA2AD7" w:rsidRPr="00B33F2D">
        <w:rPr>
          <w:sz w:val="20"/>
        </w:rPr>
        <w:t>or older</w:t>
      </w:r>
      <w:r w:rsidRPr="00B33F2D">
        <w:rPr>
          <w:sz w:val="20"/>
        </w:rPr>
        <w:t>, 2014</w:t>
      </w:r>
      <w:r w:rsidR="00CA2AD7" w:rsidRPr="00B33F2D">
        <w:rPr>
          <w:sz w:val="20"/>
        </w:rPr>
        <w:t>–</w:t>
      </w:r>
      <w:r w:rsidRPr="00B33F2D">
        <w:rPr>
          <w:sz w:val="20"/>
        </w:rPr>
        <w:t>15</w:t>
      </w:r>
      <w:bookmarkEnd w:id="481"/>
      <w:bookmarkEnd w:id="482"/>
      <w:bookmarkEnd w:id="483"/>
      <w:bookmarkEnd w:id="484"/>
      <w:r w:rsidR="00675CC5" w:rsidRPr="00B33F2D">
        <w:rPr>
          <w:sz w:val="20"/>
        </w:rPr>
        <w:t xml:space="preserve"> and 2017–18</w:t>
      </w:r>
      <w:bookmarkEnd w:id="485"/>
      <w:bookmarkEnd w:id="486"/>
    </w:p>
    <w:p w14:paraId="5DB1A59D" w14:textId="3F9344E4" w:rsidR="008F2839" w:rsidRPr="008F2839" w:rsidRDefault="008F2839" w:rsidP="008F2839">
      <w:pPr>
        <w:pStyle w:val="DHHSbody"/>
      </w:pPr>
      <w:r w:rsidRPr="008F2839">
        <w:rPr>
          <w:noProof/>
        </w:rPr>
        <w:drawing>
          <wp:inline distT="0" distB="0" distL="0" distR="0" wp14:anchorId="0FC6B73F" wp14:editId="43159E5B">
            <wp:extent cx="5829300" cy="2800101"/>
            <wp:effectExtent l="0" t="0" r="0" b="635"/>
            <wp:docPr id="1110205013" name="Picture 1110205013" descr="This figure shows that Australian daily average vegetable intake for adults aged 18 years or older by sex for 2014-2015 and 2017-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13" name="Picture 1110205013" descr="This figure shows that Australian daily average vegetable intake for adults aged 18 years or older by sex for 2014-2015 and 2017-2018."/>
                    <pic:cNvPicPr/>
                  </pic:nvPicPr>
                  <pic:blipFill>
                    <a:blip r:embed="rId87"/>
                    <a:stretch>
                      <a:fillRect/>
                    </a:stretch>
                  </pic:blipFill>
                  <pic:spPr>
                    <a:xfrm>
                      <a:off x="0" y="0"/>
                      <a:ext cx="5842184" cy="2806290"/>
                    </a:xfrm>
                    <a:prstGeom prst="rect">
                      <a:avLst/>
                    </a:prstGeom>
                  </pic:spPr>
                </pic:pic>
              </a:graphicData>
            </a:graphic>
          </wp:inline>
        </w:drawing>
      </w:r>
    </w:p>
    <w:p w14:paraId="0FDACFE5" w14:textId="1906333D" w:rsidR="00C656A9" w:rsidRPr="00C656A9" w:rsidRDefault="00C656A9" w:rsidP="00E87AAA">
      <w:pPr>
        <w:pStyle w:val="Body"/>
      </w:pPr>
    </w:p>
    <w:p w14:paraId="24EC5937" w14:textId="5EE1E5AB" w:rsidR="008D37D4" w:rsidRPr="00B33F2D" w:rsidRDefault="008D37D4" w:rsidP="00660649">
      <w:pPr>
        <w:pStyle w:val="Tablefigurenote"/>
        <w:rPr>
          <w:rFonts w:cs="Arial"/>
          <w:i/>
          <w:iCs/>
          <w:sz w:val="18"/>
          <w:szCs w:val="18"/>
          <w:lang w:eastAsia="en-AU"/>
        </w:rPr>
      </w:pPr>
      <w:r w:rsidRPr="00B33F2D">
        <w:rPr>
          <w:rFonts w:cs="Arial"/>
          <w:i/>
          <w:iCs/>
          <w:sz w:val="18"/>
          <w:szCs w:val="18"/>
          <w:lang w:eastAsia="en-AU"/>
        </w:rPr>
        <w:t>Source</w:t>
      </w:r>
      <w:r w:rsidR="004747EE" w:rsidRPr="00B33F2D">
        <w:rPr>
          <w:rFonts w:cs="Arial"/>
          <w:i/>
          <w:iCs/>
          <w:sz w:val="18"/>
          <w:szCs w:val="18"/>
          <w:lang w:eastAsia="en-AU"/>
        </w:rPr>
        <w:t>s</w:t>
      </w:r>
      <w:r w:rsidRPr="00B33F2D">
        <w:rPr>
          <w:rFonts w:cs="Arial"/>
          <w:i/>
          <w:iCs/>
          <w:sz w:val="18"/>
          <w:szCs w:val="18"/>
          <w:lang w:eastAsia="en-AU"/>
        </w:rPr>
        <w:t xml:space="preserve">: </w:t>
      </w:r>
      <w:r w:rsidR="00781191" w:rsidRPr="00B33F2D">
        <w:rPr>
          <w:i/>
          <w:iCs/>
          <w:sz w:val="18"/>
          <w:szCs w:val="18"/>
        </w:rPr>
        <w:t>ABS</w:t>
      </w:r>
      <w:r w:rsidRPr="00B33F2D">
        <w:rPr>
          <w:i/>
          <w:iCs/>
          <w:sz w:val="18"/>
          <w:szCs w:val="18"/>
        </w:rPr>
        <w:t xml:space="preserve"> 2015</w:t>
      </w:r>
      <w:r w:rsidR="004747EE" w:rsidRPr="00B33F2D">
        <w:rPr>
          <w:i/>
          <w:iCs/>
          <w:sz w:val="18"/>
          <w:szCs w:val="18"/>
        </w:rPr>
        <w:t>,</w:t>
      </w:r>
      <w:r w:rsidRPr="00B33F2D">
        <w:rPr>
          <w:i/>
          <w:iCs/>
          <w:sz w:val="18"/>
          <w:szCs w:val="18"/>
        </w:rPr>
        <w:t xml:space="preserve"> 4364.0.55.001 National Health Survey: First </w:t>
      </w:r>
      <w:r w:rsidR="0022026C" w:rsidRPr="00B33F2D">
        <w:rPr>
          <w:i/>
          <w:iCs/>
          <w:sz w:val="18"/>
          <w:szCs w:val="18"/>
        </w:rPr>
        <w:t>r</w:t>
      </w:r>
      <w:r w:rsidRPr="00B33F2D">
        <w:rPr>
          <w:i/>
          <w:iCs/>
          <w:sz w:val="18"/>
          <w:szCs w:val="18"/>
        </w:rPr>
        <w:t>esults 2014</w:t>
      </w:r>
      <w:r w:rsidR="00690CD3" w:rsidRPr="00B33F2D">
        <w:rPr>
          <w:i/>
          <w:iCs/>
          <w:sz w:val="18"/>
          <w:szCs w:val="18"/>
        </w:rPr>
        <w:t>–1</w:t>
      </w:r>
      <w:r w:rsidRPr="00B33F2D">
        <w:rPr>
          <w:i/>
          <w:iCs/>
          <w:sz w:val="18"/>
          <w:szCs w:val="18"/>
        </w:rPr>
        <w:t>5, Australia, Australian Government, Canberra</w:t>
      </w:r>
      <w:r w:rsidR="00E8678A" w:rsidRPr="00B33F2D">
        <w:rPr>
          <w:i/>
          <w:iCs/>
          <w:sz w:val="18"/>
          <w:szCs w:val="18"/>
        </w:rPr>
        <w:t>; ABS 2018</w:t>
      </w:r>
      <w:r w:rsidR="004747EE" w:rsidRPr="00B33F2D">
        <w:rPr>
          <w:i/>
          <w:iCs/>
          <w:sz w:val="18"/>
          <w:szCs w:val="18"/>
        </w:rPr>
        <w:t>,</w:t>
      </w:r>
      <w:r w:rsidR="00E8678A" w:rsidRPr="00B33F2D">
        <w:rPr>
          <w:i/>
          <w:iCs/>
          <w:sz w:val="18"/>
          <w:szCs w:val="18"/>
        </w:rPr>
        <w:t xml:space="preserve"> 4364.0.55.001 National Health Survey: First results 2017–18, Australia, Australian Government, Canberra</w:t>
      </w:r>
    </w:p>
    <w:p w14:paraId="0A43891D" w14:textId="4B2C01A0" w:rsidR="00BD19A0" w:rsidRDefault="008D37D4" w:rsidP="00660649">
      <w:pPr>
        <w:pStyle w:val="Tablefigurenote"/>
        <w:rPr>
          <w:rFonts w:cs="Arial"/>
          <w:lang w:eastAsia="en-AU"/>
        </w:rPr>
      </w:pPr>
      <w:r w:rsidRPr="00B33F2D">
        <w:rPr>
          <w:rFonts w:cs="Arial"/>
          <w:i/>
          <w:iCs/>
          <w:sz w:val="18"/>
          <w:szCs w:val="18"/>
          <w:lang w:eastAsia="en-AU"/>
        </w:rPr>
        <w:t>Note:</w:t>
      </w:r>
      <w:r w:rsidR="00952FC7" w:rsidRPr="00B33F2D">
        <w:rPr>
          <w:rFonts w:cs="Arial"/>
          <w:i/>
          <w:iCs/>
          <w:sz w:val="18"/>
          <w:szCs w:val="18"/>
          <w:lang w:eastAsia="en-AU"/>
        </w:rPr>
        <w:t xml:space="preserve"> </w:t>
      </w:r>
      <w:r w:rsidRPr="00B33F2D">
        <w:rPr>
          <w:rFonts w:cs="Arial"/>
          <w:i/>
          <w:iCs/>
          <w:sz w:val="18"/>
          <w:szCs w:val="18"/>
          <w:lang w:eastAsia="en-AU"/>
        </w:rPr>
        <w:t>Data not age-standardised</w:t>
      </w:r>
      <w:r w:rsidR="00E04FE2" w:rsidRPr="00B33F2D">
        <w:rPr>
          <w:rFonts w:cs="Arial"/>
          <w:i/>
          <w:iCs/>
          <w:sz w:val="18"/>
          <w:szCs w:val="18"/>
          <w:lang w:eastAsia="en-AU"/>
        </w:rPr>
        <w:t>.</w:t>
      </w:r>
      <w:r w:rsidR="00BD19A0">
        <w:rPr>
          <w:rFonts w:cs="Arial"/>
          <w:lang w:eastAsia="en-AU"/>
        </w:rPr>
        <w:br w:type="page"/>
      </w:r>
    </w:p>
    <w:p w14:paraId="6F01B4C7" w14:textId="77F35454" w:rsidR="00C42E4E" w:rsidRDefault="00C42E4E" w:rsidP="0091523F">
      <w:pPr>
        <w:pStyle w:val="Figurecaption"/>
        <w:rPr>
          <w:sz w:val="20"/>
        </w:rPr>
      </w:pPr>
      <w:bookmarkStart w:id="487" w:name="_Toc19008073"/>
      <w:bookmarkStart w:id="488" w:name="_Toc19008309"/>
      <w:bookmarkStart w:id="489" w:name="_Toc19008456"/>
      <w:bookmarkStart w:id="490" w:name="_Toc19008603"/>
      <w:bookmarkStart w:id="491" w:name="_Toc132553035"/>
      <w:bookmarkStart w:id="492" w:name="_Toc140827644"/>
      <w:r w:rsidRPr="00B33F2D">
        <w:rPr>
          <w:sz w:val="20"/>
        </w:rPr>
        <w:lastRenderedPageBreak/>
        <w:t>Figure 7.4.</w:t>
      </w:r>
      <w:r w:rsidR="00F0519E" w:rsidRPr="00B33F2D">
        <w:rPr>
          <w:sz w:val="20"/>
        </w:rPr>
        <w:t>2</w:t>
      </w:r>
      <w:r w:rsidR="003B391F" w:rsidRPr="00B33F2D">
        <w:rPr>
          <w:sz w:val="20"/>
        </w:rPr>
        <w:t>:</w:t>
      </w:r>
      <w:r w:rsidRPr="00B33F2D">
        <w:rPr>
          <w:sz w:val="20"/>
        </w:rPr>
        <w:t xml:space="preserve"> Mean daily </w:t>
      </w:r>
      <w:r w:rsidR="00070496" w:rsidRPr="00B33F2D">
        <w:rPr>
          <w:sz w:val="20"/>
        </w:rPr>
        <w:t>serves of vegetables in Victorian adults</w:t>
      </w:r>
      <w:r w:rsidR="00F6060A">
        <w:rPr>
          <w:sz w:val="20"/>
        </w:rPr>
        <w:t xml:space="preserve"> (</w:t>
      </w:r>
      <w:r w:rsidR="00F6060A" w:rsidRPr="00B33F2D">
        <w:rPr>
          <w:bCs/>
          <w:color w:val="000000"/>
          <w:sz w:val="20"/>
        </w:rPr>
        <w:t>aged 18 years or older)</w:t>
      </w:r>
      <w:r w:rsidR="00D24CD5" w:rsidRPr="00B33F2D">
        <w:rPr>
          <w:sz w:val="20"/>
        </w:rPr>
        <w:t>,</w:t>
      </w:r>
      <w:r w:rsidR="00070496" w:rsidRPr="00B33F2D">
        <w:rPr>
          <w:sz w:val="20"/>
        </w:rPr>
        <w:t xml:space="preserve"> by year, 2011</w:t>
      </w:r>
      <w:r w:rsidR="00CA2AD7" w:rsidRPr="00B33F2D">
        <w:rPr>
          <w:sz w:val="20"/>
        </w:rPr>
        <w:t>–</w:t>
      </w:r>
      <w:r w:rsidR="00070496" w:rsidRPr="00B33F2D">
        <w:rPr>
          <w:sz w:val="20"/>
        </w:rPr>
        <w:t>201</w:t>
      </w:r>
      <w:r w:rsidR="005736CF" w:rsidRPr="00B33F2D">
        <w:rPr>
          <w:sz w:val="20"/>
        </w:rPr>
        <w:t>9</w:t>
      </w:r>
      <w:bookmarkEnd w:id="487"/>
      <w:bookmarkEnd w:id="488"/>
      <w:bookmarkEnd w:id="489"/>
      <w:bookmarkEnd w:id="490"/>
      <w:bookmarkEnd w:id="491"/>
      <w:bookmarkEnd w:id="492"/>
    </w:p>
    <w:p w14:paraId="4BA31E97" w14:textId="78EFBA19" w:rsidR="00136324" w:rsidRDefault="008F2839" w:rsidP="008F2839">
      <w:pPr>
        <w:pStyle w:val="DHHSbody"/>
      </w:pPr>
      <w:r w:rsidRPr="008F2839">
        <w:rPr>
          <w:noProof/>
        </w:rPr>
        <w:drawing>
          <wp:inline distT="0" distB="0" distL="0" distR="0" wp14:anchorId="4F05AE7C" wp14:editId="06B8C1CE">
            <wp:extent cx="5991225" cy="3295174"/>
            <wp:effectExtent l="0" t="0" r="0" b="635"/>
            <wp:docPr id="1110205014" name="Picture 1110205014" descr="This figure presents data under the 'Measure 7.4 - Mean daily serves of vegetables in adults'. It shows  the mean daily serves of vegetables in Victorian adults (aged 18 years or older) for the study period 2011 to 2019. The data for this figure is available in this section - refer to Tabl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14" name="Picture 1110205014" descr="This figure presents data under the 'Measure 7.4 - Mean daily serves of vegetables in adults'. It shows  the mean daily serves of vegetables in Victorian adults (aged 18 years or older) for the study period 2011 to 2019. The data for this figure is available in this section - refer to Table 7.4."/>
                    <pic:cNvPicPr/>
                  </pic:nvPicPr>
                  <pic:blipFill>
                    <a:blip r:embed="rId88"/>
                    <a:stretch>
                      <a:fillRect/>
                    </a:stretch>
                  </pic:blipFill>
                  <pic:spPr>
                    <a:xfrm>
                      <a:off x="0" y="0"/>
                      <a:ext cx="5998629" cy="3299246"/>
                    </a:xfrm>
                    <a:prstGeom prst="rect">
                      <a:avLst/>
                    </a:prstGeom>
                  </pic:spPr>
                </pic:pic>
              </a:graphicData>
            </a:graphic>
          </wp:inline>
        </w:drawing>
      </w:r>
      <w:bookmarkStart w:id="493" w:name="_Toc18908733"/>
    </w:p>
    <w:p w14:paraId="69EE0A1E" w14:textId="718F6F9E" w:rsidR="00F40022" w:rsidRPr="00B33F2D" w:rsidRDefault="00F40022" w:rsidP="00136324">
      <w:pPr>
        <w:pStyle w:val="Tablecaption"/>
        <w:rPr>
          <w:sz w:val="20"/>
        </w:rPr>
      </w:pPr>
      <w:bookmarkStart w:id="494" w:name="_Toc132491531"/>
      <w:bookmarkStart w:id="495" w:name="_Toc140834923"/>
      <w:r w:rsidRPr="00B33F2D">
        <w:rPr>
          <w:noProof/>
          <w:sz w:val="20"/>
        </w:rPr>
        <w:t>Table 7.4</w:t>
      </w:r>
      <w:r w:rsidR="001F7E28" w:rsidRPr="00B33F2D">
        <w:rPr>
          <w:sz w:val="20"/>
        </w:rPr>
        <w:t>:</w:t>
      </w:r>
      <w:r w:rsidRPr="00B33F2D">
        <w:rPr>
          <w:noProof/>
          <w:sz w:val="20"/>
        </w:rPr>
        <w:t xml:space="preserve"> Mean daily serves of vegetables in Victorian adults</w:t>
      </w:r>
      <w:r w:rsidR="00D24CD5" w:rsidRPr="00B33F2D">
        <w:rPr>
          <w:noProof/>
          <w:sz w:val="20"/>
        </w:rPr>
        <w:t>,</w:t>
      </w:r>
      <w:r w:rsidRPr="00B33F2D">
        <w:rPr>
          <w:noProof/>
          <w:sz w:val="20"/>
        </w:rPr>
        <w:t xml:space="preserve"> by year, 2011</w:t>
      </w:r>
      <w:r w:rsidR="00CA2AD7" w:rsidRPr="00B33F2D">
        <w:rPr>
          <w:noProof/>
          <w:sz w:val="20"/>
        </w:rPr>
        <w:t>–</w:t>
      </w:r>
      <w:r w:rsidRPr="00B33F2D">
        <w:rPr>
          <w:noProof/>
          <w:sz w:val="20"/>
        </w:rPr>
        <w:t>201</w:t>
      </w:r>
      <w:r w:rsidR="005736CF" w:rsidRPr="00B33F2D">
        <w:rPr>
          <w:noProof/>
          <w:sz w:val="20"/>
        </w:rPr>
        <w:t>9</w:t>
      </w:r>
      <w:bookmarkEnd w:id="493"/>
      <w:bookmarkEnd w:id="494"/>
      <w:bookmarkEnd w:id="495"/>
    </w:p>
    <w:tbl>
      <w:tblPr>
        <w:tblW w:w="9553" w:type="dxa"/>
        <w:jc w:val="center"/>
        <w:tblBorders>
          <w:bottom w:val="single" w:sz="4" w:space="0" w:color="C00000"/>
          <w:insideH w:val="single" w:sz="4" w:space="0" w:color="C00000"/>
        </w:tblBorders>
        <w:shd w:val="clear" w:color="auto" w:fill="EDCDCF"/>
        <w:tblLook w:val="04A0" w:firstRow="1" w:lastRow="0" w:firstColumn="1" w:lastColumn="0" w:noHBand="0" w:noVBand="1"/>
      </w:tblPr>
      <w:tblGrid>
        <w:gridCol w:w="808"/>
        <w:gridCol w:w="905"/>
        <w:gridCol w:w="899"/>
        <w:gridCol w:w="899"/>
        <w:gridCol w:w="930"/>
        <w:gridCol w:w="942"/>
        <w:gridCol w:w="942"/>
        <w:gridCol w:w="1076"/>
        <w:gridCol w:w="1076"/>
        <w:gridCol w:w="1076"/>
      </w:tblGrid>
      <w:tr w:rsidR="00136324" w:rsidRPr="00136324" w14:paraId="7694224A" w14:textId="7915B71C" w:rsidTr="00136324">
        <w:trPr>
          <w:trHeight w:val="220"/>
          <w:jc w:val="center"/>
        </w:trPr>
        <w:tc>
          <w:tcPr>
            <w:tcW w:w="808" w:type="dxa"/>
            <w:shd w:val="clear" w:color="auto" w:fill="EDCDCF"/>
            <w:vAlign w:val="center"/>
          </w:tcPr>
          <w:p w14:paraId="3C4FEC29" w14:textId="77777777" w:rsidR="00850865" w:rsidRPr="00136324" w:rsidRDefault="00850865" w:rsidP="008C58A6">
            <w:pPr>
              <w:pStyle w:val="Tablecolhead"/>
              <w:rPr>
                <w:sz w:val="14"/>
                <w:szCs w:val="14"/>
              </w:rPr>
            </w:pPr>
            <w:r w:rsidRPr="00136324">
              <w:rPr>
                <w:sz w:val="14"/>
                <w:szCs w:val="14"/>
              </w:rPr>
              <w:t>Year</w:t>
            </w:r>
          </w:p>
        </w:tc>
        <w:tc>
          <w:tcPr>
            <w:tcW w:w="905" w:type="dxa"/>
            <w:shd w:val="clear" w:color="auto" w:fill="EDCDCF"/>
            <w:vAlign w:val="center"/>
          </w:tcPr>
          <w:p w14:paraId="6123B4D0" w14:textId="34CC1057" w:rsidR="00850865" w:rsidRPr="00136324" w:rsidRDefault="00850865" w:rsidP="008C58A6">
            <w:pPr>
              <w:pStyle w:val="Tablecolhead"/>
              <w:rPr>
                <w:sz w:val="14"/>
                <w:szCs w:val="14"/>
              </w:rPr>
            </w:pPr>
            <w:r w:rsidRPr="00136324">
              <w:rPr>
                <w:sz w:val="14"/>
                <w:szCs w:val="14"/>
              </w:rPr>
              <w:t>2011</w:t>
            </w:r>
          </w:p>
        </w:tc>
        <w:tc>
          <w:tcPr>
            <w:tcW w:w="899" w:type="dxa"/>
            <w:shd w:val="clear" w:color="auto" w:fill="EDCDCF"/>
            <w:vAlign w:val="center"/>
          </w:tcPr>
          <w:p w14:paraId="31DC7A30" w14:textId="77777777" w:rsidR="00850865" w:rsidRPr="00136324" w:rsidRDefault="00850865" w:rsidP="008C58A6">
            <w:pPr>
              <w:pStyle w:val="Tablecolhead"/>
              <w:rPr>
                <w:sz w:val="14"/>
                <w:szCs w:val="14"/>
              </w:rPr>
            </w:pPr>
            <w:r w:rsidRPr="00136324">
              <w:rPr>
                <w:sz w:val="14"/>
                <w:szCs w:val="14"/>
              </w:rPr>
              <w:t>2012</w:t>
            </w:r>
          </w:p>
        </w:tc>
        <w:tc>
          <w:tcPr>
            <w:tcW w:w="899" w:type="dxa"/>
            <w:shd w:val="clear" w:color="auto" w:fill="EDCDCF"/>
            <w:vAlign w:val="center"/>
          </w:tcPr>
          <w:p w14:paraId="7248491E" w14:textId="77777777" w:rsidR="00850865" w:rsidRPr="00136324" w:rsidRDefault="00850865" w:rsidP="008C58A6">
            <w:pPr>
              <w:pStyle w:val="Tablecolhead"/>
              <w:rPr>
                <w:sz w:val="14"/>
                <w:szCs w:val="14"/>
              </w:rPr>
            </w:pPr>
            <w:r w:rsidRPr="00136324">
              <w:rPr>
                <w:sz w:val="14"/>
                <w:szCs w:val="14"/>
              </w:rPr>
              <w:t>2013</w:t>
            </w:r>
          </w:p>
        </w:tc>
        <w:tc>
          <w:tcPr>
            <w:tcW w:w="930" w:type="dxa"/>
            <w:shd w:val="clear" w:color="auto" w:fill="EDCDCF"/>
            <w:vAlign w:val="center"/>
          </w:tcPr>
          <w:p w14:paraId="5A2A0141" w14:textId="2CF88D6B" w:rsidR="00850865" w:rsidRPr="00136324" w:rsidRDefault="00850865" w:rsidP="008C58A6">
            <w:pPr>
              <w:pStyle w:val="Tablecolhead"/>
              <w:rPr>
                <w:sz w:val="14"/>
                <w:szCs w:val="14"/>
              </w:rPr>
            </w:pPr>
            <w:r w:rsidRPr="00136324">
              <w:rPr>
                <w:sz w:val="14"/>
                <w:szCs w:val="14"/>
              </w:rPr>
              <w:t>2014</w:t>
            </w:r>
          </w:p>
        </w:tc>
        <w:tc>
          <w:tcPr>
            <w:tcW w:w="942" w:type="dxa"/>
            <w:shd w:val="clear" w:color="auto" w:fill="EDCDCF"/>
            <w:vAlign w:val="center"/>
          </w:tcPr>
          <w:p w14:paraId="187EF01C" w14:textId="77777777" w:rsidR="00850865" w:rsidRPr="00136324" w:rsidRDefault="00850865" w:rsidP="008C58A6">
            <w:pPr>
              <w:pStyle w:val="Tablecolhead"/>
              <w:rPr>
                <w:sz w:val="14"/>
                <w:szCs w:val="14"/>
              </w:rPr>
            </w:pPr>
            <w:r w:rsidRPr="00136324">
              <w:rPr>
                <w:sz w:val="14"/>
                <w:szCs w:val="14"/>
              </w:rPr>
              <w:t>2015</w:t>
            </w:r>
          </w:p>
        </w:tc>
        <w:tc>
          <w:tcPr>
            <w:tcW w:w="942" w:type="dxa"/>
            <w:shd w:val="clear" w:color="auto" w:fill="EDCDCF"/>
            <w:vAlign w:val="center"/>
          </w:tcPr>
          <w:p w14:paraId="58CE1F50" w14:textId="77777777" w:rsidR="00850865" w:rsidRPr="00136324" w:rsidRDefault="00850865" w:rsidP="008C58A6">
            <w:pPr>
              <w:pStyle w:val="Tablecolhead"/>
              <w:rPr>
                <w:sz w:val="14"/>
                <w:szCs w:val="14"/>
              </w:rPr>
            </w:pPr>
            <w:r w:rsidRPr="00136324">
              <w:rPr>
                <w:sz w:val="14"/>
                <w:szCs w:val="14"/>
              </w:rPr>
              <w:t>2016</w:t>
            </w:r>
          </w:p>
        </w:tc>
        <w:tc>
          <w:tcPr>
            <w:tcW w:w="1076" w:type="dxa"/>
            <w:shd w:val="clear" w:color="auto" w:fill="EDCDCF"/>
          </w:tcPr>
          <w:p w14:paraId="7052760B" w14:textId="41578B1F" w:rsidR="00850865" w:rsidRPr="00136324" w:rsidRDefault="00850865" w:rsidP="008C58A6">
            <w:pPr>
              <w:pStyle w:val="Tablecolhead"/>
              <w:rPr>
                <w:sz w:val="14"/>
                <w:szCs w:val="14"/>
              </w:rPr>
            </w:pPr>
            <w:r w:rsidRPr="00136324">
              <w:rPr>
                <w:sz w:val="14"/>
                <w:szCs w:val="14"/>
              </w:rPr>
              <w:t>2017</w:t>
            </w:r>
          </w:p>
        </w:tc>
        <w:tc>
          <w:tcPr>
            <w:tcW w:w="1076" w:type="dxa"/>
            <w:shd w:val="clear" w:color="auto" w:fill="EDCDCF"/>
          </w:tcPr>
          <w:p w14:paraId="79BF914A" w14:textId="32830564" w:rsidR="00850865" w:rsidRPr="00136324" w:rsidRDefault="00850865" w:rsidP="008C58A6">
            <w:pPr>
              <w:pStyle w:val="Tablecolhead"/>
              <w:rPr>
                <w:sz w:val="14"/>
                <w:szCs w:val="14"/>
              </w:rPr>
            </w:pPr>
            <w:r w:rsidRPr="00136324">
              <w:rPr>
                <w:sz w:val="14"/>
                <w:szCs w:val="14"/>
              </w:rPr>
              <w:t>2018</w:t>
            </w:r>
          </w:p>
        </w:tc>
        <w:tc>
          <w:tcPr>
            <w:tcW w:w="1076" w:type="dxa"/>
            <w:shd w:val="clear" w:color="auto" w:fill="EDCDCF"/>
          </w:tcPr>
          <w:p w14:paraId="511EA97A" w14:textId="7C969428" w:rsidR="00850865" w:rsidRPr="00136324" w:rsidRDefault="00850865" w:rsidP="008C58A6">
            <w:pPr>
              <w:pStyle w:val="Tablecolhead"/>
              <w:rPr>
                <w:sz w:val="14"/>
                <w:szCs w:val="14"/>
              </w:rPr>
            </w:pPr>
            <w:r w:rsidRPr="00136324">
              <w:rPr>
                <w:sz w:val="14"/>
                <w:szCs w:val="14"/>
              </w:rPr>
              <w:t>2019</w:t>
            </w:r>
          </w:p>
        </w:tc>
      </w:tr>
      <w:tr w:rsidR="00850865" w:rsidRPr="00136324" w14:paraId="13735093" w14:textId="20589459" w:rsidTr="00136324">
        <w:trPr>
          <w:trHeight w:val="235"/>
          <w:jc w:val="center"/>
        </w:trPr>
        <w:tc>
          <w:tcPr>
            <w:tcW w:w="808" w:type="dxa"/>
            <w:shd w:val="clear" w:color="auto" w:fill="auto"/>
            <w:vAlign w:val="center"/>
          </w:tcPr>
          <w:p w14:paraId="2BF4761B" w14:textId="77777777" w:rsidR="00850865" w:rsidRPr="00136324" w:rsidRDefault="00850865" w:rsidP="008C58A6">
            <w:pPr>
              <w:pStyle w:val="Tabletext"/>
              <w:rPr>
                <w:sz w:val="14"/>
                <w:szCs w:val="14"/>
              </w:rPr>
            </w:pPr>
            <w:r w:rsidRPr="00136324">
              <w:rPr>
                <w:sz w:val="14"/>
                <w:szCs w:val="14"/>
              </w:rPr>
              <w:t>Mean</w:t>
            </w:r>
          </w:p>
        </w:tc>
        <w:tc>
          <w:tcPr>
            <w:tcW w:w="905" w:type="dxa"/>
            <w:shd w:val="clear" w:color="auto" w:fill="auto"/>
            <w:vAlign w:val="center"/>
          </w:tcPr>
          <w:p w14:paraId="5C63C226" w14:textId="54E68E59" w:rsidR="00850865" w:rsidRPr="00136324" w:rsidRDefault="00850865" w:rsidP="008C58A6">
            <w:pPr>
              <w:pStyle w:val="Tabletext"/>
              <w:rPr>
                <w:sz w:val="14"/>
                <w:szCs w:val="14"/>
              </w:rPr>
            </w:pPr>
            <w:r w:rsidRPr="00136324">
              <w:rPr>
                <w:sz w:val="14"/>
                <w:szCs w:val="14"/>
              </w:rPr>
              <w:t>2.3</w:t>
            </w:r>
          </w:p>
        </w:tc>
        <w:tc>
          <w:tcPr>
            <w:tcW w:w="899" w:type="dxa"/>
            <w:shd w:val="clear" w:color="auto" w:fill="auto"/>
            <w:vAlign w:val="center"/>
          </w:tcPr>
          <w:p w14:paraId="7A1C0B8F" w14:textId="42797E84" w:rsidR="00850865" w:rsidRPr="00136324" w:rsidRDefault="00850865" w:rsidP="008C58A6">
            <w:pPr>
              <w:pStyle w:val="Tabletext"/>
              <w:rPr>
                <w:sz w:val="14"/>
                <w:szCs w:val="14"/>
              </w:rPr>
            </w:pPr>
            <w:r w:rsidRPr="00136324">
              <w:rPr>
                <w:sz w:val="14"/>
                <w:szCs w:val="14"/>
              </w:rPr>
              <w:t>2.3</w:t>
            </w:r>
          </w:p>
        </w:tc>
        <w:tc>
          <w:tcPr>
            <w:tcW w:w="899" w:type="dxa"/>
            <w:shd w:val="clear" w:color="auto" w:fill="auto"/>
            <w:vAlign w:val="center"/>
          </w:tcPr>
          <w:p w14:paraId="20F47266" w14:textId="29C81EAD" w:rsidR="00850865" w:rsidRPr="00136324" w:rsidRDefault="00850865" w:rsidP="008C58A6">
            <w:pPr>
              <w:pStyle w:val="Tabletext"/>
              <w:rPr>
                <w:sz w:val="14"/>
                <w:szCs w:val="14"/>
              </w:rPr>
            </w:pPr>
            <w:r w:rsidRPr="00136324">
              <w:rPr>
                <w:sz w:val="14"/>
                <w:szCs w:val="14"/>
              </w:rPr>
              <w:t>2.3</w:t>
            </w:r>
          </w:p>
        </w:tc>
        <w:tc>
          <w:tcPr>
            <w:tcW w:w="930" w:type="dxa"/>
            <w:shd w:val="clear" w:color="auto" w:fill="auto"/>
            <w:vAlign w:val="center"/>
          </w:tcPr>
          <w:p w14:paraId="5CD579DC" w14:textId="13D35C5F" w:rsidR="00850865" w:rsidRPr="00136324" w:rsidRDefault="00850865" w:rsidP="008C58A6">
            <w:pPr>
              <w:pStyle w:val="Tabletext"/>
              <w:rPr>
                <w:sz w:val="14"/>
                <w:szCs w:val="14"/>
              </w:rPr>
            </w:pPr>
            <w:r w:rsidRPr="00136324">
              <w:rPr>
                <w:sz w:val="14"/>
                <w:szCs w:val="14"/>
              </w:rPr>
              <w:t>2.3</w:t>
            </w:r>
          </w:p>
        </w:tc>
        <w:tc>
          <w:tcPr>
            <w:tcW w:w="942" w:type="dxa"/>
            <w:shd w:val="clear" w:color="auto" w:fill="auto"/>
            <w:vAlign w:val="center"/>
          </w:tcPr>
          <w:p w14:paraId="04B0DFB7" w14:textId="0FBC2CDE" w:rsidR="00850865" w:rsidRPr="00136324" w:rsidRDefault="00850865" w:rsidP="008C58A6">
            <w:pPr>
              <w:pStyle w:val="Tabletext"/>
              <w:rPr>
                <w:sz w:val="14"/>
                <w:szCs w:val="14"/>
              </w:rPr>
            </w:pPr>
            <w:r w:rsidRPr="00136324">
              <w:rPr>
                <w:sz w:val="14"/>
                <w:szCs w:val="14"/>
              </w:rPr>
              <w:t>2.2</w:t>
            </w:r>
          </w:p>
        </w:tc>
        <w:tc>
          <w:tcPr>
            <w:tcW w:w="942" w:type="dxa"/>
            <w:shd w:val="clear" w:color="auto" w:fill="auto"/>
            <w:vAlign w:val="center"/>
          </w:tcPr>
          <w:p w14:paraId="10832D73" w14:textId="4824F563" w:rsidR="00850865" w:rsidRPr="00136324" w:rsidRDefault="00850865" w:rsidP="008C58A6">
            <w:pPr>
              <w:pStyle w:val="Tabletext"/>
              <w:rPr>
                <w:sz w:val="14"/>
                <w:szCs w:val="14"/>
              </w:rPr>
            </w:pPr>
            <w:r w:rsidRPr="00136324">
              <w:rPr>
                <w:sz w:val="14"/>
                <w:szCs w:val="14"/>
              </w:rPr>
              <w:t>2.1</w:t>
            </w:r>
          </w:p>
        </w:tc>
        <w:tc>
          <w:tcPr>
            <w:tcW w:w="1076" w:type="dxa"/>
          </w:tcPr>
          <w:p w14:paraId="387A03C1" w14:textId="63179070" w:rsidR="00850865" w:rsidRPr="00136324" w:rsidRDefault="00850865" w:rsidP="008C58A6">
            <w:pPr>
              <w:pStyle w:val="Tabletext"/>
              <w:rPr>
                <w:sz w:val="14"/>
                <w:szCs w:val="14"/>
              </w:rPr>
            </w:pPr>
            <w:r w:rsidRPr="00136324">
              <w:rPr>
                <w:sz w:val="14"/>
                <w:szCs w:val="14"/>
              </w:rPr>
              <w:t>2.2</w:t>
            </w:r>
          </w:p>
        </w:tc>
        <w:tc>
          <w:tcPr>
            <w:tcW w:w="1076" w:type="dxa"/>
          </w:tcPr>
          <w:p w14:paraId="36EA7D31" w14:textId="0DB05953" w:rsidR="00850865" w:rsidRPr="00136324" w:rsidRDefault="00850865" w:rsidP="008C58A6">
            <w:pPr>
              <w:pStyle w:val="Tabletext"/>
              <w:rPr>
                <w:sz w:val="14"/>
                <w:szCs w:val="14"/>
              </w:rPr>
            </w:pPr>
            <w:r w:rsidRPr="00136324">
              <w:rPr>
                <w:sz w:val="14"/>
                <w:szCs w:val="14"/>
              </w:rPr>
              <w:t>2.1</w:t>
            </w:r>
          </w:p>
        </w:tc>
        <w:tc>
          <w:tcPr>
            <w:tcW w:w="1076" w:type="dxa"/>
          </w:tcPr>
          <w:p w14:paraId="013FEACF" w14:textId="7C29729A" w:rsidR="00850865" w:rsidRPr="00136324" w:rsidRDefault="00850865" w:rsidP="008C58A6">
            <w:pPr>
              <w:pStyle w:val="Tabletext"/>
              <w:rPr>
                <w:sz w:val="14"/>
                <w:szCs w:val="14"/>
              </w:rPr>
            </w:pPr>
            <w:r w:rsidRPr="00136324">
              <w:rPr>
                <w:sz w:val="14"/>
                <w:szCs w:val="14"/>
              </w:rPr>
              <w:t>2.1</w:t>
            </w:r>
          </w:p>
        </w:tc>
      </w:tr>
      <w:tr w:rsidR="00850865" w:rsidRPr="00136324" w14:paraId="412A2399" w14:textId="0C1FBDD3" w:rsidTr="00136324">
        <w:trPr>
          <w:trHeight w:val="38"/>
          <w:jc w:val="center"/>
        </w:trPr>
        <w:tc>
          <w:tcPr>
            <w:tcW w:w="808" w:type="dxa"/>
            <w:shd w:val="clear" w:color="auto" w:fill="auto"/>
            <w:vAlign w:val="center"/>
          </w:tcPr>
          <w:p w14:paraId="74D8CDA6" w14:textId="2C9CFA7D" w:rsidR="00850865" w:rsidRPr="00136324" w:rsidRDefault="00850865" w:rsidP="008C58A6">
            <w:pPr>
              <w:pStyle w:val="Tabletext"/>
              <w:rPr>
                <w:sz w:val="14"/>
                <w:szCs w:val="14"/>
              </w:rPr>
            </w:pPr>
            <w:r w:rsidRPr="00136324">
              <w:rPr>
                <w:sz w:val="14"/>
                <w:szCs w:val="14"/>
              </w:rPr>
              <w:t>95 % CI</w:t>
            </w:r>
          </w:p>
        </w:tc>
        <w:tc>
          <w:tcPr>
            <w:tcW w:w="905" w:type="dxa"/>
            <w:shd w:val="clear" w:color="auto" w:fill="auto"/>
            <w:vAlign w:val="center"/>
          </w:tcPr>
          <w:p w14:paraId="3C5656F6" w14:textId="24A5A0AE" w:rsidR="00850865" w:rsidRPr="00136324" w:rsidRDefault="00850865" w:rsidP="008C58A6">
            <w:pPr>
              <w:pStyle w:val="Tabletext"/>
              <w:rPr>
                <w:sz w:val="14"/>
                <w:szCs w:val="14"/>
              </w:rPr>
            </w:pPr>
            <w:r w:rsidRPr="00136324">
              <w:rPr>
                <w:sz w:val="14"/>
                <w:szCs w:val="14"/>
              </w:rPr>
              <w:t>2.24–2.29</w:t>
            </w:r>
          </w:p>
        </w:tc>
        <w:tc>
          <w:tcPr>
            <w:tcW w:w="899" w:type="dxa"/>
            <w:shd w:val="clear" w:color="auto" w:fill="auto"/>
            <w:vAlign w:val="center"/>
          </w:tcPr>
          <w:p w14:paraId="5752E65F" w14:textId="0157E981" w:rsidR="00850865" w:rsidRPr="00136324" w:rsidRDefault="00850865" w:rsidP="008C58A6">
            <w:pPr>
              <w:pStyle w:val="Tabletext"/>
              <w:rPr>
                <w:sz w:val="14"/>
                <w:szCs w:val="14"/>
              </w:rPr>
            </w:pPr>
            <w:r w:rsidRPr="00136324">
              <w:rPr>
                <w:sz w:val="14"/>
                <w:szCs w:val="14"/>
              </w:rPr>
              <w:t>2.24–2.35</w:t>
            </w:r>
          </w:p>
        </w:tc>
        <w:tc>
          <w:tcPr>
            <w:tcW w:w="899" w:type="dxa"/>
            <w:shd w:val="clear" w:color="auto" w:fill="auto"/>
            <w:vAlign w:val="center"/>
          </w:tcPr>
          <w:p w14:paraId="225C9D89" w14:textId="030F69BB" w:rsidR="00850865" w:rsidRPr="00136324" w:rsidRDefault="00850865" w:rsidP="008C58A6">
            <w:pPr>
              <w:pStyle w:val="Tabletext"/>
              <w:rPr>
                <w:sz w:val="14"/>
                <w:szCs w:val="14"/>
              </w:rPr>
            </w:pPr>
            <w:r w:rsidRPr="00136324">
              <w:rPr>
                <w:sz w:val="14"/>
                <w:szCs w:val="14"/>
              </w:rPr>
              <w:t>2.19–2.36</w:t>
            </w:r>
          </w:p>
        </w:tc>
        <w:tc>
          <w:tcPr>
            <w:tcW w:w="930" w:type="dxa"/>
            <w:shd w:val="clear" w:color="auto" w:fill="auto"/>
            <w:vAlign w:val="center"/>
          </w:tcPr>
          <w:p w14:paraId="56144E23" w14:textId="1D488B29" w:rsidR="00850865" w:rsidRPr="00136324" w:rsidRDefault="00850865" w:rsidP="008C58A6">
            <w:pPr>
              <w:pStyle w:val="Tabletext"/>
              <w:rPr>
                <w:sz w:val="14"/>
                <w:szCs w:val="14"/>
              </w:rPr>
            </w:pPr>
            <w:r w:rsidRPr="00136324">
              <w:rPr>
                <w:sz w:val="14"/>
                <w:szCs w:val="14"/>
              </w:rPr>
              <w:t>2.28–2.34</w:t>
            </w:r>
          </w:p>
        </w:tc>
        <w:tc>
          <w:tcPr>
            <w:tcW w:w="942" w:type="dxa"/>
            <w:shd w:val="clear" w:color="auto" w:fill="auto"/>
            <w:vAlign w:val="center"/>
          </w:tcPr>
          <w:p w14:paraId="6406657C" w14:textId="6663C9FB" w:rsidR="00850865" w:rsidRPr="00136324" w:rsidRDefault="00850865" w:rsidP="008C58A6">
            <w:pPr>
              <w:pStyle w:val="Tabletext"/>
              <w:rPr>
                <w:sz w:val="14"/>
                <w:szCs w:val="14"/>
              </w:rPr>
            </w:pPr>
            <w:r w:rsidRPr="00136324">
              <w:rPr>
                <w:sz w:val="14"/>
                <w:szCs w:val="14"/>
              </w:rPr>
              <w:t>2.17–2.27</w:t>
            </w:r>
          </w:p>
        </w:tc>
        <w:tc>
          <w:tcPr>
            <w:tcW w:w="942" w:type="dxa"/>
            <w:shd w:val="clear" w:color="auto" w:fill="auto"/>
            <w:vAlign w:val="center"/>
          </w:tcPr>
          <w:p w14:paraId="64703EE8" w14:textId="1B1A98C7" w:rsidR="00850865" w:rsidRPr="00136324" w:rsidRDefault="00850865" w:rsidP="008C58A6">
            <w:pPr>
              <w:pStyle w:val="Tabletext"/>
              <w:rPr>
                <w:sz w:val="14"/>
                <w:szCs w:val="14"/>
              </w:rPr>
            </w:pPr>
            <w:r w:rsidRPr="00136324">
              <w:rPr>
                <w:sz w:val="14"/>
                <w:szCs w:val="14"/>
              </w:rPr>
              <w:t>2.07–2.16</w:t>
            </w:r>
          </w:p>
        </w:tc>
        <w:tc>
          <w:tcPr>
            <w:tcW w:w="1076" w:type="dxa"/>
          </w:tcPr>
          <w:p w14:paraId="54E476B8" w14:textId="136A2BC2" w:rsidR="00850865" w:rsidRPr="00136324" w:rsidRDefault="00850865" w:rsidP="008C58A6">
            <w:pPr>
              <w:pStyle w:val="Tabletext"/>
              <w:rPr>
                <w:sz w:val="14"/>
                <w:szCs w:val="14"/>
              </w:rPr>
            </w:pPr>
            <w:r w:rsidRPr="00136324">
              <w:rPr>
                <w:sz w:val="14"/>
                <w:szCs w:val="14"/>
              </w:rPr>
              <w:t>(2.13</w:t>
            </w:r>
            <w:r w:rsidR="00587C1D">
              <w:rPr>
                <w:sz w:val="14"/>
                <w:szCs w:val="14"/>
              </w:rPr>
              <w:t>–</w:t>
            </w:r>
            <w:r w:rsidRPr="00136324">
              <w:rPr>
                <w:sz w:val="14"/>
                <w:szCs w:val="14"/>
              </w:rPr>
              <w:t>2.18)</w:t>
            </w:r>
          </w:p>
        </w:tc>
        <w:tc>
          <w:tcPr>
            <w:tcW w:w="1076" w:type="dxa"/>
          </w:tcPr>
          <w:p w14:paraId="71AA65CA" w14:textId="0BCF4B76" w:rsidR="00850865" w:rsidRPr="00136324" w:rsidRDefault="00850865" w:rsidP="008C58A6">
            <w:pPr>
              <w:pStyle w:val="Tabletext"/>
              <w:rPr>
                <w:sz w:val="14"/>
                <w:szCs w:val="14"/>
              </w:rPr>
            </w:pPr>
            <w:r w:rsidRPr="00136324">
              <w:rPr>
                <w:sz w:val="14"/>
                <w:szCs w:val="14"/>
              </w:rPr>
              <w:t>(2.08</w:t>
            </w:r>
            <w:r w:rsidR="00587C1D">
              <w:rPr>
                <w:sz w:val="14"/>
                <w:szCs w:val="14"/>
              </w:rPr>
              <w:t>–</w:t>
            </w:r>
            <w:r w:rsidRPr="00136324">
              <w:rPr>
                <w:sz w:val="14"/>
                <w:szCs w:val="14"/>
              </w:rPr>
              <w:t>2.18)</w:t>
            </w:r>
          </w:p>
        </w:tc>
        <w:tc>
          <w:tcPr>
            <w:tcW w:w="1076" w:type="dxa"/>
          </w:tcPr>
          <w:p w14:paraId="38C20B17" w14:textId="5E441F61" w:rsidR="00850865" w:rsidRPr="00136324" w:rsidRDefault="00850865" w:rsidP="008C58A6">
            <w:pPr>
              <w:pStyle w:val="Tabletext"/>
              <w:rPr>
                <w:sz w:val="14"/>
                <w:szCs w:val="14"/>
              </w:rPr>
            </w:pPr>
            <w:r w:rsidRPr="00136324">
              <w:rPr>
                <w:sz w:val="14"/>
                <w:szCs w:val="14"/>
              </w:rPr>
              <w:t>(2.07</w:t>
            </w:r>
            <w:r w:rsidR="00587C1D">
              <w:rPr>
                <w:sz w:val="14"/>
                <w:szCs w:val="14"/>
              </w:rPr>
              <w:t>–</w:t>
            </w:r>
            <w:r w:rsidRPr="00136324">
              <w:rPr>
                <w:sz w:val="14"/>
                <w:szCs w:val="14"/>
              </w:rPr>
              <w:t>2.16)</w:t>
            </w:r>
          </w:p>
        </w:tc>
      </w:tr>
    </w:tbl>
    <w:p w14:paraId="363CEAA7" w14:textId="1DE8683B" w:rsidR="00070496" w:rsidRPr="008F2839" w:rsidRDefault="00DD599D" w:rsidP="00A57F34">
      <w:pPr>
        <w:pStyle w:val="Tablefigurenote"/>
        <w:rPr>
          <w:i/>
          <w:iCs/>
          <w:noProof/>
          <w:sz w:val="18"/>
          <w:szCs w:val="18"/>
        </w:rPr>
      </w:pPr>
      <w:r w:rsidRPr="00B33F2D">
        <w:rPr>
          <w:i/>
          <w:iCs/>
          <w:sz w:val="18"/>
          <w:szCs w:val="18"/>
        </w:rPr>
        <w:t>Source</w:t>
      </w:r>
      <w:r w:rsidR="00BD72BA" w:rsidRPr="00B33F2D">
        <w:rPr>
          <w:i/>
          <w:iCs/>
          <w:sz w:val="18"/>
          <w:szCs w:val="18"/>
        </w:rPr>
        <w:t>s</w:t>
      </w:r>
      <w:r w:rsidRPr="00B33F2D">
        <w:rPr>
          <w:i/>
          <w:iCs/>
          <w:sz w:val="18"/>
          <w:szCs w:val="18"/>
        </w:rPr>
        <w:t>: Victorian Population Health Survey</w:t>
      </w:r>
      <w:r w:rsidR="006E23D9" w:rsidRPr="00B33F2D">
        <w:rPr>
          <w:i/>
          <w:iCs/>
          <w:sz w:val="18"/>
          <w:szCs w:val="18"/>
        </w:rPr>
        <w:t>s</w:t>
      </w:r>
      <w:r w:rsidRPr="00B33F2D">
        <w:rPr>
          <w:i/>
          <w:iCs/>
          <w:sz w:val="18"/>
          <w:szCs w:val="18"/>
        </w:rPr>
        <w:t xml:space="preserve"> 2011</w:t>
      </w:r>
      <w:r w:rsidR="00690CD3" w:rsidRPr="00B33F2D">
        <w:rPr>
          <w:i/>
          <w:iCs/>
          <w:sz w:val="18"/>
          <w:szCs w:val="18"/>
        </w:rPr>
        <w:t>–</w:t>
      </w:r>
      <w:r w:rsidRPr="00B33F2D">
        <w:rPr>
          <w:i/>
          <w:iCs/>
          <w:sz w:val="18"/>
          <w:szCs w:val="18"/>
        </w:rPr>
        <w:t>201</w:t>
      </w:r>
      <w:r w:rsidR="00850865" w:rsidRPr="00B33F2D">
        <w:rPr>
          <w:i/>
          <w:iCs/>
          <w:sz w:val="18"/>
          <w:szCs w:val="18"/>
        </w:rPr>
        <w:t>9</w:t>
      </w:r>
      <w:r w:rsidR="00B33F2D" w:rsidRPr="00B33F2D">
        <w:rPr>
          <w:i/>
          <w:iCs/>
          <w:sz w:val="18"/>
          <w:szCs w:val="18"/>
        </w:rPr>
        <w:t>.</w:t>
      </w:r>
      <w:r w:rsidR="00154C52">
        <w:rPr>
          <w:i/>
          <w:iCs/>
          <w:sz w:val="18"/>
          <w:szCs w:val="18"/>
        </w:rPr>
        <w:t xml:space="preserve"> </w:t>
      </w:r>
      <w:r w:rsidR="00E732A3" w:rsidRPr="00B33F2D">
        <w:rPr>
          <w:i/>
          <w:iCs/>
          <w:sz w:val="18"/>
          <w:szCs w:val="18"/>
        </w:rPr>
        <w:t xml:space="preserve">There were changes to the 2020 Victorian Population Health Survey to allow for pandemic-relevant questions. As a result questions specific to </w:t>
      </w:r>
      <w:r w:rsidR="00E732A3">
        <w:rPr>
          <w:i/>
          <w:iCs/>
          <w:sz w:val="18"/>
          <w:szCs w:val="18"/>
        </w:rPr>
        <w:t>vegetable consumption in adults</w:t>
      </w:r>
      <w:r w:rsidR="00E732A3" w:rsidRPr="00B33F2D">
        <w:rPr>
          <w:i/>
          <w:iCs/>
          <w:sz w:val="18"/>
          <w:szCs w:val="18"/>
        </w:rPr>
        <w:t xml:space="preserve"> were removed. The 2021 survey was cancelled due to the COVID-19 pandemic.</w:t>
      </w:r>
      <w:r w:rsidR="00E732A3">
        <w:rPr>
          <w:i/>
          <w:iCs/>
          <w:sz w:val="18"/>
          <w:szCs w:val="18"/>
        </w:rPr>
        <w:t xml:space="preserve"> </w:t>
      </w:r>
      <w:r w:rsidR="00E732A3">
        <w:rPr>
          <w:i/>
          <w:iCs/>
          <w:noProof/>
          <w:sz w:val="18"/>
          <w:szCs w:val="18"/>
        </w:rPr>
        <w:t>Data on vegetable consumption specific to adults was not collected in the 2022 survey.</w:t>
      </w:r>
    </w:p>
    <w:p w14:paraId="49E6C8EE" w14:textId="30BC1769" w:rsidR="00950E44" w:rsidRDefault="00950E44" w:rsidP="007C7F00">
      <w:pPr>
        <w:pStyle w:val="Heading4"/>
      </w:pPr>
      <w:r>
        <w:t>Measure assessment</w:t>
      </w:r>
    </w:p>
    <w:p w14:paraId="4F8A3360" w14:textId="62C42CC0" w:rsidR="00950E44" w:rsidRPr="009901D9" w:rsidRDefault="00950E44" w:rsidP="00606436">
      <w:pPr>
        <w:pStyle w:val="Body"/>
        <w:rPr>
          <w:color w:val="C00000"/>
        </w:rPr>
      </w:pPr>
      <w:r w:rsidRPr="009F01B1">
        <w:t>Traffic light rating:</w:t>
      </w:r>
      <w:r w:rsidR="002E5ABD" w:rsidRPr="00B504AD">
        <w:rPr>
          <w:color w:val="AF272F"/>
        </w:rPr>
        <w:t xml:space="preserve"> </w:t>
      </w:r>
      <w:r w:rsidR="002E5ABD" w:rsidRPr="00B504AD">
        <w:rPr>
          <w:b/>
          <w:color w:val="AF272F"/>
        </w:rPr>
        <w:t>Red</w:t>
      </w:r>
      <w:r w:rsidR="00320DEB" w:rsidRPr="00B504AD">
        <w:rPr>
          <w:b/>
          <w:color w:val="AF272F"/>
        </w:rPr>
        <w:t xml:space="preserve"> </w:t>
      </w:r>
      <w:r w:rsidR="00320DEB" w:rsidRPr="00CF6F8C">
        <w:t>(result is of concern)</w:t>
      </w:r>
    </w:p>
    <w:p w14:paraId="09AA97CD" w14:textId="37C02E7C" w:rsidR="00950E44" w:rsidRDefault="00950E44" w:rsidP="00606436">
      <w:pPr>
        <w:pStyle w:val="Body"/>
      </w:pPr>
      <w:r w:rsidRPr="009F01B1">
        <w:t>Overall trend</w:t>
      </w:r>
      <w:r w:rsidRPr="00843274">
        <w:t xml:space="preserve">: </w:t>
      </w:r>
      <w:r w:rsidR="002E5ABD">
        <w:t>Not moving in the right direction</w:t>
      </w:r>
    </w:p>
    <w:p w14:paraId="03DEF6E3" w14:textId="22CD8081" w:rsidR="001065ED" w:rsidRPr="00DC30A7" w:rsidRDefault="00950E44" w:rsidP="00E87AAA">
      <w:pPr>
        <w:pStyle w:val="Body"/>
      </w:pPr>
      <w:r w:rsidRPr="00DC30A7">
        <w:t>Commentary</w:t>
      </w:r>
      <w:r w:rsidR="00F642A5" w:rsidRPr="00DC30A7">
        <w:t>:</w:t>
      </w:r>
      <w:r w:rsidR="00433269" w:rsidRPr="00DC30A7">
        <w:t xml:space="preserve"> Fruit and vegetable consumption is internationally accepted as an indicator of a healthy die</w:t>
      </w:r>
      <w:r w:rsidR="00491339">
        <w:t>t</w:t>
      </w:r>
      <w:r w:rsidR="00433269" w:rsidRPr="00DC30A7">
        <w:t>.</w:t>
      </w:r>
      <w:r w:rsidR="00952FC7">
        <w:t xml:space="preserve"> </w:t>
      </w:r>
      <w:r w:rsidR="00433269" w:rsidRPr="00DC30A7">
        <w:t xml:space="preserve">A healthy diet </w:t>
      </w:r>
      <w:r w:rsidR="004A40D6">
        <w:t>that includes</w:t>
      </w:r>
      <w:r w:rsidR="00DE0D86" w:rsidRPr="00DC30A7">
        <w:t xml:space="preserve"> vegetable (and fruit) </w:t>
      </w:r>
      <w:r w:rsidR="004A40D6">
        <w:t xml:space="preserve">consumption </w:t>
      </w:r>
      <w:r w:rsidR="00433269" w:rsidRPr="00DC30A7">
        <w:t>also helps prevent chronic diseases such as cancer as well as their associated risk factors including overweight and obesity</w:t>
      </w:r>
      <w:r w:rsidR="002C3E08" w:rsidRPr="00DC30A7">
        <w:t>.</w:t>
      </w:r>
      <w:r w:rsidR="002C3E08" w:rsidRPr="00DC30A7">
        <w:rPr>
          <w:rStyle w:val="FootnoteReference"/>
          <w:rFonts w:cs="Arial"/>
        </w:rPr>
        <w:footnoteReference w:id="97"/>
      </w:r>
      <w:r w:rsidR="00433269" w:rsidRPr="00DC30A7">
        <w:t xml:space="preserve"> </w:t>
      </w:r>
    </w:p>
    <w:p w14:paraId="33060775" w14:textId="2D9A202C" w:rsidR="001065ED" w:rsidRPr="00436A0E" w:rsidRDefault="00D81D86" w:rsidP="00E87AAA">
      <w:pPr>
        <w:pStyle w:val="Body"/>
      </w:pPr>
      <w:r w:rsidRPr="00DC30A7">
        <w:rPr>
          <w:lang w:val="en"/>
        </w:rPr>
        <w:t xml:space="preserve">Comparable international data </w:t>
      </w:r>
      <w:r w:rsidR="004A40D6">
        <w:rPr>
          <w:lang w:val="en"/>
        </w:rPr>
        <w:t>is</w:t>
      </w:r>
      <w:r w:rsidR="004A40D6" w:rsidRPr="00DC30A7">
        <w:rPr>
          <w:lang w:val="en"/>
        </w:rPr>
        <w:t xml:space="preserve"> </w:t>
      </w:r>
      <w:r w:rsidRPr="00DC30A7">
        <w:rPr>
          <w:lang w:val="en"/>
        </w:rPr>
        <w:t xml:space="preserve">not available on </w:t>
      </w:r>
      <w:r w:rsidR="00E404DF" w:rsidRPr="00DC30A7">
        <w:rPr>
          <w:lang w:val="en"/>
        </w:rPr>
        <w:t xml:space="preserve">the </w:t>
      </w:r>
      <w:r w:rsidRPr="00DC30A7">
        <w:rPr>
          <w:lang w:val="en"/>
        </w:rPr>
        <w:t xml:space="preserve">level of daily vegetable intake. However, although </w:t>
      </w:r>
      <w:r w:rsidR="00271D98" w:rsidRPr="00DC30A7">
        <w:rPr>
          <w:lang w:val="en"/>
        </w:rPr>
        <w:t>the OECD reported in 201</w:t>
      </w:r>
      <w:r w:rsidR="001268BD">
        <w:rPr>
          <w:lang w:val="en"/>
        </w:rPr>
        <w:t>7</w:t>
      </w:r>
      <w:r w:rsidR="00271D98" w:rsidRPr="00DC30A7">
        <w:rPr>
          <w:lang w:val="en"/>
        </w:rPr>
        <w:t xml:space="preserve"> (</w:t>
      </w:r>
      <w:r w:rsidR="001065ED" w:rsidRPr="00DC30A7">
        <w:t>Figure 7.4</w:t>
      </w:r>
      <w:r w:rsidR="00271D98" w:rsidRPr="00DC30A7">
        <w:t>)</w:t>
      </w:r>
      <w:r w:rsidR="001065ED" w:rsidRPr="00DC30A7">
        <w:t xml:space="preserve"> that </w:t>
      </w:r>
      <w:r w:rsidR="00271D98" w:rsidRPr="00DC30A7">
        <w:rPr>
          <w:lang w:val="en"/>
        </w:rPr>
        <w:t xml:space="preserve">Australian males and females aged 15 years </w:t>
      </w:r>
      <w:r w:rsidR="001B50BF">
        <w:rPr>
          <w:lang w:val="en"/>
        </w:rPr>
        <w:t>or older</w:t>
      </w:r>
      <w:r w:rsidR="00271D98" w:rsidRPr="00DC30A7">
        <w:rPr>
          <w:lang w:val="en"/>
        </w:rPr>
        <w:t xml:space="preserve"> had the highest proportions reporting daily vegetable consumption among </w:t>
      </w:r>
      <w:r w:rsidR="001268BD">
        <w:rPr>
          <w:lang w:val="en"/>
        </w:rPr>
        <w:t>35</w:t>
      </w:r>
      <w:r w:rsidR="00271D98" w:rsidRPr="00DC30A7">
        <w:rPr>
          <w:lang w:val="en"/>
        </w:rPr>
        <w:t xml:space="preserve"> </w:t>
      </w:r>
      <w:r w:rsidR="00B17619" w:rsidRPr="00DC30A7">
        <w:rPr>
          <w:lang w:val="en"/>
        </w:rPr>
        <w:t>countries</w:t>
      </w:r>
      <w:r w:rsidR="00271D98" w:rsidRPr="00DC30A7">
        <w:rPr>
          <w:lang w:val="en"/>
        </w:rPr>
        <w:t xml:space="preserve"> of the OECD,</w:t>
      </w:r>
      <w:r w:rsidR="006F3A29" w:rsidRPr="00DC30A7">
        <w:rPr>
          <w:rStyle w:val="FootnoteReference"/>
          <w:rFonts w:cs="Arial"/>
          <w:lang w:val="en"/>
        </w:rPr>
        <w:footnoteReference w:id="98"/>
      </w:r>
      <w:r w:rsidR="00271D98" w:rsidRPr="00DC30A7">
        <w:rPr>
          <w:lang w:val="en"/>
        </w:rPr>
        <w:t xml:space="preserve"> caution is advised when interpreting these findings due to differences in survey methodologies and variation in population ages reported.</w:t>
      </w:r>
      <w:r w:rsidR="00952FC7">
        <w:rPr>
          <w:lang w:val="en"/>
        </w:rPr>
        <w:t xml:space="preserve"> </w:t>
      </w:r>
      <w:r w:rsidR="00271D98" w:rsidRPr="00DC30A7">
        <w:rPr>
          <w:lang w:val="en"/>
        </w:rPr>
        <w:t>For example</w:t>
      </w:r>
      <w:r w:rsidR="008A11F2" w:rsidRPr="00DC30A7">
        <w:rPr>
          <w:lang w:val="en"/>
        </w:rPr>
        <w:t>,</w:t>
      </w:r>
      <w:r w:rsidR="00271D98" w:rsidRPr="00DC30A7">
        <w:rPr>
          <w:lang w:val="en"/>
        </w:rPr>
        <w:t xml:space="preserve"> in Australia </w:t>
      </w:r>
      <w:r w:rsidR="00271D98" w:rsidRPr="00436A0E">
        <w:rPr>
          <w:lang w:val="en"/>
        </w:rPr>
        <w:t xml:space="preserve">at </w:t>
      </w:r>
      <w:r w:rsidR="004A40D6" w:rsidRPr="00436A0E">
        <w:t>the</w:t>
      </w:r>
      <w:r w:rsidR="0043593C" w:rsidRPr="00436A0E">
        <w:t xml:space="preserve"> national level</w:t>
      </w:r>
      <w:r w:rsidR="008A11F2" w:rsidRPr="00436A0E">
        <w:t>,</w:t>
      </w:r>
      <w:r w:rsidR="0043593C" w:rsidRPr="00436A0E">
        <w:t xml:space="preserve"> data specific to adults </w:t>
      </w:r>
      <w:r w:rsidR="004A40D6" w:rsidRPr="00436A0E">
        <w:t xml:space="preserve">is </w:t>
      </w:r>
      <w:r w:rsidR="0043593C" w:rsidRPr="00436A0E">
        <w:t xml:space="preserve">reported for the population </w:t>
      </w:r>
      <w:r w:rsidR="00B91D6C" w:rsidRPr="00436A0E">
        <w:t xml:space="preserve">aged </w:t>
      </w:r>
      <w:r w:rsidR="0043593C" w:rsidRPr="00436A0E">
        <w:t xml:space="preserve">18 years </w:t>
      </w:r>
      <w:r w:rsidR="001B50BF" w:rsidRPr="00436A0E">
        <w:t>or older</w:t>
      </w:r>
      <w:r w:rsidR="0043593C" w:rsidRPr="00436A0E">
        <w:t>.</w:t>
      </w:r>
    </w:p>
    <w:p w14:paraId="0B0BEFFC" w14:textId="153AC5F4" w:rsidR="003F1032" w:rsidRPr="00436A0E" w:rsidRDefault="00677CA0" w:rsidP="00E87AAA">
      <w:pPr>
        <w:pStyle w:val="Body"/>
        <w:rPr>
          <w:lang w:val="en"/>
        </w:rPr>
      </w:pPr>
      <w:r w:rsidRPr="00436A0E">
        <w:lastRenderedPageBreak/>
        <w:t>In 2014</w:t>
      </w:r>
      <w:r w:rsidR="00CA2AD7" w:rsidRPr="00436A0E">
        <w:t>–</w:t>
      </w:r>
      <w:r w:rsidRPr="00436A0E">
        <w:t>15,</w:t>
      </w:r>
      <w:r w:rsidR="00FC15F4" w:rsidRPr="00436A0E">
        <w:t xml:space="preserve"> </w:t>
      </w:r>
      <w:r w:rsidR="00BD72BA">
        <w:t>7</w:t>
      </w:r>
      <w:r w:rsidR="0054537F">
        <w:t>%</w:t>
      </w:r>
      <w:r w:rsidR="00271D98" w:rsidRPr="00436A0E">
        <w:t xml:space="preserve"> (less than </w:t>
      </w:r>
      <w:r w:rsidR="00B40166" w:rsidRPr="00436A0E">
        <w:t>one</w:t>
      </w:r>
      <w:r w:rsidR="00271D98" w:rsidRPr="00436A0E">
        <w:t xml:space="preserve"> in 10)</w:t>
      </w:r>
      <w:r w:rsidRPr="00436A0E">
        <w:t xml:space="preserve"> of Australians aged 18 years </w:t>
      </w:r>
      <w:r w:rsidR="001B50BF" w:rsidRPr="00436A0E">
        <w:t>or older</w:t>
      </w:r>
      <w:r w:rsidRPr="00436A0E">
        <w:t xml:space="preserve"> met the </w:t>
      </w:r>
      <w:r w:rsidR="0043593C" w:rsidRPr="00436A0E">
        <w:t xml:space="preserve">national </w:t>
      </w:r>
      <w:r w:rsidRPr="00436A0E">
        <w:t>guidelines for serves of vegetables (</w:t>
      </w:r>
      <w:r w:rsidR="00B40166" w:rsidRPr="00436A0E">
        <w:t>six</w:t>
      </w:r>
      <w:r w:rsidRPr="00436A0E">
        <w:t xml:space="preserve"> or more serves for men depending on age, and </w:t>
      </w:r>
      <w:r w:rsidR="00B40166" w:rsidRPr="00436A0E">
        <w:t>five</w:t>
      </w:r>
      <w:r w:rsidR="00C21CEC" w:rsidRPr="00436A0E">
        <w:t xml:space="preserve"> </w:t>
      </w:r>
      <w:r w:rsidR="00BD72BA">
        <w:t>[</w:t>
      </w:r>
      <w:r w:rsidR="00C21CEC" w:rsidRPr="00436A0E">
        <w:t>375 grams per day</w:t>
      </w:r>
      <w:r w:rsidR="00BD72BA">
        <w:t>]</w:t>
      </w:r>
      <w:r w:rsidRPr="00436A0E">
        <w:t xml:space="preserve"> or more for women).</w:t>
      </w:r>
      <w:r w:rsidR="00FC15F4" w:rsidRPr="00436A0E">
        <w:rPr>
          <w:rStyle w:val="FootnoteReference"/>
          <w:rFonts w:cs="Arial"/>
        </w:rPr>
        <w:footnoteReference w:id="99"/>
      </w:r>
      <w:r w:rsidRPr="00436A0E">
        <w:t xml:space="preserve"> </w:t>
      </w:r>
      <w:r w:rsidR="00C21CEC" w:rsidRPr="00436A0E">
        <w:rPr>
          <w:lang w:val="en"/>
        </w:rPr>
        <w:t>The proportion of females meeting this guideline (10.2</w:t>
      </w:r>
      <w:r w:rsidR="0054537F">
        <w:rPr>
          <w:lang w:val="en"/>
        </w:rPr>
        <w:t>%</w:t>
      </w:r>
      <w:r w:rsidR="00C21CEC" w:rsidRPr="00436A0E">
        <w:rPr>
          <w:lang w:val="en"/>
        </w:rPr>
        <w:t>) was higher than for males (3.8</w:t>
      </w:r>
      <w:r w:rsidR="0054537F">
        <w:rPr>
          <w:lang w:val="en"/>
        </w:rPr>
        <w:t>%</w:t>
      </w:r>
      <w:r w:rsidR="00C21CEC" w:rsidRPr="00436A0E">
        <w:rPr>
          <w:lang w:val="en"/>
        </w:rPr>
        <w:t>).</w:t>
      </w:r>
      <w:r w:rsidR="00952FC7" w:rsidRPr="00436A0E">
        <w:rPr>
          <w:lang w:val="en"/>
        </w:rPr>
        <w:t xml:space="preserve"> </w:t>
      </w:r>
      <w:r w:rsidR="00436A0E" w:rsidRPr="00436A0E">
        <w:rPr>
          <w:lang w:val="en"/>
        </w:rPr>
        <w:t>However,</w:t>
      </w:r>
      <w:r w:rsidR="003F1032" w:rsidRPr="00436A0E">
        <w:rPr>
          <w:lang w:val="en"/>
        </w:rPr>
        <w:t xml:space="preserve"> in 2017</w:t>
      </w:r>
      <w:r w:rsidR="003F1032" w:rsidRPr="00436A0E">
        <w:t>–</w:t>
      </w:r>
      <w:r w:rsidR="003F1032" w:rsidRPr="00436A0E">
        <w:rPr>
          <w:lang w:val="en"/>
        </w:rPr>
        <w:t xml:space="preserve">18 </w:t>
      </w:r>
      <w:r w:rsidR="00436A0E" w:rsidRPr="00436A0E">
        <w:rPr>
          <w:lang w:val="en"/>
        </w:rPr>
        <w:t>o</w:t>
      </w:r>
      <w:r w:rsidR="00436A0E" w:rsidRPr="00436A0E">
        <w:rPr>
          <w:color w:val="000000"/>
        </w:rPr>
        <w:t xml:space="preserve">ne in </w:t>
      </w:r>
      <w:r w:rsidR="00092CC4">
        <w:rPr>
          <w:color w:val="000000"/>
        </w:rPr>
        <w:t>13</w:t>
      </w:r>
      <w:r w:rsidR="00092CC4" w:rsidRPr="00436A0E">
        <w:rPr>
          <w:color w:val="000000"/>
        </w:rPr>
        <w:t xml:space="preserve"> </w:t>
      </w:r>
      <w:r w:rsidR="00436A0E" w:rsidRPr="00436A0E">
        <w:rPr>
          <w:color w:val="000000"/>
        </w:rPr>
        <w:t>(7.5</w:t>
      </w:r>
      <w:r w:rsidR="0054537F">
        <w:rPr>
          <w:color w:val="000000" w:themeColor="text1"/>
        </w:rPr>
        <w:t>%</w:t>
      </w:r>
      <w:r w:rsidR="00436A0E" w:rsidRPr="00436A0E">
        <w:rPr>
          <w:color w:val="000000"/>
        </w:rPr>
        <w:t>) adults met the guidelines for serves of vegetables (5</w:t>
      </w:r>
      <w:r w:rsidR="00FD1C32">
        <w:rPr>
          <w:color w:val="000000"/>
        </w:rPr>
        <w:t>–</w:t>
      </w:r>
      <w:r w:rsidR="00436A0E" w:rsidRPr="00436A0E">
        <w:rPr>
          <w:color w:val="000000"/>
        </w:rPr>
        <w:t>6 or more serves for men depending on age, and 5 or more for women).</w:t>
      </w:r>
      <w:r w:rsidR="00436A0E" w:rsidRPr="00436A0E">
        <w:rPr>
          <w:rStyle w:val="FootnoteReference"/>
          <w:rFonts w:cs="Arial"/>
          <w:color w:val="000000"/>
        </w:rPr>
        <w:footnoteReference w:id="100"/>
      </w:r>
      <w:r w:rsidR="00436A0E" w:rsidRPr="00436A0E">
        <w:rPr>
          <w:color w:val="000000"/>
        </w:rPr>
        <w:t> </w:t>
      </w:r>
    </w:p>
    <w:p w14:paraId="71F9BA32" w14:textId="392B4B74" w:rsidR="009B17F6" w:rsidRPr="00A451D4" w:rsidRDefault="00C141BA" w:rsidP="006D0DC0">
      <w:pPr>
        <w:pStyle w:val="Body"/>
      </w:pPr>
      <w:r w:rsidRPr="00436A0E">
        <w:rPr>
          <w:lang w:val="en"/>
        </w:rPr>
        <w:t>Overall,</w:t>
      </w:r>
      <w:r w:rsidR="00D81D86" w:rsidRPr="00436A0E">
        <w:rPr>
          <w:lang w:val="en"/>
        </w:rPr>
        <w:t xml:space="preserve"> </w:t>
      </w:r>
      <w:r w:rsidR="00C21CEC" w:rsidRPr="00436A0E">
        <w:rPr>
          <w:lang w:val="en"/>
        </w:rPr>
        <w:t xml:space="preserve">the average daily vegetable intake of adult Australians aged 18 years </w:t>
      </w:r>
      <w:r w:rsidR="001B50BF" w:rsidRPr="00436A0E">
        <w:rPr>
          <w:lang w:val="en"/>
        </w:rPr>
        <w:t>or older</w:t>
      </w:r>
      <w:r w:rsidR="00C21CEC" w:rsidRPr="00436A0E">
        <w:rPr>
          <w:lang w:val="en"/>
        </w:rPr>
        <w:t xml:space="preserve"> was 2.4 serves</w:t>
      </w:r>
      <w:r w:rsidR="00436A0E" w:rsidRPr="00436A0E">
        <w:rPr>
          <w:lang w:val="en"/>
        </w:rPr>
        <w:t xml:space="preserve"> in 2014 and remained the same for 2017</w:t>
      </w:r>
      <w:r w:rsidR="00C21CEC" w:rsidRPr="00436A0E">
        <w:rPr>
          <w:lang w:val="en"/>
        </w:rPr>
        <w:t>. Average daily vegetable intake was slightly higher among females (2.5 serves) than among males (2.3 serves)</w:t>
      </w:r>
      <w:r w:rsidR="00203210" w:rsidRPr="00436A0E">
        <w:rPr>
          <w:lang w:val="en"/>
        </w:rPr>
        <w:t xml:space="preserve"> and increased with age (Figure 7.4.1).</w:t>
      </w:r>
      <w:r w:rsidR="00CF636B" w:rsidRPr="00436A0E">
        <w:rPr>
          <w:lang w:val="en"/>
        </w:rPr>
        <w:t xml:space="preserve"> </w:t>
      </w:r>
      <w:r w:rsidR="002E5ABD" w:rsidRPr="00436A0E">
        <w:rPr>
          <w:lang w:val="en"/>
        </w:rPr>
        <w:t>While no target has been set for this measure</w:t>
      </w:r>
      <w:r w:rsidR="004A40D6" w:rsidRPr="00436A0E">
        <w:rPr>
          <w:lang w:val="en"/>
        </w:rPr>
        <w:t>,</w:t>
      </w:r>
      <w:r w:rsidR="002E5ABD" w:rsidRPr="00436A0E">
        <w:rPr>
          <w:lang w:val="en"/>
        </w:rPr>
        <w:t xml:space="preserve"> Figure 7.4.2 </w:t>
      </w:r>
      <w:r w:rsidR="006F3A29" w:rsidRPr="00436A0E">
        <w:rPr>
          <w:lang w:val="en"/>
        </w:rPr>
        <w:t xml:space="preserve">shows that the vegetable consumption across all Victorian adults </w:t>
      </w:r>
      <w:r w:rsidR="006F3A29" w:rsidRPr="00436A0E">
        <w:t>is decreasing</w:t>
      </w:r>
      <w:r w:rsidR="009337A4" w:rsidRPr="00436A0E">
        <w:t>.</w:t>
      </w:r>
      <w:r w:rsidR="000E5401">
        <w:t xml:space="preserve"> C</w:t>
      </w:r>
      <w:r w:rsidR="000E5401" w:rsidRPr="006078FE">
        <w:rPr>
          <w:lang w:val="en"/>
        </w:rPr>
        <w:t>aution is advised when interpreting these findings</w:t>
      </w:r>
      <w:r w:rsidR="000E5401">
        <w:rPr>
          <w:lang w:val="en"/>
        </w:rPr>
        <w:t xml:space="preserve"> as it relates to this measure</w:t>
      </w:r>
      <w:r w:rsidR="000E5401" w:rsidRPr="006078FE">
        <w:rPr>
          <w:lang w:val="en"/>
        </w:rPr>
        <w:t xml:space="preserve"> </w:t>
      </w:r>
      <w:r w:rsidR="000E5401">
        <w:rPr>
          <w:lang w:val="en"/>
        </w:rPr>
        <w:t xml:space="preserve">as consumption trends may have altered </w:t>
      </w:r>
      <w:r w:rsidR="000E5401" w:rsidRPr="006078FE">
        <w:rPr>
          <w:lang w:val="en"/>
        </w:rPr>
        <w:t xml:space="preserve">due to </w:t>
      </w:r>
      <w:r w:rsidR="000E5401">
        <w:rPr>
          <w:lang w:val="en"/>
        </w:rPr>
        <w:t>the restrictive measures imposed to reduce the impact of COVID-19</w:t>
      </w:r>
      <w:r w:rsidR="000E5401" w:rsidRPr="006078FE">
        <w:rPr>
          <w:lang w:val="en"/>
        </w:rPr>
        <w:t xml:space="preserve">. </w:t>
      </w:r>
      <w:r w:rsidR="009B17F6" w:rsidRPr="00A451D4">
        <w:br w:type="page"/>
      </w:r>
    </w:p>
    <w:p w14:paraId="139319FC" w14:textId="646AD852" w:rsidR="00784A70" w:rsidRPr="00A451D4" w:rsidRDefault="00784A70" w:rsidP="00A451D4">
      <w:pPr>
        <w:pStyle w:val="Heading3"/>
        <w:rPr>
          <w:b/>
        </w:rPr>
      </w:pPr>
      <w:bookmarkStart w:id="496" w:name="_Measure_7.5_–"/>
      <w:bookmarkEnd w:id="496"/>
      <w:r w:rsidRPr="00A451D4">
        <w:rPr>
          <w:b/>
        </w:rPr>
        <w:lastRenderedPageBreak/>
        <w:t>Measure 7.5 –</w:t>
      </w:r>
      <w:r w:rsidR="00782252" w:rsidRPr="00A451D4">
        <w:rPr>
          <w:b/>
        </w:rPr>
        <w:t xml:space="preserve"> </w:t>
      </w:r>
      <w:r w:rsidR="00BE61B2" w:rsidRPr="00A451D4">
        <w:rPr>
          <w:b/>
        </w:rPr>
        <w:t xml:space="preserve">Proportion of </w:t>
      </w:r>
      <w:r w:rsidR="0028681D" w:rsidRPr="00A451D4">
        <w:rPr>
          <w:b/>
        </w:rPr>
        <w:t>adolescents 10</w:t>
      </w:r>
      <w:r w:rsidR="00CA2AD7" w:rsidRPr="00A451D4">
        <w:rPr>
          <w:b/>
        </w:rPr>
        <w:t>–</w:t>
      </w:r>
      <w:r w:rsidR="0028681D" w:rsidRPr="00A451D4">
        <w:rPr>
          <w:b/>
        </w:rPr>
        <w:t>17 years</w:t>
      </w:r>
      <w:r w:rsidR="00BE61B2" w:rsidRPr="00A451D4">
        <w:rPr>
          <w:b/>
        </w:rPr>
        <w:t xml:space="preserve"> who eat the </w:t>
      </w:r>
      <w:r w:rsidR="0012609A" w:rsidRPr="00A451D4">
        <w:rPr>
          <w:b/>
        </w:rPr>
        <w:t xml:space="preserve">minimum </w:t>
      </w:r>
      <w:r w:rsidR="00BE61B2" w:rsidRPr="00A451D4">
        <w:rPr>
          <w:b/>
        </w:rPr>
        <w:t>daily recommended serves of vegetables</w:t>
      </w:r>
    </w:p>
    <w:p w14:paraId="747E2BA2" w14:textId="03F90454" w:rsidR="00EA241A" w:rsidRDefault="00EA241A" w:rsidP="004F34D1">
      <w:pPr>
        <w:pStyle w:val="Figurecaption"/>
        <w:rPr>
          <w:sz w:val="20"/>
        </w:rPr>
      </w:pPr>
      <w:bookmarkStart w:id="497" w:name="_Toc19008074"/>
      <w:bookmarkStart w:id="498" w:name="_Toc19008310"/>
      <w:bookmarkStart w:id="499" w:name="_Toc19008457"/>
      <w:bookmarkStart w:id="500" w:name="_Toc19008604"/>
      <w:bookmarkStart w:id="501" w:name="_Toc140827645"/>
      <w:r w:rsidRPr="00B33F2D">
        <w:rPr>
          <w:sz w:val="20"/>
        </w:rPr>
        <w:t>Figure 7.5</w:t>
      </w:r>
      <w:r w:rsidR="003B391F" w:rsidRPr="00B33F2D">
        <w:rPr>
          <w:sz w:val="20"/>
        </w:rPr>
        <w:t>:</w:t>
      </w:r>
      <w:r w:rsidRPr="00B33F2D">
        <w:rPr>
          <w:sz w:val="20"/>
        </w:rPr>
        <w:t xml:space="preserve"> Proportion of adolescents</w:t>
      </w:r>
      <w:r w:rsidR="004A40D6" w:rsidRPr="00B33F2D">
        <w:rPr>
          <w:sz w:val="20"/>
        </w:rPr>
        <w:t xml:space="preserve"> aged</w:t>
      </w:r>
      <w:r w:rsidRPr="00B33F2D">
        <w:rPr>
          <w:sz w:val="20"/>
        </w:rPr>
        <w:t xml:space="preserve"> 10</w:t>
      </w:r>
      <w:r w:rsidR="00690CD3" w:rsidRPr="00B33F2D">
        <w:rPr>
          <w:sz w:val="20"/>
        </w:rPr>
        <w:t>–1</w:t>
      </w:r>
      <w:r w:rsidRPr="00B33F2D">
        <w:rPr>
          <w:sz w:val="20"/>
        </w:rPr>
        <w:t>7 years who eat the daily recommended serves of vegetables</w:t>
      </w:r>
      <w:r w:rsidR="000C590B" w:rsidRPr="00B33F2D">
        <w:rPr>
          <w:sz w:val="20"/>
        </w:rPr>
        <w:t>, 2014</w:t>
      </w:r>
      <w:r w:rsidR="00D52917" w:rsidRPr="00B33F2D">
        <w:rPr>
          <w:sz w:val="20"/>
        </w:rPr>
        <w:t>,</w:t>
      </w:r>
      <w:r w:rsidR="000C590B" w:rsidRPr="00B33F2D">
        <w:rPr>
          <w:sz w:val="20"/>
        </w:rPr>
        <w:t xml:space="preserve"> 2016</w:t>
      </w:r>
      <w:bookmarkEnd w:id="497"/>
      <w:bookmarkEnd w:id="498"/>
      <w:bookmarkEnd w:id="499"/>
      <w:bookmarkEnd w:id="500"/>
      <w:r w:rsidR="00D52917" w:rsidRPr="00B33F2D">
        <w:rPr>
          <w:sz w:val="20"/>
        </w:rPr>
        <w:t xml:space="preserve"> and 2018</w:t>
      </w:r>
      <w:bookmarkEnd w:id="501"/>
    </w:p>
    <w:p w14:paraId="4916A793" w14:textId="7DAC877B" w:rsidR="00C82621" w:rsidRPr="00182E10" w:rsidRDefault="00EB5B18" w:rsidP="00EB5B18">
      <w:pPr>
        <w:pStyle w:val="DHHSbody"/>
      </w:pPr>
      <w:r w:rsidRPr="00EB5B18">
        <w:rPr>
          <w:noProof/>
        </w:rPr>
        <w:drawing>
          <wp:inline distT="0" distB="0" distL="0" distR="0" wp14:anchorId="1EC1143E" wp14:editId="1C72DD9D">
            <wp:extent cx="5910580" cy="2514600"/>
            <wp:effectExtent l="0" t="0" r="0" b="0"/>
            <wp:docPr id="1110205015" name="Picture 1110205015" descr="This figure presents data under the 'Measure 7.5 - Proportion of adolescents 10 to 17 years who ear the minimum daily recommended serves of vegetables'.  The data for this figure for 2014, 2016 and 2018 is available in this section - refer to Tabl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15" name="Picture 1110205015" descr="This figure presents data under the 'Measure 7.5 - Proportion of adolescents 10 to 17 years who ear the minimum daily recommended serves of vegetables'.  The data for this figure for 2014, 2016 and 2018 is available in this section - refer to Table 7.5."/>
                    <pic:cNvPicPr/>
                  </pic:nvPicPr>
                  <pic:blipFill>
                    <a:blip r:embed="rId89"/>
                    <a:stretch>
                      <a:fillRect/>
                    </a:stretch>
                  </pic:blipFill>
                  <pic:spPr>
                    <a:xfrm>
                      <a:off x="0" y="0"/>
                      <a:ext cx="5922650" cy="2519735"/>
                    </a:xfrm>
                    <a:prstGeom prst="rect">
                      <a:avLst/>
                    </a:prstGeom>
                  </pic:spPr>
                </pic:pic>
              </a:graphicData>
            </a:graphic>
          </wp:inline>
        </w:drawing>
      </w:r>
    </w:p>
    <w:p w14:paraId="0247556B" w14:textId="1E6CB711" w:rsidR="0038266E" w:rsidRPr="00B33F2D" w:rsidRDefault="00C82621" w:rsidP="00660649">
      <w:pPr>
        <w:pStyle w:val="Tablefigurenote"/>
        <w:rPr>
          <w:i/>
          <w:iCs/>
          <w:sz w:val="18"/>
          <w:szCs w:val="18"/>
        </w:rPr>
      </w:pPr>
      <w:r w:rsidRPr="00B33F2D">
        <w:rPr>
          <w:i/>
          <w:iCs/>
          <w:sz w:val="18"/>
          <w:szCs w:val="18"/>
        </w:rPr>
        <w:t>Source: Victorian Child and Adolescent Monitoring System – Department of Education and Training</w:t>
      </w:r>
      <w:r w:rsidR="00C575AB" w:rsidRPr="00B33F2D">
        <w:rPr>
          <w:i/>
          <w:iCs/>
          <w:sz w:val="18"/>
          <w:szCs w:val="18"/>
        </w:rPr>
        <w:t xml:space="preserve"> - </w:t>
      </w:r>
      <w:hyperlink r:id="rId90" w:history="1">
        <w:r w:rsidR="0038266E" w:rsidRPr="00B33F2D">
          <w:rPr>
            <w:rStyle w:val="Hyperlink"/>
            <w:rFonts w:cs="Arial"/>
            <w:i/>
            <w:iCs/>
            <w:sz w:val="18"/>
            <w:szCs w:val="18"/>
          </w:rPr>
          <w:t>https://www.education.vic.gov.au/about/research/Pages/vcamsindicator.aspx</w:t>
        </w:r>
      </w:hyperlink>
    </w:p>
    <w:p w14:paraId="23AB076D" w14:textId="34659D6D" w:rsidR="00FB052D" w:rsidRPr="00351F18" w:rsidRDefault="004029C7" w:rsidP="00FB052D">
      <w:pPr>
        <w:pStyle w:val="Tablecaption"/>
        <w:rPr>
          <w:sz w:val="20"/>
        </w:rPr>
      </w:pPr>
      <w:bookmarkStart w:id="502" w:name="_Toc18908734"/>
      <w:bookmarkStart w:id="503" w:name="_Toc132491532"/>
      <w:bookmarkStart w:id="504" w:name="_Toc140834924"/>
      <w:r w:rsidRPr="00351F18">
        <w:rPr>
          <w:rFonts w:cs="Arial"/>
          <w:sz w:val="20"/>
        </w:rPr>
        <w:t>Table</w:t>
      </w:r>
      <w:r w:rsidR="00FB052D" w:rsidRPr="00351F18">
        <w:rPr>
          <w:rFonts w:cs="Arial"/>
          <w:sz w:val="20"/>
        </w:rPr>
        <w:t xml:space="preserve"> 7.5</w:t>
      </w:r>
      <w:r w:rsidR="001F7E28" w:rsidRPr="00351F18">
        <w:rPr>
          <w:sz w:val="20"/>
        </w:rPr>
        <w:t>:</w:t>
      </w:r>
      <w:r w:rsidR="00FB052D" w:rsidRPr="00351F18">
        <w:rPr>
          <w:rFonts w:cs="Arial"/>
          <w:sz w:val="20"/>
        </w:rPr>
        <w:t xml:space="preserve"> </w:t>
      </w:r>
      <w:r w:rsidR="00FB052D" w:rsidRPr="00351F18">
        <w:rPr>
          <w:sz w:val="20"/>
        </w:rPr>
        <w:t>Proportion of adolescents aged 10–17 years who eat the daily recommended serves of vegetables, 2014</w:t>
      </w:r>
      <w:r w:rsidR="00D52917" w:rsidRPr="00351F18">
        <w:rPr>
          <w:sz w:val="20"/>
        </w:rPr>
        <w:t>,</w:t>
      </w:r>
      <w:r w:rsidR="00FB052D" w:rsidRPr="00351F18">
        <w:rPr>
          <w:sz w:val="20"/>
        </w:rPr>
        <w:t xml:space="preserve"> 2016</w:t>
      </w:r>
      <w:bookmarkEnd w:id="502"/>
      <w:r w:rsidR="00D52917" w:rsidRPr="00351F18">
        <w:rPr>
          <w:sz w:val="20"/>
        </w:rPr>
        <w:t xml:space="preserve"> and 2018</w:t>
      </w:r>
      <w:bookmarkEnd w:id="503"/>
      <w:bookmarkEnd w:id="504"/>
    </w:p>
    <w:tbl>
      <w:tblPr>
        <w:tblW w:w="9225" w:type="dxa"/>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273"/>
        <w:gridCol w:w="2170"/>
        <w:gridCol w:w="2473"/>
        <w:gridCol w:w="2309"/>
      </w:tblGrid>
      <w:tr w:rsidR="00F54913" w:rsidRPr="00DB4F90" w14:paraId="224B7F9D" w14:textId="3CA7648D" w:rsidTr="00136324">
        <w:trPr>
          <w:trHeight w:val="341"/>
        </w:trPr>
        <w:tc>
          <w:tcPr>
            <w:tcW w:w="2273" w:type="dxa"/>
            <w:shd w:val="clear" w:color="auto" w:fill="EDCDCF"/>
            <w:vAlign w:val="center"/>
          </w:tcPr>
          <w:p w14:paraId="601C03DA" w14:textId="77777777" w:rsidR="00F54913" w:rsidRPr="00DB4F90" w:rsidRDefault="00F54913" w:rsidP="00827F83">
            <w:pPr>
              <w:pStyle w:val="Tablecolhead"/>
            </w:pPr>
            <w:r w:rsidRPr="00DB4F90">
              <w:t>Year</w:t>
            </w:r>
          </w:p>
        </w:tc>
        <w:tc>
          <w:tcPr>
            <w:tcW w:w="2170" w:type="dxa"/>
            <w:shd w:val="clear" w:color="auto" w:fill="EDCDCF"/>
            <w:vAlign w:val="center"/>
          </w:tcPr>
          <w:p w14:paraId="2DCCA7CD" w14:textId="37DDF503" w:rsidR="00F54913" w:rsidRPr="00DB4F90" w:rsidRDefault="00F54913" w:rsidP="00827F83">
            <w:pPr>
              <w:pStyle w:val="Tablecolhead"/>
            </w:pPr>
            <w:r w:rsidRPr="00DB4F90">
              <w:t>201</w:t>
            </w:r>
            <w:r>
              <w:t>4</w:t>
            </w:r>
          </w:p>
        </w:tc>
        <w:tc>
          <w:tcPr>
            <w:tcW w:w="2473" w:type="dxa"/>
            <w:shd w:val="clear" w:color="auto" w:fill="EDCDCF"/>
            <w:vAlign w:val="center"/>
          </w:tcPr>
          <w:p w14:paraId="1393A5C7" w14:textId="70116282" w:rsidR="00F54913" w:rsidRPr="00DB4F90" w:rsidRDefault="00F54913" w:rsidP="00827F83">
            <w:pPr>
              <w:pStyle w:val="Tablecolhead"/>
            </w:pPr>
            <w:r w:rsidRPr="00DB4F90">
              <w:t>201</w:t>
            </w:r>
            <w:r>
              <w:t>6</w:t>
            </w:r>
          </w:p>
        </w:tc>
        <w:tc>
          <w:tcPr>
            <w:tcW w:w="2309" w:type="dxa"/>
            <w:shd w:val="clear" w:color="auto" w:fill="EDCDCF"/>
          </w:tcPr>
          <w:p w14:paraId="7CC95760" w14:textId="3B4A4112" w:rsidR="00F54913" w:rsidRPr="00DB4F90" w:rsidRDefault="00F54913" w:rsidP="00827F83">
            <w:pPr>
              <w:pStyle w:val="Tablecolhead"/>
            </w:pPr>
            <w:r>
              <w:t>2018</w:t>
            </w:r>
          </w:p>
        </w:tc>
      </w:tr>
      <w:tr w:rsidR="00F54913" w:rsidRPr="0069114D" w14:paraId="267A6C58" w14:textId="5329FC21" w:rsidTr="00136324">
        <w:trPr>
          <w:trHeight w:val="341"/>
        </w:trPr>
        <w:tc>
          <w:tcPr>
            <w:tcW w:w="2273" w:type="dxa"/>
            <w:shd w:val="clear" w:color="auto" w:fill="auto"/>
            <w:vAlign w:val="center"/>
          </w:tcPr>
          <w:p w14:paraId="456B65FA" w14:textId="77777777" w:rsidR="00F54913" w:rsidRPr="005E739D" w:rsidRDefault="00F54913" w:rsidP="00827F83">
            <w:pPr>
              <w:pStyle w:val="Tabletext"/>
            </w:pPr>
            <w:r>
              <w:t>Per cent (%)</w:t>
            </w:r>
          </w:p>
        </w:tc>
        <w:tc>
          <w:tcPr>
            <w:tcW w:w="2170" w:type="dxa"/>
            <w:shd w:val="clear" w:color="auto" w:fill="auto"/>
            <w:vAlign w:val="center"/>
          </w:tcPr>
          <w:p w14:paraId="44340DA6" w14:textId="03A0C6B5" w:rsidR="00F54913" w:rsidRPr="0069114D" w:rsidRDefault="00F54913" w:rsidP="00827F83">
            <w:pPr>
              <w:pStyle w:val="Tabletext"/>
            </w:pPr>
            <w:r>
              <w:t>12.8</w:t>
            </w:r>
          </w:p>
        </w:tc>
        <w:tc>
          <w:tcPr>
            <w:tcW w:w="2473" w:type="dxa"/>
            <w:shd w:val="clear" w:color="auto" w:fill="auto"/>
            <w:vAlign w:val="center"/>
          </w:tcPr>
          <w:p w14:paraId="3DFCCE12" w14:textId="2D08F236" w:rsidR="00F54913" w:rsidRPr="0069114D" w:rsidRDefault="00F54913" w:rsidP="00827F83">
            <w:pPr>
              <w:pStyle w:val="Tabletext"/>
            </w:pPr>
            <w:r>
              <w:t>12.6</w:t>
            </w:r>
          </w:p>
        </w:tc>
        <w:tc>
          <w:tcPr>
            <w:tcW w:w="2309" w:type="dxa"/>
          </w:tcPr>
          <w:p w14:paraId="0CBA5A61" w14:textId="0F01E52C" w:rsidR="00F54913" w:rsidRDefault="00F54913" w:rsidP="00827F83">
            <w:pPr>
              <w:pStyle w:val="Tabletext"/>
            </w:pPr>
            <w:r>
              <w:t>13.1</w:t>
            </w:r>
          </w:p>
        </w:tc>
      </w:tr>
      <w:tr w:rsidR="00F54913" w:rsidRPr="0069114D" w14:paraId="78F9E73B" w14:textId="6429ED4A" w:rsidTr="00136324">
        <w:trPr>
          <w:trHeight w:val="341"/>
        </w:trPr>
        <w:tc>
          <w:tcPr>
            <w:tcW w:w="2273" w:type="dxa"/>
            <w:shd w:val="clear" w:color="auto" w:fill="auto"/>
            <w:vAlign w:val="center"/>
          </w:tcPr>
          <w:p w14:paraId="419B43B6" w14:textId="77777777" w:rsidR="00F54913" w:rsidRDefault="00F54913" w:rsidP="00827F83">
            <w:pPr>
              <w:pStyle w:val="Tabletext"/>
            </w:pPr>
            <w:r>
              <w:t>95% CI</w:t>
            </w:r>
          </w:p>
        </w:tc>
        <w:tc>
          <w:tcPr>
            <w:tcW w:w="2170" w:type="dxa"/>
            <w:shd w:val="clear" w:color="auto" w:fill="auto"/>
            <w:vAlign w:val="center"/>
          </w:tcPr>
          <w:p w14:paraId="7C816B7D" w14:textId="5E4D6C45" w:rsidR="00F54913" w:rsidRPr="0069114D" w:rsidRDefault="00F54913" w:rsidP="00827F83">
            <w:pPr>
              <w:pStyle w:val="Tabletext"/>
            </w:pPr>
            <w:r w:rsidRPr="0069114D">
              <w:t>(</w:t>
            </w:r>
            <w:r>
              <w:t>11.8–13.7</w:t>
            </w:r>
            <w:r w:rsidRPr="0069114D">
              <w:t>)</w:t>
            </w:r>
          </w:p>
        </w:tc>
        <w:tc>
          <w:tcPr>
            <w:tcW w:w="2473" w:type="dxa"/>
            <w:shd w:val="clear" w:color="auto" w:fill="auto"/>
            <w:vAlign w:val="center"/>
          </w:tcPr>
          <w:p w14:paraId="4E038B0A" w14:textId="749ED3B0" w:rsidR="00F54913" w:rsidRPr="0069114D" w:rsidRDefault="00F54913" w:rsidP="00827F83">
            <w:pPr>
              <w:pStyle w:val="Tabletext"/>
            </w:pPr>
            <w:r w:rsidRPr="0069114D">
              <w:t>(</w:t>
            </w:r>
            <w:r>
              <w:t>12.0–13</w:t>
            </w:r>
            <w:r w:rsidRPr="0069114D">
              <w:t>.</w:t>
            </w:r>
            <w:r>
              <w:t>2</w:t>
            </w:r>
            <w:r w:rsidRPr="0069114D">
              <w:t>)</w:t>
            </w:r>
          </w:p>
        </w:tc>
        <w:tc>
          <w:tcPr>
            <w:tcW w:w="2309" w:type="dxa"/>
          </w:tcPr>
          <w:p w14:paraId="3781169C" w14:textId="25421EF8" w:rsidR="00F54913" w:rsidRPr="0069114D" w:rsidRDefault="00F54913" w:rsidP="00827F83">
            <w:pPr>
              <w:pStyle w:val="Tabletext"/>
            </w:pPr>
            <w:r>
              <w:t>(12.5–13.7)</w:t>
            </w:r>
          </w:p>
        </w:tc>
      </w:tr>
    </w:tbl>
    <w:p w14:paraId="0C42D658" w14:textId="5ED66368" w:rsidR="000C590B" w:rsidRDefault="000C590B" w:rsidP="0091523F">
      <w:pPr>
        <w:pStyle w:val="Figurecaption"/>
        <w:rPr>
          <w:sz w:val="20"/>
        </w:rPr>
      </w:pPr>
      <w:bookmarkStart w:id="505" w:name="_Toc19008075"/>
      <w:bookmarkStart w:id="506" w:name="_Toc19008311"/>
      <w:bookmarkStart w:id="507" w:name="_Toc19008458"/>
      <w:bookmarkStart w:id="508" w:name="_Toc19008605"/>
      <w:bookmarkStart w:id="509" w:name="_Toc132553036"/>
      <w:bookmarkStart w:id="510" w:name="_Toc140827646"/>
      <w:r w:rsidRPr="00351F18">
        <w:rPr>
          <w:sz w:val="20"/>
        </w:rPr>
        <w:t>Figure 7.5.1</w:t>
      </w:r>
      <w:r w:rsidR="003B391F" w:rsidRPr="00351F18">
        <w:rPr>
          <w:sz w:val="20"/>
        </w:rPr>
        <w:t>:</w:t>
      </w:r>
      <w:r w:rsidRPr="00351F18">
        <w:rPr>
          <w:sz w:val="20"/>
        </w:rPr>
        <w:t xml:space="preserve"> Proportion of adolescents </w:t>
      </w:r>
      <w:r w:rsidR="004A40D6" w:rsidRPr="00351F18">
        <w:rPr>
          <w:sz w:val="20"/>
        </w:rPr>
        <w:t xml:space="preserve">aged </w:t>
      </w:r>
      <w:r w:rsidRPr="00351F18">
        <w:rPr>
          <w:sz w:val="20"/>
        </w:rPr>
        <w:t>10</w:t>
      </w:r>
      <w:r w:rsidR="00CA2AD7" w:rsidRPr="00351F18">
        <w:rPr>
          <w:sz w:val="20"/>
        </w:rPr>
        <w:t>–</w:t>
      </w:r>
      <w:r w:rsidRPr="00351F18">
        <w:rPr>
          <w:sz w:val="20"/>
        </w:rPr>
        <w:t>17 years who eat the daily recommended serves of vegetables</w:t>
      </w:r>
      <w:r w:rsidR="004A40D6" w:rsidRPr="00351F18">
        <w:rPr>
          <w:sz w:val="20"/>
        </w:rPr>
        <w:t>,</w:t>
      </w:r>
      <w:r w:rsidRPr="00351F18">
        <w:rPr>
          <w:sz w:val="20"/>
        </w:rPr>
        <w:t xml:space="preserve"> by remoteness area and gender, 2014</w:t>
      </w:r>
      <w:r w:rsidR="00D52917" w:rsidRPr="00351F18">
        <w:rPr>
          <w:sz w:val="20"/>
        </w:rPr>
        <w:t>,</w:t>
      </w:r>
      <w:r w:rsidRPr="00351F18">
        <w:rPr>
          <w:sz w:val="20"/>
        </w:rPr>
        <w:t xml:space="preserve"> 2016</w:t>
      </w:r>
      <w:bookmarkEnd w:id="505"/>
      <w:bookmarkEnd w:id="506"/>
      <w:bookmarkEnd w:id="507"/>
      <w:bookmarkEnd w:id="508"/>
      <w:r w:rsidR="00D52917" w:rsidRPr="00351F18">
        <w:rPr>
          <w:sz w:val="20"/>
        </w:rPr>
        <w:t xml:space="preserve"> and 2018</w:t>
      </w:r>
      <w:bookmarkEnd w:id="509"/>
      <w:bookmarkEnd w:id="510"/>
    </w:p>
    <w:p w14:paraId="0ED3C0A1" w14:textId="237E2EFC" w:rsidR="00092CC4" w:rsidRPr="00092CC4" w:rsidRDefault="00EB5B18" w:rsidP="00EB5B18">
      <w:pPr>
        <w:pStyle w:val="DHHSbody"/>
      </w:pPr>
      <w:r w:rsidRPr="00EB5B18">
        <w:rPr>
          <w:noProof/>
        </w:rPr>
        <w:drawing>
          <wp:inline distT="0" distB="0" distL="0" distR="0" wp14:anchorId="1A03C790" wp14:editId="1DB2EA3C">
            <wp:extent cx="5850255" cy="2743200"/>
            <wp:effectExtent l="0" t="0" r="0" b="0"/>
            <wp:docPr id="1110205016" name="Picture 1110205016" descr="This figure presents data by remoteness and gender under the Measure 7.5 - Proportion of adolescents aged 10-17 years who eat the daily recommended serves of vegetables' for 2014, 2016 and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16" name="Picture 1110205016" descr="This figure presents data by remoteness and gender under the Measure 7.5 - Proportion of adolescents aged 10-17 years who eat the daily recommended serves of vegetables' for 2014, 2016 and 2018."/>
                    <pic:cNvPicPr/>
                  </pic:nvPicPr>
                  <pic:blipFill>
                    <a:blip r:embed="rId91"/>
                    <a:stretch>
                      <a:fillRect/>
                    </a:stretch>
                  </pic:blipFill>
                  <pic:spPr>
                    <a:xfrm>
                      <a:off x="0" y="0"/>
                      <a:ext cx="5862917" cy="2749137"/>
                    </a:xfrm>
                    <a:prstGeom prst="rect">
                      <a:avLst/>
                    </a:prstGeom>
                  </pic:spPr>
                </pic:pic>
              </a:graphicData>
            </a:graphic>
          </wp:inline>
        </w:drawing>
      </w:r>
    </w:p>
    <w:p w14:paraId="1BF2A8CA" w14:textId="212CC0CE" w:rsidR="004B7326" w:rsidRPr="00B33F2D" w:rsidRDefault="00255D0C" w:rsidP="004F34D1">
      <w:pPr>
        <w:pStyle w:val="Tablefigurenote"/>
        <w:rPr>
          <w:i/>
          <w:iCs/>
          <w:sz w:val="18"/>
          <w:szCs w:val="18"/>
        </w:rPr>
      </w:pPr>
      <w:r w:rsidRPr="00B33F2D">
        <w:rPr>
          <w:i/>
          <w:iCs/>
          <w:sz w:val="18"/>
          <w:szCs w:val="18"/>
        </w:rPr>
        <w:t>Source</w:t>
      </w:r>
      <w:r w:rsidR="00092CC4" w:rsidRPr="00B33F2D">
        <w:rPr>
          <w:i/>
          <w:iCs/>
          <w:sz w:val="18"/>
          <w:szCs w:val="18"/>
        </w:rPr>
        <w:t>s</w:t>
      </w:r>
      <w:r w:rsidRPr="00B33F2D">
        <w:rPr>
          <w:i/>
          <w:iCs/>
          <w:sz w:val="18"/>
          <w:szCs w:val="18"/>
        </w:rPr>
        <w:t>: Victorian Child Health and Wellbeing Survey</w:t>
      </w:r>
      <w:r w:rsidR="00827558" w:rsidRPr="00B33F2D">
        <w:rPr>
          <w:i/>
          <w:iCs/>
          <w:sz w:val="18"/>
          <w:szCs w:val="18"/>
        </w:rPr>
        <w:t>s 2014,</w:t>
      </w:r>
      <w:r w:rsidR="00C575AB" w:rsidRPr="00B33F2D">
        <w:rPr>
          <w:i/>
          <w:iCs/>
          <w:sz w:val="18"/>
          <w:szCs w:val="18"/>
        </w:rPr>
        <w:t xml:space="preserve"> 2016</w:t>
      </w:r>
      <w:r w:rsidR="00827558" w:rsidRPr="00B33F2D">
        <w:rPr>
          <w:i/>
          <w:iCs/>
          <w:sz w:val="18"/>
          <w:szCs w:val="18"/>
        </w:rPr>
        <w:t xml:space="preserve"> and 2018</w:t>
      </w:r>
      <w:r w:rsidR="00B33F2D" w:rsidRPr="00B33F2D">
        <w:rPr>
          <w:i/>
          <w:iCs/>
          <w:sz w:val="18"/>
          <w:szCs w:val="18"/>
        </w:rPr>
        <w:t>.</w:t>
      </w:r>
      <w:r w:rsidR="004B7326" w:rsidRPr="00B33F2D">
        <w:rPr>
          <w:i/>
          <w:iCs/>
          <w:sz w:val="18"/>
          <w:szCs w:val="18"/>
        </w:rPr>
        <w:br w:type="page"/>
      </w:r>
    </w:p>
    <w:p w14:paraId="679D3072" w14:textId="1FA0F763" w:rsidR="004E0E9D" w:rsidRPr="004E0E9D" w:rsidRDefault="004E0E9D" w:rsidP="007C7F00">
      <w:pPr>
        <w:pStyle w:val="Heading4"/>
      </w:pPr>
      <w:r w:rsidRPr="00E43803">
        <w:lastRenderedPageBreak/>
        <w:t>Measure assessment</w:t>
      </w:r>
    </w:p>
    <w:p w14:paraId="21B1EA37" w14:textId="3864E2A2" w:rsidR="00C50D6F" w:rsidRPr="009901D9" w:rsidRDefault="00C50D6F" w:rsidP="00606436">
      <w:pPr>
        <w:pStyle w:val="Body"/>
      </w:pPr>
      <w:r w:rsidRPr="009F01B1">
        <w:t>Traffic light rating:</w:t>
      </w:r>
      <w:r w:rsidRPr="00B504AD">
        <w:rPr>
          <w:color w:val="AF272F"/>
        </w:rPr>
        <w:t xml:space="preserve"> </w:t>
      </w:r>
      <w:r w:rsidR="006F5AB0" w:rsidRPr="002759A5">
        <w:rPr>
          <w:b/>
          <w:color w:val="C5511A"/>
        </w:rPr>
        <w:t>Amber</w:t>
      </w:r>
      <w:r w:rsidR="00EA3932">
        <w:rPr>
          <w:b/>
        </w:rPr>
        <w:t xml:space="preserve"> </w:t>
      </w:r>
      <w:r w:rsidR="00EA3932" w:rsidRPr="00EA3932">
        <w:t>(desired result not yet evident)</w:t>
      </w:r>
    </w:p>
    <w:p w14:paraId="73822F32" w14:textId="0E5D1EFB" w:rsidR="00C50D6F" w:rsidRPr="00A40B1E" w:rsidRDefault="00C50D6F" w:rsidP="00606436">
      <w:pPr>
        <w:pStyle w:val="Body"/>
      </w:pPr>
      <w:r w:rsidRPr="00A40B1E">
        <w:t xml:space="preserve">Overall trend: </w:t>
      </w:r>
      <w:r w:rsidR="00D15308">
        <w:t>Static or unchanging</w:t>
      </w:r>
    </w:p>
    <w:p w14:paraId="43B46606" w14:textId="1C18E5FA" w:rsidR="009557EC" w:rsidRPr="00A40B1E" w:rsidRDefault="00C50D6F" w:rsidP="00606436">
      <w:pPr>
        <w:pStyle w:val="Body"/>
        <w:rPr>
          <w:rFonts w:eastAsia="MS Gothic"/>
          <w:b/>
          <w:bCs/>
          <w:sz w:val="24"/>
          <w:szCs w:val="26"/>
        </w:rPr>
      </w:pPr>
      <w:r w:rsidRPr="00A40B1E">
        <w:t xml:space="preserve">Commentary: </w:t>
      </w:r>
      <w:r w:rsidR="004A40D6">
        <w:t>Consuming v</w:t>
      </w:r>
      <w:r w:rsidR="00CA184B" w:rsidRPr="00A40B1E">
        <w:t>egetable</w:t>
      </w:r>
      <w:r w:rsidR="004A40D6">
        <w:t>s</w:t>
      </w:r>
      <w:r w:rsidR="00CA184B" w:rsidRPr="00A40B1E">
        <w:t xml:space="preserve"> (and fruit) </w:t>
      </w:r>
      <w:r w:rsidR="004A40D6">
        <w:t xml:space="preserve">that </w:t>
      </w:r>
      <w:r w:rsidR="00E975C3" w:rsidRPr="00A40B1E">
        <w:t>are high in nutrients</w:t>
      </w:r>
      <w:r w:rsidR="004A40D6">
        <w:t xml:space="preserve"> </w:t>
      </w:r>
      <w:r w:rsidR="00E975C3" w:rsidRPr="00A40B1E">
        <w:t>potentially protect</w:t>
      </w:r>
      <w:r w:rsidR="00092CC4">
        <w:t>s</w:t>
      </w:r>
      <w:r w:rsidR="00E975C3" w:rsidRPr="00A40B1E">
        <w:t xml:space="preserve"> against cancers. </w:t>
      </w:r>
      <w:r w:rsidR="00E975C3" w:rsidRPr="00A40B1E">
        <w:rPr>
          <w:lang w:val="en"/>
        </w:rPr>
        <w:t>A longitudinal study has suggested that high vegetable consumption in adolescence has a beneficial influence on self-rated health in early adulthood.</w:t>
      </w:r>
      <w:r w:rsidR="00E975C3" w:rsidRPr="00A40B1E">
        <w:rPr>
          <w:rStyle w:val="FootnoteReference"/>
          <w:rFonts w:cs="Arial"/>
          <w:lang w:val="en"/>
        </w:rPr>
        <w:footnoteReference w:id="101"/>
      </w:r>
      <w:r w:rsidR="00E975C3" w:rsidRPr="00A40B1E">
        <w:rPr>
          <w:lang w:val="en"/>
        </w:rPr>
        <w:t xml:space="preserve"> Consuming a minimum of </w:t>
      </w:r>
      <w:r w:rsidR="00C1743F" w:rsidRPr="00A40B1E">
        <w:rPr>
          <w:lang w:val="en"/>
        </w:rPr>
        <w:t>five serves of vegetables per day is recommended for all adolescents.</w:t>
      </w:r>
      <w:r w:rsidR="00C1743F" w:rsidRPr="00A40B1E">
        <w:rPr>
          <w:rStyle w:val="FootnoteReference"/>
          <w:rFonts w:cs="Arial"/>
        </w:rPr>
        <w:footnoteReference w:id="102"/>
      </w:r>
      <w:r w:rsidR="002552A1" w:rsidRPr="00A40B1E">
        <w:rPr>
          <w:lang w:val="en"/>
        </w:rPr>
        <w:t xml:space="preserve"> Figure 7.5 </w:t>
      </w:r>
      <w:r w:rsidR="009D796E">
        <w:rPr>
          <w:lang w:val="en"/>
        </w:rPr>
        <w:t xml:space="preserve">and Table 7.5 </w:t>
      </w:r>
      <w:r w:rsidR="002552A1" w:rsidRPr="00A40B1E">
        <w:rPr>
          <w:lang w:val="en"/>
        </w:rPr>
        <w:t>show that the proportion of adolescents aged 10</w:t>
      </w:r>
      <w:r w:rsidR="00CA2AD7">
        <w:rPr>
          <w:lang w:val="en"/>
        </w:rPr>
        <w:t>–</w:t>
      </w:r>
      <w:r w:rsidR="002552A1" w:rsidRPr="00A40B1E">
        <w:rPr>
          <w:lang w:val="en"/>
        </w:rPr>
        <w:t xml:space="preserve">17 years in Victoria consuming vegetables </w:t>
      </w:r>
      <w:r w:rsidR="009D796E">
        <w:rPr>
          <w:lang w:val="en"/>
        </w:rPr>
        <w:t>decreased slightly</w:t>
      </w:r>
      <w:r w:rsidR="002552A1" w:rsidRPr="00A40B1E">
        <w:rPr>
          <w:lang w:val="en"/>
        </w:rPr>
        <w:t xml:space="preserve"> between 2014 and 2016 </w:t>
      </w:r>
      <w:r w:rsidR="00966B1C">
        <w:rPr>
          <w:lang w:val="en"/>
        </w:rPr>
        <w:t xml:space="preserve">but then increased slightly in 2018 </w:t>
      </w:r>
      <w:r w:rsidR="002552A1" w:rsidRPr="00A40B1E">
        <w:rPr>
          <w:lang w:val="en"/>
        </w:rPr>
        <w:t xml:space="preserve">among all children and for boys and girls. </w:t>
      </w:r>
      <w:r w:rsidR="002552A1" w:rsidRPr="00A40B1E">
        <w:t xml:space="preserve">The proportion of all adolescents living in metropolitan </w:t>
      </w:r>
      <w:r w:rsidR="00224E46" w:rsidRPr="00A40B1E">
        <w:t xml:space="preserve">and regional </w:t>
      </w:r>
      <w:r w:rsidR="002552A1" w:rsidRPr="00A40B1E">
        <w:t xml:space="preserve">areas consuming </w:t>
      </w:r>
      <w:r w:rsidR="00224E46" w:rsidRPr="00A40B1E">
        <w:t xml:space="preserve">vegetables </w:t>
      </w:r>
      <w:r w:rsidR="009D796E">
        <w:t xml:space="preserve">remained static </w:t>
      </w:r>
      <w:r w:rsidR="002552A1" w:rsidRPr="00A40B1E">
        <w:t>between 2014 and 201</w:t>
      </w:r>
      <w:r w:rsidR="00966B1C">
        <w:t>8</w:t>
      </w:r>
      <w:r w:rsidR="00617F21" w:rsidRPr="00A40B1E">
        <w:t xml:space="preserve"> (Figure 7.5.1)</w:t>
      </w:r>
      <w:r w:rsidR="002552A1" w:rsidRPr="00A40B1E">
        <w:t>.</w:t>
      </w:r>
    </w:p>
    <w:p w14:paraId="39878ACD" w14:textId="4060DFF3" w:rsidR="002552A1" w:rsidRPr="001A2A05" w:rsidRDefault="00EB56BB" w:rsidP="00606436">
      <w:pPr>
        <w:pStyle w:val="Body"/>
      </w:pPr>
      <w:r w:rsidRPr="00A40B1E">
        <w:t>While no target has been set, this measure shows that</w:t>
      </w:r>
      <w:r w:rsidR="009016A3">
        <w:t>, overall,</w:t>
      </w:r>
      <w:r w:rsidRPr="00A40B1E">
        <w:t xml:space="preserve"> the proportion of daily </w:t>
      </w:r>
      <w:r w:rsidR="00472FC6">
        <w:t>vegetable</w:t>
      </w:r>
      <w:r w:rsidRPr="00A40B1E">
        <w:t xml:space="preserve"> consumption for adolescents aged 10</w:t>
      </w:r>
      <w:r w:rsidR="00CA2AD7">
        <w:t>–</w:t>
      </w:r>
      <w:r w:rsidRPr="00A40B1E">
        <w:t>17 years</w:t>
      </w:r>
      <w:r w:rsidRPr="00A40B1E">
        <w:rPr>
          <w:lang w:val="en"/>
        </w:rPr>
        <w:t xml:space="preserve"> who met the dietary guideline for daily vegetable intake is </w:t>
      </w:r>
      <w:r w:rsidR="007847AF">
        <w:rPr>
          <w:lang w:val="en"/>
        </w:rPr>
        <w:t>not</w:t>
      </w:r>
      <w:r w:rsidR="00966B1C">
        <w:rPr>
          <w:lang w:val="en"/>
        </w:rPr>
        <w:t xml:space="preserve"> significantly</w:t>
      </w:r>
      <w:r w:rsidR="007847AF">
        <w:rPr>
          <w:lang w:val="en"/>
        </w:rPr>
        <w:t xml:space="preserve"> </w:t>
      </w:r>
      <w:r w:rsidRPr="00A40B1E">
        <w:rPr>
          <w:lang w:val="en"/>
        </w:rPr>
        <w:t xml:space="preserve">increasing. </w:t>
      </w:r>
      <w:r w:rsidR="00966B1C">
        <w:rPr>
          <w:lang w:val="en"/>
        </w:rPr>
        <w:t>Furthermore</w:t>
      </w:r>
      <w:r w:rsidR="00EC1349" w:rsidRPr="00A40B1E">
        <w:rPr>
          <w:lang w:val="en"/>
        </w:rPr>
        <w:t>,</w:t>
      </w:r>
      <w:r w:rsidRPr="00A40B1E">
        <w:rPr>
          <w:lang w:val="en"/>
        </w:rPr>
        <w:t xml:space="preserve"> this observed trend is low</w:t>
      </w:r>
      <w:r w:rsidR="004A40D6">
        <w:rPr>
          <w:lang w:val="en"/>
        </w:rPr>
        <w:t>,</w:t>
      </w:r>
      <w:r w:rsidRPr="00A40B1E">
        <w:rPr>
          <w:lang w:val="en"/>
        </w:rPr>
        <w:t xml:space="preserve"> </w:t>
      </w:r>
      <w:r w:rsidR="00EF4D14" w:rsidRPr="00A40B1E">
        <w:rPr>
          <w:lang w:val="en"/>
        </w:rPr>
        <w:t>making the promotion of consumption an important</w:t>
      </w:r>
      <w:r w:rsidR="00EC1349" w:rsidRPr="00A40B1E">
        <w:rPr>
          <w:lang w:val="en"/>
        </w:rPr>
        <w:t xml:space="preserve"> health promotion</w:t>
      </w:r>
      <w:r w:rsidR="00EF4D14" w:rsidRPr="00A40B1E">
        <w:rPr>
          <w:lang w:val="en"/>
        </w:rPr>
        <w:t xml:space="preserve"> challenge</w:t>
      </w:r>
      <w:r w:rsidRPr="00A40B1E">
        <w:rPr>
          <w:lang w:val="en"/>
        </w:rPr>
        <w:t>.</w:t>
      </w:r>
      <w:r w:rsidR="000E5401">
        <w:rPr>
          <w:lang w:val="en"/>
        </w:rPr>
        <w:t xml:space="preserve"> </w:t>
      </w:r>
      <w:r w:rsidR="000E5401">
        <w:t>C</w:t>
      </w:r>
      <w:r w:rsidR="000E5401" w:rsidRPr="006078FE">
        <w:rPr>
          <w:lang w:val="en"/>
        </w:rPr>
        <w:t>aution is advised when interpreting these findings</w:t>
      </w:r>
      <w:r w:rsidR="000E5401">
        <w:rPr>
          <w:lang w:val="en"/>
        </w:rPr>
        <w:t xml:space="preserve"> as it relates to this measure</w:t>
      </w:r>
      <w:r w:rsidR="000E5401" w:rsidRPr="006078FE">
        <w:rPr>
          <w:lang w:val="en"/>
        </w:rPr>
        <w:t xml:space="preserve"> </w:t>
      </w:r>
      <w:r w:rsidR="000E5401">
        <w:rPr>
          <w:lang w:val="en"/>
        </w:rPr>
        <w:t xml:space="preserve">as consumption trends may have altered </w:t>
      </w:r>
      <w:r w:rsidR="000E5401" w:rsidRPr="006078FE">
        <w:rPr>
          <w:lang w:val="en"/>
        </w:rPr>
        <w:t xml:space="preserve">due to </w:t>
      </w:r>
      <w:r w:rsidR="000E5401">
        <w:rPr>
          <w:lang w:val="en"/>
        </w:rPr>
        <w:t>the restrictive measures imposed to reduce the impact of COVID-19</w:t>
      </w:r>
      <w:r w:rsidR="000E5401" w:rsidRPr="006078FE">
        <w:rPr>
          <w:lang w:val="en"/>
        </w:rPr>
        <w:t xml:space="preserve">. </w:t>
      </w:r>
      <w:r w:rsidR="002552A1" w:rsidRPr="00EC1349">
        <w:br w:type="page"/>
      </w:r>
    </w:p>
    <w:p w14:paraId="0D5891A5" w14:textId="7E483C6F" w:rsidR="00784A70" w:rsidRPr="003E6A0B" w:rsidRDefault="00784A70" w:rsidP="00A451D4">
      <w:pPr>
        <w:pStyle w:val="Heading3"/>
        <w:rPr>
          <w:b/>
          <w:bCs w:val="0"/>
        </w:rPr>
      </w:pPr>
      <w:bookmarkStart w:id="511" w:name="_Measure_7.6_–"/>
      <w:bookmarkStart w:id="512" w:name="_Toc19008076"/>
      <w:bookmarkEnd w:id="511"/>
      <w:r w:rsidRPr="003E6A0B">
        <w:rPr>
          <w:b/>
          <w:bCs w:val="0"/>
        </w:rPr>
        <w:lastRenderedPageBreak/>
        <w:t>Measure 7.6 –</w:t>
      </w:r>
      <w:r w:rsidR="00782252" w:rsidRPr="003E6A0B">
        <w:rPr>
          <w:b/>
          <w:bCs w:val="0"/>
        </w:rPr>
        <w:t xml:space="preserve"> </w:t>
      </w:r>
      <w:r w:rsidR="00BE61B2" w:rsidRPr="003E6A0B">
        <w:rPr>
          <w:b/>
          <w:bCs w:val="0"/>
        </w:rPr>
        <w:t xml:space="preserve">Proportion of </w:t>
      </w:r>
      <w:r w:rsidR="0028681D" w:rsidRPr="003E6A0B">
        <w:rPr>
          <w:b/>
          <w:bCs w:val="0"/>
        </w:rPr>
        <w:t>children 4</w:t>
      </w:r>
      <w:r w:rsidR="00690CD3" w:rsidRPr="003E6A0B">
        <w:rPr>
          <w:b/>
          <w:bCs w:val="0"/>
        </w:rPr>
        <w:t>–1</w:t>
      </w:r>
      <w:r w:rsidR="0028681D" w:rsidRPr="003E6A0B">
        <w:rPr>
          <w:b/>
          <w:bCs w:val="0"/>
        </w:rPr>
        <w:t>2 years</w:t>
      </w:r>
      <w:r w:rsidR="00BE61B2" w:rsidRPr="003E6A0B">
        <w:rPr>
          <w:b/>
          <w:bCs w:val="0"/>
        </w:rPr>
        <w:t xml:space="preserve"> who eat the daily recommended serves of vegetables</w:t>
      </w:r>
      <w:bookmarkEnd w:id="512"/>
    </w:p>
    <w:p w14:paraId="189ADB93" w14:textId="5C3026CE" w:rsidR="00AE175E" w:rsidRDefault="00662F01" w:rsidP="004F34D1">
      <w:pPr>
        <w:pStyle w:val="Figurecaption"/>
        <w:rPr>
          <w:sz w:val="20"/>
        </w:rPr>
      </w:pPr>
      <w:bookmarkStart w:id="513" w:name="_Toc19008077"/>
      <w:bookmarkStart w:id="514" w:name="_Toc19008312"/>
      <w:bookmarkStart w:id="515" w:name="_Toc19008459"/>
      <w:bookmarkStart w:id="516" w:name="_Toc19008606"/>
      <w:bookmarkStart w:id="517" w:name="_Toc140827647"/>
      <w:r w:rsidRPr="00B33F2D">
        <w:rPr>
          <w:sz w:val="20"/>
        </w:rPr>
        <w:t>Figure 7.6</w:t>
      </w:r>
      <w:r w:rsidR="003B391F" w:rsidRPr="00B33F2D">
        <w:rPr>
          <w:sz w:val="20"/>
        </w:rPr>
        <w:t>:</w:t>
      </w:r>
      <w:r w:rsidRPr="00B33F2D">
        <w:rPr>
          <w:sz w:val="20"/>
        </w:rPr>
        <w:t xml:space="preserve"> Proportion of children</w:t>
      </w:r>
      <w:r w:rsidR="00596515" w:rsidRPr="00B33F2D">
        <w:rPr>
          <w:sz w:val="20"/>
        </w:rPr>
        <w:t xml:space="preserve"> aged</w:t>
      </w:r>
      <w:r w:rsidRPr="00B33F2D">
        <w:rPr>
          <w:sz w:val="20"/>
        </w:rPr>
        <w:t xml:space="preserve"> 4</w:t>
      </w:r>
      <w:r w:rsidR="00CA2AD7" w:rsidRPr="00B33F2D">
        <w:rPr>
          <w:sz w:val="20"/>
        </w:rPr>
        <w:t>–</w:t>
      </w:r>
      <w:r w:rsidRPr="00B33F2D">
        <w:rPr>
          <w:sz w:val="20"/>
        </w:rPr>
        <w:t>12 years who eat the daily recommended serves of vegetables</w:t>
      </w:r>
      <w:r w:rsidR="00596515" w:rsidRPr="00B33F2D">
        <w:rPr>
          <w:sz w:val="20"/>
        </w:rPr>
        <w:t xml:space="preserve">, </w:t>
      </w:r>
      <w:r w:rsidR="00E458B0" w:rsidRPr="00B33F2D">
        <w:rPr>
          <w:sz w:val="20"/>
        </w:rPr>
        <w:t xml:space="preserve">by year, </w:t>
      </w:r>
      <w:r w:rsidR="00596515" w:rsidRPr="00B33F2D">
        <w:rPr>
          <w:sz w:val="20"/>
        </w:rPr>
        <w:t>2013</w:t>
      </w:r>
      <w:bookmarkEnd w:id="513"/>
      <w:bookmarkEnd w:id="514"/>
      <w:bookmarkEnd w:id="515"/>
      <w:bookmarkEnd w:id="516"/>
      <w:r w:rsidR="00AE175E" w:rsidRPr="00B33F2D">
        <w:rPr>
          <w:sz w:val="20"/>
        </w:rPr>
        <w:t>,</w:t>
      </w:r>
      <w:r w:rsidR="00E458B0" w:rsidRPr="00B33F2D">
        <w:rPr>
          <w:sz w:val="20"/>
        </w:rPr>
        <w:t xml:space="preserve"> 2017</w:t>
      </w:r>
      <w:r w:rsidR="00D62B41">
        <w:rPr>
          <w:sz w:val="20"/>
        </w:rPr>
        <w:t>,</w:t>
      </w:r>
      <w:r w:rsidR="00AE175E" w:rsidRPr="00B33F2D">
        <w:rPr>
          <w:sz w:val="20"/>
        </w:rPr>
        <w:t xml:space="preserve"> 2019</w:t>
      </w:r>
      <w:r w:rsidR="00D62B41">
        <w:rPr>
          <w:sz w:val="20"/>
        </w:rPr>
        <w:t xml:space="preserve"> and 2021</w:t>
      </w:r>
      <w:bookmarkEnd w:id="517"/>
    </w:p>
    <w:p w14:paraId="7CF75ACD" w14:textId="3C82BB64" w:rsidR="00400403" w:rsidRPr="00400403" w:rsidRDefault="00EB5B18" w:rsidP="00400403">
      <w:pPr>
        <w:pStyle w:val="DHHSbody"/>
      </w:pPr>
      <w:r w:rsidRPr="00EB5B18">
        <w:rPr>
          <w:noProof/>
        </w:rPr>
        <w:drawing>
          <wp:inline distT="0" distB="0" distL="0" distR="0" wp14:anchorId="2002D2FD" wp14:editId="2128FD1B">
            <wp:extent cx="6057900" cy="2921607"/>
            <wp:effectExtent l="0" t="0" r="0" b="0"/>
            <wp:docPr id="1110205017" name="Picture 1110205017" descr="'Measure 7.6 - Proportion of children 4 to 12 years who ear the minimum daily recommended serves of vegetables'.  The data for this figure for 2013, 2017, 2019 and 2021 is available in this section - refer to Tabl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17" name="Picture 1110205017" descr="'Measure 7.6 - Proportion of children 4 to 12 years who ear the minimum daily recommended serves of vegetables'.  The data for this figure for 2013, 2017, 2019 and 2021 is available in this section - refer to Table 7.6."/>
                    <pic:cNvPicPr/>
                  </pic:nvPicPr>
                  <pic:blipFill>
                    <a:blip r:embed="rId92"/>
                    <a:stretch>
                      <a:fillRect/>
                    </a:stretch>
                  </pic:blipFill>
                  <pic:spPr>
                    <a:xfrm>
                      <a:off x="0" y="0"/>
                      <a:ext cx="6071735" cy="2928279"/>
                    </a:xfrm>
                    <a:prstGeom prst="rect">
                      <a:avLst/>
                    </a:prstGeom>
                  </pic:spPr>
                </pic:pic>
              </a:graphicData>
            </a:graphic>
          </wp:inline>
        </w:drawing>
      </w:r>
    </w:p>
    <w:p w14:paraId="14E4B7AF" w14:textId="1268E9E9" w:rsidR="00E84FE4" w:rsidRPr="00B33F2D" w:rsidRDefault="009E3708" w:rsidP="00660649">
      <w:pPr>
        <w:pStyle w:val="Tablefigurenote"/>
        <w:rPr>
          <w:i/>
          <w:iCs/>
          <w:sz w:val="18"/>
          <w:szCs w:val="18"/>
        </w:rPr>
      </w:pPr>
      <w:r w:rsidRPr="00B33F2D">
        <w:rPr>
          <w:i/>
          <w:iCs/>
          <w:sz w:val="18"/>
          <w:szCs w:val="18"/>
        </w:rPr>
        <w:t>Source: Victorian Child and Adolescent Monitoring System – Department of Education and Training</w:t>
      </w:r>
      <w:r w:rsidR="00C575AB" w:rsidRPr="00B33F2D">
        <w:rPr>
          <w:i/>
          <w:iCs/>
          <w:sz w:val="18"/>
          <w:szCs w:val="18"/>
        </w:rPr>
        <w:t xml:space="preserve"> https://www.education.vic.gov.au/about/research/Pages/vcamsindicator.aspx</w:t>
      </w:r>
    </w:p>
    <w:p w14:paraId="5171484E" w14:textId="632A029D" w:rsidR="00631CB3" w:rsidRPr="00B33F2D" w:rsidRDefault="00E84FE4" w:rsidP="00660649">
      <w:pPr>
        <w:pStyle w:val="Tablefigurenote"/>
        <w:rPr>
          <w:i/>
          <w:iCs/>
          <w:sz w:val="18"/>
          <w:szCs w:val="18"/>
        </w:rPr>
      </w:pPr>
      <w:r w:rsidRPr="00B33F2D">
        <w:rPr>
          <w:i/>
          <w:iCs/>
          <w:color w:val="000000"/>
          <w:sz w:val="18"/>
          <w:szCs w:val="18"/>
        </w:rPr>
        <w:t xml:space="preserve">Note: </w:t>
      </w:r>
      <w:r w:rsidR="00676EB9" w:rsidRPr="00B33F2D">
        <w:rPr>
          <w:i/>
          <w:iCs/>
          <w:color w:val="000000"/>
          <w:sz w:val="18"/>
          <w:szCs w:val="18"/>
        </w:rPr>
        <w:t>T</w:t>
      </w:r>
      <w:r w:rsidRPr="00B33F2D">
        <w:rPr>
          <w:i/>
          <w:iCs/>
          <w:color w:val="000000"/>
          <w:sz w:val="18"/>
          <w:szCs w:val="18"/>
        </w:rPr>
        <w:t>he minimum recommend</w:t>
      </w:r>
      <w:r w:rsidRPr="00B33F2D">
        <w:rPr>
          <w:i/>
          <w:iCs/>
          <w:sz w:val="18"/>
          <w:szCs w:val="18"/>
        </w:rPr>
        <w:t>ed serves of vegetables daily is</w:t>
      </w:r>
      <w:r w:rsidR="005C3B6B" w:rsidRPr="00B33F2D">
        <w:rPr>
          <w:i/>
          <w:iCs/>
          <w:sz w:val="18"/>
          <w:szCs w:val="18"/>
        </w:rPr>
        <w:t>:</w:t>
      </w:r>
      <w:r w:rsidRPr="00B33F2D">
        <w:rPr>
          <w:i/>
          <w:iCs/>
          <w:sz w:val="18"/>
          <w:szCs w:val="18"/>
        </w:rPr>
        <w:t xml:space="preserve"> 2</w:t>
      </w:r>
      <w:r w:rsidR="00CA2AD7" w:rsidRPr="00B33F2D">
        <w:rPr>
          <w:i/>
          <w:iCs/>
          <w:sz w:val="18"/>
          <w:szCs w:val="18"/>
        </w:rPr>
        <w:t>–</w:t>
      </w:r>
      <w:r w:rsidRPr="00B33F2D">
        <w:rPr>
          <w:i/>
          <w:iCs/>
          <w:sz w:val="18"/>
          <w:szCs w:val="18"/>
        </w:rPr>
        <w:t>3 years: 2½ serve</w:t>
      </w:r>
      <w:r w:rsidR="00C95014" w:rsidRPr="00B33F2D">
        <w:rPr>
          <w:i/>
          <w:iCs/>
          <w:sz w:val="18"/>
          <w:szCs w:val="18"/>
        </w:rPr>
        <w:t>s</w:t>
      </w:r>
      <w:r w:rsidRPr="00B33F2D">
        <w:rPr>
          <w:i/>
          <w:iCs/>
          <w:sz w:val="18"/>
          <w:szCs w:val="18"/>
        </w:rPr>
        <w:t>; 4</w:t>
      </w:r>
      <w:r w:rsidR="00CA2AD7" w:rsidRPr="00B33F2D">
        <w:rPr>
          <w:i/>
          <w:iCs/>
          <w:sz w:val="18"/>
          <w:szCs w:val="18"/>
        </w:rPr>
        <w:t>–</w:t>
      </w:r>
      <w:r w:rsidRPr="00B33F2D">
        <w:rPr>
          <w:i/>
          <w:iCs/>
          <w:sz w:val="18"/>
          <w:szCs w:val="18"/>
        </w:rPr>
        <w:t>8 years: 4½ serves; 9</w:t>
      </w:r>
      <w:r w:rsidR="00CA2AD7" w:rsidRPr="00B33F2D">
        <w:rPr>
          <w:i/>
          <w:iCs/>
          <w:sz w:val="18"/>
          <w:szCs w:val="18"/>
        </w:rPr>
        <w:t>–</w:t>
      </w:r>
      <w:r w:rsidRPr="00B33F2D">
        <w:rPr>
          <w:i/>
          <w:iCs/>
          <w:sz w:val="18"/>
          <w:szCs w:val="18"/>
        </w:rPr>
        <w:t xml:space="preserve">11 years </w:t>
      </w:r>
      <w:r w:rsidR="00C95014" w:rsidRPr="00B33F2D">
        <w:rPr>
          <w:i/>
          <w:iCs/>
          <w:sz w:val="18"/>
          <w:szCs w:val="18"/>
        </w:rPr>
        <w:t>5</w:t>
      </w:r>
      <w:r w:rsidRPr="00B33F2D">
        <w:rPr>
          <w:i/>
          <w:iCs/>
          <w:sz w:val="18"/>
          <w:szCs w:val="18"/>
        </w:rPr>
        <w:t xml:space="preserve"> serves; 12</w:t>
      </w:r>
      <w:r w:rsidR="00CA2AD7" w:rsidRPr="00B33F2D">
        <w:rPr>
          <w:i/>
          <w:iCs/>
          <w:sz w:val="18"/>
          <w:szCs w:val="18"/>
        </w:rPr>
        <w:t>–</w:t>
      </w:r>
      <w:r w:rsidRPr="00B33F2D">
        <w:rPr>
          <w:i/>
          <w:iCs/>
          <w:sz w:val="18"/>
          <w:szCs w:val="18"/>
        </w:rPr>
        <w:t xml:space="preserve">13 years: </w:t>
      </w:r>
      <w:r w:rsidR="00C95014" w:rsidRPr="00B33F2D">
        <w:rPr>
          <w:i/>
          <w:iCs/>
          <w:sz w:val="18"/>
          <w:szCs w:val="18"/>
        </w:rPr>
        <w:t>5</w:t>
      </w:r>
      <w:r w:rsidR="00CA2AD7" w:rsidRPr="00B33F2D">
        <w:rPr>
          <w:i/>
          <w:iCs/>
          <w:sz w:val="18"/>
          <w:szCs w:val="18"/>
        </w:rPr>
        <w:t>–</w:t>
      </w:r>
      <w:r w:rsidR="00C95014" w:rsidRPr="00B33F2D">
        <w:rPr>
          <w:i/>
          <w:iCs/>
          <w:sz w:val="18"/>
          <w:szCs w:val="18"/>
        </w:rPr>
        <w:t xml:space="preserve">5½ </w:t>
      </w:r>
      <w:r w:rsidRPr="00B33F2D">
        <w:rPr>
          <w:i/>
          <w:iCs/>
          <w:sz w:val="18"/>
          <w:szCs w:val="18"/>
        </w:rPr>
        <w:t>serves</w:t>
      </w:r>
      <w:r w:rsidR="00A76BC2" w:rsidRPr="00B33F2D">
        <w:rPr>
          <w:i/>
          <w:iCs/>
          <w:sz w:val="18"/>
          <w:szCs w:val="18"/>
        </w:rPr>
        <w:t>.</w:t>
      </w:r>
    </w:p>
    <w:p w14:paraId="5C6D23BC" w14:textId="6A69E7DA" w:rsidR="00B26DE3" w:rsidRPr="00351F18" w:rsidRDefault="00B26DE3" w:rsidP="00B26DE3">
      <w:pPr>
        <w:pStyle w:val="Tablecaption"/>
        <w:rPr>
          <w:sz w:val="20"/>
        </w:rPr>
      </w:pPr>
      <w:bookmarkStart w:id="518" w:name="_Toc132491533"/>
      <w:bookmarkStart w:id="519" w:name="_Toc140834925"/>
      <w:r w:rsidRPr="00351F18">
        <w:rPr>
          <w:rFonts w:cs="Arial"/>
          <w:sz w:val="20"/>
        </w:rPr>
        <w:t>Table 7.6</w:t>
      </w:r>
      <w:r w:rsidR="001F7E28" w:rsidRPr="00351F18">
        <w:rPr>
          <w:sz w:val="20"/>
        </w:rPr>
        <w:t>:</w:t>
      </w:r>
      <w:r w:rsidRPr="00351F18">
        <w:rPr>
          <w:rFonts w:cs="Arial"/>
          <w:sz w:val="20"/>
        </w:rPr>
        <w:t xml:space="preserve"> </w:t>
      </w:r>
      <w:r w:rsidRPr="00351F18">
        <w:rPr>
          <w:sz w:val="20"/>
        </w:rPr>
        <w:t xml:space="preserve">Proportion of </w:t>
      </w:r>
      <w:r w:rsidR="006B423D" w:rsidRPr="00351F18">
        <w:rPr>
          <w:sz w:val="20"/>
        </w:rPr>
        <w:t>children</w:t>
      </w:r>
      <w:r w:rsidRPr="00351F18">
        <w:rPr>
          <w:sz w:val="20"/>
        </w:rPr>
        <w:t xml:space="preserve"> aged </w:t>
      </w:r>
      <w:r w:rsidR="006B423D" w:rsidRPr="00351F18">
        <w:rPr>
          <w:sz w:val="20"/>
        </w:rPr>
        <w:t>4</w:t>
      </w:r>
      <w:r w:rsidRPr="00351F18">
        <w:rPr>
          <w:sz w:val="20"/>
        </w:rPr>
        <w:t>–1</w:t>
      </w:r>
      <w:r w:rsidR="006B423D" w:rsidRPr="00351F18">
        <w:rPr>
          <w:sz w:val="20"/>
        </w:rPr>
        <w:t>2</w:t>
      </w:r>
      <w:r w:rsidRPr="00351F18">
        <w:rPr>
          <w:sz w:val="20"/>
        </w:rPr>
        <w:t xml:space="preserve"> years who eat the daily recommended serves of vegetables,</w:t>
      </w:r>
      <w:r w:rsidR="002E2FE7" w:rsidRPr="00351F18">
        <w:rPr>
          <w:sz w:val="20"/>
        </w:rPr>
        <w:t xml:space="preserve"> by year,</w:t>
      </w:r>
      <w:r w:rsidRPr="00351F18">
        <w:rPr>
          <w:sz w:val="20"/>
        </w:rPr>
        <w:t xml:space="preserve"> 201</w:t>
      </w:r>
      <w:r w:rsidR="002E2FE7" w:rsidRPr="00351F18">
        <w:rPr>
          <w:sz w:val="20"/>
        </w:rPr>
        <w:t>3</w:t>
      </w:r>
      <w:r w:rsidR="00DF5344" w:rsidRPr="00351F18">
        <w:rPr>
          <w:sz w:val="20"/>
        </w:rPr>
        <w:t>, 2017</w:t>
      </w:r>
      <w:r w:rsidR="00616F42" w:rsidRPr="00351F18">
        <w:rPr>
          <w:sz w:val="20"/>
        </w:rPr>
        <w:t xml:space="preserve">, </w:t>
      </w:r>
      <w:r w:rsidRPr="00351F18">
        <w:rPr>
          <w:sz w:val="20"/>
        </w:rPr>
        <w:t>201</w:t>
      </w:r>
      <w:r w:rsidR="00DF5344" w:rsidRPr="00351F18">
        <w:rPr>
          <w:sz w:val="20"/>
        </w:rPr>
        <w:t>9</w:t>
      </w:r>
      <w:bookmarkEnd w:id="518"/>
      <w:r w:rsidR="00616F42" w:rsidRPr="00351F18">
        <w:rPr>
          <w:sz w:val="20"/>
        </w:rPr>
        <w:t xml:space="preserve"> and 2021</w:t>
      </w:r>
      <w:bookmarkEnd w:id="519"/>
    </w:p>
    <w:tbl>
      <w:tblPr>
        <w:tblW w:w="0" w:type="auto"/>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1396"/>
        <w:gridCol w:w="1061"/>
        <w:gridCol w:w="1352"/>
        <w:gridCol w:w="630"/>
        <w:gridCol w:w="1916"/>
        <w:gridCol w:w="1539"/>
        <w:gridCol w:w="1431"/>
      </w:tblGrid>
      <w:tr w:rsidR="00D62B41" w:rsidRPr="00DB4F90" w14:paraId="21E3CC1E" w14:textId="628D3C51" w:rsidTr="00D62B41">
        <w:trPr>
          <w:trHeight w:val="310"/>
        </w:trPr>
        <w:tc>
          <w:tcPr>
            <w:tcW w:w="1396" w:type="dxa"/>
            <w:shd w:val="clear" w:color="auto" w:fill="EDCDCF"/>
            <w:vAlign w:val="center"/>
          </w:tcPr>
          <w:p w14:paraId="36392397" w14:textId="77777777" w:rsidR="00D62B41" w:rsidRPr="00DB4F90" w:rsidRDefault="00D62B41" w:rsidP="00AE3B97">
            <w:pPr>
              <w:pStyle w:val="Tablecolhead"/>
            </w:pPr>
            <w:r w:rsidRPr="00DB4F90">
              <w:t>Year</w:t>
            </w:r>
          </w:p>
        </w:tc>
        <w:tc>
          <w:tcPr>
            <w:tcW w:w="1061" w:type="dxa"/>
            <w:shd w:val="clear" w:color="auto" w:fill="EDCDCF"/>
          </w:tcPr>
          <w:p w14:paraId="1CD054EC" w14:textId="77777777" w:rsidR="00D62B41" w:rsidRPr="00DB4F90" w:rsidRDefault="00D62B41" w:rsidP="00AE3B97">
            <w:pPr>
              <w:pStyle w:val="Tablecolhead"/>
            </w:pPr>
          </w:p>
        </w:tc>
        <w:tc>
          <w:tcPr>
            <w:tcW w:w="1352" w:type="dxa"/>
            <w:shd w:val="clear" w:color="auto" w:fill="EDCDCF"/>
            <w:vAlign w:val="center"/>
          </w:tcPr>
          <w:p w14:paraId="49171D04" w14:textId="19CDA6C5" w:rsidR="00D62B41" w:rsidRPr="00DB4F90" w:rsidRDefault="00D62B41" w:rsidP="00AE3B97">
            <w:pPr>
              <w:pStyle w:val="Tablecolhead"/>
            </w:pPr>
            <w:r w:rsidRPr="00DB4F90">
              <w:t>201</w:t>
            </w:r>
            <w:r>
              <w:t>3</w:t>
            </w:r>
          </w:p>
        </w:tc>
        <w:tc>
          <w:tcPr>
            <w:tcW w:w="630" w:type="dxa"/>
            <w:shd w:val="clear" w:color="auto" w:fill="EDCDCF"/>
            <w:vAlign w:val="center"/>
          </w:tcPr>
          <w:p w14:paraId="16C0EF08" w14:textId="77777777" w:rsidR="00D62B41" w:rsidRPr="00DB4F90" w:rsidRDefault="00D62B41" w:rsidP="00AE3B97">
            <w:pPr>
              <w:pStyle w:val="Tablecolhead"/>
            </w:pPr>
          </w:p>
        </w:tc>
        <w:tc>
          <w:tcPr>
            <w:tcW w:w="1916" w:type="dxa"/>
            <w:shd w:val="clear" w:color="auto" w:fill="EDCDCF"/>
            <w:vAlign w:val="center"/>
          </w:tcPr>
          <w:p w14:paraId="029ED1D0" w14:textId="714CAC97" w:rsidR="00D62B41" w:rsidRPr="00DB4F90" w:rsidRDefault="00D62B41" w:rsidP="00AE3B97">
            <w:pPr>
              <w:pStyle w:val="Tablecolhead"/>
            </w:pPr>
            <w:r w:rsidRPr="00DB4F90">
              <w:t>201</w:t>
            </w:r>
            <w:r>
              <w:t>7</w:t>
            </w:r>
          </w:p>
        </w:tc>
        <w:tc>
          <w:tcPr>
            <w:tcW w:w="1539" w:type="dxa"/>
            <w:shd w:val="clear" w:color="auto" w:fill="EDCDCF"/>
          </w:tcPr>
          <w:p w14:paraId="34A43083" w14:textId="09630970" w:rsidR="00D62B41" w:rsidRPr="00DB4F90" w:rsidRDefault="00D62B41" w:rsidP="00AE3B97">
            <w:pPr>
              <w:pStyle w:val="Tablecolhead"/>
            </w:pPr>
            <w:r>
              <w:t>2019</w:t>
            </w:r>
          </w:p>
        </w:tc>
        <w:tc>
          <w:tcPr>
            <w:tcW w:w="1431" w:type="dxa"/>
            <w:shd w:val="clear" w:color="auto" w:fill="EDCDCF"/>
          </w:tcPr>
          <w:p w14:paraId="5F4FCA9D" w14:textId="1C35E08E" w:rsidR="00D62B41" w:rsidRDefault="00D62B41" w:rsidP="00AE3B97">
            <w:pPr>
              <w:pStyle w:val="Tablecolhead"/>
            </w:pPr>
            <w:r>
              <w:t>2021</w:t>
            </w:r>
          </w:p>
        </w:tc>
      </w:tr>
      <w:tr w:rsidR="00D62B41" w:rsidRPr="0069114D" w14:paraId="7CCDA36A" w14:textId="131CC50D" w:rsidTr="00D62B41">
        <w:trPr>
          <w:trHeight w:val="310"/>
        </w:trPr>
        <w:tc>
          <w:tcPr>
            <w:tcW w:w="1396" w:type="dxa"/>
            <w:shd w:val="clear" w:color="auto" w:fill="auto"/>
            <w:vAlign w:val="center"/>
          </w:tcPr>
          <w:p w14:paraId="3B1A4D2E" w14:textId="77777777" w:rsidR="00D62B41" w:rsidRPr="005E739D" w:rsidRDefault="00D62B41" w:rsidP="00AE3B97">
            <w:pPr>
              <w:pStyle w:val="Tabletext"/>
            </w:pPr>
            <w:r>
              <w:t>Per cent (%)</w:t>
            </w:r>
          </w:p>
        </w:tc>
        <w:tc>
          <w:tcPr>
            <w:tcW w:w="1061" w:type="dxa"/>
          </w:tcPr>
          <w:p w14:paraId="37876BB6" w14:textId="77777777" w:rsidR="00D62B41" w:rsidRDefault="00D62B41" w:rsidP="00AE3B97">
            <w:pPr>
              <w:pStyle w:val="Tabletext"/>
            </w:pPr>
          </w:p>
        </w:tc>
        <w:tc>
          <w:tcPr>
            <w:tcW w:w="1352" w:type="dxa"/>
            <w:shd w:val="clear" w:color="auto" w:fill="auto"/>
            <w:vAlign w:val="center"/>
          </w:tcPr>
          <w:p w14:paraId="7B0FA39E" w14:textId="5D9B9E44" w:rsidR="00D62B41" w:rsidRPr="0069114D" w:rsidRDefault="00D62B41" w:rsidP="00AE3B97">
            <w:pPr>
              <w:pStyle w:val="Tabletext"/>
            </w:pPr>
            <w:r>
              <w:t>2.9</w:t>
            </w:r>
          </w:p>
        </w:tc>
        <w:tc>
          <w:tcPr>
            <w:tcW w:w="630" w:type="dxa"/>
            <w:shd w:val="clear" w:color="auto" w:fill="auto"/>
            <w:vAlign w:val="center"/>
          </w:tcPr>
          <w:p w14:paraId="2204D04C" w14:textId="77777777" w:rsidR="00D62B41" w:rsidRPr="0069114D" w:rsidRDefault="00D62B41" w:rsidP="00AE3B97">
            <w:pPr>
              <w:pStyle w:val="Tabletext"/>
            </w:pPr>
          </w:p>
        </w:tc>
        <w:tc>
          <w:tcPr>
            <w:tcW w:w="1916" w:type="dxa"/>
            <w:shd w:val="clear" w:color="auto" w:fill="auto"/>
            <w:vAlign w:val="center"/>
          </w:tcPr>
          <w:p w14:paraId="2DB7BCAA" w14:textId="01EE27D3" w:rsidR="00D62B41" w:rsidRPr="0069114D" w:rsidRDefault="00D62B41" w:rsidP="00AE3B97">
            <w:pPr>
              <w:pStyle w:val="Tabletext"/>
            </w:pPr>
            <w:r>
              <w:t>3.8</w:t>
            </w:r>
          </w:p>
        </w:tc>
        <w:tc>
          <w:tcPr>
            <w:tcW w:w="1539" w:type="dxa"/>
          </w:tcPr>
          <w:p w14:paraId="20E81647" w14:textId="5E3D7420" w:rsidR="00D62B41" w:rsidRDefault="00D62B41" w:rsidP="00AE3B97">
            <w:pPr>
              <w:pStyle w:val="Tabletext"/>
            </w:pPr>
            <w:r>
              <w:t>2.4</w:t>
            </w:r>
          </w:p>
        </w:tc>
        <w:tc>
          <w:tcPr>
            <w:tcW w:w="1431" w:type="dxa"/>
          </w:tcPr>
          <w:p w14:paraId="51C0394C" w14:textId="463AEDE4" w:rsidR="00D62B41" w:rsidRDefault="00D62B41" w:rsidP="00AE3B97">
            <w:pPr>
              <w:pStyle w:val="Tabletext"/>
            </w:pPr>
            <w:r>
              <w:t>2.9</w:t>
            </w:r>
          </w:p>
        </w:tc>
      </w:tr>
      <w:tr w:rsidR="00400403" w:rsidRPr="0069114D" w14:paraId="19DD1FF9" w14:textId="5662ED94" w:rsidTr="003C6F11">
        <w:trPr>
          <w:trHeight w:val="310"/>
        </w:trPr>
        <w:tc>
          <w:tcPr>
            <w:tcW w:w="1396" w:type="dxa"/>
            <w:shd w:val="clear" w:color="auto" w:fill="auto"/>
            <w:vAlign w:val="center"/>
          </w:tcPr>
          <w:p w14:paraId="78031BA8" w14:textId="77777777" w:rsidR="00400403" w:rsidRDefault="00400403" w:rsidP="00400403">
            <w:pPr>
              <w:pStyle w:val="Tabletext"/>
            </w:pPr>
            <w:r>
              <w:t>95% CI</w:t>
            </w:r>
          </w:p>
        </w:tc>
        <w:tc>
          <w:tcPr>
            <w:tcW w:w="1061" w:type="dxa"/>
          </w:tcPr>
          <w:p w14:paraId="56ADC34B" w14:textId="77777777" w:rsidR="00400403" w:rsidRPr="0069114D" w:rsidRDefault="00400403" w:rsidP="00400403">
            <w:pPr>
              <w:pStyle w:val="Tabletext"/>
            </w:pPr>
          </w:p>
        </w:tc>
        <w:tc>
          <w:tcPr>
            <w:tcW w:w="1352" w:type="dxa"/>
            <w:shd w:val="clear" w:color="auto" w:fill="auto"/>
            <w:vAlign w:val="center"/>
          </w:tcPr>
          <w:p w14:paraId="2A48E981" w14:textId="50B45368" w:rsidR="00400403" w:rsidRPr="0069114D" w:rsidRDefault="00400403" w:rsidP="00400403">
            <w:pPr>
              <w:pStyle w:val="Tabletext"/>
            </w:pPr>
            <w:r w:rsidRPr="0069114D">
              <w:t>(</w:t>
            </w:r>
            <w:r>
              <w:t>2.4–3.5</w:t>
            </w:r>
            <w:r w:rsidRPr="0069114D">
              <w:t>)</w:t>
            </w:r>
          </w:p>
        </w:tc>
        <w:tc>
          <w:tcPr>
            <w:tcW w:w="630" w:type="dxa"/>
            <w:shd w:val="clear" w:color="auto" w:fill="auto"/>
            <w:vAlign w:val="center"/>
          </w:tcPr>
          <w:p w14:paraId="4A32BBE0" w14:textId="77777777" w:rsidR="00400403" w:rsidRPr="0069114D" w:rsidRDefault="00400403" w:rsidP="00400403">
            <w:pPr>
              <w:pStyle w:val="Tabletext"/>
            </w:pPr>
          </w:p>
        </w:tc>
        <w:tc>
          <w:tcPr>
            <w:tcW w:w="1916" w:type="dxa"/>
            <w:shd w:val="clear" w:color="auto" w:fill="auto"/>
            <w:vAlign w:val="center"/>
          </w:tcPr>
          <w:p w14:paraId="175E5B31" w14:textId="2343414F" w:rsidR="00400403" w:rsidRPr="0069114D" w:rsidRDefault="00400403" w:rsidP="00400403">
            <w:pPr>
              <w:pStyle w:val="Tabletext"/>
            </w:pPr>
            <w:r w:rsidRPr="0069114D">
              <w:t>(</w:t>
            </w:r>
            <w:r>
              <w:t>2.8–5</w:t>
            </w:r>
            <w:r w:rsidRPr="0069114D">
              <w:t>.</w:t>
            </w:r>
            <w:r>
              <w:t>0</w:t>
            </w:r>
            <w:r w:rsidRPr="0069114D">
              <w:t>)</w:t>
            </w:r>
          </w:p>
        </w:tc>
        <w:tc>
          <w:tcPr>
            <w:tcW w:w="1539" w:type="dxa"/>
          </w:tcPr>
          <w:p w14:paraId="0545E376" w14:textId="55A188B2" w:rsidR="00400403" w:rsidRPr="0069114D" w:rsidRDefault="00400403" w:rsidP="00400403">
            <w:pPr>
              <w:pStyle w:val="Tabletext"/>
            </w:pPr>
            <w:r>
              <w:t>(1.9–3.1)</w:t>
            </w:r>
          </w:p>
        </w:tc>
        <w:tc>
          <w:tcPr>
            <w:tcW w:w="1431" w:type="dxa"/>
            <w:vAlign w:val="center"/>
          </w:tcPr>
          <w:p w14:paraId="2C411FDB" w14:textId="5EFD1460" w:rsidR="00400403" w:rsidRDefault="00400403" w:rsidP="00400403">
            <w:pPr>
              <w:pStyle w:val="Tabletext"/>
            </w:pPr>
            <w:r w:rsidRPr="0069114D">
              <w:t>(</w:t>
            </w:r>
            <w:r>
              <w:t>2.3–3.</w:t>
            </w:r>
            <w:r w:rsidR="00E31BB2">
              <w:t>6</w:t>
            </w:r>
            <w:r w:rsidRPr="0069114D">
              <w:t>)</w:t>
            </w:r>
          </w:p>
        </w:tc>
      </w:tr>
    </w:tbl>
    <w:p w14:paraId="123D286A" w14:textId="7E5BC936" w:rsidR="00631CB3" w:rsidRDefault="00631CB3" w:rsidP="0091523F">
      <w:pPr>
        <w:pStyle w:val="Figurecaption"/>
        <w:rPr>
          <w:sz w:val="20"/>
        </w:rPr>
      </w:pPr>
      <w:bookmarkStart w:id="520" w:name="_Toc19008078"/>
      <w:bookmarkStart w:id="521" w:name="_Toc19008313"/>
      <w:bookmarkStart w:id="522" w:name="_Toc19008460"/>
      <w:bookmarkStart w:id="523" w:name="_Toc19008607"/>
      <w:bookmarkStart w:id="524" w:name="_Toc132553037"/>
      <w:bookmarkStart w:id="525" w:name="_Toc140827648"/>
      <w:r w:rsidRPr="00351F18">
        <w:rPr>
          <w:sz w:val="20"/>
        </w:rPr>
        <w:lastRenderedPageBreak/>
        <w:t>Figure 7.6.1</w:t>
      </w:r>
      <w:r w:rsidR="003B391F" w:rsidRPr="00351F18">
        <w:rPr>
          <w:sz w:val="20"/>
        </w:rPr>
        <w:t>:</w:t>
      </w:r>
      <w:r w:rsidRPr="00351F18">
        <w:rPr>
          <w:sz w:val="20"/>
        </w:rPr>
        <w:t xml:space="preserve"> Proportion of children </w:t>
      </w:r>
      <w:r w:rsidR="00596515" w:rsidRPr="00351F18">
        <w:rPr>
          <w:sz w:val="20"/>
        </w:rPr>
        <w:t xml:space="preserve">aged </w:t>
      </w:r>
      <w:r w:rsidRPr="00351F18">
        <w:rPr>
          <w:sz w:val="20"/>
        </w:rPr>
        <w:t>4</w:t>
      </w:r>
      <w:r w:rsidR="00690CD3" w:rsidRPr="00351F18">
        <w:rPr>
          <w:sz w:val="20"/>
        </w:rPr>
        <w:t>–1</w:t>
      </w:r>
      <w:r w:rsidRPr="00351F18">
        <w:rPr>
          <w:sz w:val="20"/>
        </w:rPr>
        <w:t>2 years who eat the daily recommended serves of vegetables</w:t>
      </w:r>
      <w:r w:rsidR="00596515" w:rsidRPr="00351F18">
        <w:rPr>
          <w:sz w:val="20"/>
        </w:rPr>
        <w:t>,</w:t>
      </w:r>
      <w:r w:rsidRPr="00351F18">
        <w:rPr>
          <w:sz w:val="20"/>
        </w:rPr>
        <w:t xml:space="preserve"> by gender, age, remoteness area</w:t>
      </w:r>
      <w:r w:rsidR="00424766" w:rsidRPr="00351F18">
        <w:rPr>
          <w:sz w:val="20"/>
        </w:rPr>
        <w:t xml:space="preserve">, </w:t>
      </w:r>
      <w:r w:rsidR="00DE7FFE" w:rsidRPr="00351F18">
        <w:rPr>
          <w:sz w:val="20"/>
        </w:rPr>
        <w:t>SES</w:t>
      </w:r>
      <w:r w:rsidR="00424766" w:rsidRPr="00351F18">
        <w:rPr>
          <w:sz w:val="20"/>
        </w:rPr>
        <w:t xml:space="preserve"> and year,</w:t>
      </w:r>
      <w:r w:rsidRPr="00351F18">
        <w:rPr>
          <w:sz w:val="20"/>
        </w:rPr>
        <w:t xml:space="preserve"> 2013</w:t>
      </w:r>
      <w:bookmarkEnd w:id="520"/>
      <w:bookmarkEnd w:id="521"/>
      <w:bookmarkEnd w:id="522"/>
      <w:bookmarkEnd w:id="523"/>
      <w:r w:rsidR="00236A79" w:rsidRPr="00351F18">
        <w:rPr>
          <w:sz w:val="20"/>
        </w:rPr>
        <w:t>,</w:t>
      </w:r>
      <w:r w:rsidR="00424766" w:rsidRPr="00351F18">
        <w:rPr>
          <w:sz w:val="20"/>
        </w:rPr>
        <w:t xml:space="preserve"> 2017</w:t>
      </w:r>
      <w:r w:rsidR="001B3D9A" w:rsidRPr="00351F18">
        <w:rPr>
          <w:sz w:val="20"/>
        </w:rPr>
        <w:t>,</w:t>
      </w:r>
      <w:r w:rsidR="00236A79" w:rsidRPr="00351F18">
        <w:rPr>
          <w:sz w:val="20"/>
        </w:rPr>
        <w:t xml:space="preserve"> 2019</w:t>
      </w:r>
      <w:bookmarkEnd w:id="524"/>
      <w:r w:rsidR="001B3D9A" w:rsidRPr="00351F18">
        <w:rPr>
          <w:sz w:val="20"/>
        </w:rPr>
        <w:t xml:space="preserve"> and 2021</w:t>
      </w:r>
      <w:bookmarkEnd w:id="525"/>
    </w:p>
    <w:p w14:paraId="22430D50" w14:textId="31457493" w:rsidR="00EB5B18" w:rsidRPr="00EB5B18" w:rsidRDefault="00EB5B18" w:rsidP="00EB5B18">
      <w:pPr>
        <w:pStyle w:val="DHHSbody"/>
      </w:pPr>
      <w:r w:rsidRPr="00EB5B18">
        <w:rPr>
          <w:noProof/>
        </w:rPr>
        <w:drawing>
          <wp:inline distT="0" distB="0" distL="0" distR="0" wp14:anchorId="5095FBCD" wp14:editId="74110F1A">
            <wp:extent cx="5667375" cy="3674937"/>
            <wp:effectExtent l="0" t="0" r="0" b="1905"/>
            <wp:docPr id="1110205018" name="Picture 1110205018" descr="This figure presents data by gender, age, remoteness and socioeconomic status under the Measure 7.6 - Proportion of children aged 4-12 years who eat the daily recommended serves of vegetables' for 2013, 2017, 2019 a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18" name="Picture 1110205018" descr="This figure presents data by gender, age, remoteness and socioeconomic status under the Measure 7.6 - Proportion of children aged 4-12 years who eat the daily recommended serves of vegetables' for 2013, 2017, 2019 and 2021."/>
                    <pic:cNvPicPr/>
                  </pic:nvPicPr>
                  <pic:blipFill>
                    <a:blip r:embed="rId93"/>
                    <a:stretch>
                      <a:fillRect/>
                    </a:stretch>
                  </pic:blipFill>
                  <pic:spPr>
                    <a:xfrm>
                      <a:off x="0" y="0"/>
                      <a:ext cx="5670145" cy="3676733"/>
                    </a:xfrm>
                    <a:prstGeom prst="rect">
                      <a:avLst/>
                    </a:prstGeom>
                  </pic:spPr>
                </pic:pic>
              </a:graphicData>
            </a:graphic>
          </wp:inline>
        </w:drawing>
      </w:r>
    </w:p>
    <w:p w14:paraId="647410CA" w14:textId="4D7D4803" w:rsidR="00E95409" w:rsidRPr="00E95409" w:rsidRDefault="00E95409" w:rsidP="00E95409">
      <w:pPr>
        <w:pStyle w:val="DHHSbody"/>
      </w:pPr>
    </w:p>
    <w:p w14:paraId="5835EEAA" w14:textId="513B588A" w:rsidR="001B3D9A" w:rsidRPr="001B3D9A" w:rsidRDefault="001B3D9A" w:rsidP="001B3D9A">
      <w:pPr>
        <w:pStyle w:val="Tablefigurenote"/>
        <w:rPr>
          <w:i/>
          <w:iCs/>
          <w:sz w:val="18"/>
          <w:szCs w:val="18"/>
        </w:rPr>
      </w:pPr>
      <w:r w:rsidRPr="00B33F2D">
        <w:rPr>
          <w:i/>
          <w:iCs/>
          <w:sz w:val="18"/>
          <w:szCs w:val="18"/>
        </w:rPr>
        <w:t>Sources: Victorian Child Health and Wellbeing Surveys 2013</w:t>
      </w:r>
      <w:r>
        <w:rPr>
          <w:i/>
          <w:iCs/>
          <w:sz w:val="18"/>
          <w:szCs w:val="18"/>
        </w:rPr>
        <w:t xml:space="preserve">, </w:t>
      </w:r>
      <w:r w:rsidRPr="00B33F2D">
        <w:rPr>
          <w:i/>
          <w:iCs/>
          <w:sz w:val="18"/>
          <w:szCs w:val="18"/>
        </w:rPr>
        <w:t>2017</w:t>
      </w:r>
      <w:r>
        <w:rPr>
          <w:i/>
          <w:iCs/>
          <w:sz w:val="18"/>
          <w:szCs w:val="18"/>
        </w:rPr>
        <w:t>, 2019 and 2021</w:t>
      </w:r>
    </w:p>
    <w:p w14:paraId="02E60A0D" w14:textId="1BF9C637" w:rsidR="004E0E9D" w:rsidRPr="004E0E9D" w:rsidRDefault="004E0E9D" w:rsidP="007C7F00">
      <w:pPr>
        <w:pStyle w:val="Heading4"/>
      </w:pPr>
      <w:r w:rsidRPr="00E43803">
        <w:t>Measure assessment</w:t>
      </w:r>
    </w:p>
    <w:p w14:paraId="6FC89BDE" w14:textId="4F20BAB9" w:rsidR="00EA3932" w:rsidRPr="00CF6F8C" w:rsidRDefault="00C50D6F" w:rsidP="00606436">
      <w:pPr>
        <w:pStyle w:val="Body"/>
      </w:pPr>
      <w:r w:rsidRPr="009F01B1">
        <w:t>Traffic light rating:</w:t>
      </w:r>
      <w:r w:rsidRPr="00B504AD">
        <w:rPr>
          <w:color w:val="AF272F"/>
        </w:rPr>
        <w:t xml:space="preserve"> </w:t>
      </w:r>
      <w:r w:rsidR="00963BFF" w:rsidRPr="00B504AD">
        <w:rPr>
          <w:b/>
          <w:color w:val="AF272F"/>
        </w:rPr>
        <w:t xml:space="preserve">Red </w:t>
      </w:r>
      <w:r w:rsidR="00963BFF" w:rsidRPr="00CF6F8C">
        <w:t>(result is of concern)</w:t>
      </w:r>
    </w:p>
    <w:p w14:paraId="718447B0" w14:textId="3AB11097" w:rsidR="00C50D6F" w:rsidRPr="00166C30" w:rsidRDefault="00C50D6F" w:rsidP="00606436">
      <w:pPr>
        <w:pStyle w:val="Body"/>
      </w:pPr>
      <w:r w:rsidRPr="00166C30">
        <w:t xml:space="preserve">Overall trend: </w:t>
      </w:r>
      <w:r w:rsidR="005A78D8">
        <w:t>Not m</w:t>
      </w:r>
      <w:r w:rsidR="007F5261">
        <w:t>oving in the right direction</w:t>
      </w:r>
    </w:p>
    <w:p w14:paraId="24E3C59C" w14:textId="57879BD8" w:rsidR="00166C30" w:rsidRPr="00166C30" w:rsidRDefault="00C50D6F" w:rsidP="00606436">
      <w:pPr>
        <w:pStyle w:val="Body"/>
      </w:pPr>
      <w:r w:rsidRPr="00166C30">
        <w:t>Commentary:</w:t>
      </w:r>
      <w:r w:rsidR="00952FC7">
        <w:t xml:space="preserve"> </w:t>
      </w:r>
      <w:r w:rsidR="002900A0" w:rsidRPr="00166C30">
        <w:t>Data from the 2013</w:t>
      </w:r>
      <w:r w:rsidR="00465E5C">
        <w:t>,</w:t>
      </w:r>
      <w:r w:rsidR="002900A0" w:rsidRPr="00166C30">
        <w:t xml:space="preserve"> </w:t>
      </w:r>
      <w:r w:rsidR="001B1E27">
        <w:t>2017</w:t>
      </w:r>
      <w:r w:rsidR="00465E5C">
        <w:t>, 2019 and 2021</w:t>
      </w:r>
      <w:r w:rsidR="00AE175E">
        <w:t xml:space="preserve"> </w:t>
      </w:r>
      <w:r w:rsidR="002900A0" w:rsidRPr="00166C30">
        <w:t xml:space="preserve">Victorian Child Health and Wellbeing </w:t>
      </w:r>
      <w:r w:rsidR="002900A0" w:rsidRPr="005B336D">
        <w:t>Survey</w:t>
      </w:r>
      <w:r w:rsidR="001B1E27" w:rsidRPr="005B336D">
        <w:t>s</w:t>
      </w:r>
      <w:r w:rsidR="002900A0" w:rsidRPr="005B336D">
        <w:t xml:space="preserve"> show</w:t>
      </w:r>
      <w:r w:rsidR="001B1E27" w:rsidRPr="005B336D">
        <w:t>ed a</w:t>
      </w:r>
      <w:r w:rsidR="00465E5C" w:rsidRPr="005B336D">
        <w:t xml:space="preserve"> fluctuation</w:t>
      </w:r>
      <w:r w:rsidR="001B1E27" w:rsidRPr="005B336D">
        <w:t xml:space="preserve"> in the proportion of</w:t>
      </w:r>
      <w:r w:rsidR="002900A0" w:rsidRPr="005B336D">
        <w:t xml:space="preserve"> Victorian children aged between </w:t>
      </w:r>
      <w:r w:rsidR="00CA2AD7" w:rsidRPr="005B336D">
        <w:t>four</w:t>
      </w:r>
      <w:r w:rsidR="002900A0" w:rsidRPr="005B336D">
        <w:t xml:space="preserve"> and 12 years</w:t>
      </w:r>
      <w:r w:rsidR="00C64E4E" w:rsidRPr="005B336D">
        <w:t xml:space="preserve"> </w:t>
      </w:r>
      <w:r w:rsidR="001B1E27" w:rsidRPr="005B336D">
        <w:t xml:space="preserve">who </w:t>
      </w:r>
      <w:r w:rsidR="00184986" w:rsidRPr="005B336D">
        <w:t xml:space="preserve">met </w:t>
      </w:r>
      <w:r w:rsidR="008F3FA6" w:rsidRPr="005B336D">
        <w:t>the recommend</w:t>
      </w:r>
      <w:r w:rsidR="00184986" w:rsidRPr="005B336D">
        <w:t>ed</w:t>
      </w:r>
      <w:r w:rsidR="008F3FA6" w:rsidRPr="005B336D">
        <w:t xml:space="preserve"> amount as set out in the 201</w:t>
      </w:r>
      <w:r w:rsidR="00A76BC2" w:rsidRPr="005B336D">
        <w:t>3</w:t>
      </w:r>
      <w:r w:rsidR="008F3FA6" w:rsidRPr="005B336D">
        <w:t xml:space="preserve"> Australian </w:t>
      </w:r>
      <w:r w:rsidR="00B40166" w:rsidRPr="005B336D">
        <w:t>d</w:t>
      </w:r>
      <w:r w:rsidR="008F3FA6" w:rsidRPr="005B336D">
        <w:t xml:space="preserve">ietary </w:t>
      </w:r>
      <w:r w:rsidR="000D786C" w:rsidRPr="005B336D">
        <w:t>guidelines</w:t>
      </w:r>
      <w:r w:rsidR="00465E5C" w:rsidRPr="005B336D">
        <w:t xml:space="preserve"> </w:t>
      </w:r>
      <w:r w:rsidR="009A7313" w:rsidRPr="005B336D">
        <w:t>(Figure 7.6)</w:t>
      </w:r>
      <w:r w:rsidR="008F3FA6" w:rsidRPr="005B336D">
        <w:t>.</w:t>
      </w:r>
      <w:r w:rsidR="00952FC7" w:rsidRPr="005B336D">
        <w:t xml:space="preserve"> </w:t>
      </w:r>
      <w:r w:rsidR="008F3FA6" w:rsidRPr="005B336D">
        <w:t>There was a marked difference in consumption by age</w:t>
      </w:r>
      <w:r w:rsidR="00A76BC2" w:rsidRPr="005B336D">
        <w:t>,</w:t>
      </w:r>
      <w:r w:rsidR="008F3FA6" w:rsidRPr="005B336D">
        <w:t xml:space="preserve"> with </w:t>
      </w:r>
      <w:r w:rsidR="00606CE1" w:rsidRPr="005B336D">
        <w:t xml:space="preserve">children aged </w:t>
      </w:r>
      <w:r w:rsidR="00A76BC2" w:rsidRPr="005B336D">
        <w:t>four to eight</w:t>
      </w:r>
      <w:r w:rsidR="0017516C" w:rsidRPr="005B336D">
        <w:t xml:space="preserve"> </w:t>
      </w:r>
      <w:r w:rsidR="00D24CD5" w:rsidRPr="005B336D">
        <w:t>year</w:t>
      </w:r>
      <w:r w:rsidR="0017516C" w:rsidRPr="005B336D">
        <w:t>s</w:t>
      </w:r>
      <w:r w:rsidR="008F3FA6" w:rsidRPr="005B336D">
        <w:t xml:space="preserve"> </w:t>
      </w:r>
      <w:r w:rsidR="00606CE1" w:rsidRPr="005B336D">
        <w:t xml:space="preserve">less likely </w:t>
      </w:r>
      <w:r w:rsidR="0017516C" w:rsidRPr="005B336D">
        <w:t xml:space="preserve">to </w:t>
      </w:r>
      <w:r w:rsidR="008F3FA6" w:rsidRPr="005B336D">
        <w:t xml:space="preserve">meet </w:t>
      </w:r>
      <w:r w:rsidR="00184986" w:rsidRPr="005B336D">
        <w:t>this target</w:t>
      </w:r>
      <w:r w:rsidR="00DB4905" w:rsidRPr="005B336D">
        <w:t xml:space="preserve"> compared with 3.</w:t>
      </w:r>
      <w:r w:rsidR="005B336D" w:rsidRPr="005B336D">
        <w:t>2</w:t>
      </w:r>
      <w:r w:rsidR="0054537F">
        <w:t>%</w:t>
      </w:r>
      <w:r w:rsidR="00DB4905" w:rsidRPr="005B336D">
        <w:t xml:space="preserve"> in the older age cohort (aged 9</w:t>
      </w:r>
      <w:r w:rsidR="00CA2AD7" w:rsidRPr="005B336D">
        <w:t>–</w:t>
      </w:r>
      <w:r w:rsidR="00DB4905" w:rsidRPr="005B336D">
        <w:t>12 years)</w:t>
      </w:r>
      <w:r w:rsidR="009A7313" w:rsidRPr="005B336D">
        <w:t xml:space="preserve"> </w:t>
      </w:r>
      <w:r w:rsidR="001B1E27" w:rsidRPr="005B336D">
        <w:t>in 20</w:t>
      </w:r>
      <w:r w:rsidR="005B336D" w:rsidRPr="005B336D">
        <w:t xml:space="preserve">21 </w:t>
      </w:r>
      <w:r w:rsidR="009A7313" w:rsidRPr="005B336D">
        <w:t>(Figure 7.6.1)</w:t>
      </w:r>
      <w:r w:rsidR="007A172C" w:rsidRPr="005B336D">
        <w:t>.</w:t>
      </w:r>
      <w:r w:rsidR="00166C30" w:rsidRPr="005B336D">
        <w:t xml:space="preserve"> The proportion of children aged </w:t>
      </w:r>
      <w:r w:rsidR="00A76BC2" w:rsidRPr="005B336D">
        <w:t xml:space="preserve">four to </w:t>
      </w:r>
      <w:r w:rsidR="00166C30" w:rsidRPr="005B336D">
        <w:t xml:space="preserve">12 years consuming the recommended serves of vegetables and living in regional areas was </w:t>
      </w:r>
      <w:r w:rsidR="005B336D" w:rsidRPr="005B336D">
        <w:t xml:space="preserve">generally </w:t>
      </w:r>
      <w:r w:rsidR="00166C30" w:rsidRPr="005B336D">
        <w:t>higher than those living in metropolitan areas</w:t>
      </w:r>
      <w:r w:rsidR="00194231" w:rsidRPr="005B336D">
        <w:t xml:space="preserve"> </w:t>
      </w:r>
      <w:r w:rsidR="00963BFF" w:rsidRPr="005B336D">
        <w:t>in 2013</w:t>
      </w:r>
      <w:r w:rsidR="005B336D" w:rsidRPr="005B336D">
        <w:t xml:space="preserve">, </w:t>
      </w:r>
      <w:r w:rsidR="00963BFF" w:rsidRPr="005B336D">
        <w:t>2017</w:t>
      </w:r>
      <w:r w:rsidR="005B336D" w:rsidRPr="005B336D">
        <w:t xml:space="preserve"> and 2021</w:t>
      </w:r>
      <w:r w:rsidR="00BC63E5" w:rsidRPr="005B336D">
        <w:t>,</w:t>
      </w:r>
      <w:r w:rsidR="00963BFF" w:rsidRPr="005B336D">
        <w:t xml:space="preserve"> </w:t>
      </w:r>
      <w:r w:rsidR="005B336D" w:rsidRPr="005B336D">
        <w:t xml:space="preserve">with the exception of 2019 where it decreased </w:t>
      </w:r>
      <w:r w:rsidR="00963BFF" w:rsidRPr="005B336D">
        <w:t>to 2.4</w:t>
      </w:r>
      <w:r w:rsidR="0054537F">
        <w:t>%</w:t>
      </w:r>
      <w:r w:rsidR="00BC63E5" w:rsidRPr="005B336D">
        <w:t>,</w:t>
      </w:r>
      <w:r w:rsidR="00963BFF" w:rsidRPr="005B336D">
        <w:t xml:space="preserve"> which was equal to children living in </w:t>
      </w:r>
      <w:r w:rsidR="000D786C" w:rsidRPr="005B336D">
        <w:t xml:space="preserve">metropolitan areas </w:t>
      </w:r>
      <w:r w:rsidR="00166C30" w:rsidRPr="005B336D">
        <w:t>(Figure 7.6.1).</w:t>
      </w:r>
      <w:r w:rsidR="00194231" w:rsidRPr="005B336D">
        <w:t xml:space="preserve"> </w:t>
      </w:r>
      <w:r w:rsidR="008B670F" w:rsidRPr="005B336D">
        <w:t xml:space="preserve">There was a fluctuating gradient in the proportion of children aged </w:t>
      </w:r>
      <w:r w:rsidR="00246747" w:rsidRPr="005B336D">
        <w:t xml:space="preserve">four to </w:t>
      </w:r>
      <w:r w:rsidR="008B670F" w:rsidRPr="005B336D">
        <w:t xml:space="preserve">12 years who eat the daily recommended serves of vegetables by </w:t>
      </w:r>
      <w:r w:rsidR="00BC63E5" w:rsidRPr="005B336D">
        <w:t>SES</w:t>
      </w:r>
      <w:r w:rsidR="008B670F" w:rsidRPr="005B336D">
        <w:t xml:space="preserve"> </w:t>
      </w:r>
      <w:r w:rsidR="005B336D" w:rsidRPr="005B336D">
        <w:t xml:space="preserve">across each of the surveys. </w:t>
      </w:r>
      <w:r w:rsidR="00194231" w:rsidRPr="005B336D">
        <w:t>However, caution should be taken when interpreting this result because of the wide confidence intervals (</w:t>
      </w:r>
      <w:r w:rsidR="008B670F" w:rsidRPr="005B336D">
        <w:t>Figure 7.6.1).</w:t>
      </w:r>
    </w:p>
    <w:p w14:paraId="7BB34758" w14:textId="1FA52F0F" w:rsidR="00A45C53" w:rsidRPr="001A2A05" w:rsidRDefault="00E14901" w:rsidP="00606436">
      <w:pPr>
        <w:pStyle w:val="Body"/>
      </w:pPr>
      <w:r w:rsidRPr="00166C30">
        <w:t xml:space="preserve">Although no trend is available for this age group, </w:t>
      </w:r>
      <w:r w:rsidR="0017106B" w:rsidRPr="00166C30">
        <w:rPr>
          <w:lang w:val="en"/>
        </w:rPr>
        <w:t>t</w:t>
      </w:r>
      <w:r w:rsidR="00300C89" w:rsidRPr="00166C30">
        <w:rPr>
          <w:lang w:val="en"/>
        </w:rPr>
        <w:t>he observed very low level of compliance with vegetable intake recommendations</w:t>
      </w:r>
      <w:r w:rsidR="0017106B" w:rsidRPr="00166C30">
        <w:rPr>
          <w:lang w:val="en"/>
        </w:rPr>
        <w:t xml:space="preserve"> in 2013</w:t>
      </w:r>
      <w:r w:rsidR="005A78D8">
        <w:rPr>
          <w:lang w:val="en"/>
        </w:rPr>
        <w:t>, 2017</w:t>
      </w:r>
      <w:r w:rsidR="00465E5C">
        <w:rPr>
          <w:lang w:val="en"/>
        </w:rPr>
        <w:t xml:space="preserve">, </w:t>
      </w:r>
      <w:r w:rsidR="001B1E27">
        <w:rPr>
          <w:lang w:val="en"/>
        </w:rPr>
        <w:t>201</w:t>
      </w:r>
      <w:r w:rsidR="005A78D8">
        <w:rPr>
          <w:lang w:val="en"/>
        </w:rPr>
        <w:t>9</w:t>
      </w:r>
      <w:r w:rsidR="00300C89" w:rsidRPr="00166C30">
        <w:rPr>
          <w:lang w:val="en"/>
        </w:rPr>
        <w:t xml:space="preserve"> </w:t>
      </w:r>
      <w:r w:rsidR="00465E5C">
        <w:rPr>
          <w:lang w:val="en"/>
        </w:rPr>
        <w:t xml:space="preserve">and 2021 </w:t>
      </w:r>
      <w:r w:rsidR="00300C89" w:rsidRPr="00166C30">
        <w:rPr>
          <w:lang w:val="en"/>
        </w:rPr>
        <w:t>suggest that addressing deficiencies in vegetable consumption should</w:t>
      </w:r>
      <w:r w:rsidR="00AE175E">
        <w:rPr>
          <w:lang w:val="en"/>
        </w:rPr>
        <w:t xml:space="preserve"> continue to</w:t>
      </w:r>
      <w:r w:rsidR="00300C89" w:rsidRPr="00166C30">
        <w:rPr>
          <w:lang w:val="en"/>
        </w:rPr>
        <w:t xml:space="preserve"> be a primary focus of future nutrition interventions</w:t>
      </w:r>
      <w:r w:rsidR="0017106B" w:rsidRPr="00166C30">
        <w:rPr>
          <w:lang w:val="en"/>
        </w:rPr>
        <w:t>.</w:t>
      </w:r>
      <w:r w:rsidR="000E5401">
        <w:rPr>
          <w:lang w:val="en"/>
        </w:rPr>
        <w:t xml:space="preserve"> </w:t>
      </w:r>
      <w:r w:rsidR="000E5401">
        <w:t>C</w:t>
      </w:r>
      <w:r w:rsidR="000E5401" w:rsidRPr="006078FE">
        <w:rPr>
          <w:lang w:val="en"/>
        </w:rPr>
        <w:t>aution is advised when interpreting these findings</w:t>
      </w:r>
      <w:r w:rsidR="000E5401">
        <w:rPr>
          <w:lang w:val="en"/>
        </w:rPr>
        <w:t xml:space="preserve"> as it relates to this measure</w:t>
      </w:r>
      <w:r w:rsidR="000E5401" w:rsidRPr="006078FE">
        <w:rPr>
          <w:lang w:val="en"/>
        </w:rPr>
        <w:t xml:space="preserve"> </w:t>
      </w:r>
      <w:r w:rsidR="000E5401">
        <w:rPr>
          <w:lang w:val="en"/>
        </w:rPr>
        <w:t xml:space="preserve">as consumption trends may have altered </w:t>
      </w:r>
      <w:r w:rsidR="000E5401" w:rsidRPr="006078FE">
        <w:rPr>
          <w:lang w:val="en"/>
        </w:rPr>
        <w:t xml:space="preserve">due to </w:t>
      </w:r>
      <w:r w:rsidR="000E5401">
        <w:rPr>
          <w:lang w:val="en"/>
        </w:rPr>
        <w:t>the restrictive measures imposed to reduce the impact of COVID-19</w:t>
      </w:r>
      <w:r w:rsidR="000E5401" w:rsidRPr="006078FE">
        <w:rPr>
          <w:lang w:val="en"/>
        </w:rPr>
        <w:t xml:space="preserve">. </w:t>
      </w:r>
      <w:r w:rsidR="00A45C53">
        <w:br w:type="page"/>
      </w:r>
    </w:p>
    <w:p w14:paraId="19D82A28" w14:textId="71E1BA41" w:rsidR="00784A70" w:rsidRPr="003E6A0B" w:rsidRDefault="00784A70" w:rsidP="00A451D4">
      <w:pPr>
        <w:pStyle w:val="Heading3"/>
        <w:rPr>
          <w:b/>
          <w:bCs w:val="0"/>
        </w:rPr>
      </w:pPr>
      <w:bookmarkStart w:id="526" w:name="_Toc19008079"/>
      <w:r w:rsidRPr="003E6A0B">
        <w:rPr>
          <w:b/>
          <w:bCs w:val="0"/>
        </w:rPr>
        <w:lastRenderedPageBreak/>
        <w:t xml:space="preserve">Measure 7.7 – </w:t>
      </w:r>
      <w:r w:rsidR="00782252" w:rsidRPr="003E6A0B">
        <w:rPr>
          <w:b/>
          <w:bCs w:val="0"/>
        </w:rPr>
        <w:t>Red meat consumption</w:t>
      </w:r>
      <w:bookmarkEnd w:id="526"/>
    </w:p>
    <w:p w14:paraId="14D5F163" w14:textId="77777777" w:rsidR="004A0BF0" w:rsidRPr="004A0BF0" w:rsidRDefault="004A0BF0" w:rsidP="00E87AAA">
      <w:pPr>
        <w:pStyle w:val="Body"/>
      </w:pPr>
      <w:r>
        <w:t>This measure</w:t>
      </w:r>
      <w:r w:rsidR="006F376D">
        <w:t xml:space="preserve"> will be reported in a future report. Refer to Appendix 1.</w:t>
      </w:r>
    </w:p>
    <w:p w14:paraId="6E9A26EC" w14:textId="77777777" w:rsidR="00784A70" w:rsidRPr="003E6A0B" w:rsidRDefault="00784A70" w:rsidP="00A451D4">
      <w:pPr>
        <w:pStyle w:val="Heading3"/>
        <w:rPr>
          <w:b/>
          <w:bCs w:val="0"/>
        </w:rPr>
      </w:pPr>
      <w:bookmarkStart w:id="527" w:name="_Toc19008080"/>
      <w:r w:rsidRPr="003E6A0B">
        <w:rPr>
          <w:b/>
          <w:bCs w:val="0"/>
        </w:rPr>
        <w:t xml:space="preserve">Measure 7.8 – </w:t>
      </w:r>
      <w:r w:rsidR="00782252" w:rsidRPr="003E6A0B">
        <w:rPr>
          <w:b/>
          <w:bCs w:val="0"/>
        </w:rPr>
        <w:t>Processed meat consumption</w:t>
      </w:r>
      <w:bookmarkEnd w:id="527"/>
    </w:p>
    <w:p w14:paraId="10C3076D" w14:textId="644B3FC1" w:rsidR="009B17F6" w:rsidRPr="00A451D4" w:rsidRDefault="006F376D" w:rsidP="006D0DC0">
      <w:pPr>
        <w:pStyle w:val="Body"/>
        <w:rPr>
          <w:sz w:val="20"/>
          <w:lang w:eastAsia="en-AU"/>
        </w:rPr>
      </w:pPr>
      <w:r>
        <w:t>This measure will be reported in a future report. Refer to Appendix 1.</w:t>
      </w:r>
      <w:r w:rsidR="009B17F6" w:rsidRPr="00A451D4">
        <w:br w:type="page"/>
      </w:r>
    </w:p>
    <w:p w14:paraId="0175A029" w14:textId="10726CC2" w:rsidR="00784A70" w:rsidRPr="003E6A0B" w:rsidRDefault="00784A70" w:rsidP="00A451D4">
      <w:pPr>
        <w:pStyle w:val="Heading3"/>
        <w:rPr>
          <w:b/>
          <w:bCs w:val="0"/>
        </w:rPr>
      </w:pPr>
      <w:bookmarkStart w:id="528" w:name="_Measure_7.9_–"/>
      <w:bookmarkEnd w:id="528"/>
      <w:r w:rsidRPr="003E6A0B">
        <w:rPr>
          <w:b/>
          <w:bCs w:val="0"/>
        </w:rPr>
        <w:lastRenderedPageBreak/>
        <w:t xml:space="preserve">Measure 7.9 – </w:t>
      </w:r>
      <w:r w:rsidR="00782252" w:rsidRPr="003E6A0B">
        <w:rPr>
          <w:b/>
          <w:bCs w:val="0"/>
        </w:rPr>
        <w:t>Proportion of adults who are sufficiently physically active</w:t>
      </w:r>
    </w:p>
    <w:p w14:paraId="14A0B633" w14:textId="5C8F968F" w:rsidR="004A3363" w:rsidRDefault="004A6642" w:rsidP="0091523F">
      <w:pPr>
        <w:pStyle w:val="Figurecaption"/>
        <w:rPr>
          <w:sz w:val="20"/>
        </w:rPr>
      </w:pPr>
      <w:bookmarkStart w:id="529" w:name="_Toc19008081"/>
      <w:bookmarkStart w:id="530" w:name="_Toc19008314"/>
      <w:bookmarkStart w:id="531" w:name="_Toc19008461"/>
      <w:bookmarkStart w:id="532" w:name="_Toc19008608"/>
      <w:bookmarkStart w:id="533" w:name="_Toc132553038"/>
      <w:bookmarkStart w:id="534" w:name="_Toc140827649"/>
      <w:r w:rsidRPr="00B33F2D">
        <w:rPr>
          <w:sz w:val="20"/>
        </w:rPr>
        <w:t xml:space="preserve">Figure </w:t>
      </w:r>
      <w:r w:rsidR="00C81D09" w:rsidRPr="00B33F2D">
        <w:rPr>
          <w:sz w:val="20"/>
        </w:rPr>
        <w:t>7.9</w:t>
      </w:r>
      <w:r w:rsidR="003B391F" w:rsidRPr="00B33F2D">
        <w:rPr>
          <w:sz w:val="20"/>
        </w:rPr>
        <w:t>:</w:t>
      </w:r>
      <w:r w:rsidR="00C81D09" w:rsidRPr="00B33F2D">
        <w:rPr>
          <w:sz w:val="20"/>
        </w:rPr>
        <w:t xml:space="preserve"> Proportion of adults </w:t>
      </w:r>
      <w:r w:rsidR="003809EE" w:rsidRPr="00B33F2D">
        <w:rPr>
          <w:sz w:val="20"/>
        </w:rPr>
        <w:t xml:space="preserve">(18 years </w:t>
      </w:r>
      <w:r w:rsidR="004A496C" w:rsidRPr="00B33F2D">
        <w:rPr>
          <w:sz w:val="20"/>
        </w:rPr>
        <w:t xml:space="preserve">or </w:t>
      </w:r>
      <w:r w:rsidR="003809EE" w:rsidRPr="00B33F2D">
        <w:rPr>
          <w:sz w:val="20"/>
        </w:rPr>
        <w:t xml:space="preserve">older) </w:t>
      </w:r>
      <w:r w:rsidR="00C81D09" w:rsidRPr="00B33F2D">
        <w:rPr>
          <w:sz w:val="20"/>
        </w:rPr>
        <w:t>who are sufficiently physically active</w:t>
      </w:r>
      <w:r w:rsidR="00461622" w:rsidRPr="00B33F2D">
        <w:rPr>
          <w:sz w:val="20"/>
        </w:rPr>
        <w:t>,</w:t>
      </w:r>
      <w:r w:rsidR="00002F8A" w:rsidRPr="00B33F2D">
        <w:rPr>
          <w:sz w:val="20"/>
        </w:rPr>
        <w:t xml:space="preserve"> by year, 201</w:t>
      </w:r>
      <w:r w:rsidR="00344583" w:rsidRPr="00B33F2D">
        <w:rPr>
          <w:sz w:val="20"/>
        </w:rPr>
        <w:t>5</w:t>
      </w:r>
      <w:r w:rsidR="00CA2AD7" w:rsidRPr="00B33F2D">
        <w:rPr>
          <w:sz w:val="20"/>
        </w:rPr>
        <w:t>–</w:t>
      </w:r>
      <w:r w:rsidR="00002F8A" w:rsidRPr="00B33F2D">
        <w:rPr>
          <w:sz w:val="20"/>
        </w:rPr>
        <w:t>201</w:t>
      </w:r>
      <w:bookmarkEnd w:id="529"/>
      <w:bookmarkEnd w:id="530"/>
      <w:bookmarkEnd w:id="531"/>
      <w:bookmarkEnd w:id="532"/>
      <w:r w:rsidR="005E4587" w:rsidRPr="00B33F2D">
        <w:rPr>
          <w:sz w:val="20"/>
        </w:rPr>
        <w:t>9</w:t>
      </w:r>
      <w:bookmarkEnd w:id="533"/>
      <w:bookmarkEnd w:id="534"/>
    </w:p>
    <w:p w14:paraId="133C8D58" w14:textId="01A515D3" w:rsidR="00CC7CAB" w:rsidRDefault="00EF6080" w:rsidP="00EF6080">
      <w:pPr>
        <w:pStyle w:val="DHHSbody"/>
      </w:pPr>
      <w:r w:rsidRPr="00EF6080">
        <w:rPr>
          <w:noProof/>
        </w:rPr>
        <w:drawing>
          <wp:inline distT="0" distB="0" distL="0" distR="0" wp14:anchorId="650C14E4" wp14:editId="55B45170">
            <wp:extent cx="6134100" cy="2624868"/>
            <wp:effectExtent l="0" t="0" r="0" b="4445"/>
            <wp:docPr id="1110205019" name="Picture 1110205019" descr="This figure presents data under the 'Measure 7.9 - Proportion of adults who are sufficiently physically active'.  The data for this figure for 2013 to 2019 is available in this section - refer to Tabl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19" name="Picture 1110205019" descr="This figure presents data under the 'Measure 7.9 - Proportion of adults who are sufficiently physically active'.  The data for this figure for 2013 to 2019 is available in this section - refer to Table 7.9."/>
                    <pic:cNvPicPr/>
                  </pic:nvPicPr>
                  <pic:blipFill>
                    <a:blip r:embed="rId94"/>
                    <a:stretch>
                      <a:fillRect/>
                    </a:stretch>
                  </pic:blipFill>
                  <pic:spPr>
                    <a:xfrm>
                      <a:off x="0" y="0"/>
                      <a:ext cx="6157650" cy="2634946"/>
                    </a:xfrm>
                    <a:prstGeom prst="rect">
                      <a:avLst/>
                    </a:prstGeom>
                  </pic:spPr>
                </pic:pic>
              </a:graphicData>
            </a:graphic>
          </wp:inline>
        </w:drawing>
      </w:r>
      <w:r w:rsidR="005E4587">
        <w:rPr>
          <w:noProof/>
        </w:rPr>
        <mc:AlternateContent>
          <mc:Choice Requires="wps">
            <w:drawing>
              <wp:anchor distT="45720" distB="45720" distL="114300" distR="114300" simplePos="0" relativeHeight="252045312" behindDoc="0" locked="0" layoutInCell="1" allowOverlap="1" wp14:anchorId="2093EF1B" wp14:editId="02E1C713">
                <wp:simplePos x="0" y="0"/>
                <wp:positionH relativeFrom="column">
                  <wp:posOffset>2856056</wp:posOffset>
                </wp:positionH>
                <wp:positionV relativeFrom="paragraph">
                  <wp:posOffset>2420620</wp:posOffset>
                </wp:positionV>
                <wp:extent cx="494523" cy="237744"/>
                <wp:effectExtent l="0" t="0" r="1270" b="0"/>
                <wp:wrapNone/>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523" cy="237744"/>
                        </a:xfrm>
                        <a:prstGeom prst="rect">
                          <a:avLst/>
                        </a:prstGeom>
                        <a:solidFill>
                          <a:srgbClr val="FFFFFF"/>
                        </a:solidFill>
                        <a:ln w="9525">
                          <a:noFill/>
                          <a:miter lim="800000"/>
                          <a:headEnd/>
                          <a:tailEnd/>
                        </a:ln>
                      </wps:spPr>
                      <wps:txbx>
                        <w:txbxContent>
                          <w:p w14:paraId="44799509" w14:textId="386B1147" w:rsidR="005E4587" w:rsidRPr="005E4587" w:rsidRDefault="005E4587">
                            <w:pPr>
                              <w:rPr>
                                <w:rFonts w:ascii="Arial" w:hAnsi="Arial" w:cs="Arial"/>
                                <w:b/>
                                <w:bCs/>
                              </w:rPr>
                            </w:pPr>
                            <w:r w:rsidRPr="005E4587">
                              <w:rPr>
                                <w:rFonts w:ascii="Arial" w:hAnsi="Arial" w:cs="Arial"/>
                                <w:b/>
                                <w:bCs/>
                              </w:rPr>
                              <w:t>Year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93EF1B" id="_x0000_s1039" type="#_x0000_t202" style="position:absolute;margin-left:224.9pt;margin-top:190.6pt;width:38.95pt;height:18.7pt;z-index:25204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" stroked="f">
                <v:textbox>
                  <w:txbxContent>
                    <w:p w14:paraId="44799509" w14:textId="386B1147" w:rsidR="005E4587" w:rsidRPr="005E4587" w:rsidRDefault="005E4587">
                      <w:pPr>
                        <w:rPr>
                          <w:rFonts w:ascii="Arial" w:hAnsi="Arial" w:cs="Arial"/>
                          <w:b/>
                          <w:bCs/>
                        </w:rPr>
                      </w:pPr>
                      <w:r w:rsidRPr="005E4587">
                        <w:rPr>
                          <w:rFonts w:ascii="Arial" w:hAnsi="Arial" w:cs="Arial"/>
                          <w:b/>
                          <w:bCs/>
                        </w:rPr>
                        <w:t>Year</w:t>
                      </w:r>
                    </w:p>
                  </w:txbxContent>
                </v:textbox>
              </v:shape>
            </w:pict>
          </mc:Fallback>
        </mc:AlternateContent>
      </w:r>
    </w:p>
    <w:p w14:paraId="0000F372" w14:textId="40137F4E" w:rsidR="00002F8A" w:rsidRPr="00B33F2D" w:rsidRDefault="00002F8A" w:rsidP="00CC7CAB">
      <w:pPr>
        <w:pStyle w:val="Tablecaption"/>
        <w:rPr>
          <w:sz w:val="20"/>
          <w:lang w:eastAsia="en-AU"/>
        </w:rPr>
      </w:pPr>
      <w:bookmarkStart w:id="535" w:name="_Toc18908735"/>
      <w:bookmarkStart w:id="536" w:name="_Toc132491534"/>
      <w:bookmarkStart w:id="537" w:name="_Toc140834926"/>
      <w:r w:rsidRPr="00B33F2D">
        <w:rPr>
          <w:sz w:val="20"/>
        </w:rPr>
        <w:t>Table 7.9</w:t>
      </w:r>
      <w:r w:rsidR="001F7E28" w:rsidRPr="00B33F2D">
        <w:rPr>
          <w:sz w:val="20"/>
        </w:rPr>
        <w:t>:</w:t>
      </w:r>
      <w:r w:rsidRPr="00B33F2D">
        <w:rPr>
          <w:sz w:val="20"/>
        </w:rPr>
        <w:t xml:space="preserve"> Proportion of adults who are sufficiently active</w:t>
      </w:r>
      <w:r w:rsidR="00461622" w:rsidRPr="00B33F2D">
        <w:rPr>
          <w:sz w:val="20"/>
        </w:rPr>
        <w:t>,</w:t>
      </w:r>
      <w:r w:rsidRPr="00B33F2D">
        <w:rPr>
          <w:sz w:val="20"/>
        </w:rPr>
        <w:t xml:space="preserve"> by year, 201</w:t>
      </w:r>
      <w:r w:rsidR="00901CC3" w:rsidRPr="00B33F2D">
        <w:rPr>
          <w:sz w:val="20"/>
        </w:rPr>
        <w:t>5</w:t>
      </w:r>
      <w:r w:rsidR="00CA2AD7" w:rsidRPr="00B33F2D">
        <w:rPr>
          <w:sz w:val="20"/>
        </w:rPr>
        <w:t>–</w:t>
      </w:r>
      <w:r w:rsidRPr="00B33F2D">
        <w:rPr>
          <w:sz w:val="20"/>
        </w:rPr>
        <w:t>201</w:t>
      </w:r>
      <w:bookmarkEnd w:id="535"/>
      <w:r w:rsidR="005736CF" w:rsidRPr="00B33F2D">
        <w:rPr>
          <w:sz w:val="20"/>
        </w:rPr>
        <w:t>9</w:t>
      </w:r>
      <w:bookmarkEnd w:id="536"/>
      <w:bookmarkEnd w:id="537"/>
    </w:p>
    <w:tbl>
      <w:tblPr>
        <w:tblW w:w="9160" w:type="dxa"/>
        <w:tblInd w:w="-15" w:type="dxa"/>
        <w:tblBorders>
          <w:bottom w:val="single" w:sz="4" w:space="0" w:color="C00000"/>
          <w:insideH w:val="single" w:sz="4" w:space="0" w:color="C00000"/>
        </w:tblBorders>
        <w:shd w:val="clear" w:color="auto" w:fill="EDCDCF"/>
        <w:tblLook w:val="04A0" w:firstRow="1" w:lastRow="0" w:firstColumn="1" w:lastColumn="0" w:noHBand="0" w:noVBand="1"/>
      </w:tblPr>
      <w:tblGrid>
        <w:gridCol w:w="1807"/>
        <w:gridCol w:w="1644"/>
        <w:gridCol w:w="1577"/>
        <w:gridCol w:w="1496"/>
        <w:gridCol w:w="1318"/>
        <w:gridCol w:w="1318"/>
      </w:tblGrid>
      <w:tr w:rsidR="000B3888" w14:paraId="13E9CEB5" w14:textId="67C5D45D" w:rsidTr="00136324">
        <w:trPr>
          <w:trHeight w:val="231"/>
        </w:trPr>
        <w:tc>
          <w:tcPr>
            <w:tcW w:w="1807" w:type="dxa"/>
            <w:shd w:val="clear" w:color="auto" w:fill="EDCDCF"/>
          </w:tcPr>
          <w:p w14:paraId="0162B38B" w14:textId="3E626C72" w:rsidR="000B3888" w:rsidRPr="00DB4F90" w:rsidRDefault="000B3888" w:rsidP="00254FA1">
            <w:pPr>
              <w:pStyle w:val="Tablecolhead"/>
            </w:pPr>
            <w:r w:rsidRPr="00DB4F90">
              <w:t>Year</w:t>
            </w:r>
          </w:p>
        </w:tc>
        <w:tc>
          <w:tcPr>
            <w:tcW w:w="1644" w:type="dxa"/>
            <w:shd w:val="clear" w:color="auto" w:fill="EDCDCF"/>
          </w:tcPr>
          <w:p w14:paraId="366DD5C9" w14:textId="77777777" w:rsidR="000B3888" w:rsidRPr="00DB4F90" w:rsidRDefault="000B3888" w:rsidP="00254FA1">
            <w:pPr>
              <w:pStyle w:val="Tablecolhead"/>
            </w:pPr>
            <w:r w:rsidRPr="00DB4F90">
              <w:t>2015</w:t>
            </w:r>
          </w:p>
        </w:tc>
        <w:tc>
          <w:tcPr>
            <w:tcW w:w="1577" w:type="dxa"/>
            <w:shd w:val="clear" w:color="auto" w:fill="EDCDCF"/>
          </w:tcPr>
          <w:p w14:paraId="2EAF3DFD" w14:textId="77777777" w:rsidR="000B3888" w:rsidRPr="00DB4F90" w:rsidRDefault="000B3888" w:rsidP="00254FA1">
            <w:pPr>
              <w:pStyle w:val="Tablecolhead"/>
            </w:pPr>
            <w:r w:rsidRPr="00DB4F90">
              <w:t>2016</w:t>
            </w:r>
          </w:p>
        </w:tc>
        <w:tc>
          <w:tcPr>
            <w:tcW w:w="1496" w:type="dxa"/>
            <w:shd w:val="clear" w:color="auto" w:fill="EDCDCF"/>
          </w:tcPr>
          <w:p w14:paraId="669E4A7D" w14:textId="16C55B68" w:rsidR="000B3888" w:rsidRPr="00DB4F90" w:rsidRDefault="000B3888" w:rsidP="00254FA1">
            <w:pPr>
              <w:pStyle w:val="Tablecolhead"/>
            </w:pPr>
            <w:r>
              <w:t>2017</w:t>
            </w:r>
          </w:p>
        </w:tc>
        <w:tc>
          <w:tcPr>
            <w:tcW w:w="1318" w:type="dxa"/>
            <w:shd w:val="clear" w:color="auto" w:fill="EDCDCF"/>
          </w:tcPr>
          <w:p w14:paraId="4E618AD4" w14:textId="2B357E25" w:rsidR="000B3888" w:rsidRDefault="000B3888" w:rsidP="00254FA1">
            <w:pPr>
              <w:pStyle w:val="Tablecolhead"/>
            </w:pPr>
            <w:r>
              <w:t>2018</w:t>
            </w:r>
          </w:p>
        </w:tc>
        <w:tc>
          <w:tcPr>
            <w:tcW w:w="1318" w:type="dxa"/>
            <w:shd w:val="clear" w:color="auto" w:fill="EDCDCF"/>
          </w:tcPr>
          <w:p w14:paraId="2B70D172" w14:textId="5D7C87D7" w:rsidR="000B3888" w:rsidRDefault="000B3888" w:rsidP="00254FA1">
            <w:pPr>
              <w:pStyle w:val="Tablecolhead"/>
            </w:pPr>
            <w:r>
              <w:t>2019</w:t>
            </w:r>
          </w:p>
        </w:tc>
      </w:tr>
      <w:tr w:rsidR="000B3888" w14:paraId="599090D7" w14:textId="221FDE34" w:rsidTr="00136324">
        <w:trPr>
          <w:trHeight w:val="199"/>
        </w:trPr>
        <w:tc>
          <w:tcPr>
            <w:tcW w:w="1807" w:type="dxa"/>
            <w:shd w:val="clear" w:color="auto" w:fill="auto"/>
          </w:tcPr>
          <w:p w14:paraId="13EE6B7C" w14:textId="0B739027" w:rsidR="000B3888" w:rsidRDefault="000B3888" w:rsidP="00254FA1">
            <w:pPr>
              <w:pStyle w:val="Tabletext"/>
            </w:pPr>
            <w:r>
              <w:t>Per cent</w:t>
            </w:r>
          </w:p>
        </w:tc>
        <w:tc>
          <w:tcPr>
            <w:tcW w:w="1644" w:type="dxa"/>
            <w:shd w:val="clear" w:color="auto" w:fill="auto"/>
          </w:tcPr>
          <w:p w14:paraId="1BFDA1FD" w14:textId="3C07F416" w:rsidR="000B3888" w:rsidRPr="0069114D" w:rsidRDefault="000B3888" w:rsidP="00254FA1">
            <w:pPr>
              <w:pStyle w:val="Tabletext"/>
            </w:pPr>
            <w:r>
              <w:t>47.0</w:t>
            </w:r>
          </w:p>
        </w:tc>
        <w:tc>
          <w:tcPr>
            <w:tcW w:w="1577" w:type="dxa"/>
            <w:shd w:val="clear" w:color="auto" w:fill="auto"/>
          </w:tcPr>
          <w:p w14:paraId="6C3C1F7B" w14:textId="30AAA486" w:rsidR="000B3888" w:rsidRPr="0069114D" w:rsidRDefault="000B3888" w:rsidP="00254FA1">
            <w:pPr>
              <w:pStyle w:val="Tabletext"/>
            </w:pPr>
            <w:r>
              <w:t>49.9</w:t>
            </w:r>
          </w:p>
        </w:tc>
        <w:tc>
          <w:tcPr>
            <w:tcW w:w="1496" w:type="dxa"/>
          </w:tcPr>
          <w:p w14:paraId="4D242690" w14:textId="7E85578A" w:rsidR="000B3888" w:rsidRDefault="000B3888" w:rsidP="00254FA1">
            <w:pPr>
              <w:pStyle w:val="Tabletext"/>
            </w:pPr>
            <w:r>
              <w:t>50.9</w:t>
            </w:r>
          </w:p>
        </w:tc>
        <w:tc>
          <w:tcPr>
            <w:tcW w:w="1318" w:type="dxa"/>
          </w:tcPr>
          <w:p w14:paraId="1E4B57DA" w14:textId="69C7D24D" w:rsidR="000B3888" w:rsidRDefault="000B3888" w:rsidP="00254FA1">
            <w:pPr>
              <w:pStyle w:val="Tabletext"/>
            </w:pPr>
            <w:r>
              <w:t>52.</w:t>
            </w:r>
            <w:r w:rsidR="00746DE1">
              <w:t>9</w:t>
            </w:r>
          </w:p>
        </w:tc>
        <w:tc>
          <w:tcPr>
            <w:tcW w:w="1318" w:type="dxa"/>
          </w:tcPr>
          <w:p w14:paraId="3B9C37EC" w14:textId="741D5A7E" w:rsidR="000B3888" w:rsidRDefault="00746DE1" w:rsidP="00254FA1">
            <w:pPr>
              <w:pStyle w:val="Tabletext"/>
            </w:pPr>
            <w:r>
              <w:t>51.1</w:t>
            </w:r>
          </w:p>
        </w:tc>
      </w:tr>
      <w:tr w:rsidR="000B3888" w14:paraId="36A35406" w14:textId="731A3A10" w:rsidTr="00136324">
        <w:trPr>
          <w:trHeight w:val="220"/>
        </w:trPr>
        <w:tc>
          <w:tcPr>
            <w:tcW w:w="1807" w:type="dxa"/>
            <w:shd w:val="clear" w:color="auto" w:fill="auto"/>
          </w:tcPr>
          <w:p w14:paraId="533D5178" w14:textId="31A4CA7D" w:rsidR="000B3888" w:rsidRPr="005E739D" w:rsidRDefault="000B3888" w:rsidP="00254FA1">
            <w:pPr>
              <w:pStyle w:val="Tabletext"/>
            </w:pPr>
            <w:r>
              <w:t>(95% CI)</w:t>
            </w:r>
          </w:p>
        </w:tc>
        <w:tc>
          <w:tcPr>
            <w:tcW w:w="1644" w:type="dxa"/>
            <w:shd w:val="clear" w:color="auto" w:fill="auto"/>
          </w:tcPr>
          <w:p w14:paraId="06EA917B" w14:textId="5E693151" w:rsidR="000B3888" w:rsidRPr="0069114D" w:rsidRDefault="000B3888" w:rsidP="00254FA1">
            <w:pPr>
              <w:pStyle w:val="Tabletext"/>
            </w:pPr>
            <w:r w:rsidRPr="0069114D">
              <w:t>(45.5</w:t>
            </w:r>
            <w:r>
              <w:t>–</w:t>
            </w:r>
            <w:r w:rsidRPr="0069114D">
              <w:t>48.6)</w:t>
            </w:r>
          </w:p>
        </w:tc>
        <w:tc>
          <w:tcPr>
            <w:tcW w:w="1577" w:type="dxa"/>
            <w:shd w:val="clear" w:color="auto" w:fill="auto"/>
          </w:tcPr>
          <w:p w14:paraId="5CB8BFCF" w14:textId="04E17D53" w:rsidR="000B3888" w:rsidRPr="0069114D" w:rsidRDefault="000B3888" w:rsidP="00254FA1">
            <w:pPr>
              <w:pStyle w:val="Tabletext"/>
            </w:pPr>
            <w:r w:rsidRPr="0069114D">
              <w:t>(48.4</w:t>
            </w:r>
            <w:r>
              <w:t>–</w:t>
            </w:r>
            <w:r w:rsidRPr="0069114D">
              <w:t>51.4)</w:t>
            </w:r>
          </w:p>
        </w:tc>
        <w:tc>
          <w:tcPr>
            <w:tcW w:w="1496" w:type="dxa"/>
          </w:tcPr>
          <w:p w14:paraId="31D0ADE1" w14:textId="330A54A1" w:rsidR="000B3888" w:rsidRPr="0069114D" w:rsidRDefault="000B3888" w:rsidP="00254FA1">
            <w:pPr>
              <w:pStyle w:val="Tabletext"/>
            </w:pPr>
            <w:r>
              <w:t>(50.0–51.8)</w:t>
            </w:r>
          </w:p>
        </w:tc>
        <w:tc>
          <w:tcPr>
            <w:tcW w:w="1318" w:type="dxa"/>
          </w:tcPr>
          <w:p w14:paraId="0B0BA9B9" w14:textId="6B8029B6" w:rsidR="000B3888" w:rsidRDefault="000B3888" w:rsidP="00254FA1">
            <w:pPr>
              <w:pStyle w:val="Tabletext"/>
            </w:pPr>
            <w:r>
              <w:t>(49.9–54.3)</w:t>
            </w:r>
          </w:p>
        </w:tc>
        <w:tc>
          <w:tcPr>
            <w:tcW w:w="1318" w:type="dxa"/>
          </w:tcPr>
          <w:p w14:paraId="50327624" w14:textId="4181D66B" w:rsidR="000B3888" w:rsidRDefault="000359D8" w:rsidP="00254FA1">
            <w:pPr>
              <w:pStyle w:val="Tabletext"/>
            </w:pPr>
            <w:r>
              <w:t>(49.5–52.7)</w:t>
            </w:r>
          </w:p>
        </w:tc>
      </w:tr>
    </w:tbl>
    <w:p w14:paraId="1D3E0E7D" w14:textId="024ADE1E" w:rsidR="00DB5171" w:rsidRPr="00B33F2D" w:rsidRDefault="00C825C1" w:rsidP="00DF5724">
      <w:pPr>
        <w:pStyle w:val="Tablefigurenote"/>
        <w:rPr>
          <w:i/>
          <w:iCs/>
          <w:sz w:val="18"/>
          <w:szCs w:val="18"/>
        </w:rPr>
      </w:pPr>
      <w:r w:rsidRPr="00B33F2D">
        <w:rPr>
          <w:i/>
          <w:iCs/>
          <w:sz w:val="18"/>
          <w:szCs w:val="18"/>
        </w:rPr>
        <w:t>Source</w:t>
      </w:r>
      <w:r w:rsidR="00361E3A" w:rsidRPr="00B33F2D">
        <w:rPr>
          <w:i/>
          <w:iCs/>
          <w:sz w:val="18"/>
          <w:szCs w:val="18"/>
        </w:rPr>
        <w:t>s</w:t>
      </w:r>
      <w:r w:rsidRPr="00B33F2D">
        <w:rPr>
          <w:i/>
          <w:iCs/>
          <w:sz w:val="18"/>
          <w:szCs w:val="18"/>
        </w:rPr>
        <w:t xml:space="preserve">: </w:t>
      </w:r>
      <w:r w:rsidR="00467BC3" w:rsidRPr="00B33F2D">
        <w:rPr>
          <w:i/>
          <w:iCs/>
          <w:sz w:val="18"/>
          <w:szCs w:val="18"/>
        </w:rPr>
        <w:t>Victorian Population Health Survey</w:t>
      </w:r>
      <w:r w:rsidR="00AC1118" w:rsidRPr="00B33F2D">
        <w:rPr>
          <w:i/>
          <w:iCs/>
          <w:sz w:val="18"/>
          <w:szCs w:val="18"/>
        </w:rPr>
        <w:t>s</w:t>
      </w:r>
      <w:r w:rsidR="000351B4" w:rsidRPr="00B33F2D">
        <w:rPr>
          <w:i/>
          <w:iCs/>
          <w:sz w:val="18"/>
          <w:szCs w:val="18"/>
        </w:rPr>
        <w:t xml:space="preserve"> 201</w:t>
      </w:r>
      <w:r w:rsidR="00344583" w:rsidRPr="00B33F2D">
        <w:rPr>
          <w:i/>
          <w:iCs/>
          <w:sz w:val="18"/>
          <w:szCs w:val="18"/>
        </w:rPr>
        <w:t>5</w:t>
      </w:r>
      <w:r w:rsidR="00CA2AD7" w:rsidRPr="00B33F2D">
        <w:rPr>
          <w:i/>
          <w:iCs/>
          <w:sz w:val="18"/>
          <w:szCs w:val="18"/>
        </w:rPr>
        <w:t>–</w:t>
      </w:r>
      <w:r w:rsidR="000351B4" w:rsidRPr="00B33F2D">
        <w:rPr>
          <w:i/>
          <w:iCs/>
          <w:sz w:val="18"/>
          <w:szCs w:val="18"/>
        </w:rPr>
        <w:t>201</w:t>
      </w:r>
      <w:r w:rsidR="000B3888" w:rsidRPr="00B33F2D">
        <w:rPr>
          <w:i/>
          <w:iCs/>
          <w:sz w:val="18"/>
          <w:szCs w:val="18"/>
        </w:rPr>
        <w:t>9</w:t>
      </w:r>
    </w:p>
    <w:p w14:paraId="5C6F78AC" w14:textId="7A65B8D2" w:rsidR="000359D8" w:rsidRPr="00B33F2D" w:rsidRDefault="000359D8" w:rsidP="00DF5724">
      <w:pPr>
        <w:pStyle w:val="Tablefigurenote"/>
        <w:rPr>
          <w:i/>
          <w:iCs/>
          <w:noProof/>
          <w:sz w:val="18"/>
          <w:szCs w:val="18"/>
        </w:rPr>
      </w:pPr>
      <w:r w:rsidRPr="00B33F2D">
        <w:rPr>
          <w:i/>
          <w:iCs/>
          <w:sz w:val="18"/>
          <w:szCs w:val="18"/>
        </w:rPr>
        <w:t xml:space="preserve">There were changes to the 2020 </w:t>
      </w:r>
      <w:r w:rsidR="001F6AB3" w:rsidRPr="00B33F2D">
        <w:rPr>
          <w:i/>
          <w:iCs/>
          <w:sz w:val="18"/>
          <w:szCs w:val="18"/>
        </w:rPr>
        <w:t>Victorian Population Health Survey to allow for pandemic</w:t>
      </w:r>
      <w:r w:rsidR="00361E3A" w:rsidRPr="00B33F2D">
        <w:rPr>
          <w:i/>
          <w:iCs/>
          <w:sz w:val="18"/>
          <w:szCs w:val="18"/>
        </w:rPr>
        <w:t>-</w:t>
      </w:r>
      <w:r w:rsidR="001F6AB3" w:rsidRPr="00B33F2D">
        <w:rPr>
          <w:i/>
          <w:iCs/>
          <w:sz w:val="18"/>
          <w:szCs w:val="18"/>
        </w:rPr>
        <w:t xml:space="preserve">relevant questions. As a result questions specific to physical activity </w:t>
      </w:r>
      <w:r w:rsidR="00E732A3">
        <w:rPr>
          <w:i/>
          <w:iCs/>
          <w:sz w:val="18"/>
          <w:szCs w:val="18"/>
        </w:rPr>
        <w:t xml:space="preserve">in adults </w:t>
      </w:r>
      <w:r w:rsidR="001F6AB3" w:rsidRPr="00B33F2D">
        <w:rPr>
          <w:i/>
          <w:iCs/>
          <w:sz w:val="18"/>
          <w:szCs w:val="18"/>
        </w:rPr>
        <w:t xml:space="preserve">were removed. </w:t>
      </w:r>
      <w:r w:rsidRPr="00B33F2D">
        <w:rPr>
          <w:i/>
          <w:iCs/>
          <w:sz w:val="18"/>
          <w:szCs w:val="18"/>
        </w:rPr>
        <w:t>The 2021 survey was cancelled due to the COVID-19 pandemic.</w:t>
      </w:r>
      <w:r w:rsidR="00154C52">
        <w:rPr>
          <w:i/>
          <w:iCs/>
          <w:sz w:val="18"/>
          <w:szCs w:val="18"/>
        </w:rPr>
        <w:t xml:space="preserve"> </w:t>
      </w:r>
      <w:r w:rsidR="00154C52">
        <w:rPr>
          <w:i/>
          <w:iCs/>
          <w:noProof/>
          <w:sz w:val="18"/>
          <w:szCs w:val="18"/>
        </w:rPr>
        <w:t>Data on physical activity specific to adults was not collected in the 2022 survey.</w:t>
      </w:r>
    </w:p>
    <w:p w14:paraId="70BE8675" w14:textId="77777777" w:rsidR="00843274" w:rsidRDefault="00843274" w:rsidP="007C7F00">
      <w:pPr>
        <w:pStyle w:val="Heading4"/>
      </w:pPr>
      <w:r>
        <w:t>Measure assessment</w:t>
      </w:r>
    </w:p>
    <w:p w14:paraId="23AA29E3" w14:textId="0FF64BEC" w:rsidR="00843274" w:rsidRDefault="00843274" w:rsidP="00606436">
      <w:pPr>
        <w:pStyle w:val="Body"/>
      </w:pPr>
      <w:r w:rsidRPr="009F01B1">
        <w:t xml:space="preserve">Traffic light rating: </w:t>
      </w:r>
      <w:r w:rsidR="00820FB4" w:rsidRPr="00D207B2">
        <w:rPr>
          <w:b/>
          <w:color w:val="007B4B"/>
        </w:rPr>
        <w:t>Green</w:t>
      </w:r>
      <w:r w:rsidR="00061321">
        <w:t xml:space="preserve"> (satisfactory result)</w:t>
      </w:r>
    </w:p>
    <w:p w14:paraId="5215A029" w14:textId="4422C1E9" w:rsidR="00843274" w:rsidRDefault="00843274" w:rsidP="00606436">
      <w:pPr>
        <w:pStyle w:val="Body"/>
      </w:pPr>
      <w:r w:rsidRPr="009F01B1">
        <w:t>Overall trend</w:t>
      </w:r>
      <w:r w:rsidRPr="00843274">
        <w:t xml:space="preserve">: </w:t>
      </w:r>
      <w:r w:rsidR="00820FB4">
        <w:t>Moving in the right direction</w:t>
      </w:r>
    </w:p>
    <w:p w14:paraId="104D7C66" w14:textId="298FA0DA" w:rsidR="00B06587" w:rsidRDefault="00843274" w:rsidP="00E87AAA">
      <w:pPr>
        <w:pStyle w:val="Body"/>
      </w:pPr>
      <w:r w:rsidRPr="00F829F0">
        <w:t>Commentary:</w:t>
      </w:r>
      <w:r>
        <w:t xml:space="preserve"> Physical activity helps adults to live </w:t>
      </w:r>
      <w:r w:rsidR="00F117B6">
        <w:t xml:space="preserve">longer </w:t>
      </w:r>
      <w:r>
        <w:t>and protect</w:t>
      </w:r>
      <w:r w:rsidR="00F117B6">
        <w:t>s against some cancers.</w:t>
      </w:r>
      <w:r w:rsidR="00952FC7">
        <w:t xml:space="preserve"> </w:t>
      </w:r>
      <w:r w:rsidR="00F117B6">
        <w:t>Current levels of physical inactivity have been attributed to increasing sedentariness of domestic and occupational activities, insufficient physical activity during leisure time, increasing use of passive modes of transport and increased urbanisation.</w:t>
      </w:r>
    </w:p>
    <w:p w14:paraId="5F29D8FA" w14:textId="2C677741" w:rsidR="009B17F6" w:rsidRDefault="00F117B6" w:rsidP="00E87AAA">
      <w:pPr>
        <w:pStyle w:val="Body"/>
      </w:pPr>
      <w:r>
        <w:t xml:space="preserve">Approximately half of Victorian adults </w:t>
      </w:r>
      <w:r w:rsidR="002523CC">
        <w:t xml:space="preserve">(18 years </w:t>
      </w:r>
      <w:r w:rsidR="008D6DC3">
        <w:t xml:space="preserve">or </w:t>
      </w:r>
      <w:r w:rsidR="002523CC">
        <w:t xml:space="preserve">older) </w:t>
      </w:r>
      <w:r>
        <w:t xml:space="preserve">are </w:t>
      </w:r>
      <w:r w:rsidR="00B1526B">
        <w:t>in</w:t>
      </w:r>
      <w:r>
        <w:t>sufficiently physically active</w:t>
      </w:r>
      <w:r w:rsidR="00C825C1">
        <w:t>.</w:t>
      </w:r>
      <w:r w:rsidR="00D27638">
        <w:t xml:space="preserve"> Figure 7.9 and Table 7.9 show that </w:t>
      </w:r>
      <w:r w:rsidR="00B32F97">
        <w:t>in 201</w:t>
      </w:r>
      <w:r w:rsidR="001F6AB3">
        <w:t>9</w:t>
      </w:r>
      <w:r w:rsidR="008D6DC3">
        <w:t>,</w:t>
      </w:r>
      <w:r w:rsidR="00B32F97">
        <w:t xml:space="preserve"> 5</w:t>
      </w:r>
      <w:r w:rsidR="001F6AB3">
        <w:t>1</w:t>
      </w:r>
      <w:r w:rsidR="00B32F97">
        <w:t>.</w:t>
      </w:r>
      <w:r w:rsidR="00672C40">
        <w:t>1</w:t>
      </w:r>
      <w:r w:rsidR="0054537F">
        <w:t>%</w:t>
      </w:r>
      <w:r w:rsidR="00B32F97">
        <w:t xml:space="preserve"> of Victorian adults undertook </w:t>
      </w:r>
      <w:r w:rsidR="00213C62">
        <w:t>sufficient</w:t>
      </w:r>
      <w:r w:rsidR="00B32F97">
        <w:t xml:space="preserve"> physical activity (measured in both sufficient time and sessions) to meet</w:t>
      </w:r>
      <w:r w:rsidR="00C335DA">
        <w:t xml:space="preserve"> the </w:t>
      </w:r>
      <w:r w:rsidR="00D27638">
        <w:t xml:space="preserve">2014 </w:t>
      </w:r>
      <w:r w:rsidR="00C335DA">
        <w:t>national physical activity guidelines</w:t>
      </w:r>
      <w:r w:rsidR="00C335DA">
        <w:rPr>
          <w:rStyle w:val="FootnoteReference"/>
          <w:lang w:eastAsia="en-AU"/>
        </w:rPr>
        <w:footnoteReference w:id="103"/>
      </w:r>
      <w:r w:rsidR="00B32F97">
        <w:t xml:space="preserve"> compared </w:t>
      </w:r>
      <w:r w:rsidR="002769E7" w:rsidRPr="002769E7">
        <w:t xml:space="preserve">with </w:t>
      </w:r>
      <w:r w:rsidR="00B32F97">
        <w:t>4</w:t>
      </w:r>
      <w:r w:rsidR="00344583">
        <w:t>7</w:t>
      </w:r>
      <w:r w:rsidR="0054537F">
        <w:t>%</w:t>
      </w:r>
      <w:r w:rsidR="00B32F97">
        <w:t xml:space="preserve"> in 201</w:t>
      </w:r>
      <w:r w:rsidR="00344583">
        <w:t>5</w:t>
      </w:r>
      <w:r w:rsidR="009B17F6">
        <w:t>.</w:t>
      </w:r>
      <w:r w:rsidR="009B17F6">
        <w:br w:type="page"/>
      </w:r>
    </w:p>
    <w:p w14:paraId="21C29352" w14:textId="4D2352BC" w:rsidR="00784A70" w:rsidRPr="003E6A0B" w:rsidRDefault="00784A70" w:rsidP="00A451D4">
      <w:pPr>
        <w:pStyle w:val="Heading3"/>
        <w:rPr>
          <w:b/>
          <w:bCs w:val="0"/>
        </w:rPr>
      </w:pPr>
      <w:bookmarkStart w:id="538" w:name="_Measure_7.10_–"/>
      <w:bookmarkEnd w:id="538"/>
      <w:r w:rsidRPr="003E6A0B">
        <w:rPr>
          <w:b/>
          <w:bCs w:val="0"/>
        </w:rPr>
        <w:lastRenderedPageBreak/>
        <w:t>Measure 7.10 –</w:t>
      </w:r>
      <w:r w:rsidR="00782252" w:rsidRPr="003E6A0B">
        <w:rPr>
          <w:b/>
          <w:bCs w:val="0"/>
        </w:rPr>
        <w:t xml:space="preserve"> </w:t>
      </w:r>
      <w:bookmarkStart w:id="539" w:name="_Hlk111621651"/>
      <w:r w:rsidR="00782252" w:rsidRPr="003E6A0B">
        <w:rPr>
          <w:b/>
          <w:bCs w:val="0"/>
        </w:rPr>
        <w:t xml:space="preserve">Proportion of </w:t>
      </w:r>
      <w:r w:rsidR="0028681D" w:rsidRPr="003E6A0B">
        <w:rPr>
          <w:b/>
          <w:bCs w:val="0"/>
        </w:rPr>
        <w:t>adolescents 10</w:t>
      </w:r>
      <w:r w:rsidR="00CA2AD7" w:rsidRPr="003E6A0B">
        <w:rPr>
          <w:b/>
          <w:bCs w:val="0"/>
        </w:rPr>
        <w:t>–</w:t>
      </w:r>
      <w:r w:rsidR="0028681D" w:rsidRPr="003E6A0B">
        <w:rPr>
          <w:b/>
          <w:bCs w:val="0"/>
        </w:rPr>
        <w:t>17 years who are sufficiently physically active</w:t>
      </w:r>
    </w:p>
    <w:p w14:paraId="409A7918" w14:textId="3542F4DA" w:rsidR="00C81D09" w:rsidRDefault="00C81D09" w:rsidP="0091523F">
      <w:pPr>
        <w:pStyle w:val="Figurecaption"/>
        <w:rPr>
          <w:sz w:val="20"/>
        </w:rPr>
      </w:pPr>
      <w:bookmarkStart w:id="540" w:name="_Toc19008082"/>
      <w:bookmarkStart w:id="541" w:name="_Toc19008315"/>
      <w:bookmarkStart w:id="542" w:name="_Toc19008462"/>
      <w:bookmarkStart w:id="543" w:name="_Toc19008609"/>
      <w:bookmarkStart w:id="544" w:name="_Toc132553039"/>
      <w:bookmarkStart w:id="545" w:name="_Toc140827650"/>
      <w:bookmarkEnd w:id="539"/>
      <w:r w:rsidRPr="00B33F2D">
        <w:rPr>
          <w:sz w:val="20"/>
        </w:rPr>
        <w:t>Figure 7.10</w:t>
      </w:r>
      <w:r w:rsidR="003B391F" w:rsidRPr="00B33F2D">
        <w:rPr>
          <w:sz w:val="20"/>
        </w:rPr>
        <w:t>:</w:t>
      </w:r>
      <w:r w:rsidRPr="00B33F2D">
        <w:rPr>
          <w:sz w:val="20"/>
        </w:rPr>
        <w:t xml:space="preserve"> Proportion of </w:t>
      </w:r>
      <w:r w:rsidR="00C86551" w:rsidRPr="00B33F2D">
        <w:rPr>
          <w:sz w:val="20"/>
        </w:rPr>
        <w:t xml:space="preserve">Victorian </w:t>
      </w:r>
      <w:r w:rsidRPr="00B33F2D">
        <w:rPr>
          <w:sz w:val="20"/>
        </w:rPr>
        <w:t xml:space="preserve">adolescents </w:t>
      </w:r>
      <w:r w:rsidR="00461622" w:rsidRPr="00B33F2D">
        <w:rPr>
          <w:sz w:val="20"/>
        </w:rPr>
        <w:t xml:space="preserve">aged </w:t>
      </w:r>
      <w:r w:rsidRPr="00B33F2D">
        <w:rPr>
          <w:sz w:val="20"/>
        </w:rPr>
        <w:t>10</w:t>
      </w:r>
      <w:r w:rsidR="00CA2AD7" w:rsidRPr="00B33F2D">
        <w:rPr>
          <w:sz w:val="20"/>
        </w:rPr>
        <w:t>–</w:t>
      </w:r>
      <w:r w:rsidRPr="00B33F2D">
        <w:rPr>
          <w:sz w:val="20"/>
        </w:rPr>
        <w:t xml:space="preserve">17 who are sufficiently </w:t>
      </w:r>
      <w:r w:rsidR="004D27F1" w:rsidRPr="00B33F2D">
        <w:rPr>
          <w:sz w:val="20"/>
        </w:rPr>
        <w:t xml:space="preserve">physically </w:t>
      </w:r>
      <w:r w:rsidRPr="00B33F2D">
        <w:rPr>
          <w:sz w:val="20"/>
        </w:rPr>
        <w:t>active</w:t>
      </w:r>
      <w:r w:rsidR="00461622" w:rsidRPr="00B33F2D">
        <w:rPr>
          <w:sz w:val="20"/>
        </w:rPr>
        <w:t>, 2014</w:t>
      </w:r>
      <w:r w:rsidR="00726AB8" w:rsidRPr="00B33F2D">
        <w:rPr>
          <w:sz w:val="20"/>
        </w:rPr>
        <w:t>,</w:t>
      </w:r>
      <w:r w:rsidR="00461622" w:rsidRPr="00B33F2D">
        <w:rPr>
          <w:sz w:val="20"/>
        </w:rPr>
        <w:t xml:space="preserve"> 2016</w:t>
      </w:r>
      <w:bookmarkEnd w:id="540"/>
      <w:bookmarkEnd w:id="541"/>
      <w:bookmarkEnd w:id="542"/>
      <w:bookmarkEnd w:id="543"/>
      <w:r w:rsidR="00726AB8" w:rsidRPr="00B33F2D">
        <w:rPr>
          <w:sz w:val="20"/>
        </w:rPr>
        <w:t xml:space="preserve"> and 2018</w:t>
      </w:r>
      <w:bookmarkEnd w:id="544"/>
      <w:bookmarkEnd w:id="545"/>
    </w:p>
    <w:p w14:paraId="64B827AF" w14:textId="4C258FFD" w:rsidR="00EF6080" w:rsidRPr="00EF6080" w:rsidRDefault="00EF6080" w:rsidP="00EF6080">
      <w:pPr>
        <w:pStyle w:val="DHHSbody"/>
      </w:pPr>
      <w:r w:rsidRPr="00EF6080">
        <w:rPr>
          <w:noProof/>
        </w:rPr>
        <w:drawing>
          <wp:inline distT="0" distB="0" distL="0" distR="0" wp14:anchorId="5811A9B6" wp14:editId="65288F4B">
            <wp:extent cx="5905500" cy="3018367"/>
            <wp:effectExtent l="0" t="0" r="0" b="0"/>
            <wp:docPr id="1110205020" name="Picture 1110205020" descr="This figure presents data under the 'Measure 7.10 - Proportion of adolescents 10 to 17 years who are sufficiently physically active'.  The data for this figure for 2014, 2016 and 2018 is available in this section - refer to Tabl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20" name="Picture 1110205020" descr="This figure presents data under the 'Measure 7.10 - Proportion of adolescents 10 to 17 years who are sufficiently physically active'.  The data for this figure for 2014, 2016 and 2018 is available in this section - refer to Table 7.10."/>
                    <pic:cNvPicPr/>
                  </pic:nvPicPr>
                  <pic:blipFill>
                    <a:blip r:embed="rId95"/>
                    <a:stretch>
                      <a:fillRect/>
                    </a:stretch>
                  </pic:blipFill>
                  <pic:spPr>
                    <a:xfrm>
                      <a:off x="0" y="0"/>
                      <a:ext cx="5918079" cy="3024796"/>
                    </a:xfrm>
                    <a:prstGeom prst="rect">
                      <a:avLst/>
                    </a:prstGeom>
                  </pic:spPr>
                </pic:pic>
              </a:graphicData>
            </a:graphic>
          </wp:inline>
        </w:drawing>
      </w:r>
    </w:p>
    <w:p w14:paraId="447BDC94" w14:textId="5DFF5F3E" w:rsidR="00726AB8" w:rsidRPr="00726AB8" w:rsidRDefault="00726AB8" w:rsidP="00E87AAA">
      <w:pPr>
        <w:pStyle w:val="Body"/>
      </w:pPr>
    </w:p>
    <w:p w14:paraId="17486171" w14:textId="77777777" w:rsidR="008D6DC3" w:rsidRPr="00B33F2D" w:rsidRDefault="008D6DC3" w:rsidP="008D6DC3">
      <w:pPr>
        <w:pStyle w:val="Tablefigurenote"/>
        <w:rPr>
          <w:bCs/>
          <w:i/>
          <w:iCs/>
          <w:sz w:val="18"/>
          <w:szCs w:val="18"/>
        </w:rPr>
      </w:pPr>
      <w:r w:rsidRPr="00B33F2D">
        <w:rPr>
          <w:bCs/>
          <w:i/>
          <w:iCs/>
          <w:sz w:val="18"/>
          <w:szCs w:val="18"/>
        </w:rPr>
        <w:t>Sources: Victorian Student Health and Wellbeing Surveys 2014, 2016 and 2018</w:t>
      </w:r>
    </w:p>
    <w:p w14:paraId="53C403E3" w14:textId="2F77B801" w:rsidR="00662BC4" w:rsidRPr="00B33F2D" w:rsidRDefault="00662BC4" w:rsidP="00660649">
      <w:pPr>
        <w:pStyle w:val="Tablefigurenote"/>
        <w:rPr>
          <w:i/>
          <w:iCs/>
          <w:sz w:val="18"/>
          <w:szCs w:val="18"/>
        </w:rPr>
      </w:pPr>
      <w:r w:rsidRPr="00B33F2D">
        <w:rPr>
          <w:i/>
          <w:iCs/>
          <w:sz w:val="18"/>
          <w:szCs w:val="18"/>
        </w:rPr>
        <w:t>Note</w:t>
      </w:r>
      <w:r w:rsidR="00461622" w:rsidRPr="00B33F2D">
        <w:rPr>
          <w:i/>
          <w:iCs/>
          <w:sz w:val="18"/>
          <w:szCs w:val="18"/>
        </w:rPr>
        <w:t>:</w:t>
      </w:r>
      <w:r w:rsidRPr="00B33F2D">
        <w:rPr>
          <w:i/>
          <w:iCs/>
          <w:sz w:val="18"/>
          <w:szCs w:val="18"/>
        </w:rPr>
        <w:t xml:space="preserve"> </w:t>
      </w:r>
      <w:r w:rsidR="00461622" w:rsidRPr="00B33F2D">
        <w:rPr>
          <w:i/>
          <w:iCs/>
          <w:sz w:val="18"/>
          <w:szCs w:val="18"/>
        </w:rPr>
        <w:t>I</w:t>
      </w:r>
      <w:r w:rsidRPr="00B33F2D">
        <w:rPr>
          <w:i/>
          <w:iCs/>
          <w:sz w:val="18"/>
          <w:szCs w:val="18"/>
        </w:rPr>
        <w:t>n 2014 the definition of sufficient physical activity changed</w:t>
      </w:r>
      <w:r w:rsidR="00676EB9" w:rsidRPr="00B33F2D">
        <w:rPr>
          <w:i/>
          <w:iCs/>
          <w:sz w:val="18"/>
          <w:szCs w:val="18"/>
        </w:rPr>
        <w:t>.</w:t>
      </w:r>
    </w:p>
    <w:p w14:paraId="6BF27C0C" w14:textId="1FF08CBC" w:rsidR="0098642F" w:rsidRPr="00B33F2D" w:rsidRDefault="0098642F" w:rsidP="00087C7F">
      <w:pPr>
        <w:pStyle w:val="Tablecaption"/>
        <w:rPr>
          <w:sz w:val="20"/>
        </w:rPr>
      </w:pPr>
      <w:bookmarkStart w:id="546" w:name="_Toc18908736"/>
      <w:bookmarkStart w:id="547" w:name="_Toc132491535"/>
      <w:bookmarkStart w:id="548" w:name="_Toc140834927"/>
      <w:r w:rsidRPr="00B33F2D">
        <w:rPr>
          <w:sz w:val="20"/>
          <w:lang w:eastAsia="en-AU"/>
        </w:rPr>
        <w:t>Table 7.10</w:t>
      </w:r>
      <w:r w:rsidR="001F7E28" w:rsidRPr="00B33F2D">
        <w:rPr>
          <w:sz w:val="20"/>
        </w:rPr>
        <w:t>:</w:t>
      </w:r>
      <w:r w:rsidRPr="00B33F2D">
        <w:rPr>
          <w:sz w:val="20"/>
          <w:lang w:eastAsia="en-AU"/>
        </w:rPr>
        <w:t xml:space="preserve"> </w:t>
      </w:r>
      <w:r w:rsidRPr="00B33F2D">
        <w:rPr>
          <w:sz w:val="20"/>
        </w:rPr>
        <w:t>Proportion of Victorian adolescents aged 10–17 who are sufficiently physically active, 2014</w:t>
      </w:r>
      <w:r w:rsidR="00726AB8" w:rsidRPr="00B33F2D">
        <w:rPr>
          <w:sz w:val="20"/>
        </w:rPr>
        <w:t>,</w:t>
      </w:r>
      <w:r w:rsidRPr="00B33F2D">
        <w:rPr>
          <w:sz w:val="20"/>
        </w:rPr>
        <w:t xml:space="preserve"> 2016</w:t>
      </w:r>
      <w:bookmarkEnd w:id="546"/>
      <w:r w:rsidR="00726AB8" w:rsidRPr="00B33F2D">
        <w:rPr>
          <w:sz w:val="20"/>
        </w:rPr>
        <w:t xml:space="preserve"> and 2018</w:t>
      </w:r>
      <w:bookmarkEnd w:id="547"/>
      <w:bookmarkEnd w:id="548"/>
    </w:p>
    <w:tbl>
      <w:tblPr>
        <w:tblW w:w="9194" w:type="dxa"/>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046"/>
        <w:gridCol w:w="1631"/>
        <w:gridCol w:w="261"/>
        <w:gridCol w:w="624"/>
        <w:gridCol w:w="2540"/>
        <w:gridCol w:w="2092"/>
      </w:tblGrid>
      <w:tr w:rsidR="00726AB8" w:rsidRPr="00726AB8" w14:paraId="7D9865B4" w14:textId="665EA12C" w:rsidTr="002C5967">
        <w:trPr>
          <w:trHeight w:val="300"/>
        </w:trPr>
        <w:tc>
          <w:tcPr>
            <w:tcW w:w="2046" w:type="dxa"/>
            <w:shd w:val="clear" w:color="auto" w:fill="EDCDCF"/>
            <w:vAlign w:val="center"/>
          </w:tcPr>
          <w:p w14:paraId="1A0D61CA" w14:textId="77777777" w:rsidR="00726AB8" w:rsidRPr="001C3A47" w:rsidRDefault="00726AB8" w:rsidP="0098642F">
            <w:pPr>
              <w:pStyle w:val="Tablecolhead"/>
              <w:spacing w:before="0" w:after="120" w:line="270" w:lineRule="atLeast"/>
            </w:pPr>
            <w:r w:rsidRPr="001C3A47">
              <w:t>Year</w:t>
            </w:r>
          </w:p>
        </w:tc>
        <w:tc>
          <w:tcPr>
            <w:tcW w:w="1631" w:type="dxa"/>
            <w:shd w:val="clear" w:color="auto" w:fill="EDCDCF"/>
            <w:vAlign w:val="center"/>
          </w:tcPr>
          <w:p w14:paraId="0E6D466C" w14:textId="4D60D67C" w:rsidR="00726AB8" w:rsidRPr="001C3A47" w:rsidRDefault="00726AB8" w:rsidP="0098642F">
            <w:pPr>
              <w:pStyle w:val="Tablecolhead"/>
              <w:spacing w:before="0" w:after="120" w:line="270" w:lineRule="atLeast"/>
            </w:pPr>
            <w:r w:rsidRPr="001C3A47">
              <w:t>2014</w:t>
            </w:r>
          </w:p>
        </w:tc>
        <w:tc>
          <w:tcPr>
            <w:tcW w:w="261" w:type="dxa"/>
            <w:shd w:val="clear" w:color="auto" w:fill="EDCDCF"/>
          </w:tcPr>
          <w:p w14:paraId="0F312801" w14:textId="77777777" w:rsidR="00726AB8" w:rsidRPr="001C3A47" w:rsidRDefault="00726AB8" w:rsidP="0098642F">
            <w:pPr>
              <w:pStyle w:val="Tablecolhead"/>
              <w:spacing w:before="0" w:after="120" w:line="270" w:lineRule="atLeast"/>
            </w:pPr>
          </w:p>
        </w:tc>
        <w:tc>
          <w:tcPr>
            <w:tcW w:w="624" w:type="dxa"/>
            <w:shd w:val="clear" w:color="auto" w:fill="EDCDCF"/>
            <w:vAlign w:val="center"/>
          </w:tcPr>
          <w:p w14:paraId="11334E04" w14:textId="051B9BB5" w:rsidR="00726AB8" w:rsidRPr="001C3A47" w:rsidRDefault="00726AB8" w:rsidP="0098642F">
            <w:pPr>
              <w:pStyle w:val="Tablecolhead"/>
              <w:spacing w:before="0" w:after="120" w:line="270" w:lineRule="atLeast"/>
            </w:pPr>
          </w:p>
        </w:tc>
        <w:tc>
          <w:tcPr>
            <w:tcW w:w="2540" w:type="dxa"/>
            <w:shd w:val="clear" w:color="auto" w:fill="EDCDCF"/>
            <w:vAlign w:val="center"/>
          </w:tcPr>
          <w:p w14:paraId="7844AC71" w14:textId="082D7B10" w:rsidR="00726AB8" w:rsidRPr="001C3A47" w:rsidRDefault="00726AB8" w:rsidP="0098642F">
            <w:pPr>
              <w:pStyle w:val="Tablecolhead"/>
              <w:spacing w:before="0" w:after="120" w:line="270" w:lineRule="atLeast"/>
            </w:pPr>
            <w:r w:rsidRPr="001C3A47">
              <w:t>2016</w:t>
            </w:r>
          </w:p>
        </w:tc>
        <w:tc>
          <w:tcPr>
            <w:tcW w:w="2092" w:type="dxa"/>
            <w:shd w:val="clear" w:color="auto" w:fill="EDCDCF"/>
          </w:tcPr>
          <w:p w14:paraId="5759FF88" w14:textId="49CCC5C9" w:rsidR="00726AB8" w:rsidRPr="001C3A47" w:rsidRDefault="00726AB8" w:rsidP="0098642F">
            <w:pPr>
              <w:pStyle w:val="Tablecolhead"/>
              <w:spacing w:before="0" w:after="120" w:line="270" w:lineRule="atLeast"/>
            </w:pPr>
            <w:r w:rsidRPr="001C3A47">
              <w:t>2018</w:t>
            </w:r>
          </w:p>
        </w:tc>
      </w:tr>
      <w:tr w:rsidR="00726AB8" w:rsidRPr="00726AB8" w14:paraId="15C6CCAE" w14:textId="32ACE97C" w:rsidTr="002C5967">
        <w:trPr>
          <w:trHeight w:val="300"/>
        </w:trPr>
        <w:tc>
          <w:tcPr>
            <w:tcW w:w="2046" w:type="dxa"/>
            <w:shd w:val="clear" w:color="auto" w:fill="auto"/>
            <w:vAlign w:val="center"/>
          </w:tcPr>
          <w:p w14:paraId="5A82B7EE" w14:textId="77777777" w:rsidR="00726AB8" w:rsidRPr="005D390E" w:rsidRDefault="00726AB8" w:rsidP="0098642F">
            <w:pPr>
              <w:pStyle w:val="Tabletext"/>
              <w:spacing w:before="0" w:after="120" w:line="270" w:lineRule="atLeast"/>
            </w:pPr>
            <w:r w:rsidRPr="005D390E">
              <w:t>Per cent (%)</w:t>
            </w:r>
          </w:p>
        </w:tc>
        <w:tc>
          <w:tcPr>
            <w:tcW w:w="1631" w:type="dxa"/>
            <w:shd w:val="clear" w:color="auto" w:fill="auto"/>
            <w:vAlign w:val="center"/>
          </w:tcPr>
          <w:p w14:paraId="63D703F2" w14:textId="44742074" w:rsidR="00726AB8" w:rsidRPr="005D390E" w:rsidRDefault="00726AB8" w:rsidP="0098642F">
            <w:pPr>
              <w:pStyle w:val="Tabletext"/>
              <w:spacing w:before="0" w:after="120" w:line="270" w:lineRule="atLeast"/>
            </w:pPr>
            <w:r w:rsidRPr="005D390E">
              <w:t>26.0</w:t>
            </w:r>
          </w:p>
        </w:tc>
        <w:tc>
          <w:tcPr>
            <w:tcW w:w="261" w:type="dxa"/>
          </w:tcPr>
          <w:p w14:paraId="65E0D5C7" w14:textId="77777777" w:rsidR="00726AB8" w:rsidRPr="005D390E" w:rsidRDefault="00726AB8" w:rsidP="0098642F">
            <w:pPr>
              <w:pStyle w:val="Tabletext"/>
              <w:spacing w:before="0" w:after="120" w:line="270" w:lineRule="atLeast"/>
            </w:pPr>
          </w:p>
        </w:tc>
        <w:tc>
          <w:tcPr>
            <w:tcW w:w="624" w:type="dxa"/>
            <w:shd w:val="clear" w:color="auto" w:fill="auto"/>
            <w:vAlign w:val="center"/>
          </w:tcPr>
          <w:p w14:paraId="4ABF36A0" w14:textId="6BD85925" w:rsidR="00726AB8" w:rsidRPr="005D390E" w:rsidRDefault="00726AB8" w:rsidP="0098642F">
            <w:pPr>
              <w:pStyle w:val="Tabletext"/>
              <w:spacing w:before="0" w:after="120" w:line="270" w:lineRule="atLeast"/>
            </w:pPr>
          </w:p>
        </w:tc>
        <w:tc>
          <w:tcPr>
            <w:tcW w:w="2540" w:type="dxa"/>
            <w:shd w:val="clear" w:color="auto" w:fill="auto"/>
            <w:vAlign w:val="center"/>
          </w:tcPr>
          <w:p w14:paraId="249F7E8E" w14:textId="1BBF53B2" w:rsidR="00726AB8" w:rsidRPr="005D390E" w:rsidRDefault="00726AB8" w:rsidP="0098642F">
            <w:pPr>
              <w:pStyle w:val="Tabletext"/>
              <w:spacing w:before="0" w:after="120" w:line="270" w:lineRule="atLeast"/>
            </w:pPr>
            <w:r w:rsidRPr="005D390E">
              <w:t>23.3</w:t>
            </w:r>
          </w:p>
        </w:tc>
        <w:tc>
          <w:tcPr>
            <w:tcW w:w="2092" w:type="dxa"/>
          </w:tcPr>
          <w:p w14:paraId="2E861529" w14:textId="3EE94C3A" w:rsidR="00726AB8" w:rsidRPr="005D390E" w:rsidRDefault="005D390E" w:rsidP="0098642F">
            <w:pPr>
              <w:pStyle w:val="Tabletext"/>
              <w:spacing w:before="0" w:after="120" w:line="270" w:lineRule="atLeast"/>
            </w:pPr>
            <w:r w:rsidRPr="005D390E">
              <w:t>23.4</w:t>
            </w:r>
          </w:p>
        </w:tc>
      </w:tr>
      <w:tr w:rsidR="00726AB8" w:rsidRPr="00726AB8" w14:paraId="1AEEF351" w14:textId="68E69AF0" w:rsidTr="002C5967">
        <w:trPr>
          <w:trHeight w:val="300"/>
        </w:trPr>
        <w:tc>
          <w:tcPr>
            <w:tcW w:w="2046" w:type="dxa"/>
            <w:shd w:val="clear" w:color="auto" w:fill="auto"/>
            <w:vAlign w:val="center"/>
          </w:tcPr>
          <w:p w14:paraId="06A6E071" w14:textId="77777777" w:rsidR="00726AB8" w:rsidRPr="005D390E" w:rsidRDefault="00726AB8" w:rsidP="004F1934">
            <w:pPr>
              <w:pStyle w:val="Tabletext"/>
              <w:spacing w:before="0" w:after="120"/>
            </w:pPr>
            <w:r w:rsidRPr="005D390E">
              <w:t>95% CI</w:t>
            </w:r>
          </w:p>
        </w:tc>
        <w:tc>
          <w:tcPr>
            <w:tcW w:w="1631" w:type="dxa"/>
            <w:shd w:val="clear" w:color="auto" w:fill="auto"/>
            <w:vAlign w:val="center"/>
          </w:tcPr>
          <w:p w14:paraId="4AFD0F7D" w14:textId="64408564" w:rsidR="00726AB8" w:rsidRPr="005D390E" w:rsidRDefault="00726AB8" w:rsidP="004F1934">
            <w:pPr>
              <w:pStyle w:val="Tabletext"/>
              <w:spacing w:before="0" w:after="120"/>
            </w:pPr>
            <w:r w:rsidRPr="005D390E">
              <w:t>(24.8–27.3)</w:t>
            </w:r>
          </w:p>
        </w:tc>
        <w:tc>
          <w:tcPr>
            <w:tcW w:w="261" w:type="dxa"/>
          </w:tcPr>
          <w:p w14:paraId="377D8505" w14:textId="77777777" w:rsidR="00726AB8" w:rsidRPr="005D390E" w:rsidRDefault="00726AB8" w:rsidP="004F1934">
            <w:pPr>
              <w:pStyle w:val="Tabletext"/>
              <w:spacing w:before="0" w:after="120"/>
            </w:pPr>
          </w:p>
        </w:tc>
        <w:tc>
          <w:tcPr>
            <w:tcW w:w="624" w:type="dxa"/>
            <w:shd w:val="clear" w:color="auto" w:fill="auto"/>
            <w:vAlign w:val="center"/>
          </w:tcPr>
          <w:p w14:paraId="69481057" w14:textId="7D761E83" w:rsidR="00726AB8" w:rsidRPr="005D390E" w:rsidRDefault="00726AB8" w:rsidP="004F1934">
            <w:pPr>
              <w:pStyle w:val="Tabletext"/>
              <w:spacing w:before="0" w:after="120"/>
            </w:pPr>
          </w:p>
        </w:tc>
        <w:tc>
          <w:tcPr>
            <w:tcW w:w="2540" w:type="dxa"/>
            <w:shd w:val="clear" w:color="auto" w:fill="auto"/>
            <w:vAlign w:val="center"/>
          </w:tcPr>
          <w:p w14:paraId="0CA7C2F5" w14:textId="253D5808" w:rsidR="00726AB8" w:rsidRPr="005D390E" w:rsidRDefault="00726AB8" w:rsidP="004F1934">
            <w:pPr>
              <w:pStyle w:val="Tabletext"/>
              <w:spacing w:before="0" w:after="120"/>
            </w:pPr>
            <w:r w:rsidRPr="005D390E">
              <w:t>(22.5–24.1)</w:t>
            </w:r>
          </w:p>
        </w:tc>
        <w:tc>
          <w:tcPr>
            <w:tcW w:w="2092" w:type="dxa"/>
          </w:tcPr>
          <w:p w14:paraId="71D2C93E" w14:textId="0AE487F8" w:rsidR="00726AB8" w:rsidRPr="005D390E" w:rsidRDefault="005D390E" w:rsidP="004F1934">
            <w:pPr>
              <w:pStyle w:val="Tabletext"/>
              <w:spacing w:before="0" w:after="120"/>
            </w:pPr>
            <w:r w:rsidRPr="005D390E">
              <w:t>22.6</w:t>
            </w:r>
            <w:r w:rsidR="00587C1D">
              <w:t>–</w:t>
            </w:r>
            <w:r>
              <w:t>24.2)</w:t>
            </w:r>
          </w:p>
        </w:tc>
      </w:tr>
    </w:tbl>
    <w:p w14:paraId="2A586A2E" w14:textId="49DC47C0" w:rsidR="00662BC4" w:rsidRDefault="00662BC4" w:rsidP="007C7F00">
      <w:pPr>
        <w:pStyle w:val="Heading4"/>
        <w:rPr>
          <w:lang w:eastAsia="en-AU"/>
        </w:rPr>
      </w:pPr>
      <w:r>
        <w:rPr>
          <w:lang w:eastAsia="en-AU"/>
        </w:rPr>
        <w:t xml:space="preserve">Measure </w:t>
      </w:r>
      <w:r w:rsidRPr="00BB027B">
        <w:t>assessment</w:t>
      </w:r>
    </w:p>
    <w:p w14:paraId="55309701" w14:textId="0D23E9F7" w:rsidR="001B41B1" w:rsidRPr="00CF6F8C" w:rsidRDefault="00662BC4" w:rsidP="00606436">
      <w:pPr>
        <w:pStyle w:val="Body"/>
      </w:pPr>
      <w:r w:rsidRPr="009F01B1">
        <w:t>Traffic light rating:</w:t>
      </w:r>
      <w:r w:rsidRPr="00B504AD">
        <w:rPr>
          <w:color w:val="AF272F"/>
        </w:rPr>
        <w:t xml:space="preserve"> </w:t>
      </w:r>
      <w:r w:rsidR="001B41B1" w:rsidRPr="00B504AD">
        <w:rPr>
          <w:b/>
          <w:color w:val="AF272F"/>
        </w:rPr>
        <w:t xml:space="preserve">Red </w:t>
      </w:r>
      <w:r w:rsidR="001B41B1" w:rsidRPr="00CF6F8C">
        <w:t>(result is of concern)</w:t>
      </w:r>
    </w:p>
    <w:p w14:paraId="77460B68" w14:textId="4C6E7D86" w:rsidR="001B41B1" w:rsidRDefault="001B41B1" w:rsidP="00606436">
      <w:pPr>
        <w:pStyle w:val="Body"/>
      </w:pPr>
      <w:r w:rsidRPr="00166C30">
        <w:t xml:space="preserve">Overall trend: </w:t>
      </w:r>
      <w:r>
        <w:t>Not moving in the right direction</w:t>
      </w:r>
    </w:p>
    <w:p w14:paraId="29A9941A" w14:textId="48BF298C" w:rsidR="001A1094" w:rsidRDefault="00662BC4" w:rsidP="00E87AAA">
      <w:pPr>
        <w:pStyle w:val="Body"/>
      </w:pPr>
      <w:r w:rsidRPr="00F829F0">
        <w:rPr>
          <w:rFonts w:cs="Arial"/>
        </w:rPr>
        <w:t>Commentary:</w:t>
      </w:r>
      <w:r>
        <w:rPr>
          <w:rFonts w:cs="Arial"/>
        </w:rPr>
        <w:t xml:space="preserve"> </w:t>
      </w:r>
      <w:r w:rsidR="00744707">
        <w:t>Physical activity provides important benefits throughout life. Establishing an active lifestyle such as participati</w:t>
      </w:r>
      <w:r w:rsidR="007A674C">
        <w:t>ng</w:t>
      </w:r>
      <w:r w:rsidR="00744707">
        <w:t xml:space="preserve"> in active recreation and sport during childhood and early adulthood can lay the foundation for lifelong participation in sport and wider physical activity. Children and adolescents who are physically active have better mental, cardio-metabolic and musculoskeletal health and are less likely to gain weight. Childhood obesity </w:t>
      </w:r>
      <w:r w:rsidR="0035684F">
        <w:t>is</w:t>
      </w:r>
      <w:r w:rsidR="00744707">
        <w:t xml:space="preserve"> a risk factor for chronic disease</w:t>
      </w:r>
      <w:r w:rsidR="007A674C">
        <w:t>,</w:t>
      </w:r>
      <w:r w:rsidR="00744707">
        <w:t xml:space="preserve"> such as some cancers, in adulthood.</w:t>
      </w:r>
      <w:r w:rsidR="00952FC7">
        <w:t xml:space="preserve"> </w:t>
      </w:r>
      <w:r w:rsidR="00744707" w:rsidRPr="009D1BC7">
        <w:t>For example, a</w:t>
      </w:r>
      <w:r w:rsidR="00CC4757" w:rsidRPr="009D1BC7">
        <w:t xml:space="preserve"> </w:t>
      </w:r>
      <w:r w:rsidR="00744707" w:rsidRPr="009D1BC7">
        <w:t>meta-analysis</w:t>
      </w:r>
      <w:r w:rsidR="00FB49C3" w:rsidRPr="009D1BC7">
        <w:t xml:space="preserve"> published in 2016</w:t>
      </w:r>
      <w:r w:rsidR="00744707" w:rsidRPr="009D1BC7">
        <w:t xml:space="preserve"> reported a statistically significant association between obesity in children aged 12</w:t>
      </w:r>
      <w:r w:rsidR="00690CD3" w:rsidRPr="009D1BC7">
        <w:t>–1</w:t>
      </w:r>
      <w:r w:rsidR="00744707" w:rsidRPr="009D1BC7">
        <w:t xml:space="preserve">8 </w:t>
      </w:r>
      <w:r w:rsidR="0035684F">
        <w:t xml:space="preserve">years </w:t>
      </w:r>
      <w:r w:rsidR="00744707" w:rsidRPr="009D1BC7">
        <w:t>and an increased incidence of some cancers</w:t>
      </w:r>
      <w:r w:rsidR="00C928ED" w:rsidRPr="009D1BC7">
        <w:t>,</w:t>
      </w:r>
      <w:r w:rsidR="00744707" w:rsidRPr="009D1BC7">
        <w:t xml:space="preserve"> such as liver, </w:t>
      </w:r>
      <w:r w:rsidR="001A1094" w:rsidRPr="009D1BC7">
        <w:t>colo</w:t>
      </w:r>
      <w:r w:rsidR="006045EE">
        <w:t>rectal</w:t>
      </w:r>
      <w:r w:rsidR="00744707" w:rsidRPr="009D1BC7">
        <w:t xml:space="preserve"> and urothelial</w:t>
      </w:r>
      <w:r w:rsidR="00C928ED" w:rsidRPr="009D1BC7">
        <w:t xml:space="preserve"> cancer</w:t>
      </w:r>
      <w:r w:rsidR="00744707" w:rsidRPr="009D1BC7">
        <w:t>, in adulthood.</w:t>
      </w:r>
      <w:r w:rsidR="00744707" w:rsidRPr="009D1BC7">
        <w:rPr>
          <w:rStyle w:val="FootnoteReference"/>
        </w:rPr>
        <w:footnoteReference w:id="104"/>
      </w:r>
      <w:bookmarkStart w:id="549" w:name="_Hlk111621630"/>
    </w:p>
    <w:p w14:paraId="7B259A37" w14:textId="4E20B921" w:rsidR="0010621B" w:rsidRPr="00A451D4" w:rsidRDefault="0048344D" w:rsidP="006D0DC0">
      <w:pPr>
        <w:pStyle w:val="Body"/>
        <w:rPr>
          <w:rFonts w:cs="Arial"/>
          <w:sz w:val="20"/>
        </w:rPr>
      </w:pPr>
      <w:r>
        <w:lastRenderedPageBreak/>
        <w:t>T</w:t>
      </w:r>
      <w:r w:rsidR="00C43F3B">
        <w:t xml:space="preserve">he </w:t>
      </w:r>
      <w:r w:rsidR="00C2537D" w:rsidRPr="76BE792E">
        <w:rPr>
          <w:i/>
          <w:iCs/>
        </w:rPr>
        <w:t xml:space="preserve">Victorian </w:t>
      </w:r>
      <w:r w:rsidR="00A81AB6" w:rsidRPr="76BE792E">
        <w:rPr>
          <w:i/>
          <w:iCs/>
        </w:rPr>
        <w:t>p</w:t>
      </w:r>
      <w:r w:rsidR="00C2537D" w:rsidRPr="76BE792E">
        <w:rPr>
          <w:i/>
          <w:iCs/>
        </w:rPr>
        <w:t xml:space="preserve">ublic </w:t>
      </w:r>
      <w:r w:rsidR="00A81AB6" w:rsidRPr="76BE792E">
        <w:rPr>
          <w:i/>
          <w:iCs/>
        </w:rPr>
        <w:t>h</w:t>
      </w:r>
      <w:r w:rsidR="00C2537D" w:rsidRPr="76BE792E">
        <w:rPr>
          <w:i/>
          <w:iCs/>
        </w:rPr>
        <w:t xml:space="preserve">ealth and </w:t>
      </w:r>
      <w:r w:rsidR="00726AB8" w:rsidRPr="76BE792E">
        <w:rPr>
          <w:i/>
          <w:iCs/>
        </w:rPr>
        <w:t>wellbeing</w:t>
      </w:r>
      <w:r w:rsidR="00C2537D" w:rsidRPr="76BE792E">
        <w:rPr>
          <w:i/>
          <w:iCs/>
        </w:rPr>
        <w:t xml:space="preserve"> </w:t>
      </w:r>
      <w:r w:rsidR="00A81AB6" w:rsidRPr="76BE792E">
        <w:rPr>
          <w:i/>
          <w:iCs/>
        </w:rPr>
        <w:t>o</w:t>
      </w:r>
      <w:r w:rsidR="00C2537D" w:rsidRPr="76BE792E">
        <w:rPr>
          <w:i/>
          <w:iCs/>
        </w:rPr>
        <w:t xml:space="preserve">utcomes </w:t>
      </w:r>
      <w:r w:rsidR="00A81AB6" w:rsidRPr="76BE792E">
        <w:rPr>
          <w:i/>
          <w:iCs/>
        </w:rPr>
        <w:t>f</w:t>
      </w:r>
      <w:r w:rsidR="00C2537D" w:rsidRPr="76BE792E">
        <w:rPr>
          <w:i/>
          <w:iCs/>
        </w:rPr>
        <w:t>ramework</w:t>
      </w:r>
      <w:r w:rsidR="00C2537D">
        <w:t xml:space="preserve"> has a </w:t>
      </w:r>
      <w:r w:rsidR="00C43F3B">
        <w:t>target of a 20</w:t>
      </w:r>
      <w:r w:rsidR="0054537F">
        <w:t>%</w:t>
      </w:r>
      <w:r w:rsidR="00C43F3B">
        <w:t xml:space="preserve"> increase </w:t>
      </w:r>
      <w:r w:rsidR="00C2537D">
        <w:t xml:space="preserve">by 2025 </w:t>
      </w:r>
      <w:r w:rsidR="00C43F3B">
        <w:t>in adolescents achieving</w:t>
      </w:r>
      <w:r w:rsidR="00C43F3B" w:rsidRPr="007479A4">
        <w:t xml:space="preserve"> sufficient physical activity </w:t>
      </w:r>
      <w:r w:rsidR="00C43F3B">
        <w:t>based on</w:t>
      </w:r>
      <w:r w:rsidR="00C43F3B" w:rsidRPr="007479A4">
        <w:t xml:space="preserve"> </w:t>
      </w:r>
      <w:r w:rsidR="00C43F3B">
        <w:t>the 26</w:t>
      </w:r>
      <w:r w:rsidR="0054537F">
        <w:t>%</w:t>
      </w:r>
      <w:r w:rsidR="00C43F3B">
        <w:t xml:space="preserve"> </w:t>
      </w:r>
      <w:r w:rsidR="00C43F3B" w:rsidRPr="007479A4">
        <w:t xml:space="preserve">2014 </w:t>
      </w:r>
      <w:r w:rsidR="00C43F3B" w:rsidRPr="00D53F6A">
        <w:t>baseline</w:t>
      </w:r>
      <w:bookmarkEnd w:id="549"/>
      <w:r w:rsidR="00C43F3B" w:rsidRPr="000C03A9">
        <w:rPr>
          <w:vertAlign w:val="superscript"/>
        </w:rPr>
        <w:footnoteReference w:id="105"/>
      </w:r>
      <w:r w:rsidR="00C43F3B">
        <w:t xml:space="preserve"> </w:t>
      </w:r>
      <w:r w:rsidR="00032DCB">
        <w:t>(Figure 7.10</w:t>
      </w:r>
      <w:r w:rsidR="00D57EA7">
        <w:t xml:space="preserve"> and Table 7.10</w:t>
      </w:r>
      <w:r w:rsidR="00032DCB">
        <w:t xml:space="preserve">) </w:t>
      </w:r>
      <w:r w:rsidR="00472FC6">
        <w:t xml:space="preserve">and </w:t>
      </w:r>
      <w:r w:rsidR="00C43F3B">
        <w:t xml:space="preserve">is </w:t>
      </w:r>
      <w:r w:rsidR="00C43F3B" w:rsidRPr="009C071D">
        <w:t>not on track</w:t>
      </w:r>
      <w:r w:rsidR="00C43F3B">
        <w:t xml:space="preserve"> to</w:t>
      </w:r>
      <w:r w:rsidR="00C83C14">
        <w:t xml:space="preserve"> be met. In 201</w:t>
      </w:r>
      <w:r w:rsidR="005D390E">
        <w:t>8</w:t>
      </w:r>
      <w:r w:rsidR="00C83C14">
        <w:t>, only 23.</w:t>
      </w:r>
      <w:r w:rsidR="005D390E">
        <w:t>4</w:t>
      </w:r>
      <w:r w:rsidR="0054537F">
        <w:t>%</w:t>
      </w:r>
      <w:r w:rsidR="00C43F3B">
        <w:t xml:space="preserve"> of </w:t>
      </w:r>
      <w:r w:rsidR="00C43F3B" w:rsidRPr="00541657">
        <w:t>Victorian students</w:t>
      </w:r>
      <w:r w:rsidR="00C43F3B" w:rsidRPr="000C03A9">
        <w:rPr>
          <w:vertAlign w:val="superscript"/>
        </w:rPr>
        <w:footnoteReference w:id="106"/>
      </w:r>
      <w:r w:rsidR="00C43F3B" w:rsidRPr="007479A4">
        <w:t xml:space="preserve"> </w:t>
      </w:r>
      <w:r w:rsidR="00032DCB">
        <w:t xml:space="preserve">(Figure 7.10) </w:t>
      </w:r>
      <w:r w:rsidR="00C43F3B">
        <w:t>undertook</w:t>
      </w:r>
      <w:r w:rsidR="00FD2C97">
        <w:t xml:space="preserve"> sufficient physical activity that</w:t>
      </w:r>
      <w:r w:rsidR="00C43F3B">
        <w:t xml:space="preserve"> </w:t>
      </w:r>
      <w:r w:rsidR="00FD2C97">
        <w:t>m</w:t>
      </w:r>
      <w:r w:rsidR="00C43F3B">
        <w:t>e</w:t>
      </w:r>
      <w:r w:rsidR="006C5290">
        <w:t>t the n</w:t>
      </w:r>
      <w:r w:rsidR="00C43F3B" w:rsidRPr="007479A4">
        <w:t xml:space="preserve">ational </w:t>
      </w:r>
      <w:r w:rsidR="00C43F3B">
        <w:t>p</w:t>
      </w:r>
      <w:r w:rsidR="00C43F3B" w:rsidRPr="007479A4">
        <w:t xml:space="preserve">hysical </w:t>
      </w:r>
      <w:r w:rsidR="00C43F3B">
        <w:t>a</w:t>
      </w:r>
      <w:r w:rsidR="00C43F3B" w:rsidRPr="007479A4">
        <w:t>ctivity guidelines</w:t>
      </w:r>
      <w:r w:rsidR="00C43F3B">
        <w:t>.</w:t>
      </w:r>
      <w:r w:rsidR="00C43F3B">
        <w:rPr>
          <w:rStyle w:val="FootnoteReference"/>
          <w:rFonts w:cs="Arial"/>
        </w:rPr>
        <w:footnoteReference w:id="107"/>
      </w:r>
      <w:r w:rsidR="008A2C1D">
        <w:t xml:space="preserve"> This observation aligns with new data from Cancer Council Australia that shows Australian students are almost a third </w:t>
      </w:r>
      <w:r w:rsidR="007B62F1">
        <w:t xml:space="preserve">less likely to walk or cycle to school than they were </w:t>
      </w:r>
      <w:r w:rsidR="00CE413B">
        <w:t xml:space="preserve">10 </w:t>
      </w:r>
      <w:r w:rsidR="007B62F1">
        <w:t>years ago.</w:t>
      </w:r>
      <w:r w:rsidR="00CD1209">
        <w:rPr>
          <w:rStyle w:val="FootnoteReference"/>
        </w:rPr>
        <w:footnoteReference w:id="108"/>
      </w:r>
      <w:r w:rsidR="009B17F6" w:rsidRPr="00A451D4">
        <w:br w:type="page"/>
      </w:r>
    </w:p>
    <w:p w14:paraId="2DF0EDC2" w14:textId="103895D1" w:rsidR="00784A70" w:rsidRPr="000144FD" w:rsidRDefault="00784A70" w:rsidP="00A451D4">
      <w:pPr>
        <w:pStyle w:val="Heading3"/>
        <w:rPr>
          <w:rStyle w:val="Heading3Char"/>
          <w:b/>
          <w:bCs/>
        </w:rPr>
      </w:pPr>
      <w:bookmarkStart w:id="550" w:name="_Measure_7.11_–"/>
      <w:bookmarkEnd w:id="550"/>
      <w:r w:rsidRPr="000144FD">
        <w:rPr>
          <w:rStyle w:val="Heading3Char"/>
          <w:b/>
          <w:bCs/>
        </w:rPr>
        <w:lastRenderedPageBreak/>
        <w:t>Measure 7.11 –</w:t>
      </w:r>
      <w:r w:rsidR="00782252" w:rsidRPr="000144FD">
        <w:rPr>
          <w:rStyle w:val="Heading3Char"/>
          <w:b/>
          <w:bCs/>
        </w:rPr>
        <w:t xml:space="preserve"> Proportion of children 5</w:t>
      </w:r>
      <w:r w:rsidR="00CA2AD7" w:rsidRPr="000144FD">
        <w:rPr>
          <w:rStyle w:val="Heading3Char"/>
          <w:b/>
          <w:bCs/>
        </w:rPr>
        <w:t>–</w:t>
      </w:r>
      <w:r w:rsidR="00782252" w:rsidRPr="000144FD">
        <w:rPr>
          <w:rStyle w:val="Heading3Char"/>
          <w:b/>
          <w:bCs/>
        </w:rPr>
        <w:t>12 years who are sufficiently physically active</w:t>
      </w:r>
    </w:p>
    <w:p w14:paraId="0EDDEE9E" w14:textId="10FA419F" w:rsidR="00454D19" w:rsidRDefault="004272A6" w:rsidP="0091523F">
      <w:pPr>
        <w:pStyle w:val="Figurecaption"/>
        <w:rPr>
          <w:sz w:val="20"/>
        </w:rPr>
      </w:pPr>
      <w:bookmarkStart w:id="551" w:name="_Toc19008083"/>
      <w:bookmarkStart w:id="552" w:name="_Toc19008316"/>
      <w:bookmarkStart w:id="553" w:name="_Toc19008463"/>
      <w:bookmarkStart w:id="554" w:name="_Toc19008610"/>
      <w:bookmarkStart w:id="555" w:name="_Toc132553040"/>
      <w:bookmarkStart w:id="556" w:name="_Toc140827651"/>
      <w:r w:rsidRPr="00CD1209">
        <w:rPr>
          <w:sz w:val="20"/>
        </w:rPr>
        <w:t>Figure 7.11</w:t>
      </w:r>
      <w:r w:rsidR="003B391F" w:rsidRPr="00CD1209">
        <w:rPr>
          <w:sz w:val="20"/>
        </w:rPr>
        <w:t>:</w:t>
      </w:r>
      <w:r w:rsidRPr="00CD1209">
        <w:rPr>
          <w:sz w:val="20"/>
        </w:rPr>
        <w:t xml:space="preserve"> Proportion of children </w:t>
      </w:r>
      <w:r w:rsidR="00461622" w:rsidRPr="00CD1209">
        <w:rPr>
          <w:sz w:val="20"/>
        </w:rPr>
        <w:t xml:space="preserve">aged </w:t>
      </w:r>
      <w:r w:rsidRPr="00CD1209">
        <w:rPr>
          <w:sz w:val="20"/>
        </w:rPr>
        <w:t>5</w:t>
      </w:r>
      <w:r w:rsidR="00CA2AD7" w:rsidRPr="00CD1209">
        <w:rPr>
          <w:sz w:val="20"/>
        </w:rPr>
        <w:t>–</w:t>
      </w:r>
      <w:r w:rsidRPr="00CD1209">
        <w:rPr>
          <w:sz w:val="20"/>
        </w:rPr>
        <w:t>12 years who are sufficiently physically active</w:t>
      </w:r>
      <w:r w:rsidR="00461622" w:rsidRPr="00CD1209">
        <w:rPr>
          <w:sz w:val="20"/>
        </w:rPr>
        <w:t>, 2013</w:t>
      </w:r>
      <w:r w:rsidR="00473514" w:rsidRPr="00CD1209">
        <w:rPr>
          <w:sz w:val="20"/>
        </w:rPr>
        <w:t>,</w:t>
      </w:r>
      <w:r w:rsidR="00461622" w:rsidRPr="00CD1209">
        <w:rPr>
          <w:sz w:val="20"/>
        </w:rPr>
        <w:t xml:space="preserve"> 2017</w:t>
      </w:r>
      <w:bookmarkEnd w:id="551"/>
      <w:bookmarkEnd w:id="552"/>
      <w:bookmarkEnd w:id="553"/>
      <w:bookmarkEnd w:id="554"/>
      <w:r w:rsidR="00D62B41">
        <w:rPr>
          <w:sz w:val="20"/>
        </w:rPr>
        <w:t xml:space="preserve">, </w:t>
      </w:r>
      <w:r w:rsidR="00473514" w:rsidRPr="00CD1209">
        <w:rPr>
          <w:sz w:val="20"/>
        </w:rPr>
        <w:t>2019</w:t>
      </w:r>
      <w:bookmarkEnd w:id="555"/>
      <w:r w:rsidR="00D62B41">
        <w:rPr>
          <w:sz w:val="20"/>
        </w:rPr>
        <w:t xml:space="preserve"> and 2021</w:t>
      </w:r>
      <w:bookmarkEnd w:id="556"/>
    </w:p>
    <w:p w14:paraId="18BA809F" w14:textId="63C3EFDA" w:rsidR="009D1BC7" w:rsidRPr="009D1BC7" w:rsidRDefault="00AD53E7" w:rsidP="00AD53E7">
      <w:pPr>
        <w:pStyle w:val="DHHSbody"/>
      </w:pPr>
      <w:r w:rsidRPr="00AD53E7">
        <w:rPr>
          <w:noProof/>
        </w:rPr>
        <w:drawing>
          <wp:inline distT="0" distB="0" distL="0" distR="0" wp14:anchorId="166A73E9" wp14:editId="1F2B8617">
            <wp:extent cx="5800725" cy="3249171"/>
            <wp:effectExtent l="0" t="0" r="0" b="8890"/>
            <wp:docPr id="1110205021" name="Picture 1110205021" descr="This figure presents data under the 'Measure 7.11 - Proportion of children aged 5 to 12 years who are sufficiently physically active'.  The data for this figure for 2013, 2017, 2019 and 2021 is available in this section - refer to Tabl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21" name="Picture 1110205021" descr="This figure presents data under the 'Measure 7.11 - Proportion of children aged 5 to 12 years who are sufficiently physically active'.  The data for this figure for 2013, 2017, 2019 and 2021 is available in this section - refer to Table 7.11."/>
                    <pic:cNvPicPr/>
                  </pic:nvPicPr>
                  <pic:blipFill>
                    <a:blip r:embed="rId96"/>
                    <a:stretch>
                      <a:fillRect/>
                    </a:stretch>
                  </pic:blipFill>
                  <pic:spPr>
                    <a:xfrm>
                      <a:off x="0" y="0"/>
                      <a:ext cx="5818947" cy="3259378"/>
                    </a:xfrm>
                    <a:prstGeom prst="rect">
                      <a:avLst/>
                    </a:prstGeom>
                  </pic:spPr>
                </pic:pic>
              </a:graphicData>
            </a:graphic>
          </wp:inline>
        </w:drawing>
      </w:r>
    </w:p>
    <w:p w14:paraId="2C14AA1E" w14:textId="429F9843" w:rsidR="00324E8B" w:rsidRPr="00CD1209" w:rsidRDefault="00324E8B" w:rsidP="00324E8B">
      <w:pPr>
        <w:pStyle w:val="Tablefigurenote"/>
        <w:rPr>
          <w:i/>
          <w:iCs/>
          <w:sz w:val="18"/>
          <w:szCs w:val="18"/>
        </w:rPr>
      </w:pPr>
      <w:r w:rsidRPr="00CD1209">
        <w:rPr>
          <w:i/>
          <w:iCs/>
          <w:sz w:val="18"/>
          <w:szCs w:val="18"/>
        </w:rPr>
        <w:t>Sources</w:t>
      </w:r>
      <w:r w:rsidRPr="00CD1209">
        <w:rPr>
          <w:i/>
          <w:iCs/>
          <w:color w:val="000000"/>
          <w:sz w:val="18"/>
          <w:szCs w:val="18"/>
        </w:rPr>
        <w:t xml:space="preserve">: </w:t>
      </w:r>
      <w:r w:rsidRPr="00CD1209">
        <w:rPr>
          <w:i/>
          <w:iCs/>
          <w:sz w:val="18"/>
          <w:szCs w:val="18"/>
        </w:rPr>
        <w:t>Victorian Child Health and Wellbeing Surveys 2013, 2017</w:t>
      </w:r>
      <w:r w:rsidR="00D62B41">
        <w:rPr>
          <w:i/>
          <w:iCs/>
          <w:sz w:val="18"/>
          <w:szCs w:val="18"/>
        </w:rPr>
        <w:t>,</w:t>
      </w:r>
      <w:r w:rsidRPr="00CD1209">
        <w:rPr>
          <w:i/>
          <w:iCs/>
          <w:sz w:val="18"/>
          <w:szCs w:val="18"/>
        </w:rPr>
        <w:t xml:space="preserve"> 2019 </w:t>
      </w:r>
      <w:r w:rsidR="00D62B41">
        <w:rPr>
          <w:i/>
          <w:iCs/>
          <w:sz w:val="18"/>
          <w:szCs w:val="18"/>
        </w:rPr>
        <w:t xml:space="preserve">and 2021 </w:t>
      </w:r>
      <w:r w:rsidRPr="00CD1209">
        <w:rPr>
          <w:i/>
          <w:iCs/>
          <w:sz w:val="18"/>
          <w:szCs w:val="18"/>
        </w:rPr>
        <w:t>http://www.education.vic.gov.au/about/research/Pages/vcamsindicator.aspx</w:t>
      </w:r>
    </w:p>
    <w:p w14:paraId="47592720" w14:textId="07395E94" w:rsidR="00633950" w:rsidRPr="00CD1209" w:rsidRDefault="005D05D2" w:rsidP="00660649">
      <w:pPr>
        <w:pStyle w:val="Tablefigurenote"/>
        <w:rPr>
          <w:i/>
          <w:iCs/>
          <w:sz w:val="18"/>
          <w:szCs w:val="18"/>
        </w:rPr>
      </w:pPr>
      <w:r w:rsidRPr="00CD1209">
        <w:rPr>
          <w:i/>
          <w:iCs/>
          <w:sz w:val="18"/>
          <w:szCs w:val="18"/>
        </w:rPr>
        <w:t>Note</w:t>
      </w:r>
      <w:r w:rsidR="00461622" w:rsidRPr="00CD1209">
        <w:rPr>
          <w:i/>
          <w:iCs/>
          <w:sz w:val="18"/>
          <w:szCs w:val="18"/>
        </w:rPr>
        <w:t>:</w:t>
      </w:r>
      <w:r w:rsidRPr="00CD1209">
        <w:rPr>
          <w:i/>
          <w:iCs/>
          <w:sz w:val="18"/>
          <w:szCs w:val="18"/>
        </w:rPr>
        <w:t xml:space="preserve"> </w:t>
      </w:r>
      <w:r w:rsidR="00461622" w:rsidRPr="00CD1209">
        <w:rPr>
          <w:i/>
          <w:iCs/>
          <w:sz w:val="18"/>
          <w:szCs w:val="18"/>
        </w:rPr>
        <w:t>I</w:t>
      </w:r>
      <w:r w:rsidRPr="00CD1209">
        <w:rPr>
          <w:i/>
          <w:iCs/>
          <w:sz w:val="18"/>
          <w:szCs w:val="18"/>
        </w:rPr>
        <w:t>n 2014 the definition of sufficient physical activity changed</w:t>
      </w:r>
      <w:r w:rsidR="00A81AB6" w:rsidRPr="00CD1209">
        <w:rPr>
          <w:i/>
          <w:iCs/>
          <w:sz w:val="18"/>
          <w:szCs w:val="18"/>
        </w:rPr>
        <w:t>.</w:t>
      </w:r>
    </w:p>
    <w:p w14:paraId="24C5E3DD" w14:textId="7FC82E99" w:rsidR="003A373B" w:rsidRPr="00CD1209" w:rsidRDefault="003A373B" w:rsidP="003A373B">
      <w:pPr>
        <w:pStyle w:val="Tablecaption"/>
        <w:rPr>
          <w:sz w:val="20"/>
        </w:rPr>
      </w:pPr>
      <w:bookmarkStart w:id="557" w:name="_Toc18908737"/>
      <w:bookmarkStart w:id="558" w:name="_Toc132491536"/>
      <w:bookmarkStart w:id="559" w:name="_Toc140834928"/>
      <w:r w:rsidRPr="00CD1209">
        <w:rPr>
          <w:sz w:val="20"/>
        </w:rPr>
        <w:t>Table 7.11</w:t>
      </w:r>
      <w:r w:rsidR="001F7E28" w:rsidRPr="00CD1209">
        <w:rPr>
          <w:sz w:val="20"/>
        </w:rPr>
        <w:t>:</w:t>
      </w:r>
      <w:r w:rsidRPr="00CD1209">
        <w:rPr>
          <w:i/>
          <w:sz w:val="20"/>
        </w:rPr>
        <w:t xml:space="preserve"> </w:t>
      </w:r>
      <w:r w:rsidRPr="00CD1209">
        <w:rPr>
          <w:sz w:val="20"/>
        </w:rPr>
        <w:t>Proportion of children aged 5–12 years who are sufficiently physically active, 2013</w:t>
      </w:r>
      <w:r w:rsidR="00473514" w:rsidRPr="00CD1209">
        <w:rPr>
          <w:sz w:val="20"/>
        </w:rPr>
        <w:t>,</w:t>
      </w:r>
      <w:r w:rsidRPr="00CD1209">
        <w:rPr>
          <w:sz w:val="20"/>
        </w:rPr>
        <w:t xml:space="preserve"> 2017</w:t>
      </w:r>
      <w:bookmarkEnd w:id="557"/>
      <w:r w:rsidR="00616F42">
        <w:rPr>
          <w:sz w:val="20"/>
        </w:rPr>
        <w:t xml:space="preserve">, </w:t>
      </w:r>
      <w:r w:rsidR="00473514" w:rsidRPr="00CD1209">
        <w:rPr>
          <w:sz w:val="20"/>
        </w:rPr>
        <w:t>2019</w:t>
      </w:r>
      <w:bookmarkEnd w:id="558"/>
      <w:r w:rsidR="00616F42">
        <w:rPr>
          <w:sz w:val="20"/>
        </w:rPr>
        <w:t xml:space="preserve"> and 2021</w:t>
      </w:r>
      <w:bookmarkEnd w:id="559"/>
    </w:p>
    <w:tbl>
      <w:tblPr>
        <w:tblW w:w="9085" w:type="dxa"/>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283"/>
        <w:gridCol w:w="1712"/>
        <w:gridCol w:w="281"/>
        <w:gridCol w:w="1825"/>
        <w:gridCol w:w="1684"/>
        <w:gridCol w:w="1300"/>
      </w:tblGrid>
      <w:tr w:rsidR="00D62B41" w:rsidRPr="00DB4F90" w14:paraId="6CF57B84" w14:textId="5DB0BFF2" w:rsidTr="00A81AA8">
        <w:trPr>
          <w:trHeight w:val="241"/>
        </w:trPr>
        <w:tc>
          <w:tcPr>
            <w:tcW w:w="2283" w:type="dxa"/>
            <w:shd w:val="clear" w:color="auto" w:fill="EDCDCF"/>
            <w:vAlign w:val="center"/>
          </w:tcPr>
          <w:p w14:paraId="2387FAD1" w14:textId="77777777" w:rsidR="00D62B41" w:rsidRPr="00DB4F90" w:rsidRDefault="00D62B41" w:rsidP="006A362C">
            <w:pPr>
              <w:pStyle w:val="Tablecolhead"/>
              <w:spacing w:before="0" w:after="120" w:line="270" w:lineRule="atLeast"/>
            </w:pPr>
            <w:r w:rsidRPr="00DB4F90">
              <w:t>Year</w:t>
            </w:r>
          </w:p>
        </w:tc>
        <w:tc>
          <w:tcPr>
            <w:tcW w:w="1993" w:type="dxa"/>
            <w:gridSpan w:val="2"/>
            <w:shd w:val="clear" w:color="auto" w:fill="EDCDCF"/>
            <w:vAlign w:val="center"/>
          </w:tcPr>
          <w:p w14:paraId="554C7823" w14:textId="394511C4" w:rsidR="00D62B41" w:rsidRPr="00DB4F90" w:rsidRDefault="00D62B41" w:rsidP="006A362C">
            <w:pPr>
              <w:pStyle w:val="Tablecolhead"/>
              <w:spacing w:before="0" w:after="120" w:line="270" w:lineRule="atLeast"/>
            </w:pPr>
            <w:r w:rsidRPr="00DB4F90">
              <w:t>201</w:t>
            </w:r>
            <w:r>
              <w:t>3</w:t>
            </w:r>
          </w:p>
        </w:tc>
        <w:tc>
          <w:tcPr>
            <w:tcW w:w="1825" w:type="dxa"/>
            <w:shd w:val="clear" w:color="auto" w:fill="EDCDCF"/>
            <w:vAlign w:val="center"/>
          </w:tcPr>
          <w:p w14:paraId="169F00FC" w14:textId="17CF6576" w:rsidR="00D62B41" w:rsidRPr="00DB4F90" w:rsidRDefault="00D62B41" w:rsidP="006A362C">
            <w:pPr>
              <w:pStyle w:val="Tablecolhead"/>
              <w:spacing w:before="0" w:after="120" w:line="270" w:lineRule="atLeast"/>
            </w:pPr>
            <w:r w:rsidRPr="00DB4F90">
              <w:t>201</w:t>
            </w:r>
            <w:r>
              <w:t>7</w:t>
            </w:r>
          </w:p>
        </w:tc>
        <w:tc>
          <w:tcPr>
            <w:tcW w:w="1684" w:type="dxa"/>
            <w:shd w:val="clear" w:color="auto" w:fill="EDCDCF"/>
          </w:tcPr>
          <w:p w14:paraId="29B39C7F" w14:textId="3266D648" w:rsidR="00D62B41" w:rsidRPr="00DB4F90" w:rsidRDefault="00D62B41" w:rsidP="006A362C">
            <w:pPr>
              <w:pStyle w:val="Tablecolhead"/>
              <w:spacing w:before="0" w:after="120" w:line="270" w:lineRule="atLeast"/>
            </w:pPr>
            <w:r w:rsidRPr="00F54049">
              <w:t>2019</w:t>
            </w:r>
          </w:p>
        </w:tc>
        <w:tc>
          <w:tcPr>
            <w:tcW w:w="1300" w:type="dxa"/>
            <w:shd w:val="clear" w:color="auto" w:fill="EDCDCF"/>
          </w:tcPr>
          <w:p w14:paraId="4CD3A811" w14:textId="4250EF96" w:rsidR="00D62B41" w:rsidRPr="00DB4F90" w:rsidRDefault="00D62B41" w:rsidP="006A362C">
            <w:pPr>
              <w:pStyle w:val="Tablecolhead"/>
              <w:spacing w:before="0" w:after="120" w:line="270" w:lineRule="atLeast"/>
            </w:pPr>
            <w:r>
              <w:t>2021</w:t>
            </w:r>
          </w:p>
        </w:tc>
      </w:tr>
      <w:tr w:rsidR="00D62B41" w:rsidRPr="0069114D" w14:paraId="44BD3FD6" w14:textId="6AF75D2A" w:rsidTr="00A81AA8">
        <w:trPr>
          <w:trHeight w:val="241"/>
        </w:trPr>
        <w:tc>
          <w:tcPr>
            <w:tcW w:w="2283" w:type="dxa"/>
            <w:shd w:val="clear" w:color="auto" w:fill="auto"/>
            <w:vAlign w:val="center"/>
          </w:tcPr>
          <w:p w14:paraId="20906B18" w14:textId="77777777" w:rsidR="00D62B41" w:rsidRPr="005E739D" w:rsidRDefault="00D62B41" w:rsidP="006A362C">
            <w:pPr>
              <w:pStyle w:val="Tabletext"/>
              <w:spacing w:before="0" w:after="120" w:line="270" w:lineRule="atLeast"/>
            </w:pPr>
            <w:r>
              <w:t>Per cent (%)</w:t>
            </w:r>
          </w:p>
        </w:tc>
        <w:tc>
          <w:tcPr>
            <w:tcW w:w="1712" w:type="dxa"/>
            <w:shd w:val="clear" w:color="auto" w:fill="auto"/>
            <w:vAlign w:val="center"/>
          </w:tcPr>
          <w:p w14:paraId="5F69402C" w14:textId="4B9688F1" w:rsidR="00D62B41" w:rsidRPr="0069114D" w:rsidRDefault="00D62B41" w:rsidP="006A362C">
            <w:pPr>
              <w:pStyle w:val="Tabletext"/>
              <w:spacing w:before="0" w:after="120" w:line="270" w:lineRule="atLeast"/>
            </w:pPr>
            <w:r>
              <w:t>62.2</w:t>
            </w:r>
          </w:p>
        </w:tc>
        <w:tc>
          <w:tcPr>
            <w:tcW w:w="281" w:type="dxa"/>
          </w:tcPr>
          <w:p w14:paraId="63CFCA9F" w14:textId="77777777" w:rsidR="00D62B41" w:rsidRPr="0069114D" w:rsidRDefault="00D62B41" w:rsidP="006A362C">
            <w:pPr>
              <w:pStyle w:val="Tabletext"/>
              <w:spacing w:before="0" w:after="120" w:line="270" w:lineRule="atLeast"/>
            </w:pPr>
          </w:p>
        </w:tc>
        <w:tc>
          <w:tcPr>
            <w:tcW w:w="1825" w:type="dxa"/>
            <w:shd w:val="clear" w:color="auto" w:fill="auto"/>
            <w:vAlign w:val="center"/>
          </w:tcPr>
          <w:p w14:paraId="6AA7DC59" w14:textId="3C60A06A" w:rsidR="00D62B41" w:rsidRPr="0069114D" w:rsidRDefault="00D62B41" w:rsidP="006A362C">
            <w:pPr>
              <w:pStyle w:val="Tabletext"/>
              <w:spacing w:before="0" w:after="120" w:line="270" w:lineRule="atLeast"/>
            </w:pPr>
            <w:r>
              <w:t>59.4</w:t>
            </w:r>
          </w:p>
        </w:tc>
        <w:tc>
          <w:tcPr>
            <w:tcW w:w="1684" w:type="dxa"/>
          </w:tcPr>
          <w:p w14:paraId="6BD4795C" w14:textId="2F125DCD" w:rsidR="00D62B41" w:rsidRDefault="00D62B41" w:rsidP="006A362C">
            <w:pPr>
              <w:pStyle w:val="Tabletext"/>
              <w:spacing w:before="0" w:after="120" w:line="270" w:lineRule="atLeast"/>
            </w:pPr>
            <w:r>
              <w:t>51.8</w:t>
            </w:r>
          </w:p>
        </w:tc>
        <w:tc>
          <w:tcPr>
            <w:tcW w:w="1300" w:type="dxa"/>
          </w:tcPr>
          <w:p w14:paraId="28EE9F5F" w14:textId="1C8F5422" w:rsidR="00D62B41" w:rsidRDefault="00D62B41" w:rsidP="006A362C">
            <w:pPr>
              <w:pStyle w:val="Tabletext"/>
              <w:spacing w:before="0" w:after="120" w:line="270" w:lineRule="atLeast"/>
            </w:pPr>
            <w:r>
              <w:t>47.3</w:t>
            </w:r>
          </w:p>
        </w:tc>
      </w:tr>
      <w:tr w:rsidR="00D62B41" w:rsidRPr="0069114D" w14:paraId="169FD211" w14:textId="3A6542BD" w:rsidTr="00A81AA8">
        <w:trPr>
          <w:trHeight w:val="241"/>
        </w:trPr>
        <w:tc>
          <w:tcPr>
            <w:tcW w:w="2283" w:type="dxa"/>
            <w:shd w:val="clear" w:color="auto" w:fill="auto"/>
            <w:vAlign w:val="center"/>
          </w:tcPr>
          <w:p w14:paraId="2B46D819" w14:textId="77777777" w:rsidR="00D62B41" w:rsidRDefault="00D62B41" w:rsidP="006A362C">
            <w:pPr>
              <w:pStyle w:val="Tabletext"/>
              <w:spacing w:before="0" w:after="120"/>
            </w:pPr>
            <w:r>
              <w:t>95% CI</w:t>
            </w:r>
          </w:p>
        </w:tc>
        <w:tc>
          <w:tcPr>
            <w:tcW w:w="1712" w:type="dxa"/>
            <w:shd w:val="clear" w:color="auto" w:fill="auto"/>
            <w:vAlign w:val="center"/>
          </w:tcPr>
          <w:p w14:paraId="57DD0B60" w14:textId="29C20D27" w:rsidR="00D62B41" w:rsidRPr="0069114D" w:rsidRDefault="00D62B41" w:rsidP="006A362C">
            <w:pPr>
              <w:pStyle w:val="Tabletext"/>
              <w:spacing w:before="0" w:after="120"/>
            </w:pPr>
            <w:r w:rsidRPr="0069114D">
              <w:t>(</w:t>
            </w:r>
            <w:r>
              <w:t>60.6–63.8</w:t>
            </w:r>
            <w:r w:rsidRPr="0069114D">
              <w:t>)</w:t>
            </w:r>
          </w:p>
        </w:tc>
        <w:tc>
          <w:tcPr>
            <w:tcW w:w="281" w:type="dxa"/>
          </w:tcPr>
          <w:p w14:paraId="560A48FA" w14:textId="77777777" w:rsidR="00D62B41" w:rsidRPr="0069114D" w:rsidRDefault="00D62B41" w:rsidP="006A362C">
            <w:pPr>
              <w:pStyle w:val="Tabletext"/>
              <w:spacing w:before="0" w:after="120"/>
            </w:pPr>
          </w:p>
        </w:tc>
        <w:tc>
          <w:tcPr>
            <w:tcW w:w="1825" w:type="dxa"/>
            <w:shd w:val="clear" w:color="auto" w:fill="auto"/>
            <w:vAlign w:val="center"/>
          </w:tcPr>
          <w:p w14:paraId="512BC134" w14:textId="1DEF4219" w:rsidR="00D62B41" w:rsidRPr="0069114D" w:rsidRDefault="00D62B41" w:rsidP="006A362C">
            <w:pPr>
              <w:pStyle w:val="Tabletext"/>
              <w:spacing w:before="0" w:after="120"/>
            </w:pPr>
            <w:r w:rsidRPr="0069114D">
              <w:t>(</w:t>
            </w:r>
            <w:r>
              <w:t>56.4–62.3</w:t>
            </w:r>
            <w:r w:rsidRPr="0069114D">
              <w:t>)</w:t>
            </w:r>
          </w:p>
        </w:tc>
        <w:tc>
          <w:tcPr>
            <w:tcW w:w="1684" w:type="dxa"/>
          </w:tcPr>
          <w:p w14:paraId="46B5B263" w14:textId="7D337FE1" w:rsidR="00D62B41" w:rsidRPr="0069114D" w:rsidRDefault="00D62B41" w:rsidP="006A362C">
            <w:pPr>
              <w:pStyle w:val="Tabletext"/>
              <w:spacing w:before="0" w:after="120"/>
            </w:pPr>
            <w:r>
              <w:t>(49.7–53.8)</w:t>
            </w:r>
          </w:p>
        </w:tc>
        <w:tc>
          <w:tcPr>
            <w:tcW w:w="1300" w:type="dxa"/>
          </w:tcPr>
          <w:p w14:paraId="68AE2678" w14:textId="7FDEE850" w:rsidR="00D62B41" w:rsidRPr="0069114D" w:rsidRDefault="00D62B41" w:rsidP="006A362C">
            <w:pPr>
              <w:pStyle w:val="Tabletext"/>
              <w:spacing w:before="0" w:after="120"/>
            </w:pPr>
            <w:r>
              <w:t>(45.3–49.1)</w:t>
            </w:r>
          </w:p>
        </w:tc>
      </w:tr>
    </w:tbl>
    <w:p w14:paraId="30E75AC3" w14:textId="2B16D48A" w:rsidR="00454D19" w:rsidRPr="00327ACC" w:rsidRDefault="00454D19" w:rsidP="007C7F00">
      <w:pPr>
        <w:pStyle w:val="Heading4"/>
      </w:pPr>
      <w:r w:rsidRPr="00590D2B">
        <w:t>Measure assessment</w:t>
      </w:r>
    </w:p>
    <w:p w14:paraId="30895E7C" w14:textId="539E90C8" w:rsidR="0097280A" w:rsidRPr="00CF6F8C" w:rsidRDefault="00454D19" w:rsidP="00606436">
      <w:pPr>
        <w:pStyle w:val="Body"/>
      </w:pPr>
      <w:r w:rsidRPr="0097280A">
        <w:t>Traffic light rating:</w:t>
      </w:r>
      <w:r w:rsidRPr="00B504AD">
        <w:rPr>
          <w:color w:val="AF272F"/>
        </w:rPr>
        <w:t xml:space="preserve"> </w:t>
      </w:r>
      <w:r w:rsidR="00870818" w:rsidRPr="00B504AD">
        <w:rPr>
          <w:b/>
          <w:color w:val="AF272F"/>
        </w:rPr>
        <w:t>Red</w:t>
      </w:r>
      <w:r w:rsidR="00320DEB" w:rsidRPr="00B504AD">
        <w:rPr>
          <w:b/>
          <w:color w:val="AF272F"/>
        </w:rPr>
        <w:t xml:space="preserve"> </w:t>
      </w:r>
      <w:r w:rsidR="00320DEB" w:rsidRPr="00CF6F8C">
        <w:t>(result is of concern)</w:t>
      </w:r>
    </w:p>
    <w:p w14:paraId="10082656" w14:textId="77777777" w:rsidR="00454D19" w:rsidRDefault="00327ACC" w:rsidP="00E87AAA">
      <w:pPr>
        <w:pStyle w:val="Body"/>
      </w:pPr>
      <w:r>
        <w:t>Overall trend</w:t>
      </w:r>
      <w:r w:rsidR="00870818">
        <w:t>: Not moving in the right direction</w:t>
      </w:r>
    </w:p>
    <w:p w14:paraId="511D8812" w14:textId="77777777" w:rsidR="00D34318" w:rsidRDefault="00454D19" w:rsidP="00E87AAA">
      <w:pPr>
        <w:pStyle w:val="Body"/>
      </w:pPr>
      <w:r>
        <w:t>Commentary:</w:t>
      </w:r>
      <w:r w:rsidR="00952FC7">
        <w:t xml:space="preserve"> </w:t>
      </w:r>
      <w:r w:rsidR="000805D1">
        <w:t>As noted under Measure 7.10</w:t>
      </w:r>
      <w:r w:rsidR="00FE18EE">
        <w:t>,</w:t>
      </w:r>
      <w:r w:rsidR="000805D1">
        <w:t xml:space="preserve"> c</w:t>
      </w:r>
      <w:r w:rsidR="00F51A0E">
        <w:t>hildren and adolescents who are physically active have better mental, cardio-metabolic and musculoskeletal health and are less likely to gain weight</w:t>
      </w:r>
      <w:r w:rsidR="00784E3C">
        <w:t>, the latter being a risk factor for developing cancer later in life.</w:t>
      </w:r>
    </w:p>
    <w:p w14:paraId="6177A3D2" w14:textId="586AFF2D" w:rsidR="00784A70" w:rsidRPr="00D34318" w:rsidRDefault="00FE006F" w:rsidP="004F34D1">
      <w:pPr>
        <w:pStyle w:val="Body"/>
        <w:rPr>
          <w:rStyle w:val="Heading2Char"/>
          <w:lang w:eastAsia="en-AU"/>
        </w:rPr>
      </w:pPr>
      <w:r w:rsidRPr="00E87AAA">
        <w:rPr>
          <w:rStyle w:val="BodyChar"/>
        </w:rPr>
        <w:t>A target has not been set for this measure</w:t>
      </w:r>
      <w:r w:rsidR="00A81AB6" w:rsidRPr="00E87AAA">
        <w:rPr>
          <w:rStyle w:val="BodyChar"/>
        </w:rPr>
        <w:t>;</w:t>
      </w:r>
      <w:r w:rsidRPr="00E87AAA">
        <w:rPr>
          <w:rStyle w:val="BodyChar"/>
        </w:rPr>
        <w:t xml:space="preserve"> however, </w:t>
      </w:r>
      <w:r w:rsidR="00324E8B">
        <w:rPr>
          <w:rStyle w:val="BodyChar"/>
        </w:rPr>
        <w:t>more than</w:t>
      </w:r>
      <w:r w:rsidR="00324E8B" w:rsidRPr="00E87AAA">
        <w:rPr>
          <w:rStyle w:val="BodyChar"/>
        </w:rPr>
        <w:t xml:space="preserve"> </w:t>
      </w:r>
      <w:r w:rsidR="00A81AA8">
        <w:rPr>
          <w:rStyle w:val="BodyChar"/>
        </w:rPr>
        <w:t>5</w:t>
      </w:r>
      <w:r w:rsidR="00FE18EE" w:rsidRPr="00E87AAA">
        <w:rPr>
          <w:rStyle w:val="BodyChar"/>
        </w:rPr>
        <w:t>0</w:t>
      </w:r>
      <w:r w:rsidR="0054537F">
        <w:rPr>
          <w:rStyle w:val="BodyChar"/>
        </w:rPr>
        <w:t>%</w:t>
      </w:r>
      <w:r w:rsidR="00FE18EE" w:rsidRPr="00E87AAA">
        <w:rPr>
          <w:rStyle w:val="BodyChar"/>
        </w:rPr>
        <w:t xml:space="preserve"> of children are in</w:t>
      </w:r>
      <w:r w:rsidR="00F51A0E" w:rsidRPr="00E87AAA">
        <w:rPr>
          <w:rStyle w:val="BodyChar"/>
        </w:rPr>
        <w:t>sufficiently physically active according to the most recent data</w:t>
      </w:r>
      <w:r w:rsidR="00FE6785" w:rsidRPr="00E87AAA">
        <w:rPr>
          <w:rStyle w:val="BodyChar"/>
        </w:rPr>
        <w:t xml:space="preserve"> (20</w:t>
      </w:r>
      <w:r w:rsidR="00A81AA8">
        <w:rPr>
          <w:rStyle w:val="BodyChar"/>
        </w:rPr>
        <w:t>21</w:t>
      </w:r>
      <w:r w:rsidR="00FE6785" w:rsidRPr="00E87AAA">
        <w:rPr>
          <w:rStyle w:val="BodyChar"/>
        </w:rPr>
        <w:t>)</w:t>
      </w:r>
      <w:r w:rsidR="00633950" w:rsidRPr="00E87AAA">
        <w:rPr>
          <w:rStyle w:val="BodyChar"/>
        </w:rPr>
        <w:t xml:space="preserve"> (Figure 7.11</w:t>
      </w:r>
      <w:r w:rsidR="00F95FC6" w:rsidRPr="00E87AAA">
        <w:rPr>
          <w:rStyle w:val="BodyChar"/>
        </w:rPr>
        <w:t xml:space="preserve"> and Table 7.11</w:t>
      </w:r>
      <w:r w:rsidR="00633950" w:rsidRPr="00E87AAA">
        <w:rPr>
          <w:rStyle w:val="BodyChar"/>
        </w:rPr>
        <w:t>)</w:t>
      </w:r>
      <w:r w:rsidR="00F51A0E" w:rsidRPr="00E87AAA">
        <w:rPr>
          <w:rStyle w:val="BodyChar"/>
        </w:rPr>
        <w:t>.</w:t>
      </w:r>
      <w:r w:rsidR="00952FC7" w:rsidRPr="0091523F">
        <w:rPr>
          <w:lang w:eastAsia="en-AU"/>
        </w:rPr>
        <w:t xml:space="preserve"> </w:t>
      </w:r>
      <w:r w:rsidR="008E768B">
        <w:rPr>
          <w:lang w:eastAsia="en-AU"/>
        </w:rPr>
        <w:br w:type="page"/>
      </w:r>
      <w:r w:rsidR="0028681D" w:rsidRPr="00D34318">
        <w:rPr>
          <w:rStyle w:val="Heading2Char"/>
        </w:rPr>
        <w:lastRenderedPageBreak/>
        <w:t>Key result: Decrease obesity</w:t>
      </w:r>
    </w:p>
    <w:p w14:paraId="45D48D2D" w14:textId="77777777" w:rsidR="00AF17C0" w:rsidRPr="003E6A0B" w:rsidRDefault="0028681D" w:rsidP="00A451D4">
      <w:pPr>
        <w:pStyle w:val="Heading3"/>
        <w:rPr>
          <w:b/>
          <w:bCs w:val="0"/>
          <w:noProof/>
        </w:rPr>
      </w:pPr>
      <w:bookmarkStart w:id="560" w:name="_Measure_8.1_–"/>
      <w:bookmarkStart w:id="561" w:name="_Toc19008084"/>
      <w:bookmarkEnd w:id="560"/>
      <w:r w:rsidRPr="003E6A0B">
        <w:rPr>
          <w:b/>
          <w:bCs w:val="0"/>
        </w:rPr>
        <w:t>Measure 8.1 –</w:t>
      </w:r>
      <w:r w:rsidR="005940FC" w:rsidRPr="003E6A0B">
        <w:rPr>
          <w:b/>
          <w:bCs w:val="0"/>
        </w:rPr>
        <w:t xml:space="preserve"> </w:t>
      </w:r>
      <w:bookmarkStart w:id="562" w:name="_Hlk111621694"/>
      <w:r w:rsidR="005940FC" w:rsidRPr="003E6A0B">
        <w:rPr>
          <w:b/>
          <w:bCs w:val="0"/>
        </w:rPr>
        <w:t>Proportion of adults who are overweight or obese (measured)</w:t>
      </w:r>
      <w:bookmarkEnd w:id="561"/>
      <w:r w:rsidR="009C23A9" w:rsidRPr="003E6A0B">
        <w:rPr>
          <w:b/>
          <w:bCs w:val="0"/>
          <w:noProof/>
        </w:rPr>
        <w:t xml:space="preserve"> </w:t>
      </w:r>
    </w:p>
    <w:p w14:paraId="10833005" w14:textId="6B6B6225" w:rsidR="00F0600F" w:rsidRPr="00CD1209" w:rsidRDefault="005760EB" w:rsidP="00F54049">
      <w:pPr>
        <w:pStyle w:val="Figurecaption"/>
        <w:rPr>
          <w:noProof/>
          <w:sz w:val="20"/>
        </w:rPr>
      </w:pPr>
      <w:bookmarkStart w:id="563" w:name="_Toc19008085"/>
      <w:bookmarkStart w:id="564" w:name="_Toc19008317"/>
      <w:bookmarkStart w:id="565" w:name="_Toc19008464"/>
      <w:bookmarkStart w:id="566" w:name="_Toc19008611"/>
      <w:bookmarkStart w:id="567" w:name="_Toc132553041"/>
      <w:bookmarkStart w:id="568" w:name="_Toc140827652"/>
      <w:bookmarkEnd w:id="562"/>
      <w:r w:rsidRPr="76BE792E">
        <w:rPr>
          <w:sz w:val="20"/>
        </w:rPr>
        <w:t>Figure 8.1</w:t>
      </w:r>
      <w:r w:rsidR="003B391F" w:rsidRPr="76BE792E">
        <w:rPr>
          <w:sz w:val="20"/>
        </w:rPr>
        <w:t>:</w:t>
      </w:r>
      <w:r w:rsidRPr="76BE792E">
        <w:rPr>
          <w:sz w:val="20"/>
        </w:rPr>
        <w:t xml:space="preserve"> </w:t>
      </w:r>
      <w:r w:rsidR="009357A5" w:rsidRPr="76BE792E">
        <w:rPr>
          <w:sz w:val="20"/>
        </w:rPr>
        <w:t>Proportion of o</w:t>
      </w:r>
      <w:r w:rsidRPr="76BE792E">
        <w:rPr>
          <w:sz w:val="20"/>
        </w:rPr>
        <w:t xml:space="preserve">verweight </w:t>
      </w:r>
      <w:r w:rsidR="006C47C1" w:rsidRPr="76BE792E">
        <w:rPr>
          <w:sz w:val="20"/>
        </w:rPr>
        <w:t>or obese</w:t>
      </w:r>
      <w:r w:rsidR="004272A6" w:rsidRPr="76BE792E">
        <w:rPr>
          <w:sz w:val="20"/>
        </w:rPr>
        <w:t xml:space="preserve"> among OECD adults</w:t>
      </w:r>
      <w:r w:rsidR="0015670E" w:rsidRPr="76BE792E">
        <w:rPr>
          <w:sz w:val="20"/>
        </w:rPr>
        <w:t xml:space="preserve"> (aged 15 </w:t>
      </w:r>
      <w:r w:rsidR="00CA2AD7" w:rsidRPr="76BE792E">
        <w:rPr>
          <w:sz w:val="20"/>
        </w:rPr>
        <w:t>or older</w:t>
      </w:r>
      <w:r w:rsidR="0015670E" w:rsidRPr="76BE792E">
        <w:rPr>
          <w:sz w:val="20"/>
        </w:rPr>
        <w:t>)</w:t>
      </w:r>
      <w:r w:rsidR="004272A6" w:rsidRPr="76BE792E">
        <w:rPr>
          <w:sz w:val="20"/>
        </w:rPr>
        <w:t>, 2</w:t>
      </w:r>
      <w:r w:rsidR="000B7BAB" w:rsidRPr="76BE792E">
        <w:rPr>
          <w:sz w:val="20"/>
        </w:rPr>
        <w:t>017</w:t>
      </w:r>
      <w:r w:rsidR="004272A6" w:rsidRPr="76BE792E">
        <w:rPr>
          <w:sz w:val="20"/>
        </w:rPr>
        <w:t xml:space="preserve"> (or nearest year)</w:t>
      </w:r>
      <w:r w:rsidR="004272A6" w:rsidRPr="76BE792E">
        <w:rPr>
          <w:rStyle w:val="FootnoteReference"/>
          <w:b w:val="0"/>
          <w:sz w:val="20"/>
          <w:lang w:eastAsia="en-AU"/>
        </w:rPr>
        <w:footnoteReference w:id="109"/>
      </w:r>
      <w:bookmarkEnd w:id="563"/>
      <w:bookmarkEnd w:id="564"/>
      <w:bookmarkEnd w:id="565"/>
      <w:bookmarkEnd w:id="566"/>
      <w:bookmarkEnd w:id="567"/>
      <w:bookmarkEnd w:id="568"/>
      <w:r w:rsidR="004151B2" w:rsidRPr="76BE792E">
        <w:rPr>
          <w:noProof/>
          <w:sz w:val="20"/>
        </w:rPr>
        <w:t xml:space="preserve"> </w:t>
      </w:r>
    </w:p>
    <w:p w14:paraId="71032B7C" w14:textId="370BFF91" w:rsidR="005C3C42" w:rsidRPr="005C3C42" w:rsidRDefault="0024329C" w:rsidP="00E87AAA">
      <w:pPr>
        <w:pStyle w:val="Body"/>
      </w:pPr>
      <w:r>
        <w:rPr>
          <w:noProof/>
        </w:rPr>
        <mc:AlternateContent>
          <mc:Choice Requires="wps">
            <w:drawing>
              <wp:anchor distT="45720" distB="45720" distL="114300" distR="114300" simplePos="0" relativeHeight="252003328" behindDoc="0" locked="0" layoutInCell="1" allowOverlap="1" wp14:anchorId="0D4E91AA" wp14:editId="3E2D7988">
                <wp:simplePos x="0" y="0"/>
                <wp:positionH relativeFrom="margin">
                  <wp:posOffset>323506</wp:posOffset>
                </wp:positionH>
                <wp:positionV relativeFrom="paragraph">
                  <wp:posOffset>39061</wp:posOffset>
                </wp:positionV>
                <wp:extent cx="2622721" cy="1404620"/>
                <wp:effectExtent l="0" t="0" r="0" b="1270"/>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721" cy="1404620"/>
                        </a:xfrm>
                        <a:prstGeom prst="rect">
                          <a:avLst/>
                        </a:prstGeom>
                        <a:noFill/>
                        <a:ln w="9525">
                          <a:noFill/>
                          <a:miter lim="800000"/>
                          <a:headEnd/>
                          <a:tailEnd/>
                        </a:ln>
                      </wps:spPr>
                      <wps:txbx>
                        <w:txbxContent>
                          <w:p w14:paraId="4A044A1C" w14:textId="6F2D78D0" w:rsidR="00F0600F" w:rsidRPr="00F0600F" w:rsidRDefault="00F0600F">
                            <w:pPr>
                              <w:rPr>
                                <w:rFonts w:ascii="Arial" w:hAnsi="Arial" w:cs="Arial"/>
                                <w:b/>
                                <w:bCs/>
                              </w:rPr>
                            </w:pPr>
                            <w:r w:rsidRPr="00F0600F">
                              <w:rPr>
                                <w:rFonts w:ascii="Arial" w:hAnsi="Arial" w:cs="Arial"/>
                                <w:b/>
                                <w:bCs/>
                              </w:rPr>
                              <w:t xml:space="preserve">% of population aged 15 years </w:t>
                            </w:r>
                            <w:r w:rsidR="003B00B7">
                              <w:rPr>
                                <w:rFonts w:ascii="Arial" w:hAnsi="Arial" w:cs="Arial"/>
                                <w:b/>
                                <w:bCs/>
                              </w:rPr>
                              <w:t>or older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4E91AA" id="_x0000_s1040" type="#_x0000_t202" style="position:absolute;margin-left:25.45pt;margin-top:3.1pt;width:206.5pt;height:110.6pt;z-index:2520033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" filled="f" stroked="f">
                <v:textbox style="mso-fit-shape-to-text:t">
                  <w:txbxContent>
                    <w:p w14:paraId="4A044A1C" w14:textId="6F2D78D0" w:rsidR="00F0600F" w:rsidRPr="00F0600F" w:rsidRDefault="00F0600F">
                      <w:pPr>
                        <w:rPr>
                          <w:rFonts w:ascii="Arial" w:hAnsi="Arial" w:cs="Arial"/>
                          <w:b/>
                          <w:bCs/>
                        </w:rPr>
                      </w:pPr>
                      <w:r w:rsidRPr="00F0600F">
                        <w:rPr>
                          <w:rFonts w:ascii="Arial" w:hAnsi="Arial" w:cs="Arial"/>
                          <w:b/>
                          <w:bCs/>
                        </w:rPr>
                        <w:t xml:space="preserve">% of population aged 15 years </w:t>
                      </w:r>
                      <w:r w:rsidR="003B00B7">
                        <w:rPr>
                          <w:rFonts w:ascii="Arial" w:hAnsi="Arial" w:cs="Arial"/>
                          <w:b/>
                          <w:bCs/>
                        </w:rPr>
                        <w:t>or older</w:t>
                      </w:r>
                    </w:p>
                  </w:txbxContent>
                </v:textbox>
                <w10:wrap anchorx="margin"/>
              </v:shape>
            </w:pict>
          </mc:Fallback>
        </mc:AlternateContent>
      </w:r>
      <w:r w:rsidR="00711C2C">
        <w:rPr>
          <w:noProof/>
        </w:rPr>
        <w:drawing>
          <wp:inline distT="0" distB="0" distL="0" distR="0" wp14:anchorId="5562F51E" wp14:editId="2CFFF4DB">
            <wp:extent cx="5962918" cy="2990713"/>
            <wp:effectExtent l="0" t="0" r="0" b="635"/>
            <wp:docPr id="60" name="Picture 1" descr="This figure sits under the section 'Measure 8.1 - Proportion of adults who are overweight or obese (measured)' and shows the proportion of overweight (including obesity) adult population (15 years and over) of OECD countries by gender for 2017.  The data is available from the OECD website: OECD 2021, Overweight or obese indicator 2017 (or nearest year). In: Health at a glance 2021: OECD Publishing, Paris.">
              <a:extLst xmlns:a="http://schemas.openxmlformats.org/drawingml/2006/main">
                <a:ext uri="{FF2B5EF4-FFF2-40B4-BE49-F238E27FC236}">
                  <a16:creationId xmlns:a16="http://schemas.microsoft.com/office/drawing/2014/main" id="{3B2AE9FC-B2A4-4D98-AEE1-694120DC08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 descr="This figure sits under the section 'Measure 8.1 - Proportion of adults who are overweight or obese (measured)' and shows the proportion of overweight (including obesity) adult population (15 years and over) of OECD countries by gender for 2017.  The data is available from the OECD website: OECD 2021, Overweight or obese indicator 2017 (or nearest year). In: Health at a glance 2021: OECD Publishing, Paris.">
                      <a:extLst>
                        <a:ext uri="{FF2B5EF4-FFF2-40B4-BE49-F238E27FC236}">
                          <a16:creationId xmlns:a16="http://schemas.microsoft.com/office/drawing/2014/main" id="{3B2AE9FC-B2A4-4D98-AEE1-694120DC089A}"/>
                        </a:ext>
                      </a:extLst>
                    </pic:cNvPr>
                    <pic:cNvPicPr>
                      <a:picLocks noChangeAspect="1"/>
                    </pic:cNvPicPr>
                  </pic:nvPicPr>
                  <pic:blipFill>
                    <a:blip r:embed="rId97"/>
                    <a:stretch>
                      <a:fillRect/>
                    </a:stretch>
                  </pic:blipFill>
                  <pic:spPr>
                    <a:xfrm>
                      <a:off x="0" y="0"/>
                      <a:ext cx="5994844" cy="3006726"/>
                    </a:xfrm>
                    <a:prstGeom prst="rect">
                      <a:avLst/>
                    </a:prstGeom>
                  </pic:spPr>
                </pic:pic>
              </a:graphicData>
            </a:graphic>
          </wp:inline>
        </w:drawing>
      </w:r>
    </w:p>
    <w:p w14:paraId="11A9F4B7" w14:textId="49D1C4AF" w:rsidR="00963A2F" w:rsidRPr="00CD1209" w:rsidRDefault="005760EB" w:rsidP="00660649">
      <w:pPr>
        <w:pStyle w:val="Tablefigurenote"/>
        <w:rPr>
          <w:i/>
          <w:iCs/>
          <w:sz w:val="18"/>
          <w:szCs w:val="18"/>
        </w:rPr>
      </w:pPr>
      <w:r w:rsidRPr="00CD1209">
        <w:rPr>
          <w:i/>
          <w:iCs/>
          <w:sz w:val="18"/>
          <w:szCs w:val="18"/>
        </w:rPr>
        <w:t xml:space="preserve">Source: </w:t>
      </w:r>
      <w:r w:rsidR="00632BFA" w:rsidRPr="00CD1209">
        <w:rPr>
          <w:i/>
          <w:iCs/>
          <w:sz w:val="18"/>
          <w:szCs w:val="18"/>
        </w:rPr>
        <w:t>OECD (2022), Overweight or obese population (indicator)</w:t>
      </w:r>
    </w:p>
    <w:p w14:paraId="5BB55F4E" w14:textId="48C2602C" w:rsidR="00241D7B" w:rsidRPr="00CD1209" w:rsidRDefault="00241D7B" w:rsidP="00660649">
      <w:pPr>
        <w:pStyle w:val="Tablefigurenote"/>
        <w:rPr>
          <w:i/>
          <w:iCs/>
          <w:sz w:val="18"/>
          <w:szCs w:val="18"/>
        </w:rPr>
      </w:pPr>
      <w:r w:rsidRPr="00CD1209">
        <w:rPr>
          <w:i/>
          <w:iCs/>
          <w:sz w:val="18"/>
          <w:szCs w:val="18"/>
        </w:rPr>
        <w:t>Notes</w:t>
      </w:r>
      <w:r w:rsidR="007A75E9" w:rsidRPr="00CD1209">
        <w:rPr>
          <w:i/>
          <w:iCs/>
          <w:sz w:val="18"/>
          <w:szCs w:val="18"/>
        </w:rPr>
        <w:t>:</w:t>
      </w:r>
    </w:p>
    <w:p w14:paraId="21C629EF" w14:textId="07603369" w:rsidR="00324E8B" w:rsidRPr="00CD1209" w:rsidRDefault="00241D7B" w:rsidP="00324E8B">
      <w:pPr>
        <w:pStyle w:val="Tablefigurenote"/>
        <w:rPr>
          <w:i/>
          <w:iCs/>
          <w:sz w:val="18"/>
          <w:szCs w:val="18"/>
        </w:rPr>
      </w:pPr>
      <w:r w:rsidRPr="00CD1209">
        <w:rPr>
          <w:i/>
          <w:iCs/>
          <w:sz w:val="18"/>
          <w:szCs w:val="18"/>
        </w:rPr>
        <w:t xml:space="preserve">It is important to note that international trends cannot be compared with Australian national data </w:t>
      </w:r>
      <w:r w:rsidR="00324E8B" w:rsidRPr="00CD1209">
        <w:rPr>
          <w:i/>
          <w:iCs/>
          <w:sz w:val="18"/>
          <w:szCs w:val="18"/>
        </w:rPr>
        <w:t xml:space="preserve">because </w:t>
      </w:r>
      <w:r w:rsidRPr="00CD1209">
        <w:rPr>
          <w:i/>
          <w:iCs/>
          <w:sz w:val="18"/>
          <w:szCs w:val="18"/>
        </w:rPr>
        <w:t>Australian adults are defined as aged 18 years or older, affecting the comparability of data.</w:t>
      </w:r>
      <w:r w:rsidR="00324E8B" w:rsidRPr="00CD1209">
        <w:rPr>
          <w:i/>
          <w:iCs/>
          <w:sz w:val="18"/>
          <w:szCs w:val="18"/>
        </w:rPr>
        <w:t xml:space="preserve"> </w:t>
      </w:r>
    </w:p>
    <w:p w14:paraId="7863CC59" w14:textId="2440611C" w:rsidR="00241D7B" w:rsidRPr="00CF734F" w:rsidRDefault="00324E8B" w:rsidP="00CF734F">
      <w:pPr>
        <w:pStyle w:val="Tablefigurenote"/>
        <w:rPr>
          <w:i/>
          <w:iCs/>
          <w:color w:val="FF0000"/>
          <w:sz w:val="18"/>
          <w:szCs w:val="18"/>
        </w:rPr>
      </w:pPr>
      <w:r w:rsidRPr="00CD1209">
        <w:rPr>
          <w:i/>
          <w:iCs/>
          <w:sz w:val="18"/>
          <w:szCs w:val="18"/>
        </w:rPr>
        <w:t xml:space="preserve">In the graph, Australia is highlighted in </w:t>
      </w:r>
      <w:r w:rsidRPr="00CD1209">
        <w:rPr>
          <w:i/>
          <w:iCs/>
          <w:color w:val="FF0000"/>
          <w:sz w:val="18"/>
          <w:szCs w:val="18"/>
        </w:rPr>
        <w:t>red.</w:t>
      </w:r>
    </w:p>
    <w:p w14:paraId="68A8D095" w14:textId="38FE19E5" w:rsidR="00EA20FF" w:rsidRDefault="00E83E45" w:rsidP="00542C63">
      <w:pPr>
        <w:pStyle w:val="Figurecaption"/>
        <w:rPr>
          <w:sz w:val="20"/>
        </w:rPr>
      </w:pPr>
      <w:bookmarkStart w:id="569" w:name="_Toc19008086"/>
      <w:bookmarkStart w:id="570" w:name="_Toc19008318"/>
      <w:bookmarkStart w:id="571" w:name="_Toc19008465"/>
      <w:bookmarkStart w:id="572" w:name="_Toc19008612"/>
      <w:bookmarkStart w:id="573" w:name="_Toc132553042"/>
      <w:bookmarkStart w:id="574" w:name="_Toc140827653"/>
      <w:r w:rsidRPr="00CD1209">
        <w:rPr>
          <w:sz w:val="20"/>
        </w:rPr>
        <w:lastRenderedPageBreak/>
        <w:t>Figure 8.</w:t>
      </w:r>
      <w:r w:rsidR="007C0438" w:rsidRPr="00CD1209">
        <w:rPr>
          <w:sz w:val="20"/>
        </w:rPr>
        <w:t>1.1</w:t>
      </w:r>
      <w:r w:rsidR="003B391F" w:rsidRPr="00CD1209">
        <w:rPr>
          <w:sz w:val="20"/>
        </w:rPr>
        <w:t>:</w:t>
      </w:r>
      <w:r w:rsidRPr="00CD1209">
        <w:rPr>
          <w:sz w:val="20"/>
        </w:rPr>
        <w:t xml:space="preserve"> </w:t>
      </w:r>
      <w:r w:rsidR="002D1563" w:rsidRPr="00CD1209">
        <w:rPr>
          <w:sz w:val="20"/>
        </w:rPr>
        <w:t>Proportion of overweight/obesity (measured) in Australian adults</w:t>
      </w:r>
      <w:r w:rsidR="004917EF" w:rsidRPr="00CD1209">
        <w:rPr>
          <w:sz w:val="20"/>
        </w:rPr>
        <w:t>,</w:t>
      </w:r>
      <w:r w:rsidR="002D1563" w:rsidRPr="00CD1209">
        <w:rPr>
          <w:sz w:val="20"/>
        </w:rPr>
        <w:t xml:space="preserve"> by state and territory, </w:t>
      </w:r>
      <w:r w:rsidR="009D5704" w:rsidRPr="00CD1209">
        <w:rPr>
          <w:sz w:val="20"/>
        </w:rPr>
        <w:t>2011</w:t>
      </w:r>
      <w:r w:rsidR="00CA2AD7" w:rsidRPr="00CD1209">
        <w:rPr>
          <w:sz w:val="20"/>
        </w:rPr>
        <w:t>–</w:t>
      </w:r>
      <w:r w:rsidR="009D5704" w:rsidRPr="00CD1209">
        <w:rPr>
          <w:sz w:val="20"/>
        </w:rPr>
        <w:t>12</w:t>
      </w:r>
      <w:r w:rsidR="00D65BB6" w:rsidRPr="00CD1209">
        <w:rPr>
          <w:sz w:val="20"/>
        </w:rPr>
        <w:t>,</w:t>
      </w:r>
      <w:r w:rsidR="009D5704" w:rsidRPr="00CD1209">
        <w:rPr>
          <w:sz w:val="20"/>
        </w:rPr>
        <w:t xml:space="preserve"> </w:t>
      </w:r>
      <w:r w:rsidR="002D1563" w:rsidRPr="00CD1209">
        <w:rPr>
          <w:sz w:val="20"/>
        </w:rPr>
        <w:t>2014</w:t>
      </w:r>
      <w:r w:rsidR="00CA2AD7" w:rsidRPr="00CD1209">
        <w:rPr>
          <w:sz w:val="20"/>
        </w:rPr>
        <w:t>–</w:t>
      </w:r>
      <w:r w:rsidR="002D1563" w:rsidRPr="00CD1209">
        <w:rPr>
          <w:sz w:val="20"/>
        </w:rPr>
        <w:t>15</w:t>
      </w:r>
      <w:bookmarkEnd w:id="569"/>
      <w:bookmarkEnd w:id="570"/>
      <w:bookmarkEnd w:id="571"/>
      <w:bookmarkEnd w:id="572"/>
      <w:r w:rsidR="00D65BB6" w:rsidRPr="00CD1209">
        <w:rPr>
          <w:sz w:val="20"/>
        </w:rPr>
        <w:t xml:space="preserve"> and 2017</w:t>
      </w:r>
      <w:r w:rsidR="00246747" w:rsidRPr="00CD1209">
        <w:rPr>
          <w:sz w:val="20"/>
        </w:rPr>
        <w:t>–</w:t>
      </w:r>
      <w:r w:rsidR="00D65BB6" w:rsidRPr="00CD1209">
        <w:rPr>
          <w:sz w:val="20"/>
        </w:rPr>
        <w:t>18</w:t>
      </w:r>
      <w:bookmarkEnd w:id="573"/>
      <w:bookmarkEnd w:id="574"/>
    </w:p>
    <w:p w14:paraId="2F59B11B" w14:textId="510A8B2D" w:rsidR="00EB73FC" w:rsidRPr="00EB73FC" w:rsidRDefault="00CF734F" w:rsidP="00CF734F">
      <w:pPr>
        <w:pStyle w:val="DHHSbody"/>
      </w:pPr>
      <w:r w:rsidRPr="00CF734F">
        <w:rPr>
          <w:noProof/>
        </w:rPr>
        <w:drawing>
          <wp:inline distT="0" distB="0" distL="0" distR="0" wp14:anchorId="4E8DA188" wp14:editId="4C1B5EA4">
            <wp:extent cx="5864772" cy="3601353"/>
            <wp:effectExtent l="0" t="0" r="3175" b="0"/>
            <wp:docPr id="282" name="Picture 282" descr="This figure sits under the section specific to 'Measure 8.1 – Proportion of adults who are overweight or obese (measured)'. It shows data of the proportion of overweight/obesity (measured) in Australian adults, by state and territory, 2011–12, 2014–15 and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This figure sits under the section specific to 'Measure 8.1 – Proportion of adults who are overweight or obese (measured)'. It shows data of the proportion of overweight/obesity (measured) in Australian adults, by state and territory, 2011–12, 2014–15 and 2017–18."/>
                    <pic:cNvPicPr/>
                  </pic:nvPicPr>
                  <pic:blipFill>
                    <a:blip r:embed="rId98"/>
                    <a:stretch>
                      <a:fillRect/>
                    </a:stretch>
                  </pic:blipFill>
                  <pic:spPr>
                    <a:xfrm>
                      <a:off x="0" y="0"/>
                      <a:ext cx="5894149" cy="3619392"/>
                    </a:xfrm>
                    <a:prstGeom prst="rect">
                      <a:avLst/>
                    </a:prstGeom>
                  </pic:spPr>
                </pic:pic>
              </a:graphicData>
            </a:graphic>
          </wp:inline>
        </w:drawing>
      </w:r>
    </w:p>
    <w:p w14:paraId="7C385745" w14:textId="3A8161E2" w:rsidR="00E86F66" w:rsidRPr="00CD1209" w:rsidRDefault="00043FC4" w:rsidP="00E86F66">
      <w:pPr>
        <w:pStyle w:val="Tablefigurenote"/>
        <w:rPr>
          <w:i/>
          <w:iCs/>
          <w:sz w:val="18"/>
          <w:szCs w:val="18"/>
        </w:rPr>
      </w:pPr>
      <w:r w:rsidRPr="00CD1209">
        <w:rPr>
          <w:i/>
          <w:iCs/>
          <w:sz w:val="18"/>
          <w:szCs w:val="18"/>
          <w:lang w:eastAsia="en-AU"/>
        </w:rPr>
        <w:t>Source</w:t>
      </w:r>
      <w:r w:rsidR="00324E8B" w:rsidRPr="00CD1209">
        <w:rPr>
          <w:i/>
          <w:iCs/>
          <w:sz w:val="18"/>
          <w:szCs w:val="18"/>
          <w:lang w:eastAsia="en-AU"/>
        </w:rPr>
        <w:t>s</w:t>
      </w:r>
      <w:r w:rsidRPr="00CD1209">
        <w:rPr>
          <w:i/>
          <w:iCs/>
          <w:sz w:val="18"/>
          <w:szCs w:val="18"/>
          <w:lang w:eastAsia="en-AU"/>
        </w:rPr>
        <w:t xml:space="preserve">: </w:t>
      </w:r>
      <w:r w:rsidR="006923A5" w:rsidRPr="00CD1209">
        <w:rPr>
          <w:i/>
          <w:iCs/>
          <w:sz w:val="18"/>
          <w:szCs w:val="18"/>
        </w:rPr>
        <w:t xml:space="preserve">ABS Australian Health Surveys 2011–12 (4364.0.55.001); 2014–15 (4364.0.55.001) and </w:t>
      </w:r>
      <w:r w:rsidR="008D6DC3" w:rsidRPr="00CD1209">
        <w:rPr>
          <w:i/>
          <w:iCs/>
          <w:sz w:val="18"/>
          <w:szCs w:val="18"/>
        </w:rPr>
        <w:br/>
      </w:r>
      <w:r w:rsidR="006923A5" w:rsidRPr="00CD1209">
        <w:rPr>
          <w:i/>
          <w:iCs/>
          <w:sz w:val="18"/>
          <w:szCs w:val="18"/>
        </w:rPr>
        <w:t>2017</w:t>
      </w:r>
      <w:r w:rsidR="00246747" w:rsidRPr="00CD1209">
        <w:rPr>
          <w:i/>
          <w:iCs/>
          <w:sz w:val="18"/>
          <w:szCs w:val="18"/>
        </w:rPr>
        <w:t>–</w:t>
      </w:r>
      <w:r w:rsidR="006923A5" w:rsidRPr="00CD1209">
        <w:rPr>
          <w:i/>
          <w:iCs/>
          <w:sz w:val="18"/>
          <w:szCs w:val="18"/>
        </w:rPr>
        <w:t>18 (4364.0.55.001.DO002)</w:t>
      </w:r>
    </w:p>
    <w:p w14:paraId="0CB015B9" w14:textId="28A2D8BB" w:rsidR="006C0A47" w:rsidRPr="00B61DA2" w:rsidRDefault="006923A5" w:rsidP="00B61DA2">
      <w:pPr>
        <w:pStyle w:val="Tablefigurenote"/>
        <w:rPr>
          <w:lang w:eastAsia="en-AU"/>
        </w:rPr>
      </w:pPr>
      <w:r w:rsidRPr="00CD1209">
        <w:rPr>
          <w:i/>
          <w:iCs/>
          <w:sz w:val="18"/>
          <w:szCs w:val="18"/>
          <w:lang w:val="en"/>
        </w:rPr>
        <w:t>Note:</w:t>
      </w:r>
      <w:r w:rsidR="008D6DC3" w:rsidRPr="00CD1209">
        <w:rPr>
          <w:i/>
          <w:iCs/>
          <w:sz w:val="18"/>
          <w:szCs w:val="18"/>
          <w:lang w:val="en"/>
        </w:rPr>
        <w:t xml:space="preserve"> </w:t>
      </w:r>
      <w:r w:rsidR="006628D2" w:rsidRPr="00CD1209">
        <w:rPr>
          <w:i/>
          <w:iCs/>
          <w:sz w:val="18"/>
          <w:szCs w:val="18"/>
          <w:lang w:val="en"/>
        </w:rPr>
        <w:t>Proportions have been age</w:t>
      </w:r>
      <w:r w:rsidR="00246747" w:rsidRPr="00CD1209">
        <w:rPr>
          <w:i/>
          <w:iCs/>
          <w:sz w:val="18"/>
          <w:szCs w:val="18"/>
          <w:lang w:val="en"/>
        </w:rPr>
        <w:t>-</w:t>
      </w:r>
      <w:r w:rsidR="007A6A4F" w:rsidRPr="00CD1209">
        <w:rPr>
          <w:i/>
          <w:iCs/>
          <w:sz w:val="18"/>
          <w:szCs w:val="18"/>
          <w:lang w:val="en"/>
        </w:rPr>
        <w:t>standardised</w:t>
      </w:r>
      <w:r w:rsidR="006628D2" w:rsidRPr="00CD1209">
        <w:rPr>
          <w:i/>
          <w:iCs/>
          <w:sz w:val="18"/>
          <w:szCs w:val="18"/>
          <w:lang w:val="en"/>
        </w:rPr>
        <w:t xml:space="preserve"> to the 2001 Australian population to account for differences in the age structure of the population over time</w:t>
      </w:r>
      <w:bookmarkStart w:id="575" w:name="_Toc19008087"/>
      <w:bookmarkStart w:id="576" w:name="_Toc19008319"/>
      <w:bookmarkStart w:id="577" w:name="_Toc19008466"/>
      <w:bookmarkStart w:id="578" w:name="_Toc19008613"/>
      <w:r w:rsidR="00246747" w:rsidRPr="00CD1209">
        <w:rPr>
          <w:i/>
          <w:iCs/>
          <w:sz w:val="18"/>
          <w:szCs w:val="18"/>
          <w:lang w:val="en"/>
        </w:rPr>
        <w:t>.</w:t>
      </w:r>
    </w:p>
    <w:p w14:paraId="40822DB7" w14:textId="1C8A0FC5" w:rsidR="00632BFA" w:rsidRDefault="007E62EB" w:rsidP="006C0A47">
      <w:pPr>
        <w:pStyle w:val="Figurecaption"/>
        <w:rPr>
          <w:sz w:val="20"/>
        </w:rPr>
      </w:pPr>
      <w:bookmarkStart w:id="579" w:name="_Toc132553043"/>
      <w:bookmarkStart w:id="580" w:name="_Toc140827654"/>
      <w:r w:rsidRPr="00CD1209">
        <w:rPr>
          <w:sz w:val="20"/>
        </w:rPr>
        <w:t>Figure 8.</w:t>
      </w:r>
      <w:r w:rsidR="007C0438" w:rsidRPr="00CD1209">
        <w:rPr>
          <w:sz w:val="20"/>
        </w:rPr>
        <w:t>1.2</w:t>
      </w:r>
      <w:r w:rsidR="003B391F" w:rsidRPr="00CD1209">
        <w:rPr>
          <w:sz w:val="20"/>
        </w:rPr>
        <w:t>:</w:t>
      </w:r>
      <w:r w:rsidRPr="00CD1209">
        <w:rPr>
          <w:sz w:val="20"/>
        </w:rPr>
        <w:t xml:space="preserve"> Proportion of overweight including obesity </w:t>
      </w:r>
      <w:r w:rsidR="007F214D" w:rsidRPr="00CD1209">
        <w:rPr>
          <w:sz w:val="20"/>
        </w:rPr>
        <w:t xml:space="preserve">(measured) </w:t>
      </w:r>
      <w:r w:rsidRPr="00CD1209">
        <w:rPr>
          <w:sz w:val="20"/>
        </w:rPr>
        <w:t xml:space="preserve">among Victorian adults (aged 18 </w:t>
      </w:r>
      <w:r w:rsidR="00CA2AD7" w:rsidRPr="00CD1209">
        <w:rPr>
          <w:sz w:val="20"/>
        </w:rPr>
        <w:t>or older</w:t>
      </w:r>
      <w:r w:rsidRPr="00CD1209">
        <w:rPr>
          <w:sz w:val="20"/>
        </w:rPr>
        <w:t>)</w:t>
      </w:r>
      <w:r w:rsidR="004917EF" w:rsidRPr="00CD1209">
        <w:rPr>
          <w:sz w:val="20"/>
        </w:rPr>
        <w:t>,</w:t>
      </w:r>
      <w:r w:rsidRPr="00CD1209">
        <w:rPr>
          <w:sz w:val="20"/>
        </w:rPr>
        <w:t xml:space="preserve"> by year</w:t>
      </w:r>
      <w:r w:rsidR="00963A2F" w:rsidRPr="00CD1209">
        <w:rPr>
          <w:sz w:val="20"/>
        </w:rPr>
        <w:t>,</w:t>
      </w:r>
      <w:r w:rsidR="000A3605" w:rsidRPr="00CD1209">
        <w:rPr>
          <w:sz w:val="20"/>
        </w:rPr>
        <w:t xml:space="preserve"> 2011</w:t>
      </w:r>
      <w:r w:rsidR="00CA2AD7" w:rsidRPr="00CD1209">
        <w:rPr>
          <w:sz w:val="20"/>
        </w:rPr>
        <w:t>–</w:t>
      </w:r>
      <w:r w:rsidR="000A3605" w:rsidRPr="00CD1209">
        <w:rPr>
          <w:sz w:val="20"/>
        </w:rPr>
        <w:t>12</w:t>
      </w:r>
      <w:r w:rsidR="00632BFA" w:rsidRPr="00CD1209">
        <w:rPr>
          <w:sz w:val="20"/>
        </w:rPr>
        <w:t>,</w:t>
      </w:r>
      <w:r w:rsidR="00CA2AD7" w:rsidRPr="00CD1209">
        <w:rPr>
          <w:sz w:val="20"/>
        </w:rPr>
        <w:t xml:space="preserve"> </w:t>
      </w:r>
      <w:r w:rsidR="000A3605" w:rsidRPr="00CD1209">
        <w:rPr>
          <w:sz w:val="20"/>
        </w:rPr>
        <w:t>2014</w:t>
      </w:r>
      <w:r w:rsidR="00CA2AD7" w:rsidRPr="00CD1209">
        <w:rPr>
          <w:sz w:val="20"/>
        </w:rPr>
        <w:t>–</w:t>
      </w:r>
      <w:r w:rsidR="000A3605" w:rsidRPr="00CD1209">
        <w:rPr>
          <w:sz w:val="20"/>
        </w:rPr>
        <w:t>15</w:t>
      </w:r>
      <w:bookmarkEnd w:id="575"/>
      <w:bookmarkEnd w:id="576"/>
      <w:bookmarkEnd w:id="577"/>
      <w:bookmarkEnd w:id="578"/>
      <w:r w:rsidR="00632BFA" w:rsidRPr="00CD1209">
        <w:rPr>
          <w:sz w:val="20"/>
        </w:rPr>
        <w:t xml:space="preserve"> and 2017–18</w:t>
      </w:r>
      <w:bookmarkEnd w:id="579"/>
      <w:bookmarkEnd w:id="580"/>
    </w:p>
    <w:p w14:paraId="63F02A26" w14:textId="32022EF3" w:rsidR="005263F3" w:rsidRPr="005263F3" w:rsidRDefault="00CF734F" w:rsidP="00CF734F">
      <w:pPr>
        <w:pStyle w:val="DHHSbody"/>
      </w:pPr>
      <w:r w:rsidRPr="00CF734F">
        <w:rPr>
          <w:noProof/>
        </w:rPr>
        <w:drawing>
          <wp:inline distT="0" distB="0" distL="0" distR="0" wp14:anchorId="49FC0CA7" wp14:editId="77C3DCD2">
            <wp:extent cx="5798971" cy="3310759"/>
            <wp:effectExtent l="0" t="0" r="0" b="4445"/>
            <wp:docPr id="283" name="Picture 283" descr="This figure presents data under the 'Measure 8.1 - Proportion of adults who are overweight or obese (measured)'.  Specifically this figure shows the proportion of overweight including obesity (measured) among Victorian adults (aged 18 or older), by year, 2011–12, 2014–15 and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descr="This figure presents data under the 'Measure 8.1 - Proportion of adults who are overweight or obese (measured)'.  Specifically this figure shows the proportion of overweight including obesity (measured) among Victorian adults (aged 18 or older), by year, 2011–12, 2014–15 and 2017–18."/>
                    <pic:cNvPicPr/>
                  </pic:nvPicPr>
                  <pic:blipFill>
                    <a:blip r:embed="rId99"/>
                    <a:stretch>
                      <a:fillRect/>
                    </a:stretch>
                  </pic:blipFill>
                  <pic:spPr>
                    <a:xfrm>
                      <a:off x="0" y="0"/>
                      <a:ext cx="5828037" cy="3327354"/>
                    </a:xfrm>
                    <a:prstGeom prst="rect">
                      <a:avLst/>
                    </a:prstGeom>
                  </pic:spPr>
                </pic:pic>
              </a:graphicData>
            </a:graphic>
          </wp:inline>
        </w:drawing>
      </w:r>
    </w:p>
    <w:p w14:paraId="4997823F" w14:textId="2B98D65C" w:rsidR="0067181A" w:rsidRPr="00CD1209" w:rsidRDefault="00E7132F" w:rsidP="00A10297">
      <w:pPr>
        <w:pStyle w:val="Tablefigurenote"/>
        <w:rPr>
          <w:i/>
          <w:iCs/>
          <w:sz w:val="18"/>
          <w:szCs w:val="18"/>
        </w:rPr>
      </w:pPr>
      <w:r w:rsidRPr="00CD1209">
        <w:rPr>
          <w:i/>
          <w:iCs/>
          <w:sz w:val="18"/>
          <w:szCs w:val="18"/>
        </w:rPr>
        <w:t>Source</w:t>
      </w:r>
      <w:r w:rsidR="00324E8B" w:rsidRPr="00CD1209">
        <w:rPr>
          <w:i/>
          <w:iCs/>
          <w:sz w:val="18"/>
          <w:szCs w:val="18"/>
        </w:rPr>
        <w:t>s</w:t>
      </w:r>
      <w:r w:rsidRPr="00CD1209">
        <w:rPr>
          <w:i/>
          <w:iCs/>
          <w:sz w:val="18"/>
          <w:szCs w:val="18"/>
        </w:rPr>
        <w:t>: ABS Australian Health Surveys 2011–12 (4364.0.55.001); 2014–15 (4364.0</w:t>
      </w:r>
      <w:r w:rsidR="006923A5" w:rsidRPr="00CD1209">
        <w:rPr>
          <w:i/>
          <w:iCs/>
          <w:sz w:val="18"/>
          <w:szCs w:val="18"/>
        </w:rPr>
        <w:t>.55.001</w:t>
      </w:r>
      <w:r w:rsidRPr="00CD1209">
        <w:rPr>
          <w:i/>
          <w:iCs/>
          <w:sz w:val="18"/>
          <w:szCs w:val="18"/>
        </w:rPr>
        <w:t>) and 2017</w:t>
      </w:r>
      <w:r w:rsidR="00386582" w:rsidRPr="00CD1209">
        <w:rPr>
          <w:i/>
          <w:iCs/>
          <w:sz w:val="18"/>
          <w:szCs w:val="18"/>
        </w:rPr>
        <w:t>–</w:t>
      </w:r>
      <w:r w:rsidRPr="00CD1209">
        <w:rPr>
          <w:i/>
          <w:iCs/>
          <w:sz w:val="18"/>
          <w:szCs w:val="18"/>
        </w:rPr>
        <w:t>18 (4364.0.55.001.DO002)</w:t>
      </w:r>
    </w:p>
    <w:p w14:paraId="0302794C" w14:textId="0A60CFEE" w:rsidR="0067181A" w:rsidRPr="005609AD" w:rsidRDefault="00EA6E37" w:rsidP="007C7F00">
      <w:pPr>
        <w:pStyle w:val="Heading4"/>
      </w:pPr>
      <w:r w:rsidRPr="0067181A">
        <w:lastRenderedPageBreak/>
        <w:t>Measure assessment</w:t>
      </w:r>
    </w:p>
    <w:p w14:paraId="0020C4B3" w14:textId="3F15A4F1" w:rsidR="00EA6E37" w:rsidRPr="00CF6F8C" w:rsidRDefault="00EA6E37" w:rsidP="00606436">
      <w:pPr>
        <w:pStyle w:val="Body"/>
      </w:pPr>
      <w:r w:rsidRPr="005B389F">
        <w:t>Traffic light rating:</w:t>
      </w:r>
      <w:r w:rsidRPr="00B504AD">
        <w:rPr>
          <w:color w:val="AF272F"/>
        </w:rPr>
        <w:t xml:space="preserve"> </w:t>
      </w:r>
      <w:r w:rsidR="00870818" w:rsidRPr="00B504AD">
        <w:rPr>
          <w:b/>
          <w:color w:val="AF272F"/>
        </w:rPr>
        <w:t>Red</w:t>
      </w:r>
      <w:r w:rsidR="0097280A" w:rsidRPr="00B504AD">
        <w:rPr>
          <w:b/>
          <w:color w:val="AF272F"/>
        </w:rPr>
        <w:t xml:space="preserve"> </w:t>
      </w:r>
      <w:r w:rsidR="0097280A" w:rsidRPr="00CF6F8C">
        <w:t>(result is of concern)</w:t>
      </w:r>
    </w:p>
    <w:p w14:paraId="5DC7CD49" w14:textId="3C659654" w:rsidR="00EA6E37" w:rsidRPr="005B389F" w:rsidRDefault="00EA6E37" w:rsidP="00606436">
      <w:pPr>
        <w:pStyle w:val="Body"/>
      </w:pPr>
      <w:r w:rsidRPr="005B389F">
        <w:t xml:space="preserve">Overall trend: </w:t>
      </w:r>
      <w:r w:rsidR="00870818" w:rsidRPr="005B389F">
        <w:t>Not moving in the right direction</w:t>
      </w:r>
    </w:p>
    <w:p w14:paraId="085FD481" w14:textId="5D0BB4B2" w:rsidR="009A0008" w:rsidRPr="002433BD" w:rsidRDefault="00EA6E37" w:rsidP="004F34D1">
      <w:pPr>
        <w:pStyle w:val="Body"/>
        <w:rPr>
          <w:rFonts w:ascii="NotoSans" w:hAnsi="NotoSans"/>
          <w:color w:val="000000"/>
        </w:rPr>
      </w:pPr>
      <w:r w:rsidRPr="002433BD">
        <w:t>Commentary:</w:t>
      </w:r>
      <w:r w:rsidR="00E12CFB" w:rsidRPr="002433BD">
        <w:t xml:space="preserve"> Overweight and obesity are major risk factors for many chronic diseases including cancer.</w:t>
      </w:r>
      <w:r w:rsidR="00952FC7" w:rsidRPr="002433BD">
        <w:t xml:space="preserve"> </w:t>
      </w:r>
      <w:r w:rsidR="00F167D4" w:rsidRPr="002433BD">
        <w:t>For the purposes of this measure</w:t>
      </w:r>
      <w:r w:rsidR="00084AC6" w:rsidRPr="002433BD">
        <w:t>,</w:t>
      </w:r>
      <w:r w:rsidR="00F167D4" w:rsidRPr="002433BD">
        <w:t xml:space="preserve"> </w:t>
      </w:r>
      <w:r w:rsidR="00F167D4" w:rsidRPr="002433BD">
        <w:rPr>
          <w:lang w:val="en"/>
        </w:rPr>
        <w:t xml:space="preserve">overweight and obesity was calculated using the </w:t>
      </w:r>
      <w:r w:rsidR="00CA2AD7" w:rsidRPr="002433BD">
        <w:rPr>
          <w:lang w:val="en"/>
        </w:rPr>
        <w:t>b</w:t>
      </w:r>
      <w:r w:rsidR="00F167D4" w:rsidRPr="002433BD">
        <w:rPr>
          <w:lang w:val="en"/>
        </w:rPr>
        <w:t xml:space="preserve">ody </w:t>
      </w:r>
      <w:r w:rsidR="00CA2AD7" w:rsidRPr="002433BD">
        <w:rPr>
          <w:lang w:val="en"/>
        </w:rPr>
        <w:t>m</w:t>
      </w:r>
      <w:r w:rsidR="00F167D4" w:rsidRPr="002433BD">
        <w:rPr>
          <w:lang w:val="en"/>
        </w:rPr>
        <w:t xml:space="preserve">ass </w:t>
      </w:r>
      <w:r w:rsidR="00CA2AD7" w:rsidRPr="002433BD">
        <w:rPr>
          <w:lang w:val="en"/>
        </w:rPr>
        <w:t>i</w:t>
      </w:r>
      <w:r w:rsidR="00F167D4" w:rsidRPr="002433BD">
        <w:rPr>
          <w:lang w:val="en"/>
        </w:rPr>
        <w:t>ndex (BMI), a scale based on height and weight commonly used to define if a person is underweight, normal weight, overweight or obese.</w:t>
      </w:r>
      <w:r w:rsidR="00F167D4" w:rsidRPr="76BE792E">
        <w:rPr>
          <w:rStyle w:val="FootnoteReference"/>
          <w:rFonts w:cs="Arial"/>
          <w:sz w:val="20"/>
        </w:rPr>
        <w:footnoteReference w:id="110"/>
      </w:r>
      <w:r w:rsidR="00F167D4" w:rsidRPr="002433BD">
        <w:t xml:space="preserve"> </w:t>
      </w:r>
      <w:r w:rsidR="00594D89" w:rsidRPr="002433BD">
        <w:t xml:space="preserve">In Australia, </w:t>
      </w:r>
      <w:r w:rsidR="00594D89" w:rsidRPr="002433BD">
        <w:rPr>
          <w:lang w:val="en"/>
        </w:rPr>
        <w:t>of the cancers related to body fatness (</w:t>
      </w:r>
      <w:r w:rsidR="00594D89" w:rsidRPr="76BE792E">
        <w:rPr>
          <w:i/>
          <w:iCs/>
          <w:lang w:val="en"/>
        </w:rPr>
        <w:t>n</w:t>
      </w:r>
      <w:r w:rsidR="00CA2AD7" w:rsidRPr="002433BD">
        <w:rPr>
          <w:lang w:val="en"/>
        </w:rPr>
        <w:t xml:space="preserve"> </w:t>
      </w:r>
      <w:r w:rsidR="00594D89" w:rsidRPr="002433BD">
        <w:rPr>
          <w:lang w:val="en"/>
        </w:rPr>
        <w:t>=</w:t>
      </w:r>
      <w:r w:rsidR="00CA2AD7" w:rsidRPr="002433BD">
        <w:rPr>
          <w:lang w:val="en"/>
        </w:rPr>
        <w:t xml:space="preserve"> </w:t>
      </w:r>
      <w:r w:rsidR="00594D89" w:rsidRPr="002433BD">
        <w:rPr>
          <w:lang w:val="en"/>
        </w:rPr>
        <w:t>9</w:t>
      </w:r>
      <w:r w:rsidR="00CA2AD7" w:rsidRPr="002433BD">
        <w:rPr>
          <w:lang w:val="en"/>
        </w:rPr>
        <w:t>,</w:t>
      </w:r>
      <w:r w:rsidR="00594D89" w:rsidRPr="002433BD">
        <w:rPr>
          <w:lang w:val="en"/>
        </w:rPr>
        <w:t>258), 13</w:t>
      </w:r>
      <w:r w:rsidR="0054537F">
        <w:rPr>
          <w:lang w:val="en"/>
        </w:rPr>
        <w:t>%</w:t>
      </w:r>
      <w:r w:rsidR="00594D89" w:rsidRPr="002433BD">
        <w:rPr>
          <w:lang w:val="en"/>
        </w:rPr>
        <w:t xml:space="preserve"> (95</w:t>
      </w:r>
      <w:r w:rsidR="00963A2F" w:rsidRPr="002433BD">
        <w:rPr>
          <w:lang w:val="en"/>
        </w:rPr>
        <w:t>% CI,</w:t>
      </w:r>
      <w:r w:rsidR="00C54796" w:rsidRPr="002433BD">
        <w:rPr>
          <w:lang w:val="en"/>
        </w:rPr>
        <w:t xml:space="preserve"> </w:t>
      </w:r>
      <w:r w:rsidR="00594D89" w:rsidRPr="002433BD">
        <w:rPr>
          <w:lang w:val="en"/>
        </w:rPr>
        <w:t>11</w:t>
      </w:r>
      <w:r w:rsidR="00963A2F" w:rsidRPr="002433BD">
        <w:rPr>
          <w:lang w:val="en"/>
        </w:rPr>
        <w:t>–</w:t>
      </w:r>
      <w:r w:rsidR="00594D89" w:rsidRPr="002433BD">
        <w:rPr>
          <w:lang w:val="en"/>
        </w:rPr>
        <w:t>16</w:t>
      </w:r>
      <w:r w:rsidR="0054537F">
        <w:rPr>
          <w:lang w:val="en"/>
        </w:rPr>
        <w:t>%</w:t>
      </w:r>
      <w:r w:rsidR="00594D89" w:rsidRPr="002433BD">
        <w:rPr>
          <w:lang w:val="en"/>
        </w:rPr>
        <w:t xml:space="preserve">) could be avoided if those currently overweight or obese had </w:t>
      </w:r>
      <w:r w:rsidR="00963A2F" w:rsidRPr="002433BD">
        <w:rPr>
          <w:lang w:val="en"/>
        </w:rPr>
        <w:t xml:space="preserve">a </w:t>
      </w:r>
      <w:r w:rsidR="00594D89" w:rsidRPr="002433BD">
        <w:rPr>
          <w:lang w:val="en"/>
        </w:rPr>
        <w:t>BMI of 18.5–24.9 kg/m</w:t>
      </w:r>
      <w:r w:rsidR="00594D89" w:rsidRPr="002433BD">
        <w:rPr>
          <w:vertAlign w:val="superscript"/>
          <w:lang w:val="en"/>
        </w:rPr>
        <w:t>2</w:t>
      </w:r>
      <w:r w:rsidR="00594D89" w:rsidRPr="002433BD">
        <w:rPr>
          <w:lang w:val="en"/>
        </w:rPr>
        <w:t xml:space="preserve"> (normal range).</w:t>
      </w:r>
      <w:r w:rsidR="00594D89" w:rsidRPr="76BE792E">
        <w:rPr>
          <w:rStyle w:val="FootnoteReference"/>
          <w:rFonts w:cs="Arial"/>
          <w:sz w:val="20"/>
          <w:lang w:val="en"/>
        </w:rPr>
        <w:footnoteReference w:id="111"/>
      </w:r>
      <w:r w:rsidR="00594D89" w:rsidRPr="002433BD">
        <w:rPr>
          <w:lang w:val="en"/>
        </w:rPr>
        <w:t xml:space="preserve"> </w:t>
      </w:r>
      <w:r w:rsidR="002433BD" w:rsidRPr="002433BD">
        <w:rPr>
          <w:lang w:val="en"/>
        </w:rPr>
        <w:t xml:space="preserve">Of note is that </w:t>
      </w:r>
      <w:r w:rsidR="002433BD">
        <w:rPr>
          <w:lang w:val="en"/>
        </w:rPr>
        <w:t>o</w:t>
      </w:r>
      <w:r w:rsidR="002433BD" w:rsidRPr="002433BD">
        <w:rPr>
          <w:lang w:val="en"/>
        </w:rPr>
        <w:t xml:space="preserve">besity </w:t>
      </w:r>
      <w:r w:rsidR="00324E8B">
        <w:rPr>
          <w:lang w:val="en"/>
        </w:rPr>
        <w:t>is</w:t>
      </w:r>
      <w:r w:rsidR="002433BD" w:rsidRPr="002433BD">
        <w:rPr>
          <w:lang w:val="en"/>
        </w:rPr>
        <w:t xml:space="preserve"> associated with a 20</w:t>
      </w:r>
      <w:r w:rsidR="0054537F">
        <w:rPr>
          <w:lang w:val="en"/>
        </w:rPr>
        <w:t>%</w:t>
      </w:r>
      <w:r w:rsidR="002433BD" w:rsidRPr="002433BD">
        <w:rPr>
          <w:lang w:val="en"/>
        </w:rPr>
        <w:t xml:space="preserve"> excess risk of early-onset CRC and prevalence has risen most rapidly in young adults</w:t>
      </w:r>
      <w:r w:rsidR="002433BD">
        <w:rPr>
          <w:lang w:val="en"/>
        </w:rPr>
        <w:t>.</w:t>
      </w:r>
      <w:r w:rsidR="002433BD" w:rsidRPr="76BE792E">
        <w:rPr>
          <w:rStyle w:val="FootnoteReference"/>
          <w:color w:val="000000"/>
          <w:sz w:val="20"/>
        </w:rPr>
        <w:footnoteReference w:id="112"/>
      </w:r>
    </w:p>
    <w:p w14:paraId="65EE734A" w14:textId="58E95531" w:rsidR="0046144E" w:rsidRPr="0067181A" w:rsidRDefault="001D7DF7" w:rsidP="00606436">
      <w:pPr>
        <w:pStyle w:val="Body"/>
      </w:pPr>
      <w:r w:rsidRPr="009973DC">
        <w:t>Figure 8.1</w:t>
      </w:r>
      <w:r w:rsidR="0015670E" w:rsidRPr="009973DC">
        <w:t xml:space="preserve"> show</w:t>
      </w:r>
      <w:r w:rsidR="00EF6E85" w:rsidRPr="009973DC">
        <w:t>s</w:t>
      </w:r>
      <w:r w:rsidR="0015670E" w:rsidRPr="009973DC">
        <w:t xml:space="preserve"> that</w:t>
      </w:r>
      <w:r w:rsidR="008448C0" w:rsidRPr="009973DC">
        <w:t xml:space="preserve"> </w:t>
      </w:r>
      <w:r w:rsidR="009A0008" w:rsidRPr="009973DC">
        <w:t>the growing prevalence of overweight and obesity is a major public health concern globally.</w:t>
      </w:r>
      <w:r w:rsidR="009A0008" w:rsidRPr="76BE792E">
        <w:rPr>
          <w:rStyle w:val="FootnoteReference"/>
        </w:rPr>
        <w:footnoteReference w:id="113"/>
      </w:r>
      <w:r w:rsidR="00952FC7">
        <w:t xml:space="preserve"> </w:t>
      </w:r>
      <w:r w:rsidR="008410AE" w:rsidRPr="009973DC">
        <w:t xml:space="preserve">The results show that more than half of adults aged 15 years </w:t>
      </w:r>
      <w:r w:rsidR="001B50BF">
        <w:t>or older</w:t>
      </w:r>
      <w:r w:rsidR="008410AE" w:rsidRPr="009973DC">
        <w:t xml:space="preserve"> in OECD countries are overweight or obese (54</w:t>
      </w:r>
      <w:r w:rsidR="0054537F">
        <w:t>%</w:t>
      </w:r>
      <w:r w:rsidR="008410AE" w:rsidRPr="009973DC">
        <w:t>).</w:t>
      </w:r>
      <w:r w:rsidR="00952FC7">
        <w:t xml:space="preserve"> </w:t>
      </w:r>
      <w:r w:rsidR="009B1046">
        <w:t>I</w:t>
      </w:r>
      <w:r w:rsidR="008448C0" w:rsidRPr="009973DC">
        <w:t>n 201</w:t>
      </w:r>
      <w:r w:rsidR="000B6F19">
        <w:t>7</w:t>
      </w:r>
      <w:r w:rsidR="008448C0" w:rsidRPr="009973DC">
        <w:t xml:space="preserve"> </w:t>
      </w:r>
      <w:r w:rsidR="00E434BC" w:rsidRPr="009973DC">
        <w:t>most</w:t>
      </w:r>
      <w:r w:rsidR="008448C0" w:rsidRPr="009973DC">
        <w:t xml:space="preserve"> Australian adults (6</w:t>
      </w:r>
      <w:r w:rsidR="000B6F19">
        <w:t>5</w:t>
      </w:r>
      <w:r w:rsidR="008448C0" w:rsidRPr="009973DC">
        <w:t>.</w:t>
      </w:r>
      <w:r w:rsidR="000B6F19">
        <w:t>2</w:t>
      </w:r>
      <w:r w:rsidR="0054537F">
        <w:t>%</w:t>
      </w:r>
      <w:r w:rsidR="00DA0E18" w:rsidRPr="009973DC">
        <w:t xml:space="preserve"> of the population aged 15 </w:t>
      </w:r>
      <w:r w:rsidR="001B50BF">
        <w:t>or older</w:t>
      </w:r>
      <w:r w:rsidR="008448C0" w:rsidRPr="009973DC">
        <w:t>) were overweight or obese</w:t>
      </w:r>
      <w:r w:rsidR="000B6F19">
        <w:t xml:space="preserve"> (measured)</w:t>
      </w:r>
      <w:r w:rsidR="00F167D4" w:rsidRPr="009973DC">
        <w:t>,</w:t>
      </w:r>
      <w:r w:rsidR="008448C0" w:rsidRPr="009973DC">
        <w:t xml:space="preserve"> the </w:t>
      </w:r>
      <w:r w:rsidR="000B6F19">
        <w:t xml:space="preserve">sixth </w:t>
      </w:r>
      <w:r w:rsidR="008448C0" w:rsidRPr="009973DC">
        <w:t>highest proportion in the OECD behind Mexico, the United States, New Zealand</w:t>
      </w:r>
      <w:r w:rsidR="00241D7B">
        <w:t>, Hungary</w:t>
      </w:r>
      <w:r w:rsidR="008448C0" w:rsidRPr="009973DC">
        <w:t xml:space="preserve"> and Finland</w:t>
      </w:r>
      <w:r w:rsidR="00A10297">
        <w:t xml:space="preserve"> (Figure 8.1)</w:t>
      </w:r>
      <w:r w:rsidR="005D5918" w:rsidRPr="009973DC">
        <w:t>.</w:t>
      </w:r>
    </w:p>
    <w:p w14:paraId="205403F7" w14:textId="0A761FC1" w:rsidR="002433BD" w:rsidRDefault="0046144E" w:rsidP="00606436">
      <w:pPr>
        <w:pStyle w:val="Body"/>
      </w:pPr>
      <w:r w:rsidRPr="009973DC">
        <w:t xml:space="preserve">In Australia the proportion of men and women aged 18 years </w:t>
      </w:r>
      <w:r w:rsidR="001B50BF">
        <w:t>or older</w:t>
      </w:r>
      <w:r w:rsidRPr="009973DC">
        <w:t xml:space="preserve"> </w:t>
      </w:r>
      <w:r w:rsidR="00596F5A">
        <w:t>who</w:t>
      </w:r>
      <w:r w:rsidR="00596F5A" w:rsidRPr="009973DC">
        <w:t xml:space="preserve"> </w:t>
      </w:r>
      <w:r w:rsidR="00945A00">
        <w:t>are</w:t>
      </w:r>
      <w:r w:rsidRPr="009973DC">
        <w:t xml:space="preserve"> overweight or obese </w:t>
      </w:r>
      <w:r w:rsidR="00A526F2" w:rsidRPr="009973DC">
        <w:t xml:space="preserve">generally remained static between 2011 and 2015 across all states </w:t>
      </w:r>
      <w:r w:rsidR="00C44BDC" w:rsidRPr="009973DC">
        <w:t xml:space="preserve">except </w:t>
      </w:r>
      <w:r w:rsidR="00A526F2" w:rsidRPr="009973DC">
        <w:t>Western Australia</w:t>
      </w:r>
      <w:r w:rsidR="00596F5A">
        <w:t>,</w:t>
      </w:r>
      <w:r w:rsidR="00A526F2" w:rsidRPr="009973DC">
        <w:t xml:space="preserve"> which dropped by </w:t>
      </w:r>
      <w:r w:rsidR="009D72AF">
        <w:t>5</w:t>
      </w:r>
      <w:r w:rsidR="00A526F2" w:rsidRPr="009973DC">
        <w:t>.</w:t>
      </w:r>
      <w:r w:rsidR="009D72AF">
        <w:t>6</w:t>
      </w:r>
      <w:r w:rsidR="0054537F">
        <w:t>%</w:t>
      </w:r>
      <w:r w:rsidR="00A526F2" w:rsidRPr="009973DC">
        <w:t xml:space="preserve"> (Figure 8.</w:t>
      </w:r>
      <w:r w:rsidR="00D605E6" w:rsidRPr="009973DC">
        <w:t>1.1</w:t>
      </w:r>
      <w:r w:rsidR="00A526F2" w:rsidRPr="009973DC">
        <w:t>)</w:t>
      </w:r>
      <w:r w:rsidR="00324E8B">
        <w:t>,</w:t>
      </w:r>
      <w:r w:rsidR="007C291C">
        <w:t xml:space="preserve"> possibly in response to the </w:t>
      </w:r>
      <w:r w:rsidR="00596F5A">
        <w:t>s</w:t>
      </w:r>
      <w:r w:rsidR="007C291C">
        <w:t xml:space="preserve">tate’s </w:t>
      </w:r>
      <w:r w:rsidR="007C291C" w:rsidRPr="76BE792E">
        <w:t>LiveLighter campaign</w:t>
      </w:r>
      <w:r w:rsidR="007C291C">
        <w:rPr>
          <w:rStyle w:val="FootnoteReference"/>
          <w:rFonts w:cs="Arial"/>
        </w:rPr>
        <w:footnoteReference w:id="114"/>
      </w:r>
      <w:r w:rsidR="007C291C">
        <w:t xml:space="preserve"> (2011</w:t>
      </w:r>
      <w:r w:rsidR="00CA2AD7">
        <w:t>–</w:t>
      </w:r>
      <w:r w:rsidR="007C291C">
        <w:t>2018)</w:t>
      </w:r>
      <w:r w:rsidR="00A526F2" w:rsidRPr="009973DC">
        <w:t xml:space="preserve">. </w:t>
      </w:r>
      <w:r w:rsidR="00AE33C6">
        <w:t>More recently there has bee</w:t>
      </w:r>
      <w:r w:rsidR="009D72AF">
        <w:t>n an increase across all states since 2015</w:t>
      </w:r>
      <w:r w:rsidR="00A451D4">
        <w:t>,</w:t>
      </w:r>
      <w:r w:rsidR="009D72AF">
        <w:t xml:space="preserve"> with Victoria, South Australia and Tasmania above the national rate. </w:t>
      </w:r>
      <w:r w:rsidR="00D605E6" w:rsidRPr="009973DC">
        <w:t>In Victoria</w:t>
      </w:r>
      <w:r w:rsidR="00596F5A">
        <w:t>,</w:t>
      </w:r>
      <w:r w:rsidR="00D605E6" w:rsidRPr="009973DC">
        <w:t xml:space="preserve"> Figure 8.1.2 shows that the proportions of overweight or obese adults between 2011</w:t>
      </w:r>
      <w:r w:rsidR="00690CD3">
        <w:t>–1</w:t>
      </w:r>
      <w:r w:rsidR="00D605E6" w:rsidRPr="009973DC">
        <w:t>2 and 2014</w:t>
      </w:r>
      <w:r w:rsidR="00CA2AD7">
        <w:t>–</w:t>
      </w:r>
      <w:r w:rsidR="00D605E6" w:rsidRPr="009973DC">
        <w:t>15 were similar</w:t>
      </w:r>
      <w:r w:rsidR="004F483D">
        <w:t xml:space="preserve"> but increased from 2015</w:t>
      </w:r>
      <w:r w:rsidR="00D605E6" w:rsidRPr="009973DC">
        <w:t>.</w:t>
      </w:r>
      <w:r w:rsidR="00952FC7">
        <w:t xml:space="preserve"> </w:t>
      </w:r>
      <w:bookmarkStart w:id="581" w:name="_Hlk111621779"/>
    </w:p>
    <w:p w14:paraId="45FB52BE" w14:textId="5F1409E5" w:rsidR="009B17F6" w:rsidRPr="00A451D4" w:rsidRDefault="00870818" w:rsidP="00FA33C3">
      <w:pPr>
        <w:pStyle w:val="Body"/>
        <w:rPr>
          <w:rFonts w:eastAsia="Times New Roman" w:cs="Arial"/>
          <w:sz w:val="20"/>
          <w:lang w:val="en"/>
        </w:rPr>
      </w:pPr>
      <w:r w:rsidRPr="002433BD">
        <w:rPr>
          <w:lang w:val="en"/>
        </w:rPr>
        <w:t xml:space="preserve">The </w:t>
      </w:r>
      <w:r w:rsidRPr="002433BD">
        <w:rPr>
          <w:i/>
          <w:lang w:val="en"/>
        </w:rPr>
        <w:t xml:space="preserve">Victorian </w:t>
      </w:r>
      <w:r w:rsidR="00F54049" w:rsidRPr="002433BD">
        <w:rPr>
          <w:i/>
          <w:lang w:val="en"/>
        </w:rPr>
        <w:t>public</w:t>
      </w:r>
      <w:r w:rsidRPr="002433BD">
        <w:rPr>
          <w:i/>
          <w:lang w:val="en"/>
        </w:rPr>
        <w:t xml:space="preserve"> </w:t>
      </w:r>
      <w:r w:rsidR="00F54049" w:rsidRPr="002433BD">
        <w:rPr>
          <w:i/>
          <w:lang w:val="en"/>
        </w:rPr>
        <w:t>health</w:t>
      </w:r>
      <w:r w:rsidRPr="002433BD">
        <w:rPr>
          <w:i/>
          <w:lang w:val="en"/>
        </w:rPr>
        <w:t xml:space="preserve"> and </w:t>
      </w:r>
      <w:r w:rsidR="00F54049" w:rsidRPr="002433BD">
        <w:rPr>
          <w:i/>
          <w:lang w:val="en"/>
        </w:rPr>
        <w:t>wellbeing</w:t>
      </w:r>
      <w:r w:rsidRPr="002433BD">
        <w:rPr>
          <w:i/>
          <w:lang w:val="en"/>
        </w:rPr>
        <w:t xml:space="preserve"> </w:t>
      </w:r>
      <w:r w:rsidR="00F54049" w:rsidRPr="002433BD">
        <w:rPr>
          <w:i/>
          <w:lang w:val="en"/>
        </w:rPr>
        <w:t>outcomes</w:t>
      </w:r>
      <w:r w:rsidRPr="002433BD">
        <w:rPr>
          <w:i/>
          <w:lang w:val="en"/>
        </w:rPr>
        <w:t xml:space="preserve"> </w:t>
      </w:r>
      <w:r w:rsidR="00F54049" w:rsidRPr="002433BD">
        <w:rPr>
          <w:i/>
          <w:lang w:val="en"/>
        </w:rPr>
        <w:t>framework</w:t>
      </w:r>
      <w:r w:rsidRPr="002433BD">
        <w:rPr>
          <w:lang w:val="en"/>
        </w:rPr>
        <w:t xml:space="preserve"> has a target of a </w:t>
      </w:r>
      <w:r w:rsidR="00A451D4">
        <w:rPr>
          <w:lang w:val="en"/>
        </w:rPr>
        <w:t>5</w:t>
      </w:r>
      <w:r w:rsidR="0054537F">
        <w:rPr>
          <w:lang w:val="en"/>
        </w:rPr>
        <w:t>%</w:t>
      </w:r>
      <w:r w:rsidRPr="002433BD">
        <w:rPr>
          <w:lang w:val="en"/>
        </w:rPr>
        <w:t xml:space="preserve"> decrease in prevalence of overweight or obese adults</w:t>
      </w:r>
      <w:r w:rsidR="002420AB" w:rsidRPr="002433BD">
        <w:rPr>
          <w:lang w:val="en"/>
        </w:rPr>
        <w:t xml:space="preserve"> aged 18 years or older</w:t>
      </w:r>
      <w:r w:rsidRPr="002433BD">
        <w:rPr>
          <w:lang w:val="en"/>
        </w:rPr>
        <w:t xml:space="preserve"> by 2025, from the 2011</w:t>
      </w:r>
      <w:r w:rsidR="00CA2AD7" w:rsidRPr="002433BD">
        <w:rPr>
          <w:lang w:val="en"/>
        </w:rPr>
        <w:t>–</w:t>
      </w:r>
      <w:r w:rsidRPr="002433BD">
        <w:rPr>
          <w:lang w:val="en"/>
        </w:rPr>
        <w:t>12 baseline of 61</w:t>
      </w:r>
      <w:r w:rsidR="0054537F">
        <w:rPr>
          <w:lang w:val="en"/>
        </w:rPr>
        <w:t>%</w:t>
      </w:r>
      <w:r w:rsidRPr="002433BD">
        <w:rPr>
          <w:lang w:val="en"/>
        </w:rPr>
        <w:t>.</w:t>
      </w:r>
      <w:r w:rsidR="00952FC7" w:rsidRPr="002433BD">
        <w:rPr>
          <w:lang w:val="en"/>
        </w:rPr>
        <w:t xml:space="preserve"> </w:t>
      </w:r>
      <w:bookmarkEnd w:id="581"/>
      <w:r w:rsidRPr="002433BD">
        <w:rPr>
          <w:lang w:val="en"/>
        </w:rPr>
        <w:t xml:space="preserve">Currently, </w:t>
      </w:r>
      <w:r w:rsidR="00BD7A5C" w:rsidRPr="002433BD">
        <w:rPr>
          <w:lang w:val="en"/>
        </w:rPr>
        <w:t xml:space="preserve">Victoria is </w:t>
      </w:r>
      <w:r w:rsidRPr="002433BD">
        <w:rPr>
          <w:lang w:val="en"/>
        </w:rPr>
        <w:t>not on track to meet the 2025 target of 58</w:t>
      </w:r>
      <w:r w:rsidR="0054537F">
        <w:rPr>
          <w:lang w:val="en"/>
        </w:rPr>
        <w:t>%</w:t>
      </w:r>
      <w:r w:rsidRPr="002433BD">
        <w:rPr>
          <w:lang w:val="en"/>
        </w:rPr>
        <w:t>, with 6</w:t>
      </w:r>
      <w:r w:rsidR="00E40752" w:rsidRPr="002433BD">
        <w:rPr>
          <w:lang w:val="en"/>
        </w:rPr>
        <w:t>8</w:t>
      </w:r>
      <w:r w:rsidRPr="002433BD">
        <w:rPr>
          <w:lang w:val="en"/>
        </w:rPr>
        <w:t>.3</w:t>
      </w:r>
      <w:r w:rsidR="0054537F">
        <w:rPr>
          <w:lang w:val="en"/>
        </w:rPr>
        <w:t>%</w:t>
      </w:r>
      <w:r w:rsidRPr="002433BD">
        <w:rPr>
          <w:lang w:val="en"/>
        </w:rPr>
        <w:t xml:space="preserve"> of adults overweight or obese in 20</w:t>
      </w:r>
      <w:r w:rsidR="00E40752" w:rsidRPr="002433BD">
        <w:rPr>
          <w:lang w:val="en"/>
        </w:rPr>
        <w:t>17</w:t>
      </w:r>
      <w:r w:rsidR="00CA2AD7" w:rsidRPr="002433BD">
        <w:rPr>
          <w:lang w:val="en"/>
        </w:rPr>
        <w:t>–</w:t>
      </w:r>
      <w:r w:rsidRPr="002433BD">
        <w:rPr>
          <w:lang w:val="en"/>
        </w:rPr>
        <w:t>1</w:t>
      </w:r>
      <w:r w:rsidR="00E40752" w:rsidRPr="002433BD">
        <w:rPr>
          <w:lang w:val="en"/>
        </w:rPr>
        <w:t>8</w:t>
      </w:r>
      <w:r w:rsidR="00A526F2" w:rsidRPr="002433BD">
        <w:rPr>
          <w:lang w:val="en"/>
        </w:rPr>
        <w:t xml:space="preserve"> (Figure 8.</w:t>
      </w:r>
      <w:r w:rsidR="007C0438" w:rsidRPr="002433BD">
        <w:rPr>
          <w:lang w:val="en"/>
        </w:rPr>
        <w:t>1.2</w:t>
      </w:r>
      <w:r w:rsidR="00A526F2" w:rsidRPr="002433BD">
        <w:rPr>
          <w:lang w:val="en"/>
        </w:rPr>
        <w:t>).</w:t>
      </w:r>
      <w:r w:rsidR="002433BD" w:rsidRPr="002433BD">
        <w:rPr>
          <w:lang w:val="en"/>
        </w:rPr>
        <w:t xml:space="preserve"> </w:t>
      </w:r>
      <w:r w:rsidR="00F44BFB" w:rsidRPr="002433BD">
        <w:rPr>
          <w:color w:val="000000"/>
        </w:rPr>
        <w:t xml:space="preserve">Future research into etiological risk factors in diverse populations, alongside the implementation of effective primary prevention strategies, is needed to reduce the future impact of preventable </w:t>
      </w:r>
      <w:r w:rsidR="002433BD" w:rsidRPr="002433BD">
        <w:rPr>
          <w:color w:val="000000"/>
        </w:rPr>
        <w:t>cancers such as CRC</w:t>
      </w:r>
      <w:r w:rsidR="00F44BFB" w:rsidRPr="002433BD">
        <w:rPr>
          <w:color w:val="000000"/>
        </w:rPr>
        <w:t>.</w:t>
      </w:r>
      <w:r w:rsidR="009B17F6" w:rsidRPr="00A451D4">
        <w:br w:type="page"/>
      </w:r>
    </w:p>
    <w:p w14:paraId="32846D04" w14:textId="6F55B485" w:rsidR="0028681D" w:rsidRPr="00FA33C3" w:rsidRDefault="0028681D" w:rsidP="00A451D4">
      <w:pPr>
        <w:pStyle w:val="Heading3"/>
        <w:rPr>
          <w:rStyle w:val="Heading3Char"/>
          <w:b/>
          <w:bCs/>
        </w:rPr>
      </w:pPr>
      <w:bookmarkStart w:id="582" w:name="_Measure_8.2_–"/>
      <w:bookmarkEnd w:id="582"/>
      <w:r w:rsidRPr="00FA33C3">
        <w:rPr>
          <w:rStyle w:val="Heading3Char"/>
          <w:b/>
          <w:bCs/>
        </w:rPr>
        <w:lastRenderedPageBreak/>
        <w:t xml:space="preserve">Measure 8.2 – </w:t>
      </w:r>
      <w:r w:rsidR="005940FC" w:rsidRPr="00FA33C3">
        <w:rPr>
          <w:rStyle w:val="Heading3Char"/>
          <w:b/>
          <w:bCs/>
        </w:rPr>
        <w:t>Proportion of adults who are overweight or obese (self-report)</w:t>
      </w:r>
    </w:p>
    <w:p w14:paraId="1D56F6DD" w14:textId="2FFB4C11" w:rsidR="007D4442" w:rsidRDefault="007D4442" w:rsidP="00542C63">
      <w:pPr>
        <w:pStyle w:val="Figurecaption"/>
        <w:rPr>
          <w:sz w:val="20"/>
        </w:rPr>
      </w:pPr>
      <w:bookmarkStart w:id="583" w:name="_Toc19008088"/>
      <w:bookmarkStart w:id="584" w:name="_Toc19008320"/>
      <w:bookmarkStart w:id="585" w:name="_Toc19008467"/>
      <w:bookmarkStart w:id="586" w:name="_Toc19008614"/>
      <w:bookmarkStart w:id="587" w:name="_Toc132553044"/>
      <w:bookmarkStart w:id="588" w:name="_Toc140827655"/>
      <w:r w:rsidRPr="00CD1209">
        <w:rPr>
          <w:sz w:val="20"/>
        </w:rPr>
        <w:t>Figure 8.2</w:t>
      </w:r>
      <w:r w:rsidR="003B391F" w:rsidRPr="00CD1209">
        <w:rPr>
          <w:sz w:val="20"/>
        </w:rPr>
        <w:t>:</w:t>
      </w:r>
      <w:r w:rsidRPr="00CD1209">
        <w:rPr>
          <w:sz w:val="20"/>
        </w:rPr>
        <w:t xml:space="preserve"> Proportion of </w:t>
      </w:r>
      <w:r w:rsidR="00D83EB5" w:rsidRPr="00CD1209">
        <w:rPr>
          <w:sz w:val="20"/>
        </w:rPr>
        <w:t xml:space="preserve">Victorian </w:t>
      </w:r>
      <w:r w:rsidRPr="00CD1209">
        <w:rPr>
          <w:sz w:val="20"/>
        </w:rPr>
        <w:t xml:space="preserve">adults </w:t>
      </w:r>
      <w:r w:rsidR="002B1898" w:rsidRPr="00CD1209">
        <w:rPr>
          <w:sz w:val="20"/>
        </w:rPr>
        <w:t xml:space="preserve">(aged 18 years or older) </w:t>
      </w:r>
      <w:r w:rsidRPr="00CD1209">
        <w:rPr>
          <w:sz w:val="20"/>
        </w:rPr>
        <w:t xml:space="preserve">who are overweight or </w:t>
      </w:r>
      <w:r w:rsidR="00FC7273" w:rsidRPr="00CD1209">
        <w:rPr>
          <w:sz w:val="20"/>
        </w:rPr>
        <w:t>o</w:t>
      </w:r>
      <w:r w:rsidRPr="00CD1209">
        <w:rPr>
          <w:sz w:val="20"/>
        </w:rPr>
        <w:t>bese (self-report)</w:t>
      </w:r>
      <w:r w:rsidR="004917EF" w:rsidRPr="00CD1209">
        <w:rPr>
          <w:sz w:val="20"/>
        </w:rPr>
        <w:t>,</w:t>
      </w:r>
      <w:r w:rsidR="000858D8" w:rsidRPr="00CD1209">
        <w:rPr>
          <w:sz w:val="20"/>
        </w:rPr>
        <w:t xml:space="preserve"> by year, 201</w:t>
      </w:r>
      <w:r w:rsidR="002A5C96" w:rsidRPr="00CD1209">
        <w:rPr>
          <w:sz w:val="20"/>
        </w:rPr>
        <w:t>5</w:t>
      </w:r>
      <w:r w:rsidR="00CA2AD7" w:rsidRPr="00CD1209">
        <w:rPr>
          <w:sz w:val="20"/>
        </w:rPr>
        <w:t>–</w:t>
      </w:r>
      <w:r w:rsidR="000858D8" w:rsidRPr="00CD1209">
        <w:rPr>
          <w:sz w:val="20"/>
        </w:rPr>
        <w:t>20</w:t>
      </w:r>
      <w:bookmarkEnd w:id="583"/>
      <w:bookmarkEnd w:id="584"/>
      <w:bookmarkEnd w:id="585"/>
      <w:bookmarkEnd w:id="586"/>
      <w:bookmarkEnd w:id="587"/>
      <w:r w:rsidR="00477F7D">
        <w:rPr>
          <w:sz w:val="20"/>
        </w:rPr>
        <w:t>20 and 2022</w:t>
      </w:r>
      <w:bookmarkEnd w:id="588"/>
    </w:p>
    <w:p w14:paraId="2C494FE8" w14:textId="6DABD0E7" w:rsidR="00B35ED2" w:rsidRPr="00743217" w:rsidRDefault="00CF734F" w:rsidP="00053BF7">
      <w:pPr>
        <w:pStyle w:val="DHHSbody"/>
      </w:pPr>
      <w:r w:rsidRPr="00CF734F">
        <w:rPr>
          <w:noProof/>
        </w:rPr>
        <w:drawing>
          <wp:inline distT="0" distB="0" distL="0" distR="0" wp14:anchorId="0BE9B904" wp14:editId="7D2AD1DB">
            <wp:extent cx="5979795" cy="3689131"/>
            <wp:effectExtent l="0" t="0" r="1905" b="6985"/>
            <wp:docPr id="290" name="Picture 290" descr="This figure presents data under the 'Measure 8.2 - Proportion of adults who are overweight or obese (self-report)'.  The data for this figure for 2015-2020 and 2022 is available in this section - refer to Tabl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This figure presents data under the 'Measure 8.2 - Proportion of adults who are overweight or obese (self-report)'.  The data for this figure for 2015-2020 and 2022 is available in this section - refer to Table 8.2."/>
                    <pic:cNvPicPr/>
                  </pic:nvPicPr>
                  <pic:blipFill>
                    <a:blip r:embed="rId100"/>
                    <a:stretch>
                      <a:fillRect/>
                    </a:stretch>
                  </pic:blipFill>
                  <pic:spPr>
                    <a:xfrm>
                      <a:off x="0" y="0"/>
                      <a:ext cx="6000959" cy="3702187"/>
                    </a:xfrm>
                    <a:prstGeom prst="rect">
                      <a:avLst/>
                    </a:prstGeom>
                  </pic:spPr>
                </pic:pic>
              </a:graphicData>
            </a:graphic>
          </wp:inline>
        </w:drawing>
      </w:r>
    </w:p>
    <w:p w14:paraId="6D7C14E2" w14:textId="3EC6D4B0" w:rsidR="002E73A7" w:rsidRPr="00CD1209" w:rsidRDefault="002E73A7" w:rsidP="008C38C6">
      <w:pPr>
        <w:pStyle w:val="Tablecaption"/>
        <w:rPr>
          <w:sz w:val="20"/>
        </w:rPr>
      </w:pPr>
      <w:bookmarkStart w:id="589" w:name="_Toc18908738"/>
      <w:bookmarkStart w:id="590" w:name="_Toc132491537"/>
      <w:bookmarkStart w:id="591" w:name="_Toc140834929"/>
      <w:r w:rsidRPr="00CD1209">
        <w:rPr>
          <w:sz w:val="20"/>
        </w:rPr>
        <w:t>Table 8.2</w:t>
      </w:r>
      <w:r w:rsidR="001F7E28" w:rsidRPr="00CD1209">
        <w:rPr>
          <w:sz w:val="20"/>
        </w:rPr>
        <w:t>:</w:t>
      </w:r>
      <w:r w:rsidRPr="00CD1209">
        <w:rPr>
          <w:sz w:val="20"/>
        </w:rPr>
        <w:t xml:space="preserve"> Proportion of Victorian adults</w:t>
      </w:r>
      <w:r w:rsidR="002B1898" w:rsidRPr="00CD1209">
        <w:rPr>
          <w:sz w:val="20"/>
        </w:rPr>
        <w:t xml:space="preserve"> (aged 18 years or older)</w:t>
      </w:r>
      <w:r w:rsidRPr="00CD1209">
        <w:rPr>
          <w:sz w:val="20"/>
        </w:rPr>
        <w:t xml:space="preserve"> who are overweight or obese (self-report)</w:t>
      </w:r>
      <w:r w:rsidR="004917EF" w:rsidRPr="00CD1209">
        <w:rPr>
          <w:sz w:val="20"/>
        </w:rPr>
        <w:t>,</w:t>
      </w:r>
      <w:r w:rsidRPr="00CD1209">
        <w:rPr>
          <w:sz w:val="20"/>
        </w:rPr>
        <w:t xml:space="preserve"> by year, 201</w:t>
      </w:r>
      <w:r w:rsidR="002A5C96" w:rsidRPr="00CD1209">
        <w:rPr>
          <w:sz w:val="20"/>
        </w:rPr>
        <w:t>5</w:t>
      </w:r>
      <w:r w:rsidR="00690CD3" w:rsidRPr="00CD1209">
        <w:rPr>
          <w:sz w:val="20"/>
        </w:rPr>
        <w:t>–</w:t>
      </w:r>
      <w:r w:rsidRPr="00CD1209">
        <w:rPr>
          <w:sz w:val="20"/>
        </w:rPr>
        <w:t>20</w:t>
      </w:r>
      <w:bookmarkEnd w:id="589"/>
      <w:bookmarkEnd w:id="590"/>
      <w:r w:rsidR="00477F7D">
        <w:rPr>
          <w:sz w:val="20"/>
        </w:rPr>
        <w:t>20 and 2022</w:t>
      </w:r>
      <w:bookmarkEnd w:id="591"/>
    </w:p>
    <w:tbl>
      <w:tblPr>
        <w:tblW w:w="10373" w:type="dxa"/>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1145"/>
        <w:gridCol w:w="1267"/>
        <w:gridCol w:w="1266"/>
        <w:gridCol w:w="1487"/>
        <w:gridCol w:w="1302"/>
        <w:gridCol w:w="1302"/>
        <w:gridCol w:w="1302"/>
        <w:gridCol w:w="1302"/>
      </w:tblGrid>
      <w:tr w:rsidR="000A1FF2" w:rsidRPr="000A1FF2" w14:paraId="021CD760" w14:textId="2723DAB8" w:rsidTr="000A1FF2">
        <w:trPr>
          <w:trHeight w:val="279"/>
        </w:trPr>
        <w:tc>
          <w:tcPr>
            <w:tcW w:w="1145" w:type="dxa"/>
            <w:tcBorders>
              <w:bottom w:val="single" w:sz="4" w:space="0" w:color="C00000"/>
            </w:tcBorders>
            <w:shd w:val="clear" w:color="auto" w:fill="EDCDCF"/>
          </w:tcPr>
          <w:p w14:paraId="138B4609" w14:textId="77777777" w:rsidR="000A1FF2" w:rsidRPr="000A1FF2" w:rsidRDefault="000A1FF2" w:rsidP="00F30280">
            <w:pPr>
              <w:pStyle w:val="Tablecolhead"/>
              <w:rPr>
                <w:sz w:val="18"/>
                <w:szCs w:val="18"/>
              </w:rPr>
            </w:pPr>
            <w:r w:rsidRPr="000A1FF2">
              <w:rPr>
                <w:sz w:val="18"/>
                <w:szCs w:val="18"/>
              </w:rPr>
              <w:t>Year</w:t>
            </w:r>
          </w:p>
        </w:tc>
        <w:tc>
          <w:tcPr>
            <w:tcW w:w="1267" w:type="dxa"/>
            <w:tcBorders>
              <w:bottom w:val="single" w:sz="4" w:space="0" w:color="C00000"/>
            </w:tcBorders>
            <w:shd w:val="clear" w:color="auto" w:fill="EDCDCF"/>
          </w:tcPr>
          <w:p w14:paraId="6BDC24A0" w14:textId="77777777" w:rsidR="000A1FF2" w:rsidRPr="000A1FF2" w:rsidRDefault="000A1FF2" w:rsidP="00F30280">
            <w:pPr>
              <w:pStyle w:val="Tablecolhead"/>
              <w:rPr>
                <w:sz w:val="18"/>
                <w:szCs w:val="18"/>
              </w:rPr>
            </w:pPr>
            <w:r w:rsidRPr="000A1FF2">
              <w:rPr>
                <w:sz w:val="18"/>
                <w:szCs w:val="18"/>
              </w:rPr>
              <w:t>2015</w:t>
            </w:r>
          </w:p>
        </w:tc>
        <w:tc>
          <w:tcPr>
            <w:tcW w:w="1266" w:type="dxa"/>
            <w:tcBorders>
              <w:bottom w:val="single" w:sz="4" w:space="0" w:color="C00000"/>
            </w:tcBorders>
            <w:shd w:val="clear" w:color="auto" w:fill="EDCDCF"/>
          </w:tcPr>
          <w:p w14:paraId="7775ED48" w14:textId="77777777" w:rsidR="000A1FF2" w:rsidRPr="000A1FF2" w:rsidRDefault="000A1FF2" w:rsidP="00F30280">
            <w:pPr>
              <w:pStyle w:val="Tablecolhead"/>
              <w:rPr>
                <w:sz w:val="18"/>
                <w:szCs w:val="18"/>
              </w:rPr>
            </w:pPr>
            <w:r w:rsidRPr="000A1FF2">
              <w:rPr>
                <w:sz w:val="18"/>
                <w:szCs w:val="18"/>
              </w:rPr>
              <w:t>2016</w:t>
            </w:r>
          </w:p>
        </w:tc>
        <w:tc>
          <w:tcPr>
            <w:tcW w:w="1487" w:type="dxa"/>
            <w:tcBorders>
              <w:bottom w:val="single" w:sz="4" w:space="0" w:color="C00000"/>
            </w:tcBorders>
            <w:shd w:val="clear" w:color="auto" w:fill="EDCDCF"/>
          </w:tcPr>
          <w:p w14:paraId="0F311021" w14:textId="4D916E17" w:rsidR="000A1FF2" w:rsidRPr="000A1FF2" w:rsidRDefault="000A1FF2" w:rsidP="00F30280">
            <w:pPr>
              <w:pStyle w:val="Tablecolhead"/>
              <w:rPr>
                <w:sz w:val="18"/>
                <w:szCs w:val="18"/>
              </w:rPr>
            </w:pPr>
            <w:r w:rsidRPr="000A1FF2">
              <w:rPr>
                <w:sz w:val="18"/>
                <w:szCs w:val="18"/>
              </w:rPr>
              <w:t>2017</w:t>
            </w:r>
          </w:p>
        </w:tc>
        <w:tc>
          <w:tcPr>
            <w:tcW w:w="1302" w:type="dxa"/>
            <w:tcBorders>
              <w:bottom w:val="single" w:sz="4" w:space="0" w:color="C00000"/>
            </w:tcBorders>
            <w:shd w:val="clear" w:color="auto" w:fill="EDCDCF"/>
          </w:tcPr>
          <w:p w14:paraId="188EC14D" w14:textId="352624AE" w:rsidR="000A1FF2" w:rsidRPr="000A1FF2" w:rsidRDefault="000A1FF2" w:rsidP="00F30280">
            <w:pPr>
              <w:pStyle w:val="Tablecolhead"/>
              <w:rPr>
                <w:sz w:val="18"/>
                <w:szCs w:val="18"/>
              </w:rPr>
            </w:pPr>
            <w:r w:rsidRPr="000A1FF2">
              <w:rPr>
                <w:sz w:val="18"/>
                <w:szCs w:val="18"/>
              </w:rPr>
              <w:t>2018</w:t>
            </w:r>
          </w:p>
        </w:tc>
        <w:tc>
          <w:tcPr>
            <w:tcW w:w="1302" w:type="dxa"/>
            <w:tcBorders>
              <w:bottom w:val="single" w:sz="4" w:space="0" w:color="C00000"/>
            </w:tcBorders>
            <w:shd w:val="clear" w:color="auto" w:fill="EDCDCF"/>
          </w:tcPr>
          <w:p w14:paraId="2368F4B2" w14:textId="44655625" w:rsidR="000A1FF2" w:rsidRPr="000A1FF2" w:rsidRDefault="000A1FF2" w:rsidP="00F30280">
            <w:pPr>
              <w:pStyle w:val="Tablecolhead"/>
              <w:rPr>
                <w:sz w:val="18"/>
                <w:szCs w:val="18"/>
              </w:rPr>
            </w:pPr>
            <w:r w:rsidRPr="000A1FF2">
              <w:rPr>
                <w:sz w:val="18"/>
                <w:szCs w:val="18"/>
              </w:rPr>
              <w:t>2019</w:t>
            </w:r>
          </w:p>
        </w:tc>
        <w:tc>
          <w:tcPr>
            <w:tcW w:w="1302" w:type="dxa"/>
            <w:tcBorders>
              <w:bottom w:val="single" w:sz="4" w:space="0" w:color="C00000"/>
            </w:tcBorders>
            <w:shd w:val="clear" w:color="auto" w:fill="EDCDCF"/>
          </w:tcPr>
          <w:p w14:paraId="6D891315" w14:textId="03CD6E03" w:rsidR="000A1FF2" w:rsidRPr="000A1FF2" w:rsidRDefault="000A1FF2" w:rsidP="00F30280">
            <w:pPr>
              <w:pStyle w:val="Tablecolhead"/>
              <w:rPr>
                <w:sz w:val="18"/>
                <w:szCs w:val="18"/>
              </w:rPr>
            </w:pPr>
            <w:r w:rsidRPr="000A1FF2">
              <w:rPr>
                <w:sz w:val="18"/>
                <w:szCs w:val="18"/>
              </w:rPr>
              <w:t>2020</w:t>
            </w:r>
          </w:p>
        </w:tc>
        <w:tc>
          <w:tcPr>
            <w:tcW w:w="1302" w:type="dxa"/>
            <w:tcBorders>
              <w:bottom w:val="single" w:sz="4" w:space="0" w:color="C00000"/>
            </w:tcBorders>
            <w:shd w:val="clear" w:color="auto" w:fill="EDCDCF"/>
          </w:tcPr>
          <w:p w14:paraId="258A92A0" w14:textId="68F404A9" w:rsidR="000A1FF2" w:rsidRPr="000A1FF2" w:rsidRDefault="000A1FF2" w:rsidP="00F30280">
            <w:pPr>
              <w:pStyle w:val="Tablecolhead"/>
              <w:rPr>
                <w:sz w:val="18"/>
                <w:szCs w:val="18"/>
              </w:rPr>
            </w:pPr>
            <w:r>
              <w:rPr>
                <w:sz w:val="18"/>
                <w:szCs w:val="18"/>
              </w:rPr>
              <w:t>2022</w:t>
            </w:r>
          </w:p>
        </w:tc>
      </w:tr>
      <w:tr w:rsidR="000A1FF2" w:rsidRPr="000A1FF2" w14:paraId="34AC8AB4" w14:textId="5027BD12" w:rsidTr="000A1FF2">
        <w:trPr>
          <w:trHeight w:val="275"/>
        </w:trPr>
        <w:tc>
          <w:tcPr>
            <w:tcW w:w="1145" w:type="dxa"/>
            <w:tcBorders>
              <w:top w:val="single" w:sz="4" w:space="0" w:color="C00000"/>
            </w:tcBorders>
            <w:shd w:val="clear" w:color="auto" w:fill="auto"/>
          </w:tcPr>
          <w:p w14:paraId="277F26DD" w14:textId="77777777" w:rsidR="000A1FF2" w:rsidRPr="000A1FF2" w:rsidRDefault="000A1FF2" w:rsidP="00F30280">
            <w:pPr>
              <w:pStyle w:val="Tabletext"/>
              <w:rPr>
                <w:b/>
                <w:sz w:val="18"/>
                <w:szCs w:val="18"/>
              </w:rPr>
            </w:pPr>
            <w:r w:rsidRPr="000A1FF2">
              <w:rPr>
                <w:sz w:val="18"/>
                <w:szCs w:val="18"/>
              </w:rPr>
              <w:t>Per cent</w:t>
            </w:r>
          </w:p>
        </w:tc>
        <w:tc>
          <w:tcPr>
            <w:tcW w:w="1267" w:type="dxa"/>
            <w:tcBorders>
              <w:top w:val="single" w:sz="4" w:space="0" w:color="C00000"/>
            </w:tcBorders>
            <w:shd w:val="clear" w:color="auto" w:fill="auto"/>
          </w:tcPr>
          <w:p w14:paraId="181E54AD" w14:textId="39ADC336" w:rsidR="000A1FF2" w:rsidRPr="000A1FF2" w:rsidRDefault="000A1FF2" w:rsidP="00F30280">
            <w:pPr>
              <w:pStyle w:val="Tabletext"/>
              <w:rPr>
                <w:sz w:val="18"/>
                <w:szCs w:val="18"/>
              </w:rPr>
            </w:pPr>
            <w:r w:rsidRPr="000A1FF2">
              <w:rPr>
                <w:sz w:val="18"/>
                <w:szCs w:val="18"/>
              </w:rPr>
              <w:t>49.2</w:t>
            </w:r>
          </w:p>
        </w:tc>
        <w:tc>
          <w:tcPr>
            <w:tcW w:w="1266" w:type="dxa"/>
            <w:tcBorders>
              <w:top w:val="single" w:sz="4" w:space="0" w:color="C00000"/>
            </w:tcBorders>
            <w:shd w:val="clear" w:color="auto" w:fill="auto"/>
          </w:tcPr>
          <w:p w14:paraId="5EA32AC4" w14:textId="77777777" w:rsidR="000A1FF2" w:rsidRPr="000A1FF2" w:rsidRDefault="000A1FF2" w:rsidP="00F30280">
            <w:pPr>
              <w:pStyle w:val="Tabletext"/>
              <w:rPr>
                <w:sz w:val="18"/>
                <w:szCs w:val="18"/>
              </w:rPr>
            </w:pPr>
            <w:r w:rsidRPr="000A1FF2">
              <w:rPr>
                <w:sz w:val="18"/>
                <w:szCs w:val="18"/>
              </w:rPr>
              <w:t>49.7</w:t>
            </w:r>
          </w:p>
        </w:tc>
        <w:tc>
          <w:tcPr>
            <w:tcW w:w="1487" w:type="dxa"/>
            <w:tcBorders>
              <w:top w:val="single" w:sz="4" w:space="0" w:color="C00000"/>
            </w:tcBorders>
          </w:tcPr>
          <w:p w14:paraId="2538A975" w14:textId="338B439E" w:rsidR="000A1FF2" w:rsidRPr="000A1FF2" w:rsidRDefault="000A1FF2" w:rsidP="00F30280">
            <w:pPr>
              <w:pStyle w:val="Tabletext"/>
              <w:rPr>
                <w:sz w:val="18"/>
                <w:szCs w:val="18"/>
              </w:rPr>
            </w:pPr>
            <w:r w:rsidRPr="000A1FF2">
              <w:rPr>
                <w:sz w:val="18"/>
                <w:szCs w:val="18"/>
              </w:rPr>
              <w:t>50.8</w:t>
            </w:r>
          </w:p>
        </w:tc>
        <w:tc>
          <w:tcPr>
            <w:tcW w:w="1302" w:type="dxa"/>
            <w:tcBorders>
              <w:top w:val="single" w:sz="4" w:space="0" w:color="C00000"/>
            </w:tcBorders>
          </w:tcPr>
          <w:p w14:paraId="38DD1052" w14:textId="4F2FFE67" w:rsidR="000A1FF2" w:rsidRPr="000A1FF2" w:rsidRDefault="000A1FF2" w:rsidP="00F30280">
            <w:pPr>
              <w:pStyle w:val="Tabletext"/>
              <w:rPr>
                <w:sz w:val="18"/>
                <w:szCs w:val="18"/>
              </w:rPr>
            </w:pPr>
            <w:r w:rsidRPr="000A1FF2">
              <w:rPr>
                <w:sz w:val="18"/>
                <w:szCs w:val="18"/>
              </w:rPr>
              <w:t>51.2</w:t>
            </w:r>
          </w:p>
        </w:tc>
        <w:tc>
          <w:tcPr>
            <w:tcW w:w="1302" w:type="dxa"/>
            <w:tcBorders>
              <w:top w:val="single" w:sz="4" w:space="0" w:color="C00000"/>
            </w:tcBorders>
          </w:tcPr>
          <w:p w14:paraId="2AA69727" w14:textId="3EDEA9B2" w:rsidR="000A1FF2" w:rsidRPr="000A1FF2" w:rsidRDefault="000A1FF2" w:rsidP="00F30280">
            <w:pPr>
              <w:pStyle w:val="Tabletext"/>
              <w:rPr>
                <w:sz w:val="18"/>
                <w:szCs w:val="18"/>
              </w:rPr>
            </w:pPr>
            <w:r w:rsidRPr="000A1FF2">
              <w:rPr>
                <w:sz w:val="18"/>
                <w:szCs w:val="18"/>
              </w:rPr>
              <w:t>51.6</w:t>
            </w:r>
          </w:p>
        </w:tc>
        <w:tc>
          <w:tcPr>
            <w:tcW w:w="1302" w:type="dxa"/>
            <w:tcBorders>
              <w:top w:val="single" w:sz="4" w:space="0" w:color="C00000"/>
            </w:tcBorders>
          </w:tcPr>
          <w:p w14:paraId="34ED3E8A" w14:textId="5924DCDB" w:rsidR="000A1FF2" w:rsidRPr="000A1FF2" w:rsidRDefault="00780F09" w:rsidP="00F30280">
            <w:pPr>
              <w:pStyle w:val="Tabletext"/>
              <w:rPr>
                <w:sz w:val="18"/>
                <w:szCs w:val="18"/>
              </w:rPr>
            </w:pPr>
            <w:r>
              <w:rPr>
                <w:sz w:val="18"/>
                <w:szCs w:val="18"/>
              </w:rPr>
              <w:t>51.0</w:t>
            </w:r>
          </w:p>
        </w:tc>
        <w:tc>
          <w:tcPr>
            <w:tcW w:w="1302" w:type="dxa"/>
            <w:tcBorders>
              <w:top w:val="single" w:sz="4" w:space="0" w:color="C00000"/>
            </w:tcBorders>
          </w:tcPr>
          <w:p w14:paraId="1F8D372E" w14:textId="71702CB8" w:rsidR="000A1FF2" w:rsidRPr="000A1FF2" w:rsidRDefault="00780F09" w:rsidP="00F30280">
            <w:pPr>
              <w:pStyle w:val="Tabletext"/>
              <w:rPr>
                <w:sz w:val="18"/>
                <w:szCs w:val="18"/>
              </w:rPr>
            </w:pPr>
            <w:r>
              <w:rPr>
                <w:sz w:val="18"/>
                <w:szCs w:val="18"/>
              </w:rPr>
              <w:t>56.2</w:t>
            </w:r>
          </w:p>
        </w:tc>
      </w:tr>
      <w:tr w:rsidR="00671897" w:rsidRPr="000A1FF2" w14:paraId="16000A17" w14:textId="078A98CF" w:rsidTr="000A1FF2">
        <w:trPr>
          <w:trHeight w:val="298"/>
        </w:trPr>
        <w:tc>
          <w:tcPr>
            <w:tcW w:w="1145" w:type="dxa"/>
            <w:tcBorders>
              <w:top w:val="single" w:sz="4" w:space="0" w:color="C00000"/>
            </w:tcBorders>
            <w:shd w:val="clear" w:color="auto" w:fill="auto"/>
          </w:tcPr>
          <w:p w14:paraId="5A51EBA3" w14:textId="3A432003" w:rsidR="00671897" w:rsidRPr="000A1FF2" w:rsidRDefault="00671897" w:rsidP="00671897">
            <w:pPr>
              <w:pStyle w:val="Tabletext"/>
              <w:rPr>
                <w:sz w:val="18"/>
                <w:szCs w:val="18"/>
              </w:rPr>
            </w:pPr>
            <w:r w:rsidRPr="000A1FF2">
              <w:rPr>
                <w:sz w:val="18"/>
                <w:szCs w:val="18"/>
              </w:rPr>
              <w:t>(95% CI)</w:t>
            </w:r>
          </w:p>
        </w:tc>
        <w:tc>
          <w:tcPr>
            <w:tcW w:w="1267" w:type="dxa"/>
            <w:tcBorders>
              <w:top w:val="single" w:sz="4" w:space="0" w:color="C00000"/>
            </w:tcBorders>
            <w:shd w:val="clear" w:color="auto" w:fill="auto"/>
          </w:tcPr>
          <w:p w14:paraId="214BDC9A" w14:textId="7348F968" w:rsidR="00671897" w:rsidRPr="000A1FF2" w:rsidRDefault="00671897" w:rsidP="00671897">
            <w:pPr>
              <w:pStyle w:val="Tabletext"/>
              <w:rPr>
                <w:sz w:val="18"/>
                <w:szCs w:val="18"/>
              </w:rPr>
            </w:pPr>
            <w:r w:rsidRPr="000A1FF2">
              <w:rPr>
                <w:sz w:val="18"/>
                <w:szCs w:val="18"/>
              </w:rPr>
              <w:t>(47.7–</w:t>
            </w:r>
            <w:r>
              <w:rPr>
                <w:sz w:val="18"/>
                <w:szCs w:val="18"/>
              </w:rPr>
              <w:t>50</w:t>
            </w:r>
            <w:r w:rsidRPr="000A1FF2">
              <w:rPr>
                <w:sz w:val="18"/>
                <w:szCs w:val="18"/>
              </w:rPr>
              <w:t>.</w:t>
            </w:r>
            <w:r>
              <w:rPr>
                <w:sz w:val="18"/>
                <w:szCs w:val="18"/>
              </w:rPr>
              <w:t>8</w:t>
            </w:r>
            <w:r w:rsidRPr="000A1FF2">
              <w:rPr>
                <w:sz w:val="18"/>
                <w:szCs w:val="18"/>
              </w:rPr>
              <w:t>)</w:t>
            </w:r>
          </w:p>
        </w:tc>
        <w:tc>
          <w:tcPr>
            <w:tcW w:w="1266" w:type="dxa"/>
            <w:tcBorders>
              <w:top w:val="single" w:sz="4" w:space="0" w:color="C00000"/>
            </w:tcBorders>
            <w:shd w:val="clear" w:color="auto" w:fill="auto"/>
          </w:tcPr>
          <w:p w14:paraId="765AD73C" w14:textId="66266F12" w:rsidR="00671897" w:rsidRPr="000A1FF2" w:rsidRDefault="00671897" w:rsidP="00671897">
            <w:pPr>
              <w:pStyle w:val="Tabletext"/>
              <w:rPr>
                <w:sz w:val="18"/>
                <w:szCs w:val="18"/>
              </w:rPr>
            </w:pPr>
            <w:r w:rsidRPr="000A1FF2">
              <w:rPr>
                <w:sz w:val="18"/>
                <w:szCs w:val="18"/>
              </w:rPr>
              <w:t>(48.2–51.2)</w:t>
            </w:r>
          </w:p>
        </w:tc>
        <w:tc>
          <w:tcPr>
            <w:tcW w:w="1487" w:type="dxa"/>
            <w:tcBorders>
              <w:top w:val="single" w:sz="4" w:space="0" w:color="C00000"/>
            </w:tcBorders>
          </w:tcPr>
          <w:p w14:paraId="18C9BC7E" w14:textId="2124666C" w:rsidR="00671897" w:rsidRPr="000A1FF2" w:rsidRDefault="00671897" w:rsidP="00671897">
            <w:pPr>
              <w:pStyle w:val="Tabletext"/>
              <w:rPr>
                <w:sz w:val="18"/>
                <w:szCs w:val="18"/>
              </w:rPr>
            </w:pPr>
            <w:r w:rsidRPr="000A1FF2">
              <w:rPr>
                <w:sz w:val="18"/>
                <w:szCs w:val="18"/>
              </w:rPr>
              <w:t>(49.9–51.7)</w:t>
            </w:r>
          </w:p>
        </w:tc>
        <w:tc>
          <w:tcPr>
            <w:tcW w:w="1302" w:type="dxa"/>
            <w:tcBorders>
              <w:top w:val="single" w:sz="4" w:space="0" w:color="C00000"/>
            </w:tcBorders>
          </w:tcPr>
          <w:p w14:paraId="75847F91" w14:textId="10DADC95" w:rsidR="00671897" w:rsidRPr="000A1FF2" w:rsidRDefault="00671897" w:rsidP="00671897">
            <w:pPr>
              <w:pStyle w:val="Tabletext"/>
              <w:rPr>
                <w:sz w:val="18"/>
                <w:szCs w:val="18"/>
              </w:rPr>
            </w:pPr>
            <w:r w:rsidRPr="000A1FF2">
              <w:rPr>
                <w:sz w:val="18"/>
                <w:szCs w:val="18"/>
              </w:rPr>
              <w:t>(49.6–52.8)</w:t>
            </w:r>
          </w:p>
        </w:tc>
        <w:tc>
          <w:tcPr>
            <w:tcW w:w="1302" w:type="dxa"/>
            <w:tcBorders>
              <w:top w:val="single" w:sz="4" w:space="0" w:color="C00000"/>
            </w:tcBorders>
          </w:tcPr>
          <w:p w14:paraId="55867135" w14:textId="67470B72" w:rsidR="00671897" w:rsidRPr="000A1FF2" w:rsidRDefault="00671897" w:rsidP="00671897">
            <w:pPr>
              <w:pStyle w:val="Tabletext"/>
              <w:rPr>
                <w:sz w:val="18"/>
                <w:szCs w:val="18"/>
              </w:rPr>
            </w:pPr>
            <w:r w:rsidRPr="000A1FF2">
              <w:rPr>
                <w:sz w:val="18"/>
                <w:szCs w:val="18"/>
              </w:rPr>
              <w:t>(50.0–53.2)</w:t>
            </w:r>
          </w:p>
        </w:tc>
        <w:tc>
          <w:tcPr>
            <w:tcW w:w="1302" w:type="dxa"/>
            <w:tcBorders>
              <w:top w:val="single" w:sz="4" w:space="0" w:color="C00000"/>
            </w:tcBorders>
          </w:tcPr>
          <w:p w14:paraId="6636C97B" w14:textId="52C2D518" w:rsidR="00671897" w:rsidRPr="000A1FF2" w:rsidRDefault="00671897" w:rsidP="00671897">
            <w:pPr>
              <w:pStyle w:val="Tabletext"/>
              <w:rPr>
                <w:sz w:val="18"/>
                <w:szCs w:val="18"/>
              </w:rPr>
            </w:pPr>
            <w:r w:rsidRPr="000A1FF2">
              <w:rPr>
                <w:sz w:val="18"/>
                <w:szCs w:val="18"/>
              </w:rPr>
              <w:t>(50.0–5</w:t>
            </w:r>
            <w:r>
              <w:rPr>
                <w:sz w:val="18"/>
                <w:szCs w:val="18"/>
              </w:rPr>
              <w:t>2</w:t>
            </w:r>
            <w:r w:rsidRPr="000A1FF2">
              <w:rPr>
                <w:sz w:val="18"/>
                <w:szCs w:val="18"/>
              </w:rPr>
              <w:t>.</w:t>
            </w:r>
            <w:r>
              <w:rPr>
                <w:sz w:val="18"/>
                <w:szCs w:val="18"/>
              </w:rPr>
              <w:t>0</w:t>
            </w:r>
            <w:r w:rsidRPr="000A1FF2">
              <w:rPr>
                <w:sz w:val="18"/>
                <w:szCs w:val="18"/>
              </w:rPr>
              <w:t>)</w:t>
            </w:r>
          </w:p>
        </w:tc>
        <w:tc>
          <w:tcPr>
            <w:tcW w:w="1302" w:type="dxa"/>
            <w:tcBorders>
              <w:top w:val="single" w:sz="4" w:space="0" w:color="C00000"/>
            </w:tcBorders>
          </w:tcPr>
          <w:p w14:paraId="6B150068" w14:textId="740101C2" w:rsidR="00671897" w:rsidRPr="000A1FF2" w:rsidRDefault="00671897" w:rsidP="00671897">
            <w:pPr>
              <w:pStyle w:val="Tabletext"/>
              <w:rPr>
                <w:sz w:val="18"/>
                <w:szCs w:val="18"/>
              </w:rPr>
            </w:pPr>
            <w:r w:rsidRPr="000A1FF2">
              <w:rPr>
                <w:sz w:val="18"/>
                <w:szCs w:val="18"/>
              </w:rPr>
              <w:t>(5</w:t>
            </w:r>
            <w:r>
              <w:rPr>
                <w:sz w:val="18"/>
                <w:szCs w:val="18"/>
              </w:rPr>
              <w:t>4</w:t>
            </w:r>
            <w:r w:rsidRPr="000A1FF2">
              <w:rPr>
                <w:sz w:val="18"/>
                <w:szCs w:val="18"/>
              </w:rPr>
              <w:t>.</w:t>
            </w:r>
            <w:r>
              <w:rPr>
                <w:sz w:val="18"/>
                <w:szCs w:val="18"/>
              </w:rPr>
              <w:t>8</w:t>
            </w:r>
            <w:r w:rsidRPr="000A1FF2">
              <w:rPr>
                <w:sz w:val="18"/>
                <w:szCs w:val="18"/>
              </w:rPr>
              <w:t>–5</w:t>
            </w:r>
            <w:r>
              <w:rPr>
                <w:sz w:val="18"/>
                <w:szCs w:val="18"/>
              </w:rPr>
              <w:t>7</w:t>
            </w:r>
            <w:r w:rsidRPr="000A1FF2">
              <w:rPr>
                <w:sz w:val="18"/>
                <w:szCs w:val="18"/>
              </w:rPr>
              <w:t>.</w:t>
            </w:r>
            <w:r>
              <w:rPr>
                <w:sz w:val="18"/>
                <w:szCs w:val="18"/>
              </w:rPr>
              <w:t>6</w:t>
            </w:r>
            <w:r w:rsidRPr="000A1FF2">
              <w:rPr>
                <w:sz w:val="18"/>
                <w:szCs w:val="18"/>
              </w:rPr>
              <w:t>)</w:t>
            </w:r>
          </w:p>
        </w:tc>
      </w:tr>
    </w:tbl>
    <w:p w14:paraId="1A8FE069" w14:textId="2FE25B7D" w:rsidR="009C1061" w:rsidRPr="00552CA4" w:rsidRDefault="00527E45" w:rsidP="00E434BC">
      <w:pPr>
        <w:pStyle w:val="Tablefigurenote"/>
        <w:rPr>
          <w:i/>
          <w:iCs/>
          <w:sz w:val="18"/>
          <w:szCs w:val="18"/>
        </w:rPr>
      </w:pPr>
      <w:r w:rsidRPr="00552CA4">
        <w:rPr>
          <w:i/>
          <w:iCs/>
          <w:sz w:val="18"/>
          <w:szCs w:val="18"/>
        </w:rPr>
        <w:t>Source</w:t>
      </w:r>
      <w:r w:rsidR="00A451D4" w:rsidRPr="00552CA4">
        <w:rPr>
          <w:i/>
          <w:iCs/>
          <w:sz w:val="18"/>
          <w:szCs w:val="18"/>
        </w:rPr>
        <w:t>s</w:t>
      </w:r>
      <w:r w:rsidRPr="00552CA4">
        <w:rPr>
          <w:i/>
          <w:iCs/>
          <w:sz w:val="18"/>
          <w:szCs w:val="18"/>
        </w:rPr>
        <w:t>: Victorian Population Health Survey</w:t>
      </w:r>
      <w:r w:rsidR="00AC1118" w:rsidRPr="00552CA4">
        <w:rPr>
          <w:i/>
          <w:iCs/>
          <w:sz w:val="18"/>
          <w:szCs w:val="18"/>
        </w:rPr>
        <w:t>s</w:t>
      </w:r>
      <w:r w:rsidRPr="00552CA4">
        <w:rPr>
          <w:i/>
          <w:iCs/>
          <w:sz w:val="18"/>
          <w:szCs w:val="18"/>
        </w:rPr>
        <w:t xml:space="preserve"> 201</w:t>
      </w:r>
      <w:r w:rsidR="0055499D" w:rsidRPr="00552CA4">
        <w:rPr>
          <w:i/>
          <w:iCs/>
          <w:sz w:val="18"/>
          <w:szCs w:val="18"/>
        </w:rPr>
        <w:t>5</w:t>
      </w:r>
      <w:r w:rsidR="00690CD3" w:rsidRPr="00552CA4">
        <w:rPr>
          <w:i/>
          <w:iCs/>
          <w:sz w:val="18"/>
          <w:szCs w:val="18"/>
        </w:rPr>
        <w:t>–</w:t>
      </w:r>
      <w:r w:rsidRPr="00552CA4">
        <w:rPr>
          <w:i/>
          <w:iCs/>
          <w:sz w:val="18"/>
          <w:szCs w:val="18"/>
        </w:rPr>
        <w:t>20</w:t>
      </w:r>
      <w:r w:rsidR="00477F7D" w:rsidRPr="00552CA4">
        <w:rPr>
          <w:i/>
          <w:iCs/>
          <w:sz w:val="18"/>
          <w:szCs w:val="18"/>
        </w:rPr>
        <w:t>20 and 2022</w:t>
      </w:r>
    </w:p>
    <w:p w14:paraId="19DC8BAD" w14:textId="0ADD16FD" w:rsidR="00552CA4" w:rsidRPr="00552CA4" w:rsidRDefault="00552CA4" w:rsidP="00E434BC">
      <w:pPr>
        <w:pStyle w:val="Tablefigurenote"/>
        <w:rPr>
          <w:rFonts w:cs="Arial"/>
          <w:i/>
          <w:iCs/>
          <w:sz w:val="18"/>
          <w:szCs w:val="18"/>
        </w:rPr>
      </w:pPr>
      <w:r w:rsidRPr="000322A7">
        <w:rPr>
          <w:i/>
          <w:iCs/>
          <w:sz w:val="18"/>
          <w:szCs w:val="18"/>
        </w:rPr>
        <w:t xml:space="preserve">Note that </w:t>
      </w:r>
      <w:r w:rsidRPr="000322A7">
        <w:rPr>
          <w:rFonts w:cs="Arial"/>
          <w:i/>
          <w:iCs/>
          <w:sz w:val="18"/>
          <w:szCs w:val="18"/>
        </w:rPr>
        <w:t>the Victorian Population Health Survey was cancelled in 2021</w:t>
      </w:r>
      <w:r w:rsidRPr="000322A7">
        <w:rPr>
          <w:i/>
          <w:iCs/>
          <w:sz w:val="18"/>
          <w:szCs w:val="18"/>
        </w:rPr>
        <w:t xml:space="preserve"> due to the COVID-19 pandemic</w:t>
      </w:r>
      <w:r w:rsidRPr="000322A7">
        <w:rPr>
          <w:rFonts w:cs="Arial"/>
          <w:i/>
          <w:iCs/>
          <w:sz w:val="18"/>
          <w:szCs w:val="18"/>
        </w:rPr>
        <w:t>.</w:t>
      </w:r>
    </w:p>
    <w:p w14:paraId="64DF9158" w14:textId="0FD7DD82" w:rsidR="001F5C93" w:rsidRPr="001F5C93" w:rsidRDefault="00475558" w:rsidP="007C7F00">
      <w:pPr>
        <w:pStyle w:val="Heading4"/>
      </w:pPr>
      <w:r w:rsidRPr="00475558">
        <w:t>Measure assessment</w:t>
      </w:r>
    </w:p>
    <w:p w14:paraId="5E91C12D" w14:textId="77777777" w:rsidR="00671897" w:rsidRPr="00CF6F8C" w:rsidRDefault="00671897" w:rsidP="00671897">
      <w:pPr>
        <w:pStyle w:val="Body"/>
      </w:pPr>
      <w:r w:rsidRPr="005B389F">
        <w:t>Traffic light rating:</w:t>
      </w:r>
      <w:r w:rsidRPr="00B504AD">
        <w:rPr>
          <w:color w:val="AF272F"/>
        </w:rPr>
        <w:t xml:space="preserve"> </w:t>
      </w:r>
      <w:r w:rsidRPr="00B504AD">
        <w:rPr>
          <w:b/>
          <w:color w:val="AF272F"/>
        </w:rPr>
        <w:t xml:space="preserve">Red </w:t>
      </w:r>
      <w:r w:rsidRPr="00CF6F8C">
        <w:t>(result is of concern)</w:t>
      </w:r>
    </w:p>
    <w:p w14:paraId="18ACCCDE" w14:textId="77777777" w:rsidR="00671897" w:rsidRPr="005B389F" w:rsidRDefault="00671897" w:rsidP="00671897">
      <w:pPr>
        <w:pStyle w:val="Body"/>
      </w:pPr>
      <w:r w:rsidRPr="005B389F">
        <w:t>Overall trend: Not moving in the right direction</w:t>
      </w:r>
    </w:p>
    <w:p w14:paraId="329E8497" w14:textId="2756CD86" w:rsidR="009B17F6" w:rsidRDefault="00475558" w:rsidP="00E87AAA">
      <w:pPr>
        <w:pStyle w:val="Body"/>
      </w:pPr>
      <w:r>
        <w:t xml:space="preserve">Commentary: </w:t>
      </w:r>
      <w:r w:rsidR="00E25C6D">
        <w:t>A target has not been set for this measure; however,</w:t>
      </w:r>
      <w:r w:rsidR="00203EDE">
        <w:t xml:space="preserve"> </w:t>
      </w:r>
      <w:r w:rsidR="00E25C6D">
        <w:t>t</w:t>
      </w:r>
      <w:r w:rsidR="00203EDE">
        <w:t xml:space="preserve">he lack of reduction in the proportion of adults </w:t>
      </w:r>
      <w:r w:rsidR="00596F5A">
        <w:t xml:space="preserve">who </w:t>
      </w:r>
      <w:r w:rsidR="00203EDE">
        <w:t xml:space="preserve">self-report being overweight </w:t>
      </w:r>
      <w:r w:rsidR="00A451D4">
        <w:t xml:space="preserve">or </w:t>
      </w:r>
      <w:r w:rsidR="00203EDE">
        <w:t>obese is of major concern given the significant risks that this poses to individual health and the burden across the health and social care systems</w:t>
      </w:r>
      <w:r w:rsidR="002B025B">
        <w:t xml:space="preserve">. </w:t>
      </w:r>
      <w:r w:rsidR="002A5C96">
        <w:t xml:space="preserve">Figure </w:t>
      </w:r>
      <w:r w:rsidR="00A451D4">
        <w:t xml:space="preserve">8.2 </w:t>
      </w:r>
      <w:r w:rsidR="002A5C96">
        <w:t xml:space="preserve">and Table 8.2 show the proportion of Victorian adults who were overweight or obese was </w:t>
      </w:r>
      <w:r w:rsidR="00671897">
        <w:t>49.2</w:t>
      </w:r>
      <w:r w:rsidR="002A5C96">
        <w:t>.8</w:t>
      </w:r>
      <w:r w:rsidR="0054537F">
        <w:t>%</w:t>
      </w:r>
      <w:r w:rsidR="002A5C96">
        <w:t xml:space="preserve"> in 2015</w:t>
      </w:r>
      <w:r w:rsidR="00A451D4">
        <w:t>,</w:t>
      </w:r>
      <w:r w:rsidR="002A5C96">
        <w:t xml:space="preserve"> which </w:t>
      </w:r>
      <w:r w:rsidR="00743217">
        <w:t>increased to 5</w:t>
      </w:r>
      <w:r w:rsidR="00671897">
        <w:t>6</w:t>
      </w:r>
      <w:r w:rsidR="00743217">
        <w:t>.</w:t>
      </w:r>
      <w:r w:rsidR="00671897">
        <w:t>2</w:t>
      </w:r>
      <w:r w:rsidR="0054537F">
        <w:t>%</w:t>
      </w:r>
      <w:r w:rsidR="00743217">
        <w:t xml:space="preserve"> in 20</w:t>
      </w:r>
      <w:r w:rsidR="00671897">
        <w:t>22</w:t>
      </w:r>
      <w:r w:rsidR="002B025B">
        <w:t xml:space="preserve">. To add further cause for </w:t>
      </w:r>
      <w:r w:rsidR="00B77C80">
        <w:t>concern</w:t>
      </w:r>
      <w:r w:rsidR="002B025B">
        <w:t>, it is known that self-reported measures significantly under</w:t>
      </w:r>
      <w:r w:rsidR="00B77C80">
        <w:t>estimate the prevalence of obesity</w:t>
      </w:r>
      <w:r w:rsidR="008D3D4D">
        <w:rPr>
          <w:rStyle w:val="FootnoteReference"/>
          <w:lang w:eastAsia="en-AU"/>
        </w:rPr>
        <w:footnoteReference w:id="115"/>
      </w:r>
      <w:r w:rsidR="00656FE9">
        <w:t xml:space="preserve"> (refer to the data reported under Measure 8.1).</w:t>
      </w:r>
    </w:p>
    <w:p w14:paraId="36041A82" w14:textId="52A2D628" w:rsidR="0028681D" w:rsidRPr="00FA33C3" w:rsidRDefault="0028681D" w:rsidP="00A451D4">
      <w:pPr>
        <w:pStyle w:val="Heading3"/>
        <w:rPr>
          <w:rStyle w:val="Heading3Char"/>
          <w:b/>
          <w:bCs/>
        </w:rPr>
      </w:pPr>
      <w:bookmarkStart w:id="592" w:name="_Measure_8.3_–"/>
      <w:bookmarkEnd w:id="592"/>
      <w:r w:rsidRPr="00FA33C3">
        <w:rPr>
          <w:rStyle w:val="Heading3Char"/>
          <w:b/>
          <w:bCs/>
        </w:rPr>
        <w:lastRenderedPageBreak/>
        <w:t>Measure 8.3 –</w:t>
      </w:r>
      <w:r w:rsidR="005940FC" w:rsidRPr="00FA33C3">
        <w:rPr>
          <w:rStyle w:val="Heading3Char"/>
          <w:b/>
          <w:bCs/>
        </w:rPr>
        <w:t xml:space="preserve"> </w:t>
      </w:r>
      <w:bookmarkStart w:id="593" w:name="_Hlk111621804"/>
      <w:r w:rsidR="005940FC" w:rsidRPr="00FA33C3">
        <w:rPr>
          <w:rStyle w:val="Heading3Char"/>
          <w:b/>
          <w:bCs/>
        </w:rPr>
        <w:t>Proportion of children 5</w:t>
      </w:r>
      <w:r w:rsidR="00CA2AD7" w:rsidRPr="00FA33C3">
        <w:rPr>
          <w:rStyle w:val="Heading3Char"/>
          <w:b/>
          <w:bCs/>
        </w:rPr>
        <w:t>–</w:t>
      </w:r>
      <w:r w:rsidR="005940FC" w:rsidRPr="00FA33C3">
        <w:rPr>
          <w:rStyle w:val="Heading3Char"/>
          <w:b/>
          <w:bCs/>
        </w:rPr>
        <w:t>17 years who are overweight or obese (measured)</w:t>
      </w:r>
    </w:p>
    <w:p w14:paraId="042A7A3E" w14:textId="447F6423" w:rsidR="00002B0A" w:rsidRPr="00CD1209" w:rsidRDefault="000858D8" w:rsidP="00542C63">
      <w:pPr>
        <w:pStyle w:val="Figurecaption"/>
        <w:rPr>
          <w:sz w:val="20"/>
        </w:rPr>
      </w:pPr>
      <w:bookmarkStart w:id="594" w:name="_Toc19008089"/>
      <w:bookmarkStart w:id="595" w:name="_Toc19008321"/>
      <w:bookmarkStart w:id="596" w:name="_Toc19008468"/>
      <w:bookmarkStart w:id="597" w:name="_Toc19008615"/>
      <w:bookmarkStart w:id="598" w:name="_Toc132553045"/>
      <w:bookmarkStart w:id="599" w:name="_Toc140827656"/>
      <w:bookmarkEnd w:id="593"/>
      <w:r w:rsidRPr="00CD1209">
        <w:rPr>
          <w:sz w:val="20"/>
        </w:rPr>
        <w:t>Figure 8.3</w:t>
      </w:r>
      <w:r w:rsidR="003B391F" w:rsidRPr="00CD1209">
        <w:rPr>
          <w:sz w:val="20"/>
        </w:rPr>
        <w:t>:</w:t>
      </w:r>
      <w:r w:rsidRPr="00CD1209">
        <w:rPr>
          <w:sz w:val="20"/>
        </w:rPr>
        <w:t xml:space="preserve"> Proportion of Australian children </w:t>
      </w:r>
      <w:r w:rsidR="004917EF" w:rsidRPr="00CD1209">
        <w:rPr>
          <w:sz w:val="20"/>
        </w:rPr>
        <w:t xml:space="preserve">aged </w:t>
      </w:r>
      <w:r w:rsidRPr="00CD1209">
        <w:rPr>
          <w:sz w:val="20"/>
        </w:rPr>
        <w:t>5</w:t>
      </w:r>
      <w:r w:rsidR="00CA2AD7" w:rsidRPr="00CD1209">
        <w:rPr>
          <w:sz w:val="20"/>
        </w:rPr>
        <w:t>–</w:t>
      </w:r>
      <w:r w:rsidRPr="00CD1209">
        <w:rPr>
          <w:sz w:val="20"/>
        </w:rPr>
        <w:t>17 years who are overweight or obese (measured)</w:t>
      </w:r>
      <w:r w:rsidR="004917EF" w:rsidRPr="00CD1209">
        <w:rPr>
          <w:sz w:val="20"/>
        </w:rPr>
        <w:t>,</w:t>
      </w:r>
      <w:r w:rsidRPr="00CD1209">
        <w:rPr>
          <w:sz w:val="20"/>
        </w:rPr>
        <w:t xml:space="preserve"> by year, 1995</w:t>
      </w:r>
      <w:r w:rsidR="00D25B12" w:rsidRPr="00CD1209">
        <w:rPr>
          <w:sz w:val="20"/>
        </w:rPr>
        <w:t xml:space="preserve"> to </w:t>
      </w:r>
      <w:r w:rsidRPr="00CD1209">
        <w:rPr>
          <w:sz w:val="20"/>
        </w:rPr>
        <w:t>201</w:t>
      </w:r>
      <w:r w:rsidR="00697260" w:rsidRPr="00CD1209">
        <w:rPr>
          <w:sz w:val="20"/>
        </w:rPr>
        <w:t>7</w:t>
      </w:r>
      <w:r w:rsidR="00CA2AD7" w:rsidRPr="00CD1209">
        <w:rPr>
          <w:sz w:val="20"/>
        </w:rPr>
        <w:t>–</w:t>
      </w:r>
      <w:r w:rsidRPr="00CD1209">
        <w:rPr>
          <w:sz w:val="20"/>
        </w:rPr>
        <w:t>1</w:t>
      </w:r>
      <w:r w:rsidR="00697260" w:rsidRPr="00CD1209">
        <w:rPr>
          <w:sz w:val="20"/>
        </w:rPr>
        <w:t>8</w:t>
      </w:r>
      <w:bookmarkEnd w:id="594"/>
      <w:bookmarkEnd w:id="595"/>
      <w:bookmarkEnd w:id="596"/>
      <w:bookmarkEnd w:id="597"/>
      <w:bookmarkEnd w:id="598"/>
      <w:bookmarkEnd w:id="599"/>
    </w:p>
    <w:p w14:paraId="67630774" w14:textId="38B3028B" w:rsidR="00697260" w:rsidRPr="00697260" w:rsidRDefault="00697260" w:rsidP="00E87AAA">
      <w:pPr>
        <w:pStyle w:val="Body"/>
      </w:pPr>
      <w:r>
        <w:rPr>
          <w:noProof/>
        </w:rPr>
        <w:drawing>
          <wp:inline distT="0" distB="0" distL="0" distR="0" wp14:anchorId="4675566D" wp14:editId="630129A2">
            <wp:extent cx="5807016" cy="4501167"/>
            <wp:effectExtent l="0" t="0" r="3810" b="0"/>
            <wp:docPr id="29" name="Picture 29" descr="This figure sits under the heading 'Measure 8.3 - Proportion of children 5–17 years who are overweight or obese (measured)'.  Its presents data on the proportion of Australian children aged 5–17 years who are overweight or obese (measured), by year, 1995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his figure sits under the heading 'Measure 8.3 - Proportion of children 5–17 years who are overweight or obese (measured)'.  Its presents data on the proportion of Australian children aged 5–17 years who are overweight or obese (measured), by year, 1995 to 2017–18."/>
                    <pic:cNvPicPr/>
                  </pic:nvPicPr>
                  <pic:blipFill>
                    <a:blip r:embed="rId101"/>
                    <a:stretch>
                      <a:fillRect/>
                    </a:stretch>
                  </pic:blipFill>
                  <pic:spPr>
                    <a:xfrm>
                      <a:off x="0" y="0"/>
                      <a:ext cx="5827862" cy="4517325"/>
                    </a:xfrm>
                    <a:prstGeom prst="rect">
                      <a:avLst/>
                    </a:prstGeom>
                  </pic:spPr>
                </pic:pic>
              </a:graphicData>
            </a:graphic>
          </wp:inline>
        </w:drawing>
      </w:r>
    </w:p>
    <w:p w14:paraId="5F184B6D" w14:textId="563DAD00" w:rsidR="00002B0A" w:rsidRDefault="00002B0A" w:rsidP="00E87AAA">
      <w:pPr>
        <w:pStyle w:val="Body"/>
      </w:pPr>
    </w:p>
    <w:p w14:paraId="3979E88D" w14:textId="6E039D56" w:rsidR="006133D8" w:rsidRPr="00CD1209" w:rsidRDefault="000858D8" w:rsidP="00660649">
      <w:pPr>
        <w:pStyle w:val="Tablefigurenote"/>
        <w:rPr>
          <w:i/>
          <w:iCs/>
          <w:sz w:val="18"/>
          <w:szCs w:val="18"/>
        </w:rPr>
      </w:pPr>
      <w:r w:rsidRPr="00CD1209">
        <w:rPr>
          <w:i/>
          <w:iCs/>
          <w:sz w:val="18"/>
          <w:szCs w:val="18"/>
        </w:rPr>
        <w:t>Source:</w:t>
      </w:r>
      <w:r w:rsidR="00FF439D" w:rsidRPr="00CD1209">
        <w:rPr>
          <w:i/>
          <w:iCs/>
          <w:sz w:val="18"/>
          <w:szCs w:val="18"/>
        </w:rPr>
        <w:t xml:space="preserve"> Australian Institute of Health and Welfare</w:t>
      </w:r>
    </w:p>
    <w:p w14:paraId="306CA417" w14:textId="09272682" w:rsidR="00062B22" w:rsidRDefault="00FC7273" w:rsidP="00542C63">
      <w:pPr>
        <w:pStyle w:val="Figurecaption"/>
        <w:rPr>
          <w:sz w:val="20"/>
        </w:rPr>
      </w:pPr>
      <w:bookmarkStart w:id="600" w:name="_Toc19008090"/>
      <w:bookmarkStart w:id="601" w:name="_Toc19008322"/>
      <w:bookmarkStart w:id="602" w:name="_Toc19008469"/>
      <w:bookmarkStart w:id="603" w:name="_Toc19008616"/>
      <w:bookmarkStart w:id="604" w:name="_Toc132553046"/>
      <w:bookmarkStart w:id="605" w:name="_Toc140827657"/>
      <w:r w:rsidRPr="00CD1209">
        <w:rPr>
          <w:sz w:val="20"/>
        </w:rPr>
        <w:lastRenderedPageBreak/>
        <w:t>Figure 8.3</w:t>
      </w:r>
      <w:r w:rsidR="000858D8" w:rsidRPr="00CD1209">
        <w:rPr>
          <w:sz w:val="20"/>
        </w:rPr>
        <w:t>.1</w:t>
      </w:r>
      <w:r w:rsidR="003B391F" w:rsidRPr="00CD1209">
        <w:rPr>
          <w:sz w:val="20"/>
        </w:rPr>
        <w:t>:</w:t>
      </w:r>
      <w:r w:rsidRPr="00CD1209">
        <w:rPr>
          <w:sz w:val="20"/>
        </w:rPr>
        <w:t xml:space="preserve"> Proportion of </w:t>
      </w:r>
      <w:r w:rsidR="00002B0A" w:rsidRPr="00CD1209">
        <w:rPr>
          <w:sz w:val="20"/>
        </w:rPr>
        <w:t xml:space="preserve">Victorian </w:t>
      </w:r>
      <w:r w:rsidRPr="00CD1209">
        <w:rPr>
          <w:sz w:val="20"/>
        </w:rPr>
        <w:t xml:space="preserve">children </w:t>
      </w:r>
      <w:r w:rsidR="00596F5A" w:rsidRPr="00CD1209">
        <w:rPr>
          <w:sz w:val="20"/>
        </w:rPr>
        <w:t xml:space="preserve">aged </w:t>
      </w:r>
      <w:r w:rsidRPr="00CD1209">
        <w:rPr>
          <w:sz w:val="20"/>
        </w:rPr>
        <w:t>5</w:t>
      </w:r>
      <w:r w:rsidR="00CA2AD7" w:rsidRPr="00CD1209">
        <w:rPr>
          <w:sz w:val="20"/>
        </w:rPr>
        <w:t>–</w:t>
      </w:r>
      <w:r w:rsidRPr="00CD1209">
        <w:rPr>
          <w:sz w:val="20"/>
        </w:rPr>
        <w:t>17 years who are overweight or obese (measured)</w:t>
      </w:r>
      <w:r w:rsidR="00596F5A" w:rsidRPr="00CD1209">
        <w:rPr>
          <w:sz w:val="20"/>
        </w:rPr>
        <w:t>,</w:t>
      </w:r>
      <w:r w:rsidR="000858D8" w:rsidRPr="00CD1209">
        <w:rPr>
          <w:sz w:val="20"/>
        </w:rPr>
        <w:t xml:space="preserve"> by year</w:t>
      </w:r>
      <w:r w:rsidR="00596F5A" w:rsidRPr="00CD1209">
        <w:rPr>
          <w:sz w:val="20"/>
        </w:rPr>
        <w:t>,</w:t>
      </w:r>
      <w:r w:rsidR="00942682" w:rsidRPr="00CD1209">
        <w:rPr>
          <w:sz w:val="20"/>
        </w:rPr>
        <w:t xml:space="preserve"> 2011</w:t>
      </w:r>
      <w:r w:rsidR="00CA2AD7" w:rsidRPr="00CD1209">
        <w:rPr>
          <w:sz w:val="20"/>
        </w:rPr>
        <w:t>–</w:t>
      </w:r>
      <w:r w:rsidR="00ED63C9" w:rsidRPr="00CD1209">
        <w:rPr>
          <w:sz w:val="20"/>
        </w:rPr>
        <w:t>12</w:t>
      </w:r>
      <w:r w:rsidR="0022057C" w:rsidRPr="00CD1209">
        <w:rPr>
          <w:sz w:val="20"/>
        </w:rPr>
        <w:t>,</w:t>
      </w:r>
      <w:r w:rsidR="00ED63C9" w:rsidRPr="00CD1209">
        <w:rPr>
          <w:sz w:val="20"/>
        </w:rPr>
        <w:t xml:space="preserve"> 2014</w:t>
      </w:r>
      <w:r w:rsidR="00CA2AD7" w:rsidRPr="00CD1209">
        <w:rPr>
          <w:sz w:val="20"/>
        </w:rPr>
        <w:t>–</w:t>
      </w:r>
      <w:r w:rsidR="00942682" w:rsidRPr="00CD1209">
        <w:rPr>
          <w:sz w:val="20"/>
        </w:rPr>
        <w:t>15</w:t>
      </w:r>
      <w:bookmarkEnd w:id="600"/>
      <w:bookmarkEnd w:id="601"/>
      <w:bookmarkEnd w:id="602"/>
      <w:bookmarkEnd w:id="603"/>
      <w:r w:rsidR="0022057C" w:rsidRPr="00CD1209">
        <w:rPr>
          <w:sz w:val="20"/>
        </w:rPr>
        <w:t xml:space="preserve"> and 2017–18</w:t>
      </w:r>
      <w:bookmarkEnd w:id="604"/>
      <w:bookmarkEnd w:id="605"/>
    </w:p>
    <w:p w14:paraId="7A2AEC01" w14:textId="179DAD20" w:rsidR="00B20A97" w:rsidRPr="00B61DA2" w:rsidRDefault="00CF734F" w:rsidP="00CF734F">
      <w:pPr>
        <w:pStyle w:val="DHHSbody"/>
      </w:pPr>
      <w:r w:rsidRPr="00CF734F">
        <w:rPr>
          <w:noProof/>
        </w:rPr>
        <w:drawing>
          <wp:inline distT="0" distB="0" distL="0" distR="0" wp14:anchorId="30DD0076" wp14:editId="392D3D83">
            <wp:extent cx="5864772" cy="3066615"/>
            <wp:effectExtent l="0" t="0" r="3175" b="635"/>
            <wp:docPr id="310" name="Picture 310" descr="This figure presents data under the 'Measure 8.3 - Proportion of children 5–17 years who are overweight or obese (measured)'.  Specifically this figure shows the proportion of Victorian children aged 5–17 years who are overweight or obese (measured), by year, 2011–12, 2014–15 and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This figure presents data under the 'Measure 8.3 - Proportion of children 5–17 years who are overweight or obese (measured)'.  Specifically this figure shows the proportion of Victorian children aged 5–17 years who are overweight or obese (measured), by year, 2011–12, 2014–15 and 2017–18."/>
                    <pic:cNvPicPr/>
                  </pic:nvPicPr>
                  <pic:blipFill>
                    <a:blip r:embed="rId102"/>
                    <a:stretch>
                      <a:fillRect/>
                    </a:stretch>
                  </pic:blipFill>
                  <pic:spPr>
                    <a:xfrm>
                      <a:off x="0" y="0"/>
                      <a:ext cx="5886289" cy="3077866"/>
                    </a:xfrm>
                    <a:prstGeom prst="rect">
                      <a:avLst/>
                    </a:prstGeom>
                  </pic:spPr>
                </pic:pic>
              </a:graphicData>
            </a:graphic>
          </wp:inline>
        </w:drawing>
      </w:r>
    </w:p>
    <w:p w14:paraId="309C3357" w14:textId="77777777" w:rsidR="00174322" w:rsidRPr="00CD1209" w:rsidRDefault="00174322" w:rsidP="00174322">
      <w:pPr>
        <w:pStyle w:val="Tablefigurenote"/>
        <w:rPr>
          <w:i/>
          <w:iCs/>
          <w:sz w:val="18"/>
          <w:szCs w:val="18"/>
        </w:rPr>
      </w:pPr>
      <w:r w:rsidRPr="00CD1209">
        <w:rPr>
          <w:i/>
          <w:iCs/>
          <w:sz w:val="18"/>
          <w:szCs w:val="18"/>
        </w:rPr>
        <w:t xml:space="preserve">Sources: </w:t>
      </w:r>
      <w:r w:rsidRPr="00CD1209">
        <w:rPr>
          <w:i/>
          <w:iCs/>
          <w:sz w:val="18"/>
          <w:szCs w:val="18"/>
          <w:lang w:val="en"/>
        </w:rPr>
        <w:t xml:space="preserve">ABS Australian Health Surveys 2011–12 </w:t>
      </w:r>
      <w:r w:rsidRPr="00CD1209">
        <w:rPr>
          <w:i/>
          <w:iCs/>
          <w:sz w:val="18"/>
          <w:szCs w:val="18"/>
        </w:rPr>
        <w:t>(</w:t>
      </w:r>
      <w:r w:rsidRPr="00CD1209">
        <w:rPr>
          <w:bCs/>
          <w:i/>
          <w:iCs/>
          <w:sz w:val="18"/>
          <w:szCs w:val="18"/>
        </w:rPr>
        <w:t>4364.0.55.001),</w:t>
      </w:r>
      <w:r w:rsidRPr="00CD1209">
        <w:rPr>
          <w:i/>
          <w:iCs/>
          <w:sz w:val="18"/>
          <w:szCs w:val="18"/>
          <w:lang w:val="en"/>
        </w:rPr>
        <w:t xml:space="preserve"> 2014–15 (4364.0)</w:t>
      </w:r>
      <w:r w:rsidRPr="00CD1209">
        <w:rPr>
          <w:i/>
          <w:iCs/>
          <w:sz w:val="18"/>
          <w:szCs w:val="18"/>
        </w:rPr>
        <w:t xml:space="preserve"> and 2017–18</w:t>
      </w:r>
    </w:p>
    <w:p w14:paraId="2D6A4D7B" w14:textId="1200F3F0" w:rsidR="008D0C5E" w:rsidRPr="00CD1209" w:rsidRDefault="008D0C5E" w:rsidP="00E434BC">
      <w:pPr>
        <w:pStyle w:val="Tablefigurenote"/>
        <w:rPr>
          <w:i/>
          <w:iCs/>
          <w:sz w:val="18"/>
          <w:szCs w:val="18"/>
        </w:rPr>
      </w:pPr>
      <w:r w:rsidRPr="00CD1209">
        <w:rPr>
          <w:i/>
          <w:iCs/>
          <w:sz w:val="18"/>
          <w:szCs w:val="18"/>
        </w:rPr>
        <w:t xml:space="preserve">Note: BMI data between the </w:t>
      </w:r>
      <w:r w:rsidR="00174322" w:rsidRPr="00CD1209">
        <w:rPr>
          <w:i/>
          <w:iCs/>
          <w:sz w:val="18"/>
          <w:szCs w:val="18"/>
        </w:rPr>
        <w:t>three</w:t>
      </w:r>
      <w:r w:rsidRPr="00CD1209">
        <w:rPr>
          <w:i/>
          <w:iCs/>
          <w:sz w:val="18"/>
          <w:szCs w:val="18"/>
        </w:rPr>
        <w:t xml:space="preserve"> survey years is comparable.</w:t>
      </w:r>
    </w:p>
    <w:p w14:paraId="4A271725" w14:textId="77FB00C6" w:rsidR="00D52C6C" w:rsidRPr="00D52C6C" w:rsidRDefault="00D52C6C" w:rsidP="007C7F00">
      <w:pPr>
        <w:pStyle w:val="Heading4"/>
      </w:pPr>
      <w:r w:rsidRPr="00D52C6C">
        <w:t>Measure assessment</w:t>
      </w:r>
    </w:p>
    <w:p w14:paraId="3E7633E8" w14:textId="78A9D7B5" w:rsidR="0097280A" w:rsidRPr="00FA2360" w:rsidRDefault="00D52C6C" w:rsidP="00606436">
      <w:pPr>
        <w:pStyle w:val="Body"/>
      </w:pPr>
      <w:r w:rsidRPr="0097280A">
        <w:t>Traffic light rating:</w:t>
      </w:r>
      <w:r w:rsidR="00952FC7" w:rsidRPr="0097280A">
        <w:t xml:space="preserve"> </w:t>
      </w:r>
      <w:r w:rsidR="00FA2360" w:rsidRPr="00D207B2">
        <w:rPr>
          <w:b/>
          <w:color w:val="007B4B"/>
        </w:rPr>
        <w:t>Green</w:t>
      </w:r>
      <w:r w:rsidR="00FA2360">
        <w:t xml:space="preserve"> (satisfactory result)</w:t>
      </w:r>
    </w:p>
    <w:p w14:paraId="678D718E" w14:textId="1AB4C5C0" w:rsidR="00D52C6C" w:rsidRDefault="00D52C6C" w:rsidP="00E87AAA">
      <w:pPr>
        <w:pStyle w:val="Body"/>
      </w:pPr>
      <w:r>
        <w:t>Overall trend:</w:t>
      </w:r>
      <w:r w:rsidR="00952FC7">
        <w:t xml:space="preserve"> </w:t>
      </w:r>
      <w:r>
        <w:t xml:space="preserve">Moving in the </w:t>
      </w:r>
      <w:r w:rsidR="00FA2360">
        <w:t>right</w:t>
      </w:r>
      <w:r>
        <w:t xml:space="preserve"> direction</w:t>
      </w:r>
    </w:p>
    <w:p w14:paraId="4AB7E1BB" w14:textId="425048FE" w:rsidR="00947E04" w:rsidRDefault="00D52C6C" w:rsidP="00E87AAA">
      <w:pPr>
        <w:pStyle w:val="Body"/>
      </w:pPr>
      <w:r>
        <w:t xml:space="preserve">Commentary: The </w:t>
      </w:r>
      <w:r w:rsidR="002B1931">
        <w:t>rate</w:t>
      </w:r>
      <w:r>
        <w:t xml:space="preserve"> of overweight and obesity in children is of significant concern now and for the future, given the lifelong implications</w:t>
      </w:r>
      <w:r w:rsidR="002B1931">
        <w:t xml:space="preserve"> including increased risk of obesity-related cancers. </w:t>
      </w:r>
      <w:r w:rsidR="000858D8">
        <w:t xml:space="preserve">At </w:t>
      </w:r>
      <w:r w:rsidR="00424CA6">
        <w:t>the</w:t>
      </w:r>
      <w:r w:rsidR="000858D8">
        <w:t xml:space="preserve"> national leve</w:t>
      </w:r>
      <w:r w:rsidR="00297031">
        <w:t>l</w:t>
      </w:r>
      <w:r w:rsidR="00AD6EEF">
        <w:t>,</w:t>
      </w:r>
      <w:r w:rsidR="000858D8">
        <w:t xml:space="preserve"> information dating back to 1995</w:t>
      </w:r>
      <w:r w:rsidR="00297031">
        <w:t xml:space="preserve"> (Figure 8.3) shows the prevalence of overweight and obesity </w:t>
      </w:r>
      <w:r w:rsidR="00947E04">
        <w:t xml:space="preserve">rose </w:t>
      </w:r>
      <w:r w:rsidR="00297031">
        <w:t>from 21</w:t>
      </w:r>
      <w:r w:rsidR="0054537F">
        <w:t>%</w:t>
      </w:r>
      <w:r w:rsidR="00297031">
        <w:t xml:space="preserve"> in 1995 to 2</w:t>
      </w:r>
      <w:r w:rsidR="00947E04">
        <w:t>5</w:t>
      </w:r>
      <w:r w:rsidR="0054537F">
        <w:t>%</w:t>
      </w:r>
      <w:r w:rsidR="00297031">
        <w:t xml:space="preserve"> in 20</w:t>
      </w:r>
      <w:r w:rsidR="00947E04">
        <w:t>07, then remained relatively stable to 2017</w:t>
      </w:r>
      <w:r w:rsidR="00246747">
        <w:t>–</w:t>
      </w:r>
      <w:r w:rsidR="00947E04">
        <w:t>18</w:t>
      </w:r>
      <w:r w:rsidR="00297031">
        <w:t>.</w:t>
      </w:r>
      <w:r w:rsidR="00297031">
        <w:rPr>
          <w:rStyle w:val="FootnoteReference"/>
          <w:lang w:eastAsia="en-AU"/>
        </w:rPr>
        <w:footnoteReference w:id="116"/>
      </w:r>
      <w:r w:rsidR="00297031">
        <w:t xml:space="preserve"> </w:t>
      </w:r>
    </w:p>
    <w:p w14:paraId="21013555" w14:textId="1C1A2BE7" w:rsidR="005940FC" w:rsidRPr="006053E7" w:rsidRDefault="003A4C42" w:rsidP="00E87AAA">
      <w:pPr>
        <w:pStyle w:val="Body"/>
      </w:pPr>
      <w:r>
        <w:t>Figure 8.3</w:t>
      </w:r>
      <w:r w:rsidR="000858D8">
        <w:t>.1</w:t>
      </w:r>
      <w:r w:rsidR="002B1931">
        <w:t xml:space="preserve"> shows that the childhood rates</w:t>
      </w:r>
      <w:r w:rsidR="00172AF2">
        <w:t xml:space="preserve"> of overweight </w:t>
      </w:r>
      <w:r w:rsidR="00E909F6">
        <w:t>and obesity</w:t>
      </w:r>
      <w:r w:rsidR="00172AF2">
        <w:t xml:space="preserve"> in Victoria jumped from 23.1</w:t>
      </w:r>
      <w:r w:rsidR="0054537F">
        <w:t>%</w:t>
      </w:r>
      <w:r w:rsidR="00172AF2">
        <w:t xml:space="preserve"> in 2012 to</w:t>
      </w:r>
      <w:r w:rsidR="001032F2">
        <w:t xml:space="preserve"> </w:t>
      </w:r>
      <w:r w:rsidR="00343270">
        <w:t>27.4</w:t>
      </w:r>
      <w:r w:rsidR="0054537F">
        <w:t>%</w:t>
      </w:r>
      <w:r w:rsidR="00172AF2">
        <w:t xml:space="preserve"> in </w:t>
      </w:r>
      <w:r w:rsidR="00CF6F8C">
        <w:t>2015 but</w:t>
      </w:r>
      <w:r w:rsidR="00FA2360">
        <w:t xml:space="preserve"> d</w:t>
      </w:r>
      <w:r w:rsidR="00CF6F8C">
        <w:t>ecreased</w:t>
      </w:r>
      <w:r w:rsidR="00FA2360">
        <w:t xml:space="preserve"> to 21.6</w:t>
      </w:r>
      <w:r w:rsidR="0054537F">
        <w:t>%</w:t>
      </w:r>
      <w:r w:rsidR="00FA2360">
        <w:t xml:space="preserve"> in 2018</w:t>
      </w:r>
      <w:r w:rsidR="00424CA6">
        <w:t>,</w:t>
      </w:r>
      <w:r w:rsidR="00FA2360">
        <w:t xml:space="preserve"> </w:t>
      </w:r>
      <w:r w:rsidR="00083EAB">
        <w:t xml:space="preserve">which is </w:t>
      </w:r>
      <w:r w:rsidR="00FA2360">
        <w:t xml:space="preserve">below </w:t>
      </w:r>
      <w:r w:rsidR="00083EAB">
        <w:t xml:space="preserve">the </w:t>
      </w:r>
      <w:r w:rsidR="00C35810">
        <w:t xml:space="preserve">current 2018 </w:t>
      </w:r>
      <w:r w:rsidR="00083EAB">
        <w:t>national average of 24.9</w:t>
      </w:r>
      <w:r w:rsidR="0054537F">
        <w:t>%</w:t>
      </w:r>
      <w:r w:rsidR="00083EAB">
        <w:t xml:space="preserve"> published by the </w:t>
      </w:r>
      <w:r w:rsidR="00781191">
        <w:t>ABS</w:t>
      </w:r>
      <w:r w:rsidR="00FE1D8D">
        <w:t>.</w:t>
      </w:r>
      <w:r w:rsidR="00083EAB">
        <w:rPr>
          <w:rStyle w:val="FootnoteReference"/>
          <w:lang w:val="en"/>
        </w:rPr>
        <w:footnoteReference w:id="117"/>
      </w:r>
      <w:r w:rsidR="00C35810">
        <w:t xml:space="preserve"> </w:t>
      </w:r>
      <w:bookmarkStart w:id="606" w:name="_Hlk111621844"/>
      <w:r w:rsidR="00227E82">
        <w:t xml:space="preserve">There is a target in the </w:t>
      </w:r>
      <w:r w:rsidR="00227E82" w:rsidRPr="76BE792E">
        <w:rPr>
          <w:i/>
          <w:iCs/>
        </w:rPr>
        <w:t xml:space="preserve">Victorian </w:t>
      </w:r>
      <w:r w:rsidR="00CA2AD7" w:rsidRPr="76BE792E">
        <w:rPr>
          <w:i/>
          <w:iCs/>
        </w:rPr>
        <w:t>p</w:t>
      </w:r>
      <w:r w:rsidR="00227E82" w:rsidRPr="76BE792E">
        <w:rPr>
          <w:i/>
          <w:iCs/>
        </w:rPr>
        <w:t xml:space="preserve">ublic </w:t>
      </w:r>
      <w:r w:rsidR="00CA2AD7" w:rsidRPr="76BE792E">
        <w:rPr>
          <w:i/>
          <w:iCs/>
        </w:rPr>
        <w:t>h</w:t>
      </w:r>
      <w:r w:rsidR="00227E82" w:rsidRPr="76BE792E">
        <w:rPr>
          <w:i/>
          <w:iCs/>
        </w:rPr>
        <w:t xml:space="preserve">ealth and </w:t>
      </w:r>
      <w:r w:rsidR="00CA2AD7" w:rsidRPr="76BE792E">
        <w:rPr>
          <w:i/>
          <w:iCs/>
        </w:rPr>
        <w:t>w</w:t>
      </w:r>
      <w:r w:rsidR="00227E82" w:rsidRPr="76BE792E">
        <w:rPr>
          <w:i/>
          <w:iCs/>
        </w:rPr>
        <w:t xml:space="preserve">ellbeing </w:t>
      </w:r>
      <w:r w:rsidR="00CA2AD7" w:rsidRPr="76BE792E">
        <w:rPr>
          <w:i/>
          <w:iCs/>
        </w:rPr>
        <w:t>o</w:t>
      </w:r>
      <w:r w:rsidR="00227E82" w:rsidRPr="76BE792E">
        <w:rPr>
          <w:i/>
          <w:iCs/>
        </w:rPr>
        <w:t xml:space="preserve">utcomes </w:t>
      </w:r>
      <w:r w:rsidR="00F06795" w:rsidRPr="76BE792E">
        <w:rPr>
          <w:i/>
          <w:iCs/>
        </w:rPr>
        <w:t>framework</w:t>
      </w:r>
      <w:r w:rsidR="00227E82">
        <w:t xml:space="preserve"> to reduce the prevalence of overweight and obesity in children and adults by </w:t>
      </w:r>
      <w:r w:rsidR="00424CA6">
        <w:t>5</w:t>
      </w:r>
      <w:r w:rsidR="0054537F">
        <w:t>%</w:t>
      </w:r>
      <w:r w:rsidR="00227E82">
        <w:t xml:space="preserve"> from the 2011</w:t>
      </w:r>
      <w:r w:rsidR="00690CD3">
        <w:t>–1</w:t>
      </w:r>
      <w:r w:rsidR="00227E82">
        <w:t>2 baseline year by 2025</w:t>
      </w:r>
      <w:r w:rsidR="008A7EA3">
        <w:t>.</w:t>
      </w:r>
      <w:r w:rsidR="00952FC7">
        <w:t xml:space="preserve"> </w:t>
      </w:r>
      <w:bookmarkEnd w:id="606"/>
      <w:r w:rsidR="00D83EB5">
        <w:t>Currently</w:t>
      </w:r>
      <w:r w:rsidR="00303EE5">
        <w:t>,</w:t>
      </w:r>
      <w:r w:rsidR="00D83EB5">
        <w:t xml:space="preserve"> Victoria is </w:t>
      </w:r>
      <w:r w:rsidR="00D83EB5" w:rsidRPr="76BE792E">
        <w:rPr>
          <w:rFonts w:cs="Arial"/>
          <w:b/>
          <w:bCs/>
        </w:rPr>
        <w:t>on track</w:t>
      </w:r>
      <w:r w:rsidR="00D83EB5" w:rsidRPr="003C145C">
        <w:rPr>
          <w:rFonts w:cs="Arial"/>
        </w:rPr>
        <w:t xml:space="preserve"> to meet the 2025 target of </w:t>
      </w:r>
      <w:r w:rsidR="00E25C6D">
        <w:rPr>
          <w:rFonts w:cs="Arial"/>
        </w:rPr>
        <w:t>21.9</w:t>
      </w:r>
      <w:r w:rsidR="0054537F">
        <w:rPr>
          <w:rFonts w:cs="Arial"/>
        </w:rPr>
        <w:t>%</w:t>
      </w:r>
      <w:r w:rsidR="00D83EB5">
        <w:rPr>
          <w:rFonts w:cs="Arial"/>
        </w:rPr>
        <w:t>.</w:t>
      </w:r>
      <w:r w:rsidR="009330EB">
        <w:rPr>
          <w:rFonts w:cs="Arial"/>
        </w:rPr>
        <w:t xml:space="preserve"> </w:t>
      </w:r>
      <w:r w:rsidR="00681240">
        <w:br w:type="page"/>
      </w:r>
      <w:r w:rsidR="0028681D" w:rsidRPr="00542C63">
        <w:rPr>
          <w:rStyle w:val="Heading2Char"/>
        </w:rPr>
        <w:lastRenderedPageBreak/>
        <w:t>Key result: Decrease UV exposure</w:t>
      </w:r>
    </w:p>
    <w:p w14:paraId="69C6CBE8" w14:textId="495DB023" w:rsidR="00F636D4" w:rsidRPr="00FA33C3" w:rsidRDefault="00F636D4" w:rsidP="00A451D4">
      <w:pPr>
        <w:pStyle w:val="Heading3"/>
        <w:rPr>
          <w:b/>
          <w:bCs w:val="0"/>
        </w:rPr>
      </w:pPr>
      <w:bookmarkStart w:id="607" w:name="_Measure_9.1_–"/>
      <w:bookmarkEnd w:id="607"/>
      <w:r w:rsidRPr="00FA33C3">
        <w:rPr>
          <w:b/>
          <w:bCs w:val="0"/>
        </w:rPr>
        <w:t xml:space="preserve">Measure 9.1 – Proportion of </w:t>
      </w:r>
      <w:r w:rsidR="00817356">
        <w:rPr>
          <w:b/>
          <w:bCs w:val="0"/>
        </w:rPr>
        <w:t xml:space="preserve">Victorian </w:t>
      </w:r>
      <w:r w:rsidR="0011574A" w:rsidRPr="00FA33C3">
        <w:rPr>
          <w:b/>
          <w:bCs w:val="0"/>
        </w:rPr>
        <w:t xml:space="preserve">adults </w:t>
      </w:r>
      <w:r w:rsidR="005C2472" w:rsidRPr="00FA33C3">
        <w:rPr>
          <w:b/>
          <w:bCs w:val="0"/>
        </w:rPr>
        <w:t xml:space="preserve">aged 18 years and </w:t>
      </w:r>
      <w:r w:rsidR="001C3A47" w:rsidRPr="00FA33C3">
        <w:rPr>
          <w:b/>
          <w:bCs w:val="0"/>
        </w:rPr>
        <w:t>over who</w:t>
      </w:r>
      <w:r w:rsidRPr="00FA33C3">
        <w:rPr>
          <w:b/>
          <w:bCs w:val="0"/>
        </w:rPr>
        <w:t xml:space="preserve"> report getting sunburnt </w:t>
      </w:r>
      <w:r w:rsidR="00FD3A93" w:rsidRPr="00FA33C3">
        <w:rPr>
          <w:b/>
          <w:bCs w:val="0"/>
        </w:rPr>
        <w:t>during the summer</w:t>
      </w:r>
    </w:p>
    <w:p w14:paraId="0A8963CB" w14:textId="01A4141F" w:rsidR="00F636D4" w:rsidRDefault="00542C63" w:rsidP="00542C63">
      <w:pPr>
        <w:pStyle w:val="Figurecaption"/>
        <w:rPr>
          <w:sz w:val="20"/>
        </w:rPr>
      </w:pPr>
      <w:bookmarkStart w:id="608" w:name="_Toc19008091"/>
      <w:bookmarkStart w:id="609" w:name="_Toc19008323"/>
      <w:bookmarkStart w:id="610" w:name="_Toc19008470"/>
      <w:bookmarkStart w:id="611" w:name="_Toc19008617"/>
      <w:bookmarkStart w:id="612" w:name="_Toc132553047"/>
      <w:bookmarkStart w:id="613" w:name="_Toc140827658"/>
      <w:r w:rsidRPr="00CD1209">
        <w:rPr>
          <w:sz w:val="20"/>
        </w:rPr>
        <w:t>Figure</w:t>
      </w:r>
      <w:r w:rsidR="00F636D4" w:rsidRPr="00CD1209">
        <w:rPr>
          <w:sz w:val="20"/>
        </w:rPr>
        <w:t xml:space="preserve"> 9.1</w:t>
      </w:r>
      <w:r w:rsidR="003B391F" w:rsidRPr="00CD1209">
        <w:rPr>
          <w:sz w:val="20"/>
        </w:rPr>
        <w:t>:</w:t>
      </w:r>
      <w:r w:rsidR="00F636D4" w:rsidRPr="00CD1209">
        <w:rPr>
          <w:sz w:val="20"/>
        </w:rPr>
        <w:t xml:space="preserve"> </w:t>
      </w:r>
      <w:r w:rsidR="00FB30B4" w:rsidRPr="00CD1209">
        <w:rPr>
          <w:sz w:val="20"/>
        </w:rPr>
        <w:t>A</w:t>
      </w:r>
      <w:r w:rsidR="00F636D4" w:rsidRPr="00CD1209">
        <w:rPr>
          <w:sz w:val="20"/>
        </w:rPr>
        <w:t xml:space="preserve">djusted prevalence estimates for </w:t>
      </w:r>
      <w:r w:rsidR="00FD3A93" w:rsidRPr="00CD1209">
        <w:rPr>
          <w:sz w:val="20"/>
        </w:rPr>
        <w:t>summer</w:t>
      </w:r>
      <w:r w:rsidR="001C3A47" w:rsidRPr="00CD1209">
        <w:rPr>
          <w:sz w:val="20"/>
        </w:rPr>
        <w:t xml:space="preserve"> </w:t>
      </w:r>
      <w:r w:rsidR="00F636D4" w:rsidRPr="00CD1209">
        <w:rPr>
          <w:sz w:val="20"/>
        </w:rPr>
        <w:t>sunburn incidence among Victorian adults (</w:t>
      </w:r>
      <w:r w:rsidR="0011574A" w:rsidRPr="00CD1209">
        <w:rPr>
          <w:sz w:val="20"/>
        </w:rPr>
        <w:t xml:space="preserve">aged </w:t>
      </w:r>
      <w:r w:rsidR="00F636D4" w:rsidRPr="00CD1209">
        <w:rPr>
          <w:sz w:val="20"/>
        </w:rPr>
        <w:t>18</w:t>
      </w:r>
      <w:r w:rsidR="001C3A47" w:rsidRPr="00CD1209">
        <w:rPr>
          <w:sz w:val="20"/>
        </w:rPr>
        <w:t xml:space="preserve"> </w:t>
      </w:r>
      <w:r w:rsidR="00F636D4" w:rsidRPr="00CD1209">
        <w:rPr>
          <w:sz w:val="20"/>
        </w:rPr>
        <w:t>years</w:t>
      </w:r>
      <w:r w:rsidR="0011574A" w:rsidRPr="00CD1209">
        <w:rPr>
          <w:sz w:val="20"/>
        </w:rPr>
        <w:t xml:space="preserve"> and over</w:t>
      </w:r>
      <w:r w:rsidR="00F636D4" w:rsidRPr="00CD1209">
        <w:rPr>
          <w:sz w:val="20"/>
        </w:rPr>
        <w:t>)</w:t>
      </w:r>
      <w:r w:rsidR="0011574A" w:rsidRPr="00CD1209">
        <w:rPr>
          <w:sz w:val="20"/>
        </w:rPr>
        <w:t xml:space="preserve"> during the</w:t>
      </w:r>
      <w:r w:rsidR="00F636D4" w:rsidRPr="00CD1209">
        <w:rPr>
          <w:sz w:val="20"/>
        </w:rPr>
        <w:t xml:space="preserve"> summer</w:t>
      </w:r>
      <w:r w:rsidR="0023639E" w:rsidRPr="00CD1209">
        <w:rPr>
          <w:sz w:val="20"/>
        </w:rPr>
        <w:t xml:space="preserve"> </w:t>
      </w:r>
      <w:r w:rsidR="00F636D4" w:rsidRPr="00CD1209">
        <w:rPr>
          <w:sz w:val="20"/>
        </w:rPr>
        <w:t>20</w:t>
      </w:r>
      <w:r w:rsidR="00FD3A93" w:rsidRPr="00CD1209">
        <w:rPr>
          <w:sz w:val="20"/>
        </w:rPr>
        <w:t>21</w:t>
      </w:r>
      <w:r w:rsidR="0023639E" w:rsidRPr="00CD1209">
        <w:rPr>
          <w:sz w:val="20"/>
          <w:lang w:eastAsia="en-AU"/>
        </w:rPr>
        <w:t>–</w:t>
      </w:r>
      <w:r w:rsidR="00FD3A93" w:rsidRPr="00CD1209">
        <w:rPr>
          <w:sz w:val="20"/>
        </w:rPr>
        <w:t>22</w:t>
      </w:r>
      <w:bookmarkEnd w:id="608"/>
      <w:bookmarkEnd w:id="609"/>
      <w:bookmarkEnd w:id="610"/>
      <w:bookmarkEnd w:id="611"/>
      <w:bookmarkEnd w:id="612"/>
      <w:bookmarkEnd w:id="613"/>
    </w:p>
    <w:p w14:paraId="5DE268D8" w14:textId="13C6586E" w:rsidR="00EC3E3C" w:rsidRPr="00EC3E3C" w:rsidRDefault="00B852AC" w:rsidP="00E67E0C">
      <w:pPr>
        <w:pStyle w:val="DHHSbody"/>
      </w:pPr>
      <w:r w:rsidRPr="00B852AC">
        <w:rPr>
          <w:noProof/>
        </w:rPr>
        <w:drawing>
          <wp:inline distT="0" distB="0" distL="0" distR="0" wp14:anchorId="3611BDC1" wp14:editId="6C04EB5E">
            <wp:extent cx="5905708" cy="3324225"/>
            <wp:effectExtent l="0" t="0" r="0" b="0"/>
            <wp:docPr id="87" name="Picture 87" descr="This figure shows a data summary of 'Measure 9.1 – Proportion of Victorian adults 18 years and over who report getting sunburnt during the summer 2022’. The data set is available under 'Measure 9.1 – Proportion of Victorian 18 years an over who report getting sunburnt during the summer 2022' in a separate volume, the Victorian cancer plan monitoring and evaluation framework: baseline report: Appendix 2: Datasets available on Cancer care https://www.health.vic.gov.au/health-strategies/cancer-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This figure shows a data summary of 'Measure 9.1 – Proportion of Victorian adults 18 years and over who report getting sunburnt during the summer 2022’. The data set is available under 'Measure 9.1 – Proportion of Victorian 18 years an over who report getting sunburnt during the summer 2022' in a separate volume, the Victorian cancer plan monitoring and evaluation framework: baseline report: Appendix 2: Datasets available on Cancer care https://www.health.vic.gov.au/health-strategies/cancer-care."/>
                    <pic:cNvPicPr/>
                  </pic:nvPicPr>
                  <pic:blipFill>
                    <a:blip r:embed="rId103"/>
                    <a:stretch>
                      <a:fillRect/>
                    </a:stretch>
                  </pic:blipFill>
                  <pic:spPr>
                    <a:xfrm>
                      <a:off x="0" y="0"/>
                      <a:ext cx="5920553" cy="3332581"/>
                    </a:xfrm>
                    <a:prstGeom prst="rect">
                      <a:avLst/>
                    </a:prstGeom>
                  </pic:spPr>
                </pic:pic>
              </a:graphicData>
            </a:graphic>
          </wp:inline>
        </w:drawing>
      </w:r>
    </w:p>
    <w:p w14:paraId="4436D1CB" w14:textId="49E9AD98" w:rsidR="009A268C" w:rsidRPr="00CD1209" w:rsidRDefault="00F636D4" w:rsidP="009A268C">
      <w:pPr>
        <w:pStyle w:val="Tablefigurenote"/>
        <w:rPr>
          <w:i/>
          <w:iCs/>
          <w:sz w:val="18"/>
          <w:szCs w:val="18"/>
        </w:rPr>
      </w:pPr>
      <w:r w:rsidRPr="00CD1209">
        <w:rPr>
          <w:i/>
          <w:iCs/>
          <w:sz w:val="18"/>
          <w:szCs w:val="18"/>
          <w:lang w:eastAsia="en-AU"/>
        </w:rPr>
        <w:t xml:space="preserve">Note: </w:t>
      </w:r>
      <w:r w:rsidR="009A268C" w:rsidRPr="00CD1209">
        <w:rPr>
          <w:i/>
          <w:iCs/>
          <w:sz w:val="18"/>
          <w:szCs w:val="18"/>
          <w:lang w:eastAsia="en-AU"/>
        </w:rPr>
        <w:t>These data were derived from the 2022 Summer Sun Protection Survey (collected via Life in Australia</w:t>
      </w:r>
      <w:r w:rsidR="009A268C" w:rsidRPr="00CD1209">
        <w:rPr>
          <w:i/>
          <w:iCs/>
          <w:sz w:val="18"/>
          <w:szCs w:val="18"/>
          <w:vertAlign w:val="superscript"/>
          <w:lang w:eastAsia="en-AU"/>
        </w:rPr>
        <w:t>TM</w:t>
      </w:r>
      <w:r w:rsidR="009A268C" w:rsidRPr="00CD1209">
        <w:rPr>
          <w:i/>
          <w:iCs/>
          <w:sz w:val="18"/>
          <w:szCs w:val="18"/>
          <w:lang w:eastAsia="en-AU"/>
        </w:rPr>
        <w:t xml:space="preserve">), </w:t>
      </w:r>
      <w:r w:rsidR="009A268C" w:rsidRPr="00CD1209">
        <w:rPr>
          <w:i/>
          <w:iCs/>
          <w:sz w:val="18"/>
          <w:szCs w:val="18"/>
        </w:rPr>
        <w:t>including a representative sample of Australians aged 18 years and over. A mixed-mode methodology was adopted for the survey and included both online and telephone responses. Respondents completed the survey over two weeks between 17 and 31 January 2022. The data were weighted to be representative of Australians aged 18 years and over, using benchmarks from official Australian Bureau of Statistics sources including the 2016 Census. The Victorian sample consisted of 73</w:t>
      </w:r>
      <w:r w:rsidR="00925217" w:rsidRPr="00CD1209">
        <w:rPr>
          <w:i/>
          <w:iCs/>
          <w:sz w:val="18"/>
          <w:szCs w:val="18"/>
        </w:rPr>
        <w:t>6</w:t>
      </w:r>
      <w:r w:rsidR="009A268C" w:rsidRPr="00CD1209">
        <w:rPr>
          <w:i/>
          <w:iCs/>
          <w:sz w:val="18"/>
          <w:szCs w:val="18"/>
        </w:rPr>
        <w:t xml:space="preserve"> respondents (unweighted base).</w:t>
      </w:r>
    </w:p>
    <w:p w14:paraId="061B336A" w14:textId="46B3C34C" w:rsidR="009A268C" w:rsidRPr="00CD1209" w:rsidRDefault="009A268C" w:rsidP="009A268C">
      <w:pPr>
        <w:pStyle w:val="Tablefigurenote"/>
        <w:rPr>
          <w:i/>
          <w:iCs/>
          <w:sz w:val="18"/>
          <w:szCs w:val="18"/>
          <w:lang w:eastAsia="en-AU"/>
        </w:rPr>
      </w:pPr>
      <w:r w:rsidRPr="00CD1209">
        <w:rPr>
          <w:i/>
          <w:iCs/>
          <w:sz w:val="18"/>
          <w:szCs w:val="18"/>
        </w:rPr>
        <w:t xml:space="preserve">Prevalence estimates for Victorian adults are unadjusted. Prevalence figures for sub-groups are estimated from multivariable models adjusting for age, </w:t>
      </w:r>
      <w:r w:rsidR="00925217" w:rsidRPr="00CD1209">
        <w:rPr>
          <w:i/>
          <w:iCs/>
          <w:sz w:val="18"/>
          <w:szCs w:val="18"/>
        </w:rPr>
        <w:t>gender</w:t>
      </w:r>
      <w:r w:rsidRPr="00CD1209">
        <w:rPr>
          <w:i/>
          <w:iCs/>
          <w:sz w:val="18"/>
          <w:szCs w:val="18"/>
        </w:rPr>
        <w:t xml:space="preserve"> and skin sensitivity. </w:t>
      </w:r>
    </w:p>
    <w:p w14:paraId="792F82B7" w14:textId="3528EA8E" w:rsidR="00F636D4" w:rsidRPr="00CD1209" w:rsidRDefault="007C61CE" w:rsidP="009A268C">
      <w:pPr>
        <w:pStyle w:val="Tablefigurenote"/>
        <w:rPr>
          <w:i/>
          <w:iCs/>
          <w:sz w:val="18"/>
          <w:szCs w:val="18"/>
        </w:rPr>
      </w:pPr>
      <w:r w:rsidRPr="00CD1209">
        <w:rPr>
          <w:i/>
          <w:iCs/>
          <w:sz w:val="18"/>
          <w:szCs w:val="18"/>
          <w:lang w:eastAsia="en-AU"/>
        </w:rPr>
        <w:t>Table 9.1 in Appendix 2 provides the unadjusted prevalence estimates for the proportion of Victorian adults (18</w:t>
      </w:r>
      <w:r w:rsidR="001C3A47" w:rsidRPr="00CD1209">
        <w:rPr>
          <w:i/>
          <w:iCs/>
          <w:sz w:val="18"/>
          <w:szCs w:val="18"/>
          <w:lang w:eastAsia="en-AU"/>
        </w:rPr>
        <w:t xml:space="preserve"> </w:t>
      </w:r>
      <w:r w:rsidRPr="00CD1209">
        <w:rPr>
          <w:i/>
          <w:iCs/>
          <w:sz w:val="18"/>
          <w:szCs w:val="18"/>
          <w:lang w:eastAsia="en-AU"/>
        </w:rPr>
        <w:t>years</w:t>
      </w:r>
      <w:r w:rsidR="0011574A" w:rsidRPr="00CD1209">
        <w:rPr>
          <w:i/>
          <w:iCs/>
          <w:sz w:val="18"/>
          <w:szCs w:val="18"/>
          <w:lang w:eastAsia="en-AU"/>
        </w:rPr>
        <w:t xml:space="preserve"> </w:t>
      </w:r>
      <w:r w:rsidR="005D542B" w:rsidRPr="00CD1209">
        <w:rPr>
          <w:i/>
          <w:iCs/>
          <w:sz w:val="18"/>
          <w:szCs w:val="18"/>
          <w:lang w:eastAsia="en-AU"/>
        </w:rPr>
        <w:t>or older</w:t>
      </w:r>
      <w:r w:rsidRPr="00CD1209">
        <w:rPr>
          <w:i/>
          <w:iCs/>
          <w:sz w:val="18"/>
          <w:szCs w:val="18"/>
          <w:lang w:eastAsia="en-AU"/>
        </w:rPr>
        <w:t xml:space="preserve">) who reported getting sunburnt </w:t>
      </w:r>
      <w:r w:rsidR="00D753DF" w:rsidRPr="00CD1209">
        <w:rPr>
          <w:i/>
          <w:iCs/>
          <w:sz w:val="18"/>
          <w:szCs w:val="18"/>
          <w:lang w:eastAsia="en-AU"/>
        </w:rPr>
        <w:t xml:space="preserve">during the </w:t>
      </w:r>
      <w:r w:rsidRPr="00CD1209">
        <w:rPr>
          <w:i/>
          <w:iCs/>
          <w:sz w:val="18"/>
          <w:szCs w:val="18"/>
          <w:lang w:eastAsia="en-AU"/>
        </w:rPr>
        <w:t>summer</w:t>
      </w:r>
      <w:r w:rsidR="00AA23B7" w:rsidRPr="00CD1209">
        <w:rPr>
          <w:i/>
          <w:iCs/>
          <w:sz w:val="18"/>
          <w:szCs w:val="18"/>
          <w:lang w:eastAsia="en-AU"/>
        </w:rPr>
        <w:t>, 2021</w:t>
      </w:r>
      <w:r w:rsidR="00CA2AD7" w:rsidRPr="00CD1209">
        <w:rPr>
          <w:i/>
          <w:iCs/>
          <w:sz w:val="18"/>
          <w:szCs w:val="18"/>
          <w:lang w:eastAsia="en-AU"/>
        </w:rPr>
        <w:t>–</w:t>
      </w:r>
      <w:r w:rsidR="00AA23B7" w:rsidRPr="00CD1209">
        <w:rPr>
          <w:i/>
          <w:iCs/>
          <w:sz w:val="18"/>
          <w:szCs w:val="18"/>
          <w:lang w:eastAsia="en-AU"/>
        </w:rPr>
        <w:t>22</w:t>
      </w:r>
      <w:r w:rsidRPr="00CD1209">
        <w:rPr>
          <w:i/>
          <w:iCs/>
          <w:sz w:val="18"/>
          <w:szCs w:val="18"/>
          <w:lang w:eastAsia="en-AU"/>
        </w:rPr>
        <w:t>.</w:t>
      </w:r>
    </w:p>
    <w:p w14:paraId="2EB6AAF4" w14:textId="77777777" w:rsidR="00F636D4" w:rsidRPr="0015028D" w:rsidRDefault="00F636D4" w:rsidP="007C7F00">
      <w:pPr>
        <w:pStyle w:val="Heading4"/>
      </w:pPr>
      <w:r w:rsidRPr="00F62096">
        <w:t>Measure assessment</w:t>
      </w:r>
    </w:p>
    <w:p w14:paraId="4C4215A0" w14:textId="3049551F" w:rsidR="0097280A" w:rsidRPr="005609AD" w:rsidRDefault="00F636D4" w:rsidP="00606436">
      <w:pPr>
        <w:pStyle w:val="Body"/>
        <w:rPr>
          <w:color w:val="C00000"/>
        </w:rPr>
      </w:pPr>
      <w:r w:rsidRPr="0064536D">
        <w:t>Traffic light rating:</w:t>
      </w:r>
      <w:r w:rsidR="00D12658" w:rsidRPr="00B504AD">
        <w:rPr>
          <w:b/>
          <w:color w:val="AF272F"/>
        </w:rPr>
        <w:t xml:space="preserve"> </w:t>
      </w:r>
      <w:r w:rsidR="00D12658" w:rsidRPr="00FA33C3">
        <w:rPr>
          <w:b/>
          <w:color w:val="C5511A"/>
        </w:rPr>
        <w:t>Amber</w:t>
      </w:r>
      <w:r w:rsidR="00D12658" w:rsidRPr="00EA3932">
        <w:rPr>
          <w:b/>
        </w:rPr>
        <w:t xml:space="preserve"> </w:t>
      </w:r>
      <w:r w:rsidR="00D12658" w:rsidRPr="00EA3932">
        <w:t>(desired result not yet evident)</w:t>
      </w:r>
    </w:p>
    <w:p w14:paraId="318B330C" w14:textId="1A8DB6D4" w:rsidR="00F636D4" w:rsidRPr="00780B3A" w:rsidRDefault="00F636D4" w:rsidP="00606436">
      <w:pPr>
        <w:pStyle w:val="Body"/>
      </w:pPr>
      <w:r w:rsidRPr="0064536D">
        <w:t xml:space="preserve">Overall trend: </w:t>
      </w:r>
      <w:r w:rsidR="00D12658">
        <w:t>Data from the National Sun Protection Survey (2013</w:t>
      </w:r>
      <w:r w:rsidR="00246747">
        <w:t>–</w:t>
      </w:r>
      <w:r w:rsidR="00D12658">
        <w:t>14 and 2016</w:t>
      </w:r>
      <w:r w:rsidR="00246747">
        <w:t>–</w:t>
      </w:r>
      <w:r w:rsidR="00D12658">
        <w:t>17) indicated this result was moving in the wrong direction</w:t>
      </w:r>
      <w:r w:rsidR="00484878">
        <w:t>.</w:t>
      </w:r>
      <w:r w:rsidR="00D12658">
        <w:rPr>
          <w:rStyle w:val="FootnoteReference"/>
          <w:rFonts w:cs="Arial"/>
        </w:rPr>
        <w:footnoteReference w:id="118"/>
      </w:r>
      <w:r w:rsidR="00D12658">
        <w:t xml:space="preserve"> However, due to the National Sun Protection Survey terminating,</w:t>
      </w:r>
      <w:r w:rsidR="00D12658" w:rsidRPr="00603755">
        <w:t xml:space="preserve"> </w:t>
      </w:r>
      <w:r w:rsidR="00D12658">
        <w:t xml:space="preserve">assessment of future trends necessitates a new baseline. Data on sunburn is being collected as part of the 2022 Victorian Population Health Survey and the </w:t>
      </w:r>
      <w:r w:rsidR="00D24BB6">
        <w:t>ABS’s</w:t>
      </w:r>
      <w:r w:rsidR="00D12658">
        <w:t xml:space="preserve"> 2023</w:t>
      </w:r>
      <w:r w:rsidR="00246747">
        <w:t>–</w:t>
      </w:r>
      <w:r w:rsidR="00D12658">
        <w:t>24 Multipurpose Household Survey</w:t>
      </w:r>
      <w:r w:rsidR="00D24BB6">
        <w:t>,</w:t>
      </w:r>
      <w:r w:rsidR="00D12658">
        <w:t xml:space="preserve"> with the view to establishing a new population monitoring series for skin cancer prevention. In the interim, data from </w:t>
      </w:r>
      <w:r w:rsidR="00D24BB6">
        <w:t xml:space="preserve">the </w:t>
      </w:r>
      <w:r w:rsidR="00D12658">
        <w:t xml:space="preserve">Cancer Council’s </w:t>
      </w:r>
      <w:r w:rsidR="00D12658" w:rsidRPr="00091BDD">
        <w:t>2022 Summer Sun Protection Survey (collected via Life in Australia</w:t>
      </w:r>
      <w:r w:rsidR="00D12658" w:rsidRPr="00B26581">
        <w:rPr>
          <w:vertAlign w:val="superscript"/>
        </w:rPr>
        <w:t>TM</w:t>
      </w:r>
      <w:r w:rsidR="00D12658" w:rsidRPr="00091BDD">
        <w:t>)</w:t>
      </w:r>
      <w:r w:rsidR="00D12658">
        <w:t xml:space="preserve"> is included to provide a point</w:t>
      </w:r>
      <w:r w:rsidR="00D24BB6">
        <w:t>-</w:t>
      </w:r>
      <w:r w:rsidR="00D12658">
        <w:t>in</w:t>
      </w:r>
      <w:r w:rsidR="00D24BB6">
        <w:t>-</w:t>
      </w:r>
      <w:r w:rsidR="00D12658">
        <w:t>time estimate.</w:t>
      </w:r>
      <w:r w:rsidR="00367F10">
        <w:rPr>
          <w:rStyle w:val="FootnoteReference"/>
          <w:rFonts w:cs="Arial"/>
        </w:rPr>
        <w:footnoteReference w:id="119"/>
      </w:r>
    </w:p>
    <w:p w14:paraId="5BC8A6A9" w14:textId="3312F9C3" w:rsidR="00A16D42" w:rsidRDefault="00F636D4" w:rsidP="00E87AAA">
      <w:pPr>
        <w:pStyle w:val="Body"/>
      </w:pPr>
      <w:r w:rsidRPr="0064536D">
        <w:lastRenderedPageBreak/>
        <w:t xml:space="preserve">Commentary: </w:t>
      </w:r>
      <w:r>
        <w:t>Sunburn is the skin’s reaction to UV radiation from the sun.</w:t>
      </w:r>
      <w:r>
        <w:rPr>
          <w:rStyle w:val="FootnoteReference"/>
          <w:rFonts w:cs="Arial"/>
        </w:rPr>
        <w:footnoteReference w:id="120"/>
      </w:r>
      <w:r w:rsidR="00952FC7">
        <w:t xml:space="preserve"> </w:t>
      </w:r>
      <w:r>
        <w:t xml:space="preserve">The long-term effects of repeated bouts of sunburn include an increased risk of skin cancer, including melanoma (the most </w:t>
      </w:r>
      <w:r w:rsidR="009630A7">
        <w:t>serious</w:t>
      </w:r>
      <w:r>
        <w:t xml:space="preserve"> type of skin cancer).</w:t>
      </w:r>
      <w:r>
        <w:rPr>
          <w:rStyle w:val="FootnoteReference"/>
          <w:rFonts w:cs="Arial"/>
        </w:rPr>
        <w:footnoteReference w:id="121"/>
      </w:r>
      <w:r>
        <w:t xml:space="preserve"> </w:t>
      </w:r>
      <w:r w:rsidR="005D5097">
        <w:t xml:space="preserve">In Australia </w:t>
      </w:r>
      <w:r w:rsidR="006045EE">
        <w:t>it</w:t>
      </w:r>
      <w:r w:rsidR="005D5097">
        <w:t xml:space="preserve"> </w:t>
      </w:r>
      <w:r w:rsidR="00D8315C">
        <w:t xml:space="preserve">is </w:t>
      </w:r>
      <w:r w:rsidR="005D5097">
        <w:t xml:space="preserve">often called </w:t>
      </w:r>
      <w:r w:rsidR="00D8315C">
        <w:t xml:space="preserve">our </w:t>
      </w:r>
      <w:r w:rsidR="005D5097">
        <w:t xml:space="preserve">‘national cancer’ </w:t>
      </w:r>
      <w:r w:rsidR="00D8315C">
        <w:t xml:space="preserve">because </w:t>
      </w:r>
      <w:r w:rsidR="005D5097">
        <w:t>Australia has one of the highest rates of skin</w:t>
      </w:r>
      <w:r w:rsidR="009630A7">
        <w:t xml:space="preserve"> cancer</w:t>
      </w:r>
      <w:r w:rsidR="005D5097">
        <w:t xml:space="preserve"> in the world, with approximately two in three Australians diagnosed with skin cancer during their lifetime.</w:t>
      </w:r>
      <w:r w:rsidR="005D5097">
        <w:rPr>
          <w:rStyle w:val="FootnoteReference"/>
          <w:rFonts w:cs="Arial"/>
        </w:rPr>
        <w:footnoteReference w:id="122"/>
      </w:r>
      <w:r w:rsidR="005D5097">
        <w:t xml:space="preserve"> </w:t>
      </w:r>
      <w:r w:rsidR="00C33D4B">
        <w:t>Figure</w:t>
      </w:r>
      <w:r>
        <w:t xml:space="preserve"> 9.1 shows that</w:t>
      </w:r>
      <w:r w:rsidR="00AF27E1">
        <w:t xml:space="preserve"> 55</w:t>
      </w:r>
      <w:r w:rsidR="0054537F">
        <w:t>%</w:t>
      </w:r>
      <w:r w:rsidR="00AF27E1">
        <w:t xml:space="preserve"> of Victorians adults aged 18 years and over reported being sunburnt at least once over summer. Those with highly/moderately sensitive skin were more likely to report being sunburnt at least once over the summer compared with those whose skin was not sensitive. There was no difference between males and females; this is in contrast to data from the National Sun Protection </w:t>
      </w:r>
      <w:r w:rsidR="00AF27E1" w:rsidRPr="00465D9B">
        <w:t xml:space="preserve">Survey (refer </w:t>
      </w:r>
      <w:r w:rsidR="00465D9B">
        <w:t xml:space="preserve">to </w:t>
      </w:r>
      <w:r w:rsidR="00D8315C">
        <w:t xml:space="preserve">the </w:t>
      </w:r>
      <w:r w:rsidR="00AF27E1" w:rsidRPr="00465D9B">
        <w:t xml:space="preserve">2020 </w:t>
      </w:r>
      <w:r w:rsidR="00465D9B" w:rsidRPr="76BE792E">
        <w:rPr>
          <w:i/>
          <w:iCs/>
        </w:rPr>
        <w:t xml:space="preserve">Victorian </w:t>
      </w:r>
      <w:r w:rsidR="00D8315C" w:rsidRPr="76BE792E">
        <w:rPr>
          <w:i/>
          <w:iCs/>
        </w:rPr>
        <w:t>cancer plan monitoring and evaluation baseline report</w:t>
      </w:r>
      <w:r w:rsidR="00AF27E1" w:rsidRPr="00465D9B">
        <w:t>)</w:t>
      </w:r>
      <w:r w:rsidR="00D8315C">
        <w:t>,</w:t>
      </w:r>
      <w:r w:rsidR="00AF27E1">
        <w:t xml:space="preserve"> which indicated</w:t>
      </w:r>
      <w:r w:rsidR="00AF27E1" w:rsidRPr="00B6182C">
        <w:t xml:space="preserve"> </w:t>
      </w:r>
      <w:r w:rsidR="00AF27E1">
        <w:t>males were more likely to report getting sunburnt on the weekend compared with females</w:t>
      </w:r>
      <w:r w:rsidRPr="00E04EF2">
        <w:t>.</w:t>
      </w:r>
      <w:r w:rsidR="00367F10">
        <w:t xml:space="preserve"> </w:t>
      </w:r>
      <w:r w:rsidR="00A16D42">
        <w:br w:type="page"/>
      </w:r>
    </w:p>
    <w:p w14:paraId="69D9EA49" w14:textId="62BC18AD" w:rsidR="00665EED" w:rsidRPr="005632AD" w:rsidRDefault="00665EED" w:rsidP="00A451D4">
      <w:pPr>
        <w:pStyle w:val="Heading3"/>
        <w:rPr>
          <w:b/>
        </w:rPr>
      </w:pPr>
      <w:bookmarkStart w:id="614" w:name="_Measure_9.2_–"/>
      <w:bookmarkEnd w:id="614"/>
      <w:r w:rsidRPr="005632AD">
        <w:rPr>
          <w:rStyle w:val="Heading3Char"/>
          <w:b/>
          <w:bCs/>
        </w:rPr>
        <w:lastRenderedPageBreak/>
        <w:t xml:space="preserve">Measure 9.2 – </w:t>
      </w:r>
      <w:r w:rsidR="00643D6F" w:rsidRPr="76BE792E">
        <w:rPr>
          <w:b/>
        </w:rPr>
        <w:t>Proportion of Victorian adults</w:t>
      </w:r>
      <w:r w:rsidR="005C2472" w:rsidRPr="76BE792E">
        <w:rPr>
          <w:b/>
        </w:rPr>
        <w:t xml:space="preserve"> aged 18 years and over</w:t>
      </w:r>
      <w:r w:rsidR="00643D6F" w:rsidRPr="76BE792E">
        <w:rPr>
          <w:b/>
        </w:rPr>
        <w:t xml:space="preserve"> </w:t>
      </w:r>
      <w:r w:rsidR="00643D6F" w:rsidRPr="005632AD">
        <w:rPr>
          <w:rStyle w:val="Heading3Char"/>
          <w:b/>
          <w:bCs/>
        </w:rPr>
        <w:t xml:space="preserve">wearing a combination of </w:t>
      </w:r>
      <w:bookmarkStart w:id="615" w:name="_Hlk139543679"/>
      <w:r w:rsidR="00643D6F" w:rsidRPr="005632AD">
        <w:rPr>
          <w:rStyle w:val="Heading3Char"/>
          <w:b/>
          <w:bCs/>
        </w:rPr>
        <w:t>broad-brimmed hats and/or sunscreen with one other key sun protective behaviour</w:t>
      </w:r>
      <w:bookmarkEnd w:id="615"/>
      <w:r w:rsidRPr="005632AD">
        <w:rPr>
          <w:rStyle w:val="Heading3Char"/>
          <w:b/>
          <w:bCs/>
          <w:vertAlign w:val="superscript"/>
        </w:rPr>
        <w:footnoteReference w:id="123"/>
      </w:r>
    </w:p>
    <w:p w14:paraId="20D4A17B" w14:textId="0CF774DA" w:rsidR="006054F2" w:rsidRDefault="006054F2" w:rsidP="005632AD">
      <w:pPr>
        <w:pStyle w:val="Figurecaption"/>
        <w:rPr>
          <w:sz w:val="20"/>
        </w:rPr>
      </w:pPr>
      <w:bookmarkStart w:id="616" w:name="_Toc140827659"/>
      <w:r w:rsidRPr="00CD1209">
        <w:rPr>
          <w:sz w:val="20"/>
        </w:rPr>
        <w:t>Figure 9.2</w:t>
      </w:r>
      <w:r w:rsidR="003B391F" w:rsidRPr="00CD1209">
        <w:rPr>
          <w:sz w:val="20"/>
        </w:rPr>
        <w:t>:</w:t>
      </w:r>
      <w:r w:rsidRPr="00CD1209">
        <w:rPr>
          <w:sz w:val="20"/>
        </w:rPr>
        <w:t xml:space="preserve"> Adjusted prevalence estimates of two or more sun protective behaviours among Victorian adults (</w:t>
      </w:r>
      <w:r w:rsidR="0011574A" w:rsidRPr="00CD1209">
        <w:rPr>
          <w:sz w:val="20"/>
        </w:rPr>
        <w:t xml:space="preserve">aged </w:t>
      </w:r>
      <w:r w:rsidRPr="00CD1209">
        <w:rPr>
          <w:sz w:val="20"/>
        </w:rPr>
        <w:t>18</w:t>
      </w:r>
      <w:r w:rsidR="001C3A47" w:rsidRPr="00CD1209">
        <w:rPr>
          <w:sz w:val="20"/>
        </w:rPr>
        <w:t xml:space="preserve"> </w:t>
      </w:r>
      <w:r w:rsidRPr="00CD1209">
        <w:rPr>
          <w:sz w:val="20"/>
        </w:rPr>
        <w:t>years</w:t>
      </w:r>
      <w:r w:rsidR="0011574A" w:rsidRPr="00CD1209">
        <w:rPr>
          <w:sz w:val="20"/>
        </w:rPr>
        <w:t xml:space="preserve"> and over</w:t>
      </w:r>
      <w:r w:rsidRPr="00CD1209">
        <w:rPr>
          <w:sz w:val="20"/>
        </w:rPr>
        <w:t xml:space="preserve">) </w:t>
      </w:r>
      <w:r w:rsidR="0011574A" w:rsidRPr="00CD1209">
        <w:rPr>
          <w:sz w:val="20"/>
        </w:rPr>
        <w:t xml:space="preserve">during the </w:t>
      </w:r>
      <w:r w:rsidRPr="00CD1209">
        <w:rPr>
          <w:sz w:val="20"/>
        </w:rPr>
        <w:t>summer 20</w:t>
      </w:r>
      <w:r w:rsidR="00290240" w:rsidRPr="00CD1209">
        <w:rPr>
          <w:sz w:val="20"/>
        </w:rPr>
        <w:t>21</w:t>
      </w:r>
      <w:r w:rsidR="00CA2AD7" w:rsidRPr="00CD1209">
        <w:rPr>
          <w:sz w:val="20"/>
        </w:rPr>
        <w:t>–</w:t>
      </w:r>
      <w:r w:rsidR="0023639E" w:rsidRPr="00CD1209">
        <w:rPr>
          <w:sz w:val="20"/>
        </w:rPr>
        <w:t>20</w:t>
      </w:r>
      <w:r w:rsidR="00290240" w:rsidRPr="00CD1209">
        <w:rPr>
          <w:sz w:val="20"/>
        </w:rPr>
        <w:t>22</w:t>
      </w:r>
      <w:bookmarkEnd w:id="616"/>
    </w:p>
    <w:p w14:paraId="0C4A7796" w14:textId="34A2742F" w:rsidR="00B852AC" w:rsidRPr="00B852AC" w:rsidRDefault="00B852AC" w:rsidP="00B852AC">
      <w:pPr>
        <w:pStyle w:val="DHHSbody"/>
      </w:pPr>
      <w:r w:rsidRPr="00B852AC">
        <w:rPr>
          <w:noProof/>
        </w:rPr>
        <w:drawing>
          <wp:inline distT="0" distB="0" distL="0" distR="0" wp14:anchorId="575000E5" wp14:editId="0773D44C">
            <wp:extent cx="5819775" cy="3285640"/>
            <wp:effectExtent l="0" t="0" r="0" b="0"/>
            <wp:docPr id="79" name="Picture 79" descr="This figure shows a data summary of 'Measure 9.2 – Proportion of Proportion of Victorian adults 18 years and over 18–69-year-olds wearing a combination of broad-brimmed hats and/or sunscreen with one other key sun protective behaviour' during the summer 2021-2022. The data set is available under 'Measure 9.2 – Proportion of Proportion of Victorian adults 18 years and over 18–69-year-olds wearing a combination of broad-brimmed hats and/or sunscreen with one other key sun protective behaviour’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his figure shows a data summary of 'Measure 9.2 – Proportion of Proportion of Victorian adults 18 years and over 18–69-year-olds wearing a combination of broad-brimmed hats and/or sunscreen with one other key sun protective behaviour' during the summer 2021-2022. The data set is available under 'Measure 9.2 – Proportion of Proportion of Victorian adults 18 years and over 18–69-year-olds wearing a combination of broad-brimmed hats and/or sunscreen with one other key sun protective behaviour’ in a separate volume, the Victorian cancer plan monitoring and evaluation framework: baseline report: Appendix 2: Datasets available on Cancer care &lt;https://www.health.vic.gov.au/health-strategies/cancer-care&gt;."/>
                    <pic:cNvPicPr/>
                  </pic:nvPicPr>
                  <pic:blipFill>
                    <a:blip r:embed="rId104"/>
                    <a:stretch>
                      <a:fillRect/>
                    </a:stretch>
                  </pic:blipFill>
                  <pic:spPr>
                    <a:xfrm>
                      <a:off x="0" y="0"/>
                      <a:ext cx="5832626" cy="3292895"/>
                    </a:xfrm>
                    <a:prstGeom prst="rect">
                      <a:avLst/>
                    </a:prstGeom>
                  </pic:spPr>
                </pic:pic>
              </a:graphicData>
            </a:graphic>
          </wp:inline>
        </w:drawing>
      </w:r>
    </w:p>
    <w:p w14:paraId="43E55B8E" w14:textId="5947B741" w:rsidR="00216BFF" w:rsidRPr="006054F2" w:rsidRDefault="00216BFF" w:rsidP="00E87AAA">
      <w:pPr>
        <w:pStyle w:val="Body"/>
        <w:rPr>
          <w:lang w:eastAsia="en-AU"/>
        </w:rPr>
      </w:pPr>
    </w:p>
    <w:p w14:paraId="48FDC0FA" w14:textId="38E0E800" w:rsidR="00290240" w:rsidRPr="00CD1209" w:rsidRDefault="00665EED" w:rsidP="00290240">
      <w:pPr>
        <w:pStyle w:val="Tablefigurenote"/>
        <w:rPr>
          <w:i/>
          <w:iCs/>
          <w:sz w:val="18"/>
          <w:szCs w:val="18"/>
        </w:rPr>
      </w:pPr>
      <w:r w:rsidRPr="00CD1209">
        <w:rPr>
          <w:i/>
          <w:iCs/>
          <w:sz w:val="18"/>
          <w:szCs w:val="18"/>
          <w:lang w:eastAsia="en-AU"/>
        </w:rPr>
        <w:t xml:space="preserve">Note: </w:t>
      </w:r>
      <w:r w:rsidR="00290240" w:rsidRPr="00CD1209">
        <w:rPr>
          <w:i/>
          <w:iCs/>
          <w:sz w:val="18"/>
          <w:szCs w:val="18"/>
          <w:lang w:eastAsia="en-AU"/>
        </w:rPr>
        <w:t>These data were derived from the 2022 Summer Sun Protection Survey (collected via Life in Australia</w:t>
      </w:r>
      <w:r w:rsidR="00290240" w:rsidRPr="00CD1209">
        <w:rPr>
          <w:i/>
          <w:iCs/>
          <w:sz w:val="18"/>
          <w:szCs w:val="18"/>
          <w:vertAlign w:val="superscript"/>
          <w:lang w:eastAsia="en-AU"/>
        </w:rPr>
        <w:t>TM</w:t>
      </w:r>
      <w:r w:rsidR="00290240" w:rsidRPr="00CD1209">
        <w:rPr>
          <w:i/>
          <w:iCs/>
          <w:sz w:val="18"/>
          <w:szCs w:val="18"/>
          <w:lang w:eastAsia="en-AU"/>
        </w:rPr>
        <w:t xml:space="preserve">), </w:t>
      </w:r>
      <w:r w:rsidR="00290240" w:rsidRPr="00CD1209">
        <w:rPr>
          <w:i/>
          <w:iCs/>
          <w:sz w:val="18"/>
          <w:szCs w:val="18"/>
        </w:rPr>
        <w:t>including a representative sample of Australians aged 18 years and over. A mixed-mode methodology was adopted for the survey and included both online and telephone responses. Respondents completed the survey over two weeks between 17 and 31 January 2022. The data were weighted to be representative of Australians aged 18 years and over, using benchmarks from official Australian Bureau of Statistics sources including the 2016 Census. The Victorian sample consisted of 734 respondents (unweighted base).</w:t>
      </w:r>
    </w:p>
    <w:p w14:paraId="0926E612" w14:textId="123395EE" w:rsidR="00290240" w:rsidRPr="00CD1209" w:rsidRDefault="00290240" w:rsidP="004A0195">
      <w:pPr>
        <w:pStyle w:val="Tablefigurenote"/>
        <w:rPr>
          <w:i/>
          <w:iCs/>
          <w:sz w:val="18"/>
          <w:szCs w:val="18"/>
          <w:lang w:eastAsia="en-AU"/>
        </w:rPr>
      </w:pPr>
      <w:r w:rsidRPr="00CD1209">
        <w:rPr>
          <w:i/>
          <w:iCs/>
          <w:sz w:val="18"/>
          <w:szCs w:val="18"/>
        </w:rPr>
        <w:t xml:space="preserve">Prevalence estimates for Victorian adults are unadjusted. Prevalence figures for sub-groups are estimated from multivariable models adjusting for age, sex and skin sensitivity. </w:t>
      </w:r>
    </w:p>
    <w:p w14:paraId="3731A619" w14:textId="7372078A" w:rsidR="005A7A72" w:rsidRPr="00CD1209" w:rsidRDefault="005A7A72" w:rsidP="004F34D1">
      <w:pPr>
        <w:pStyle w:val="Bodyaftertablefigure"/>
        <w:rPr>
          <w:b/>
          <w:i/>
          <w:iCs/>
          <w:sz w:val="18"/>
          <w:szCs w:val="18"/>
        </w:rPr>
      </w:pPr>
      <w:r w:rsidRPr="00CD1209">
        <w:rPr>
          <w:i/>
          <w:iCs/>
          <w:sz w:val="18"/>
          <w:szCs w:val="18"/>
        </w:rPr>
        <w:t>Table 9.2 in Appendix 2 provides the unadjusted prevalence estimates of two or more sun protective behaviours among Victorian adults (</w:t>
      </w:r>
      <w:r w:rsidR="0011574A" w:rsidRPr="00CD1209">
        <w:rPr>
          <w:i/>
          <w:iCs/>
          <w:sz w:val="18"/>
          <w:szCs w:val="18"/>
        </w:rPr>
        <w:t xml:space="preserve">aged </w:t>
      </w:r>
      <w:r w:rsidRPr="00CD1209">
        <w:rPr>
          <w:i/>
          <w:iCs/>
          <w:sz w:val="18"/>
          <w:szCs w:val="18"/>
        </w:rPr>
        <w:t>18</w:t>
      </w:r>
      <w:r w:rsidR="00812510" w:rsidRPr="00CD1209">
        <w:rPr>
          <w:i/>
          <w:iCs/>
          <w:sz w:val="18"/>
          <w:szCs w:val="18"/>
        </w:rPr>
        <w:t xml:space="preserve"> </w:t>
      </w:r>
      <w:r w:rsidRPr="00CD1209">
        <w:rPr>
          <w:i/>
          <w:iCs/>
          <w:sz w:val="18"/>
          <w:szCs w:val="18"/>
        </w:rPr>
        <w:t>years</w:t>
      </w:r>
      <w:r w:rsidR="0011574A" w:rsidRPr="00CD1209">
        <w:rPr>
          <w:i/>
          <w:iCs/>
          <w:sz w:val="18"/>
          <w:szCs w:val="18"/>
        </w:rPr>
        <w:t xml:space="preserve"> and over</w:t>
      </w:r>
      <w:r w:rsidRPr="00CD1209">
        <w:rPr>
          <w:i/>
          <w:iCs/>
          <w:sz w:val="18"/>
          <w:szCs w:val="18"/>
        </w:rPr>
        <w:t>) in</w:t>
      </w:r>
      <w:r w:rsidR="00D753DF" w:rsidRPr="00CD1209">
        <w:rPr>
          <w:i/>
          <w:iCs/>
          <w:sz w:val="18"/>
          <w:szCs w:val="18"/>
        </w:rPr>
        <w:t xml:space="preserve"> the</w:t>
      </w:r>
      <w:r w:rsidRPr="00CD1209">
        <w:rPr>
          <w:i/>
          <w:iCs/>
          <w:sz w:val="18"/>
          <w:szCs w:val="18"/>
        </w:rPr>
        <w:t xml:space="preserve"> summer </w:t>
      </w:r>
      <w:r w:rsidR="00D8315C" w:rsidRPr="00CD1209">
        <w:rPr>
          <w:i/>
          <w:iCs/>
          <w:sz w:val="18"/>
          <w:szCs w:val="18"/>
        </w:rPr>
        <w:t xml:space="preserve">of </w:t>
      </w:r>
      <w:r w:rsidRPr="00CD1209">
        <w:rPr>
          <w:i/>
          <w:iCs/>
          <w:sz w:val="18"/>
          <w:szCs w:val="18"/>
        </w:rPr>
        <w:t>20</w:t>
      </w:r>
      <w:r w:rsidR="0026138F" w:rsidRPr="00CD1209">
        <w:rPr>
          <w:i/>
          <w:iCs/>
          <w:sz w:val="18"/>
          <w:szCs w:val="18"/>
        </w:rPr>
        <w:t>21</w:t>
      </w:r>
      <w:r w:rsidR="00CA2AD7" w:rsidRPr="00CD1209">
        <w:rPr>
          <w:i/>
          <w:iCs/>
          <w:sz w:val="18"/>
          <w:szCs w:val="18"/>
        </w:rPr>
        <w:t>–</w:t>
      </w:r>
      <w:r w:rsidR="0026138F" w:rsidRPr="00CD1209">
        <w:rPr>
          <w:i/>
          <w:iCs/>
          <w:sz w:val="18"/>
          <w:szCs w:val="18"/>
        </w:rPr>
        <w:t>22</w:t>
      </w:r>
      <w:r w:rsidRPr="00CD1209">
        <w:rPr>
          <w:i/>
          <w:iCs/>
          <w:sz w:val="18"/>
          <w:szCs w:val="18"/>
        </w:rPr>
        <w:t>.</w:t>
      </w:r>
    </w:p>
    <w:p w14:paraId="1C9F1DAC" w14:textId="25A05625" w:rsidR="00665EED" w:rsidRPr="0015028D" w:rsidRDefault="00665EED" w:rsidP="007C7F00">
      <w:pPr>
        <w:pStyle w:val="Heading4"/>
      </w:pPr>
      <w:r w:rsidRPr="00F62096">
        <w:t>Measure assessment</w:t>
      </w:r>
    </w:p>
    <w:p w14:paraId="1F421E3D" w14:textId="609BEE64" w:rsidR="00665EED" w:rsidRPr="00061321" w:rsidRDefault="00665EED" w:rsidP="00606436">
      <w:pPr>
        <w:pStyle w:val="Body"/>
      </w:pPr>
      <w:r w:rsidRPr="00780B3A">
        <w:t>Traffic light rating:</w:t>
      </w:r>
      <w:r w:rsidRPr="00B504AD">
        <w:rPr>
          <w:color w:val="AF272F"/>
        </w:rPr>
        <w:t xml:space="preserve"> </w:t>
      </w:r>
      <w:r w:rsidR="00290240" w:rsidRPr="005632AD">
        <w:rPr>
          <w:b/>
          <w:color w:val="C5511A"/>
        </w:rPr>
        <w:t>Amber</w:t>
      </w:r>
      <w:r w:rsidR="00290240" w:rsidRPr="00EA3932">
        <w:rPr>
          <w:b/>
        </w:rPr>
        <w:t xml:space="preserve"> </w:t>
      </w:r>
      <w:r w:rsidR="00290240" w:rsidRPr="00EA3932">
        <w:t>(desired result not yet evident)</w:t>
      </w:r>
    </w:p>
    <w:p w14:paraId="6C810E39" w14:textId="2F1B04EE" w:rsidR="00665EED" w:rsidRPr="00780B3A" w:rsidRDefault="00665EED" w:rsidP="00606436">
      <w:pPr>
        <w:pStyle w:val="Body"/>
      </w:pPr>
      <w:r w:rsidRPr="0064536D">
        <w:t xml:space="preserve">Overall trend: </w:t>
      </w:r>
      <w:r w:rsidR="00290240">
        <w:t>Data from the National Sun Protection Survey (2013</w:t>
      </w:r>
      <w:r w:rsidR="00246747">
        <w:t>–</w:t>
      </w:r>
      <w:r w:rsidR="00290240">
        <w:t>14 and 2016</w:t>
      </w:r>
      <w:r w:rsidR="00246747">
        <w:t>–</w:t>
      </w:r>
      <w:r w:rsidR="00290240">
        <w:t xml:space="preserve">17) indicated this result was moving in the right direction </w:t>
      </w:r>
      <w:r w:rsidR="00290240" w:rsidRPr="00290240">
        <w:t>(refer to the</w:t>
      </w:r>
      <w:r w:rsidR="00290240" w:rsidRPr="005632AD">
        <w:rPr>
          <w:i/>
          <w:iCs/>
        </w:rPr>
        <w:t xml:space="preserve"> C</w:t>
      </w:r>
      <w:r w:rsidR="00A1686A" w:rsidRPr="00A1686A">
        <w:rPr>
          <w:i/>
          <w:iCs/>
        </w:rPr>
        <w:t>ancer plan monitoring and evaluation framework baseline report</w:t>
      </w:r>
      <w:r w:rsidR="00290240" w:rsidRPr="00290240">
        <w:t>, 2020).</w:t>
      </w:r>
      <w:r w:rsidR="00290240">
        <w:t xml:space="preserve"> However, due to the National Sun Protection Survey terminating,</w:t>
      </w:r>
      <w:r w:rsidR="00290240" w:rsidRPr="00603755">
        <w:t xml:space="preserve"> </w:t>
      </w:r>
      <w:r w:rsidR="00290240">
        <w:t>assessment of future trends necessitates a new baseline. Data on sun protection behaviours is being collected as part of the 2022 Victorian Population Health Survey and the A</w:t>
      </w:r>
      <w:r w:rsidR="00A1686A">
        <w:t xml:space="preserve">BS’s </w:t>
      </w:r>
      <w:r w:rsidR="00290240">
        <w:t>2023</w:t>
      </w:r>
      <w:r w:rsidR="00246747">
        <w:t>–</w:t>
      </w:r>
      <w:r w:rsidR="00290240">
        <w:t>24 Multipurpose Household Survey</w:t>
      </w:r>
      <w:r w:rsidR="00A1686A">
        <w:t>,</w:t>
      </w:r>
      <w:r w:rsidR="00290240">
        <w:t xml:space="preserve"> with the view to establishing a new population monitoring series for </w:t>
      </w:r>
      <w:r w:rsidR="00290240">
        <w:lastRenderedPageBreak/>
        <w:t xml:space="preserve">skin cancer prevention. In the interim, data from Cancer Council’s </w:t>
      </w:r>
      <w:r w:rsidR="00290240" w:rsidRPr="00091BDD">
        <w:t>2022 Summer Sun Protection Survey (collected via Life in Australia</w:t>
      </w:r>
      <w:r w:rsidR="00290240" w:rsidRPr="00B26581">
        <w:rPr>
          <w:vertAlign w:val="superscript"/>
        </w:rPr>
        <w:t>TM</w:t>
      </w:r>
      <w:r w:rsidR="00290240" w:rsidRPr="00091BDD">
        <w:t>)</w:t>
      </w:r>
      <w:r w:rsidR="00290240">
        <w:t xml:space="preserve"> is included to provide a point</w:t>
      </w:r>
      <w:r w:rsidR="00A1686A">
        <w:t>-</w:t>
      </w:r>
      <w:r w:rsidR="00290240">
        <w:t>in</w:t>
      </w:r>
      <w:r w:rsidR="00A1686A">
        <w:t>-</w:t>
      </w:r>
      <w:r w:rsidR="00290240">
        <w:t>time estimate</w:t>
      </w:r>
      <w:r>
        <w:t xml:space="preserve">. </w:t>
      </w:r>
    </w:p>
    <w:p w14:paraId="3C8C34FF" w14:textId="7A047432" w:rsidR="00665EED" w:rsidRPr="001A2A05" w:rsidRDefault="00665EED" w:rsidP="00E87AAA">
      <w:pPr>
        <w:pStyle w:val="Body"/>
      </w:pPr>
      <w:r w:rsidRPr="0064536D">
        <w:t xml:space="preserve">Commentary: </w:t>
      </w:r>
      <w:r w:rsidR="006A5AD6">
        <w:t>Figure</w:t>
      </w:r>
      <w:r>
        <w:t xml:space="preserve"> 9.2 shows</w:t>
      </w:r>
      <w:r w:rsidR="005545B1">
        <w:t xml:space="preserve"> </w:t>
      </w:r>
      <w:r w:rsidR="005545B1" w:rsidRPr="00430754">
        <w:t xml:space="preserve">that </w:t>
      </w:r>
      <w:r w:rsidR="005545B1">
        <w:t>37</w:t>
      </w:r>
      <w:r w:rsidR="0054537F">
        <w:t>%</w:t>
      </w:r>
      <w:r w:rsidR="005545B1" w:rsidRPr="00430754">
        <w:t xml:space="preserve"> of Victorian adults aged 18 years and over </w:t>
      </w:r>
      <w:r w:rsidR="005545B1">
        <w:t xml:space="preserve">reported </w:t>
      </w:r>
      <w:r w:rsidR="005545B1" w:rsidRPr="001E3DB6">
        <w:t>us</w:t>
      </w:r>
      <w:r w:rsidR="005545B1">
        <w:t>ing</w:t>
      </w:r>
      <w:r w:rsidR="005545B1" w:rsidRPr="001E3DB6">
        <w:t xml:space="preserve"> of two or more sun protective behaviours </w:t>
      </w:r>
      <w:r w:rsidR="005545B1">
        <w:t>always/often during the summer for sun protection</w:t>
      </w:r>
      <w:r w:rsidR="005545B1" w:rsidRPr="001E3DB6">
        <w:t>.</w:t>
      </w:r>
      <w:r w:rsidR="005545B1">
        <w:t xml:space="preserve"> Females more commonly</w:t>
      </w:r>
      <w:r w:rsidR="005545B1" w:rsidRPr="00A94782">
        <w:t xml:space="preserve"> </w:t>
      </w:r>
      <w:r w:rsidR="005545B1" w:rsidRPr="001E3DB6">
        <w:t xml:space="preserve">reported using two or more sun protective behaviours </w:t>
      </w:r>
      <w:r w:rsidR="00D43B41">
        <w:t xml:space="preserve">compared </w:t>
      </w:r>
      <w:r w:rsidR="002769E7" w:rsidRPr="002769E7">
        <w:t xml:space="preserve">with </w:t>
      </w:r>
      <w:r w:rsidR="005545B1">
        <w:t>males</w:t>
      </w:r>
      <w:r w:rsidR="002A1AB5">
        <w:t>,</w:t>
      </w:r>
      <w:r w:rsidR="005545B1">
        <w:t xml:space="preserve"> as did r</w:t>
      </w:r>
      <w:r w:rsidR="005545B1" w:rsidRPr="001E3DB6">
        <w:t xml:space="preserve">espondents with highly/moderately sensitive skin </w:t>
      </w:r>
      <w:r w:rsidR="005545B1">
        <w:t>compared with those whose</w:t>
      </w:r>
      <w:r w:rsidR="005545B1" w:rsidRPr="001E3DB6">
        <w:t xml:space="preserve"> skin is not sensitive</w:t>
      </w:r>
      <w:r w:rsidR="005545B1">
        <w:t xml:space="preserve">. The </w:t>
      </w:r>
      <w:r w:rsidR="005545B1" w:rsidRPr="001E3DB6">
        <w:t>increase in the use of multiple sun-protective behaviours</w:t>
      </w:r>
      <w:r w:rsidR="005545B1">
        <w:t xml:space="preserve"> indicated by the National Sun Protection Survey data to 2016</w:t>
      </w:r>
      <w:r w:rsidR="00246747">
        <w:t>–</w:t>
      </w:r>
      <w:r w:rsidR="005545B1">
        <w:t xml:space="preserve">17 </w:t>
      </w:r>
      <w:r w:rsidR="005545B1" w:rsidRPr="001E3DB6">
        <w:t xml:space="preserve">suggests that Victorian adults </w:t>
      </w:r>
      <w:r w:rsidR="005545B1">
        <w:t>are</w:t>
      </w:r>
      <w:r w:rsidR="005545B1" w:rsidRPr="001E3DB6">
        <w:t xml:space="preserve"> generally adopting more sun protective </w:t>
      </w:r>
      <w:r w:rsidR="005545B1" w:rsidRPr="005545B1">
        <w:t>measures (refer to</w:t>
      </w:r>
      <w:r w:rsidR="005545B1">
        <w:t xml:space="preserve"> the </w:t>
      </w:r>
      <w:r w:rsidR="00246747">
        <w:t xml:space="preserve">2020 </w:t>
      </w:r>
      <w:r w:rsidR="005545B1" w:rsidRPr="76BE792E">
        <w:rPr>
          <w:i/>
          <w:iCs/>
        </w:rPr>
        <w:t xml:space="preserve">Cancer </w:t>
      </w:r>
      <w:r w:rsidR="00246747" w:rsidRPr="76BE792E">
        <w:rPr>
          <w:i/>
          <w:iCs/>
        </w:rPr>
        <w:t>p</w:t>
      </w:r>
      <w:r w:rsidR="005545B1" w:rsidRPr="76BE792E">
        <w:rPr>
          <w:i/>
          <w:iCs/>
        </w:rPr>
        <w:t xml:space="preserve">lan </w:t>
      </w:r>
      <w:r w:rsidR="00246747" w:rsidRPr="76BE792E">
        <w:rPr>
          <w:i/>
          <w:iCs/>
        </w:rPr>
        <w:t>m</w:t>
      </w:r>
      <w:r w:rsidR="005545B1" w:rsidRPr="76BE792E">
        <w:rPr>
          <w:i/>
          <w:iCs/>
        </w:rPr>
        <w:t xml:space="preserve">onitoring and </w:t>
      </w:r>
      <w:r w:rsidR="00246747" w:rsidRPr="76BE792E">
        <w:rPr>
          <w:i/>
          <w:iCs/>
        </w:rPr>
        <w:t>e</w:t>
      </w:r>
      <w:r w:rsidR="005545B1" w:rsidRPr="76BE792E">
        <w:rPr>
          <w:i/>
          <w:iCs/>
        </w:rPr>
        <w:t xml:space="preserve">valuation </w:t>
      </w:r>
      <w:r w:rsidR="00246747" w:rsidRPr="76BE792E">
        <w:rPr>
          <w:i/>
          <w:iCs/>
        </w:rPr>
        <w:t>f</w:t>
      </w:r>
      <w:r w:rsidR="005545B1" w:rsidRPr="76BE792E">
        <w:rPr>
          <w:i/>
          <w:iCs/>
        </w:rPr>
        <w:t>ramework baseline report</w:t>
      </w:r>
      <w:r w:rsidR="005545B1">
        <w:t>).</w:t>
      </w:r>
      <w:r w:rsidR="005545B1" w:rsidRPr="001E3DB6">
        <w:t xml:space="preserve"> </w:t>
      </w:r>
      <w:r w:rsidR="005545B1">
        <w:t>An</w:t>
      </w:r>
      <w:r w:rsidR="005545B1" w:rsidRPr="001E3DB6">
        <w:t xml:space="preserve"> increase in sun protection may indicate the benefits of implementing </w:t>
      </w:r>
      <w:r w:rsidR="005545B1">
        <w:t xml:space="preserve">skin cancer prevention </w:t>
      </w:r>
      <w:r w:rsidR="005545B1" w:rsidRPr="001E3DB6">
        <w:t>campaigns</w:t>
      </w:r>
      <w:r w:rsidR="005545B1" w:rsidRPr="001E3DB6">
        <w:rPr>
          <w:rStyle w:val="FootnoteReference"/>
          <w:rFonts w:cs="Arial"/>
        </w:rPr>
        <w:footnoteReference w:id="124"/>
      </w:r>
      <w:r w:rsidR="005545B1" w:rsidRPr="001E3DB6">
        <w:t xml:space="preserve"> (such as </w:t>
      </w:r>
      <w:r w:rsidR="001A6EA9">
        <w:t xml:space="preserve">the </w:t>
      </w:r>
      <w:r w:rsidR="005545B1" w:rsidRPr="001E3DB6">
        <w:t>globally recognised SunSmart</w:t>
      </w:r>
      <w:r w:rsidR="001A6EA9">
        <w:t xml:space="preserve"> Program</w:t>
      </w:r>
      <w:r w:rsidR="005545B1" w:rsidRPr="001E3DB6">
        <w:rPr>
          <w:rStyle w:val="FootnoteReference"/>
          <w:rFonts w:cs="Arial"/>
        </w:rPr>
        <w:footnoteReference w:id="125"/>
      </w:r>
      <w:r w:rsidR="005545B1" w:rsidRPr="001E3DB6">
        <w:t xml:space="preserve"> – one of </w:t>
      </w:r>
      <w:r w:rsidR="005545B1" w:rsidRPr="001E3DB6">
        <w:rPr>
          <w:lang w:val="en"/>
        </w:rPr>
        <w:t>Victoria’s longest running and most successful</w:t>
      </w:r>
      <w:r w:rsidR="001A6EA9">
        <w:rPr>
          <w:lang w:val="en"/>
        </w:rPr>
        <w:t xml:space="preserve"> public health</w:t>
      </w:r>
      <w:r w:rsidR="005545B1" w:rsidRPr="001E3DB6">
        <w:rPr>
          <w:lang w:val="en"/>
        </w:rPr>
        <w:t xml:space="preserve"> programs</w:t>
      </w:r>
      <w:r w:rsidR="005545B1" w:rsidRPr="001E3DB6">
        <w:rPr>
          <w:rStyle w:val="FootnoteReference"/>
          <w:rFonts w:cs="Arial"/>
          <w:lang w:val="en"/>
        </w:rPr>
        <w:footnoteReference w:id="126"/>
      </w:r>
      <w:r w:rsidR="00246747" w:rsidRPr="005632AD">
        <w:rPr>
          <w:vertAlign w:val="superscript"/>
          <w:lang w:val="en"/>
        </w:rPr>
        <w:t>,</w:t>
      </w:r>
      <w:r w:rsidR="005545B1">
        <w:rPr>
          <w:rStyle w:val="FootnoteReference"/>
          <w:rFonts w:cs="Arial"/>
          <w:lang w:val="en"/>
        </w:rPr>
        <w:footnoteReference w:id="127"/>
      </w:r>
      <w:r w:rsidR="005545B1" w:rsidRPr="001E3DB6">
        <w:rPr>
          <w:lang w:val="en"/>
        </w:rPr>
        <w:t>)</w:t>
      </w:r>
      <w:r w:rsidR="005545B1">
        <w:rPr>
          <w:lang w:val="en"/>
        </w:rPr>
        <w:t xml:space="preserve">, an approach supported in the </w:t>
      </w:r>
      <w:r w:rsidR="005545B1" w:rsidRPr="76BE792E">
        <w:rPr>
          <w:i/>
          <w:iCs/>
          <w:lang w:val="en"/>
        </w:rPr>
        <w:t xml:space="preserve">National </w:t>
      </w:r>
      <w:r w:rsidR="00246747" w:rsidRPr="76BE792E">
        <w:rPr>
          <w:i/>
          <w:iCs/>
          <w:lang w:val="en"/>
        </w:rPr>
        <w:t>p</w:t>
      </w:r>
      <w:r w:rsidR="005545B1" w:rsidRPr="76BE792E">
        <w:rPr>
          <w:i/>
          <w:iCs/>
          <w:lang w:val="en"/>
        </w:rPr>
        <w:t xml:space="preserve">reventive </w:t>
      </w:r>
      <w:r w:rsidR="00246747" w:rsidRPr="76BE792E">
        <w:rPr>
          <w:i/>
          <w:iCs/>
          <w:lang w:val="en"/>
        </w:rPr>
        <w:t>h</w:t>
      </w:r>
      <w:r w:rsidR="005545B1" w:rsidRPr="76BE792E">
        <w:rPr>
          <w:i/>
          <w:iCs/>
          <w:lang w:val="en"/>
        </w:rPr>
        <w:t xml:space="preserve">ealth </w:t>
      </w:r>
      <w:r w:rsidR="00246747" w:rsidRPr="76BE792E">
        <w:rPr>
          <w:i/>
          <w:iCs/>
          <w:lang w:val="en"/>
        </w:rPr>
        <w:t>s</w:t>
      </w:r>
      <w:r w:rsidR="005545B1" w:rsidRPr="76BE792E">
        <w:rPr>
          <w:i/>
          <w:iCs/>
          <w:lang w:val="en"/>
        </w:rPr>
        <w:t>trategy 2021–2030</w:t>
      </w:r>
      <w:r w:rsidR="001C3A47">
        <w:rPr>
          <w:lang w:val="en"/>
        </w:rPr>
        <w:t>.</w:t>
      </w:r>
      <w:r>
        <w:rPr>
          <w:lang w:eastAsia="en-AU"/>
        </w:rPr>
        <w:br w:type="page"/>
      </w:r>
    </w:p>
    <w:p w14:paraId="0E797AB0" w14:textId="75A0D4A8" w:rsidR="000C78CC" w:rsidRPr="005F0940" w:rsidRDefault="000C78CC" w:rsidP="006053E7">
      <w:pPr>
        <w:pStyle w:val="Heading2"/>
      </w:pPr>
      <w:bookmarkStart w:id="617" w:name="_Toc1666534"/>
      <w:bookmarkStart w:id="618" w:name="_Toc19008092"/>
      <w:bookmarkStart w:id="619" w:name="_Toc140843420"/>
      <w:bookmarkStart w:id="620" w:name="_Hlk129509580"/>
      <w:r w:rsidRPr="005F0940">
        <w:lastRenderedPageBreak/>
        <w:t xml:space="preserve">Key result: </w:t>
      </w:r>
      <w:bookmarkStart w:id="621" w:name="_Hlk115682398"/>
      <w:r w:rsidRPr="005F0940">
        <w:t xml:space="preserve">Decrease HPV and viral hepatitis </w:t>
      </w:r>
      <w:r w:rsidRPr="008D225A">
        <w:t>impact</w:t>
      </w:r>
      <w:bookmarkEnd w:id="617"/>
      <w:bookmarkEnd w:id="618"/>
      <w:bookmarkEnd w:id="619"/>
      <w:bookmarkEnd w:id="621"/>
    </w:p>
    <w:p w14:paraId="656459CC" w14:textId="6178F190" w:rsidR="000C78CC" w:rsidRPr="006045EE" w:rsidRDefault="000C78CC" w:rsidP="00A451D4">
      <w:pPr>
        <w:pStyle w:val="Heading3"/>
        <w:rPr>
          <w:b/>
          <w:bCs w:val="0"/>
        </w:rPr>
      </w:pPr>
      <w:bookmarkStart w:id="622" w:name="_Measure_10.1_–"/>
      <w:bookmarkStart w:id="623" w:name="_Toc19008093"/>
      <w:bookmarkStart w:id="624" w:name="_Hlk111712204"/>
      <w:bookmarkEnd w:id="622"/>
      <w:r w:rsidRPr="76BE792E">
        <w:rPr>
          <w:b/>
        </w:rPr>
        <w:t>Measure 10.1 – Proportion of adolescents 15 years</w:t>
      </w:r>
      <w:r w:rsidRPr="76BE792E">
        <w:rPr>
          <w:rStyle w:val="FootnoteReference"/>
          <w:b/>
          <w:lang w:eastAsia="en-AU"/>
        </w:rPr>
        <w:footnoteReference w:id="128"/>
      </w:r>
      <w:r w:rsidRPr="76BE792E">
        <w:rPr>
          <w:b/>
        </w:rPr>
        <w:t xml:space="preserve"> of age fully vaccinated against HPV</w:t>
      </w:r>
      <w:bookmarkEnd w:id="623"/>
    </w:p>
    <w:p w14:paraId="50E9E342" w14:textId="15DF25CF" w:rsidR="002C2248" w:rsidRDefault="000C78CC" w:rsidP="006440FA">
      <w:pPr>
        <w:pStyle w:val="Figurecaption"/>
        <w:rPr>
          <w:sz w:val="20"/>
        </w:rPr>
      </w:pPr>
      <w:bookmarkStart w:id="625" w:name="_Toc19008094"/>
      <w:bookmarkStart w:id="626" w:name="_Toc19008324"/>
      <w:bookmarkStart w:id="627" w:name="_Toc19008471"/>
      <w:bookmarkStart w:id="628" w:name="_Toc19008618"/>
      <w:bookmarkStart w:id="629" w:name="_Toc132553048"/>
      <w:bookmarkStart w:id="630" w:name="_Toc140827660"/>
      <w:bookmarkEnd w:id="624"/>
      <w:r w:rsidRPr="00CD1209">
        <w:rPr>
          <w:sz w:val="20"/>
        </w:rPr>
        <w:t>Figure 10.1</w:t>
      </w:r>
      <w:r w:rsidR="003B391F" w:rsidRPr="00CD1209">
        <w:rPr>
          <w:sz w:val="20"/>
        </w:rPr>
        <w:t>:</w:t>
      </w:r>
      <w:r w:rsidRPr="00CD1209">
        <w:rPr>
          <w:sz w:val="20"/>
        </w:rPr>
        <w:t xml:space="preserve"> </w:t>
      </w:r>
      <w:bookmarkStart w:id="631" w:name="_Hlk115682530"/>
      <w:r w:rsidRPr="00CD1209">
        <w:rPr>
          <w:sz w:val="20"/>
        </w:rPr>
        <w:t>HPV dose vaccination coverage for all females turning 15 years of age</w:t>
      </w:r>
      <w:r w:rsidR="003E7BB3" w:rsidRPr="00CD1209">
        <w:rPr>
          <w:sz w:val="20"/>
        </w:rPr>
        <w:t>,</w:t>
      </w:r>
      <w:r w:rsidRPr="00CD1209">
        <w:rPr>
          <w:sz w:val="20"/>
        </w:rPr>
        <w:t xml:space="preserve"> by </w:t>
      </w:r>
      <w:r w:rsidR="003E7BB3" w:rsidRPr="00CD1209">
        <w:rPr>
          <w:sz w:val="20"/>
        </w:rPr>
        <w:t>s</w:t>
      </w:r>
      <w:r w:rsidRPr="00CD1209">
        <w:rPr>
          <w:sz w:val="20"/>
        </w:rPr>
        <w:t>tate/territory and year, 2013</w:t>
      </w:r>
      <w:r w:rsidR="002710B6" w:rsidRPr="00CD1209">
        <w:rPr>
          <w:sz w:val="20"/>
        </w:rPr>
        <w:t>,</w:t>
      </w:r>
      <w:r w:rsidR="008F5CD4" w:rsidRPr="00CD1209">
        <w:rPr>
          <w:sz w:val="20"/>
        </w:rPr>
        <w:t xml:space="preserve"> </w:t>
      </w:r>
      <w:r w:rsidRPr="00CD1209">
        <w:rPr>
          <w:sz w:val="20"/>
        </w:rPr>
        <w:t>2017</w:t>
      </w:r>
      <w:bookmarkEnd w:id="625"/>
      <w:bookmarkEnd w:id="626"/>
      <w:bookmarkEnd w:id="627"/>
      <w:bookmarkEnd w:id="628"/>
      <w:r w:rsidR="002710B6" w:rsidRPr="00CD1209">
        <w:rPr>
          <w:sz w:val="20"/>
        </w:rPr>
        <w:t xml:space="preserve"> and 202</w:t>
      </w:r>
      <w:bookmarkEnd w:id="631"/>
      <w:r w:rsidR="00AC2FC9" w:rsidRPr="00CD1209">
        <w:rPr>
          <w:sz w:val="20"/>
        </w:rPr>
        <w:t>2</w:t>
      </w:r>
      <w:bookmarkEnd w:id="629"/>
      <w:bookmarkEnd w:id="630"/>
    </w:p>
    <w:p w14:paraId="53D497DB" w14:textId="68DE3711" w:rsidR="00C75893" w:rsidRPr="00C75893" w:rsidRDefault="00FE593C" w:rsidP="00C75893">
      <w:pPr>
        <w:pStyle w:val="DHHSbody"/>
      </w:pPr>
      <w:r w:rsidRPr="00FE593C">
        <w:rPr>
          <w:noProof/>
        </w:rPr>
        <w:drawing>
          <wp:inline distT="0" distB="0" distL="0" distR="0" wp14:anchorId="16686DC5" wp14:editId="39E55E33">
            <wp:extent cx="5981700" cy="3186430"/>
            <wp:effectExtent l="0" t="0" r="0" b="0"/>
            <wp:docPr id="1110205022" name="Picture 1110205022" descr="This figure provides a summary of ‘Measure 10.1 - Proportion of adolescents 15 years of age fully vaccinated against HPV' for females only for the study period 2013, 2017 and 2022.  The data by state-territory (including Victoria) is set out in a table directly below Fig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22" name="Picture 1110205022" descr="This figure provides a summary of ‘Measure 10.1 - Proportion of adolescents 15 years of age fully vaccinated against HPV' for females only for the study period 2013, 2017 and 2022.  The data by state-territory (including Victoria) is set out in a table directly below Figure 10.1."/>
                    <pic:cNvPicPr/>
                  </pic:nvPicPr>
                  <pic:blipFill>
                    <a:blip r:embed="rId105"/>
                    <a:stretch>
                      <a:fillRect/>
                    </a:stretch>
                  </pic:blipFill>
                  <pic:spPr>
                    <a:xfrm>
                      <a:off x="0" y="0"/>
                      <a:ext cx="6006821" cy="3199812"/>
                    </a:xfrm>
                    <a:prstGeom prst="rect">
                      <a:avLst/>
                    </a:prstGeom>
                  </pic:spPr>
                </pic:pic>
              </a:graphicData>
            </a:graphic>
          </wp:inline>
        </w:drawing>
      </w:r>
    </w:p>
    <w:p w14:paraId="3F60992B" w14:textId="31133D6E" w:rsidR="000C78CC" w:rsidRDefault="000C78CC" w:rsidP="00867A76">
      <w:pPr>
        <w:pStyle w:val="Figurecaption"/>
        <w:rPr>
          <w:sz w:val="20"/>
          <w:lang w:val="en"/>
        </w:rPr>
      </w:pPr>
      <w:bookmarkStart w:id="632" w:name="_Toc19008095"/>
      <w:bookmarkStart w:id="633" w:name="_Toc19008325"/>
      <w:bookmarkStart w:id="634" w:name="_Toc19008472"/>
      <w:bookmarkStart w:id="635" w:name="_Toc19008619"/>
      <w:bookmarkStart w:id="636" w:name="_Toc132553049"/>
      <w:bookmarkStart w:id="637" w:name="_Toc140827661"/>
      <w:r w:rsidRPr="00CD1209">
        <w:rPr>
          <w:sz w:val="20"/>
          <w:lang w:val="en"/>
        </w:rPr>
        <w:t>Figure 10.1.1</w:t>
      </w:r>
      <w:r w:rsidR="003B391F" w:rsidRPr="00CD1209">
        <w:rPr>
          <w:sz w:val="20"/>
        </w:rPr>
        <w:t>:</w:t>
      </w:r>
      <w:r w:rsidRPr="00CD1209">
        <w:rPr>
          <w:sz w:val="20"/>
          <w:lang w:val="en"/>
        </w:rPr>
        <w:t xml:space="preserve"> HPV dose vaccination coverage for all males turning 15 years of age</w:t>
      </w:r>
      <w:r w:rsidR="003E7BB3" w:rsidRPr="00CD1209">
        <w:rPr>
          <w:sz w:val="20"/>
          <w:lang w:val="en"/>
        </w:rPr>
        <w:t>,</w:t>
      </w:r>
      <w:r w:rsidRPr="00CD1209">
        <w:rPr>
          <w:sz w:val="20"/>
          <w:lang w:val="en"/>
        </w:rPr>
        <w:t xml:space="preserve"> by </w:t>
      </w:r>
      <w:r w:rsidR="00CA2AD7" w:rsidRPr="00CD1209">
        <w:rPr>
          <w:sz w:val="20"/>
          <w:lang w:val="en"/>
        </w:rPr>
        <w:t>s</w:t>
      </w:r>
      <w:r w:rsidRPr="00CD1209">
        <w:rPr>
          <w:sz w:val="20"/>
          <w:lang w:val="en"/>
        </w:rPr>
        <w:t>tate/territory and year, 2013</w:t>
      </w:r>
      <w:r w:rsidR="006A23E7" w:rsidRPr="00CD1209">
        <w:rPr>
          <w:sz w:val="20"/>
          <w:lang w:val="en"/>
        </w:rPr>
        <w:t>,</w:t>
      </w:r>
      <w:r w:rsidR="006A23E7" w:rsidRPr="00CD1209" w:rsidDel="006A23E7">
        <w:rPr>
          <w:sz w:val="20"/>
          <w:lang w:val="en"/>
        </w:rPr>
        <w:t xml:space="preserve"> </w:t>
      </w:r>
      <w:r w:rsidRPr="00CD1209">
        <w:rPr>
          <w:sz w:val="20"/>
          <w:lang w:val="en"/>
        </w:rPr>
        <w:t>2017</w:t>
      </w:r>
      <w:bookmarkEnd w:id="632"/>
      <w:bookmarkEnd w:id="633"/>
      <w:bookmarkEnd w:id="634"/>
      <w:bookmarkEnd w:id="635"/>
      <w:r w:rsidR="006A23E7" w:rsidRPr="00CD1209">
        <w:rPr>
          <w:sz w:val="20"/>
          <w:lang w:val="en"/>
        </w:rPr>
        <w:t xml:space="preserve"> and 202</w:t>
      </w:r>
      <w:r w:rsidR="001A360E" w:rsidRPr="00CD1209">
        <w:rPr>
          <w:sz w:val="20"/>
          <w:lang w:val="en"/>
        </w:rPr>
        <w:t>2</w:t>
      </w:r>
      <w:bookmarkEnd w:id="636"/>
      <w:bookmarkEnd w:id="637"/>
    </w:p>
    <w:p w14:paraId="50FBC7C9" w14:textId="04C0C25F" w:rsidR="004E14BB" w:rsidRPr="005F1882" w:rsidRDefault="0098383D" w:rsidP="00AD64BD">
      <w:pPr>
        <w:pStyle w:val="DHHSbody"/>
        <w:rPr>
          <w:lang w:val="en"/>
        </w:rPr>
      </w:pPr>
      <w:r w:rsidRPr="0098383D">
        <w:rPr>
          <w:noProof/>
          <w:lang w:val="en"/>
        </w:rPr>
        <w:drawing>
          <wp:inline distT="0" distB="0" distL="0" distR="0" wp14:anchorId="692351BF" wp14:editId="7064DF7A">
            <wp:extent cx="5886450" cy="3018936"/>
            <wp:effectExtent l="0" t="0" r="0" b="0"/>
            <wp:docPr id="1110205023" name="Picture 1110205023" descr="This figure provides a summary of ‘Measure 10.1 - Proportion of adolescents 15 years of age fully vaccinated against HPV' for males only for the study period 2013, 2017 and 2022.  The data by state-territory (including Victoria) is set out in a table directly below Fig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023" name="Picture 1110205023" descr="This figure provides a summary of ‘Measure 10.1 - Proportion of adolescents 15 years of age fully vaccinated against HPV' for males only for the study period 2013, 2017 and 2022.  The data by state-territory (including Victoria) is set out in a table directly below Figure 10.1.1."/>
                    <pic:cNvPicPr/>
                  </pic:nvPicPr>
                  <pic:blipFill>
                    <a:blip r:embed="rId106"/>
                    <a:stretch>
                      <a:fillRect/>
                    </a:stretch>
                  </pic:blipFill>
                  <pic:spPr>
                    <a:xfrm>
                      <a:off x="0" y="0"/>
                      <a:ext cx="5901213" cy="3026507"/>
                    </a:xfrm>
                    <a:prstGeom prst="rect">
                      <a:avLst/>
                    </a:prstGeom>
                  </pic:spPr>
                </pic:pic>
              </a:graphicData>
            </a:graphic>
          </wp:inline>
        </w:drawing>
      </w:r>
    </w:p>
    <w:p w14:paraId="647DCA16" w14:textId="77F6191F" w:rsidR="005F1882" w:rsidRPr="00CD1209" w:rsidRDefault="000C78CC" w:rsidP="00660649">
      <w:pPr>
        <w:pStyle w:val="Tablefigurenote"/>
        <w:rPr>
          <w:i/>
          <w:iCs/>
          <w:sz w:val="18"/>
          <w:szCs w:val="18"/>
        </w:rPr>
      </w:pPr>
      <w:r w:rsidRPr="00CD1209">
        <w:rPr>
          <w:i/>
          <w:iCs/>
          <w:sz w:val="18"/>
          <w:szCs w:val="18"/>
        </w:rPr>
        <w:t xml:space="preserve">Source: </w:t>
      </w:r>
      <w:r w:rsidR="006A23E7" w:rsidRPr="00CD1209">
        <w:rPr>
          <w:i/>
          <w:iCs/>
          <w:sz w:val="18"/>
          <w:szCs w:val="18"/>
        </w:rPr>
        <w:t xml:space="preserve">Australian Immunisation Register, Commonwealth Department of </w:t>
      </w:r>
      <w:r w:rsidR="006A23E7" w:rsidRPr="00CD1209">
        <w:rPr>
          <w:rFonts w:cs="Arial"/>
          <w:i/>
          <w:iCs/>
          <w:sz w:val="18"/>
          <w:szCs w:val="18"/>
          <w:lang w:val="en-US"/>
        </w:rPr>
        <w:t>Health and Aged Care</w:t>
      </w:r>
      <w:r w:rsidR="005F1882" w:rsidRPr="00CD1209">
        <w:rPr>
          <w:i/>
          <w:iCs/>
          <w:sz w:val="18"/>
          <w:szCs w:val="18"/>
        </w:rPr>
        <w:t xml:space="preserve"> </w:t>
      </w:r>
    </w:p>
    <w:p w14:paraId="1FA9BA0B" w14:textId="77777777" w:rsidR="007D1835" w:rsidRPr="00CD1209" w:rsidRDefault="005F1882" w:rsidP="00660649">
      <w:pPr>
        <w:pStyle w:val="Tablefigurenote"/>
        <w:rPr>
          <w:i/>
          <w:iCs/>
          <w:sz w:val="18"/>
          <w:szCs w:val="18"/>
        </w:rPr>
      </w:pPr>
      <w:r w:rsidRPr="00CD1209">
        <w:rPr>
          <w:i/>
          <w:iCs/>
          <w:sz w:val="18"/>
          <w:szCs w:val="18"/>
        </w:rPr>
        <w:lastRenderedPageBreak/>
        <w:t xml:space="preserve">Note: From 31 December 2018, the National HPV Vaccination Program Register was decommissioned. Vaccination providers are now requested to submit HPV vaccination records to the Australian Immunisation Register (AIR), operated by </w:t>
      </w:r>
      <w:r w:rsidR="001C7EBF" w:rsidRPr="00CD1209">
        <w:rPr>
          <w:i/>
          <w:iCs/>
          <w:sz w:val="18"/>
          <w:szCs w:val="18"/>
        </w:rPr>
        <w:t>Services Australia</w:t>
      </w:r>
      <w:r w:rsidRPr="00CD1209">
        <w:rPr>
          <w:i/>
          <w:iCs/>
          <w:sz w:val="18"/>
          <w:szCs w:val="18"/>
        </w:rPr>
        <w:t>.</w:t>
      </w:r>
      <w:r w:rsidR="006B604E" w:rsidRPr="00CD1209">
        <w:rPr>
          <w:i/>
          <w:iCs/>
          <w:sz w:val="18"/>
          <w:szCs w:val="18"/>
        </w:rPr>
        <w:t xml:space="preserve"> </w:t>
      </w:r>
      <w:r w:rsidRPr="00CD1209">
        <w:rPr>
          <w:i/>
          <w:iCs/>
          <w:sz w:val="18"/>
          <w:szCs w:val="18"/>
        </w:rPr>
        <w:t xml:space="preserve">Due to decommissioning of the HPV register, the business rules applied to the data may slightly differ in AIR as compared </w:t>
      </w:r>
      <w:r w:rsidR="00D31B3C" w:rsidRPr="00CD1209">
        <w:rPr>
          <w:i/>
          <w:iCs/>
          <w:sz w:val="18"/>
          <w:szCs w:val="18"/>
        </w:rPr>
        <w:t xml:space="preserve">with the </w:t>
      </w:r>
      <w:r w:rsidRPr="00CD1209">
        <w:rPr>
          <w:i/>
          <w:iCs/>
          <w:sz w:val="18"/>
          <w:szCs w:val="18"/>
        </w:rPr>
        <w:t>HPV register.</w:t>
      </w:r>
      <w:r w:rsidR="007D1835" w:rsidRPr="00CD1209">
        <w:rPr>
          <w:i/>
          <w:iCs/>
        </w:rPr>
        <w:t xml:space="preserve"> </w:t>
      </w:r>
      <w:r w:rsidR="007D1835" w:rsidRPr="00CD1209">
        <w:rPr>
          <w:i/>
          <w:iCs/>
          <w:sz w:val="18"/>
          <w:szCs w:val="18"/>
        </w:rPr>
        <w:tab/>
      </w:r>
    </w:p>
    <w:p w14:paraId="01D73FEC" w14:textId="77777777" w:rsidR="007D1835" w:rsidRPr="00CD1209" w:rsidRDefault="007D1835" w:rsidP="00660649">
      <w:pPr>
        <w:pStyle w:val="Tablefigurenote"/>
        <w:rPr>
          <w:i/>
          <w:iCs/>
          <w:sz w:val="18"/>
          <w:szCs w:val="18"/>
        </w:rPr>
      </w:pPr>
      <w:r w:rsidRPr="00CD1209">
        <w:rPr>
          <w:i/>
          <w:iCs/>
          <w:sz w:val="18"/>
          <w:szCs w:val="18"/>
        </w:rPr>
        <w:t>The National HPV Vaccination Program initially provided quadrivalent HPV vaccine for all females aged 12-26 years as at mid-2007 ( school program commenced April 2007 and GP/community program in July 2007) until end December 2009. From 2009 the Program offered HPV vaccination routinely to females in the first year of high school (usually at 12-13 years). From 2013, males were also offered HPV vaccination routinely in the first year of high school (age 12-13 years), with a catch-up program available for males aged 14-15 years in 2013 and 2014.</w:t>
      </w:r>
    </w:p>
    <w:p w14:paraId="37866A81" w14:textId="69B28CFA" w:rsidR="00DC6A1C" w:rsidRPr="00CD1209" w:rsidRDefault="00DC6A1C" w:rsidP="00660649">
      <w:pPr>
        <w:pStyle w:val="Tablefigurenote"/>
        <w:rPr>
          <w:i/>
          <w:iCs/>
          <w:sz w:val="18"/>
          <w:szCs w:val="18"/>
          <w:lang w:val="en"/>
        </w:rPr>
      </w:pPr>
      <w:r w:rsidRPr="00CD1209">
        <w:rPr>
          <w:i/>
          <w:iCs/>
          <w:color w:val="000000"/>
          <w:sz w:val="18"/>
          <w:szCs w:val="18"/>
        </w:rPr>
        <w:t>Appendix 2 provides the dataset</w:t>
      </w:r>
      <w:r w:rsidR="005F1882" w:rsidRPr="00CD1209">
        <w:rPr>
          <w:i/>
          <w:iCs/>
          <w:color w:val="000000"/>
          <w:sz w:val="18"/>
          <w:szCs w:val="18"/>
        </w:rPr>
        <w:t xml:space="preserve"> for Figures 10.1 and 10.1.1</w:t>
      </w:r>
      <w:r w:rsidRPr="00CD1209">
        <w:rPr>
          <w:i/>
          <w:iCs/>
          <w:color w:val="000000"/>
          <w:sz w:val="18"/>
          <w:szCs w:val="18"/>
        </w:rPr>
        <w:t>.</w:t>
      </w:r>
    </w:p>
    <w:p w14:paraId="06863DC5" w14:textId="77777777" w:rsidR="000C78CC" w:rsidRPr="0015028D" w:rsidRDefault="000C78CC" w:rsidP="007C7F00">
      <w:pPr>
        <w:pStyle w:val="Heading4"/>
      </w:pPr>
      <w:r w:rsidRPr="00F62096">
        <w:t>Measure assessment</w:t>
      </w:r>
    </w:p>
    <w:p w14:paraId="09E2D569" w14:textId="77777777" w:rsidR="009837CD" w:rsidRPr="00CF6F8C" w:rsidRDefault="000C78CC" w:rsidP="00606436">
      <w:pPr>
        <w:pStyle w:val="Body"/>
      </w:pPr>
      <w:r w:rsidRPr="00780B3A">
        <w:t>Traffic light rating</w:t>
      </w:r>
      <w:r w:rsidR="009837CD" w:rsidRPr="009F01B1">
        <w:t xml:space="preserve">: </w:t>
      </w:r>
      <w:r w:rsidR="009837CD" w:rsidRPr="00D207B2">
        <w:rPr>
          <w:b/>
          <w:color w:val="007B4B"/>
        </w:rPr>
        <w:t>Green</w:t>
      </w:r>
      <w:r w:rsidR="009837CD">
        <w:t xml:space="preserve"> (satisfactory result)</w:t>
      </w:r>
    </w:p>
    <w:p w14:paraId="7CD10014" w14:textId="0A7D7449" w:rsidR="000C78CC" w:rsidRPr="00780B3A" w:rsidRDefault="000C78CC" w:rsidP="00606436">
      <w:pPr>
        <w:pStyle w:val="Body"/>
      </w:pPr>
      <w:r w:rsidRPr="00DC464E">
        <w:t>Overall trend: Moving in the right direction</w:t>
      </w:r>
    </w:p>
    <w:p w14:paraId="78FCE7A3" w14:textId="12683D8F" w:rsidR="000C78CC" w:rsidRDefault="000C78CC" w:rsidP="00E87AAA">
      <w:pPr>
        <w:pStyle w:val="Body"/>
      </w:pPr>
      <w:r w:rsidRPr="00780B3A">
        <w:t xml:space="preserve">Commentary: </w:t>
      </w:r>
      <w:r w:rsidR="00766554" w:rsidRPr="00766554">
        <w:t xml:space="preserve">Human papillomavirus </w:t>
      </w:r>
      <w:r w:rsidR="00766554">
        <w:t>(</w:t>
      </w:r>
      <w:r>
        <w:t>HPV</w:t>
      </w:r>
      <w:r w:rsidR="00766554">
        <w:t>)</w:t>
      </w:r>
      <w:r>
        <w:t xml:space="preserve"> </w:t>
      </w:r>
      <w:r w:rsidRPr="00D77EF4">
        <w:t>is highly contagious and most commonly transmitted through sexual contact.</w:t>
      </w:r>
      <w:r>
        <w:t xml:space="preserve"> More than 150 types of the virus exist, and </w:t>
      </w:r>
      <w:r w:rsidR="00622119">
        <w:t xml:space="preserve">about </w:t>
      </w:r>
      <w:r>
        <w:t xml:space="preserve">four out of five people will have </w:t>
      </w:r>
      <w:r w:rsidR="00622119">
        <w:t xml:space="preserve">an </w:t>
      </w:r>
      <w:r w:rsidR="00501CC1">
        <w:t>HPV</w:t>
      </w:r>
      <w:r>
        <w:t xml:space="preserve"> infection at some point in their lives.</w:t>
      </w:r>
      <w:r w:rsidR="00766554">
        <w:t xml:space="preserve"> </w:t>
      </w:r>
      <w:r w:rsidR="00766554" w:rsidRPr="00766554">
        <w:t>Chronic infection with some types of HPV</w:t>
      </w:r>
      <w:r w:rsidR="00766554">
        <w:t xml:space="preserve"> is a</w:t>
      </w:r>
      <w:r w:rsidR="00766554" w:rsidRPr="00766554">
        <w:t xml:space="preserve"> primary cause of cervical cancer.</w:t>
      </w:r>
    </w:p>
    <w:p w14:paraId="194F5978" w14:textId="17EA9183" w:rsidR="000C78CC" w:rsidRPr="00D77EF4" w:rsidRDefault="000C78CC" w:rsidP="00E87AAA">
      <w:pPr>
        <w:pStyle w:val="Body"/>
      </w:pPr>
      <w:r w:rsidRPr="00FB6519">
        <w:t>In Australia all girls aged 12</w:t>
      </w:r>
      <w:r w:rsidR="003E7BB3">
        <w:t>–</w:t>
      </w:r>
      <w:r w:rsidRPr="00FB6519">
        <w:t>13 years have been routinely offered three doses of</w:t>
      </w:r>
      <w:r>
        <w:t xml:space="preserve"> HPV </w:t>
      </w:r>
      <w:r w:rsidRPr="00FB6519">
        <w:t>vaccination since 2007, as have boys of the same age since 2013</w:t>
      </w:r>
      <w:r>
        <w:t>. For this reason, 2013 was set as the baseline year for this measure.</w:t>
      </w:r>
      <w:r w:rsidR="00794D34">
        <w:t xml:space="preserve"> In 2018 a new two-dose HPV (</w:t>
      </w:r>
      <w:r w:rsidR="00794D34">
        <w:rPr>
          <w:rFonts w:ascii="Helvetica" w:hAnsi="Helvetica" w:cs="Helvetica"/>
          <w:color w:val="333333"/>
          <w:shd w:val="clear" w:color="auto" w:fill="FFFFFF"/>
        </w:rPr>
        <w:t>Gardasil 9)</w:t>
      </w:r>
      <w:r w:rsidR="00794D34">
        <w:t xml:space="preserve"> was introduced that provides protection against nine types of HPV and add</w:t>
      </w:r>
      <w:r w:rsidR="0081209C">
        <w:t>s</w:t>
      </w:r>
      <w:r w:rsidR="00794D34">
        <w:t xml:space="preserve"> a further 10</w:t>
      </w:r>
      <w:r w:rsidR="0054537F">
        <w:t>%</w:t>
      </w:r>
      <w:r w:rsidR="00794D34">
        <w:t xml:space="preserve"> protection against respective cancers, which in turn should result in an increase in fully vaccinated </w:t>
      </w:r>
      <w:r w:rsidR="00634CD1">
        <w:t xml:space="preserve">person </w:t>
      </w:r>
      <w:r w:rsidR="00794D34">
        <w:t>coverage rates.</w:t>
      </w:r>
    </w:p>
    <w:p w14:paraId="142810CF" w14:textId="0C3205D3" w:rsidR="000C78CC" w:rsidRDefault="000C78CC" w:rsidP="00E87AAA">
      <w:pPr>
        <w:pStyle w:val="Body"/>
      </w:pPr>
      <w:r>
        <w:t>Nationally in 20</w:t>
      </w:r>
      <w:r w:rsidR="00E56322">
        <w:t>2</w:t>
      </w:r>
      <w:r w:rsidR="005F1882">
        <w:t>2</w:t>
      </w:r>
      <w:r>
        <w:t xml:space="preserve">, </w:t>
      </w:r>
      <w:r w:rsidR="00140FC7">
        <w:t>79.7</w:t>
      </w:r>
      <w:r w:rsidR="0054537F">
        <w:t>%</w:t>
      </w:r>
      <w:r>
        <w:t xml:space="preserve"> of girls aged 15 years were fully immunised against HPV, an increase from </w:t>
      </w:r>
      <w:r w:rsidR="00E56322">
        <w:t>80</w:t>
      </w:r>
      <w:r w:rsidR="000C30AD">
        <w:t>.2</w:t>
      </w:r>
      <w:r>
        <w:t xml:space="preserve"> in </w:t>
      </w:r>
      <w:r w:rsidR="000C30AD">
        <w:t xml:space="preserve">2017 and 72.1 in </w:t>
      </w:r>
      <w:r>
        <w:t xml:space="preserve">2013. </w:t>
      </w:r>
      <w:r w:rsidR="000C30AD">
        <w:t>In 202</w:t>
      </w:r>
      <w:r w:rsidR="005F1882">
        <w:t>2</w:t>
      </w:r>
      <w:r w:rsidR="000C30AD">
        <w:t xml:space="preserve"> </w:t>
      </w:r>
      <w:r>
        <w:t xml:space="preserve">Victoria had the </w:t>
      </w:r>
      <w:r w:rsidR="000C30AD">
        <w:t xml:space="preserve">third </w:t>
      </w:r>
      <w:r>
        <w:t>highest coverage (</w:t>
      </w:r>
      <w:r w:rsidR="00E73847">
        <w:t>79</w:t>
      </w:r>
      <w:r w:rsidR="00794D34">
        <w:t>.</w:t>
      </w:r>
      <w:r w:rsidR="00140FC7">
        <w:t>4</w:t>
      </w:r>
      <w:r w:rsidR="0054537F">
        <w:t>%</w:t>
      </w:r>
      <w:r>
        <w:t>) of girls aged 15 years fully immunised against HPV</w:t>
      </w:r>
      <w:r w:rsidR="00794D34">
        <w:t xml:space="preserve"> (two doses)</w:t>
      </w:r>
      <w:r>
        <w:t>.</w:t>
      </w:r>
      <w:r w:rsidR="00952FC7">
        <w:t xml:space="preserve"> </w:t>
      </w:r>
      <w:r w:rsidR="00E73847">
        <w:t>However, t</w:t>
      </w:r>
      <w:r>
        <w:t xml:space="preserve">his </w:t>
      </w:r>
      <w:r w:rsidR="00794D34">
        <w:t xml:space="preserve">was </w:t>
      </w:r>
      <w:r w:rsidR="00E73847">
        <w:t xml:space="preserve">not </w:t>
      </w:r>
      <w:r w:rsidR="00794D34">
        <w:t>higher tha</w:t>
      </w:r>
      <w:r w:rsidR="00DE3C74">
        <w:t>n</w:t>
      </w:r>
      <w:r w:rsidR="00794D34">
        <w:t xml:space="preserve"> </w:t>
      </w:r>
      <w:r>
        <w:t xml:space="preserve">the national average of </w:t>
      </w:r>
      <w:r w:rsidR="00C72E2C">
        <w:t>79</w:t>
      </w:r>
      <w:r w:rsidR="00794D34">
        <w:t>.</w:t>
      </w:r>
      <w:r w:rsidR="00C72E2C">
        <w:t>7</w:t>
      </w:r>
      <w:r w:rsidR="0054537F">
        <w:t>%</w:t>
      </w:r>
      <w:r w:rsidR="00C72E2C">
        <w:t xml:space="preserve"> (Figure 10.1)</w:t>
      </w:r>
      <w:r>
        <w:t xml:space="preserve">. </w:t>
      </w:r>
    </w:p>
    <w:p w14:paraId="77347C5C" w14:textId="4C0EE67C" w:rsidR="00A16D42" w:rsidRDefault="000C78CC" w:rsidP="00E87AAA">
      <w:pPr>
        <w:pStyle w:val="Body"/>
      </w:pPr>
      <w:r>
        <w:t>In boys aged 15 years, the national coverage with three HPV vaccine doses in 2017 was 75.9</w:t>
      </w:r>
      <w:r w:rsidR="0054537F">
        <w:t>%</w:t>
      </w:r>
      <w:r>
        <w:t xml:space="preserve">, a significant increase from </w:t>
      </w:r>
      <w:r w:rsidR="00E73847">
        <w:t xml:space="preserve">29.6 reported in </w:t>
      </w:r>
      <w:r>
        <w:t>2013. In 20</w:t>
      </w:r>
      <w:r w:rsidR="00794D34">
        <w:t>2</w:t>
      </w:r>
      <w:r w:rsidR="00E73847">
        <w:t>2</w:t>
      </w:r>
      <w:r>
        <w:t xml:space="preserve"> Victoria had the </w:t>
      </w:r>
      <w:r w:rsidR="00E73847">
        <w:t>fourth</w:t>
      </w:r>
      <w:r w:rsidR="00794D34">
        <w:t xml:space="preserve"> </w:t>
      </w:r>
      <w:r>
        <w:t>ranked proportion of boys aged 15 years</w:t>
      </w:r>
      <w:r w:rsidR="00501CC1">
        <w:t xml:space="preserve"> </w:t>
      </w:r>
      <w:r>
        <w:t>fully immunised against HPV</w:t>
      </w:r>
      <w:r w:rsidR="00794D34">
        <w:t xml:space="preserve"> (two doses)</w:t>
      </w:r>
      <w:r w:rsidR="00622119">
        <w:t>,</w:t>
      </w:r>
      <w:r w:rsidR="00E73847">
        <w:t xml:space="preserve"> which was below</w:t>
      </w:r>
      <w:r>
        <w:t xml:space="preserve"> the national average of </w:t>
      </w:r>
      <w:r w:rsidR="00794D34">
        <w:t>7</w:t>
      </w:r>
      <w:r w:rsidR="00E73847">
        <w:t>6</w:t>
      </w:r>
      <w:r w:rsidR="00794D34">
        <w:t>.</w:t>
      </w:r>
      <w:r w:rsidR="00140FC7">
        <w:t>1</w:t>
      </w:r>
      <w:r w:rsidR="0054537F">
        <w:t>%</w:t>
      </w:r>
      <w:r>
        <w:t>.</w:t>
      </w:r>
      <w:r w:rsidR="00794D34">
        <w:t xml:space="preserve"> </w:t>
      </w:r>
      <w:r w:rsidR="00E73847">
        <w:t xml:space="preserve">Of note is </w:t>
      </w:r>
      <w:r w:rsidR="00622119">
        <w:t xml:space="preserve">that </w:t>
      </w:r>
      <w:r w:rsidR="00E73847">
        <w:t xml:space="preserve">all </w:t>
      </w:r>
      <w:r w:rsidR="00622119">
        <w:t>s</w:t>
      </w:r>
      <w:r w:rsidR="00E73847">
        <w:t xml:space="preserve">tates reported a decrease in reported HPV vaccinations between 2021 and 2022. Nevertheless </w:t>
      </w:r>
      <w:r w:rsidR="00EB6363">
        <w:t>overall,</w:t>
      </w:r>
      <w:r w:rsidR="00E73847">
        <w:t xml:space="preserve"> the</w:t>
      </w:r>
      <w:r w:rsidR="00794D34">
        <w:t xml:space="preserve"> change in vaccination doses from 2018 </w:t>
      </w:r>
      <w:r w:rsidR="005824E6">
        <w:t>to 202</w:t>
      </w:r>
      <w:r w:rsidR="00E73847">
        <w:t>2</w:t>
      </w:r>
      <w:r w:rsidR="005824E6">
        <w:t xml:space="preserve"> </w:t>
      </w:r>
      <w:r w:rsidR="00794D34">
        <w:t>is likely to have resulted in an increase in fully vaccinated coverages for both girls and boys</w:t>
      </w:r>
      <w:r w:rsidR="005824E6">
        <w:t xml:space="preserve"> </w:t>
      </w:r>
      <w:r w:rsidR="00622119">
        <w:t xml:space="preserve">aged </w:t>
      </w:r>
      <w:r w:rsidR="005824E6">
        <w:t xml:space="preserve">between </w:t>
      </w:r>
      <w:r w:rsidR="00622119">
        <w:t>nine</w:t>
      </w:r>
      <w:r w:rsidR="005824E6">
        <w:t xml:space="preserve"> and 14 years.</w:t>
      </w:r>
      <w:bookmarkEnd w:id="620"/>
      <w:r w:rsidR="00A16D42">
        <w:br w:type="page"/>
      </w:r>
    </w:p>
    <w:p w14:paraId="50B1E41F" w14:textId="1792C745" w:rsidR="000C78CC" w:rsidRPr="00455EDF" w:rsidRDefault="000C78CC" w:rsidP="00A16D42">
      <w:pPr>
        <w:pStyle w:val="Heading3"/>
        <w:rPr>
          <w:b/>
          <w:bCs w:val="0"/>
        </w:rPr>
      </w:pPr>
      <w:bookmarkStart w:id="638" w:name="_Measure_10.2_–"/>
      <w:bookmarkStart w:id="639" w:name="_Hlk111712222"/>
      <w:bookmarkEnd w:id="638"/>
      <w:r w:rsidRPr="76BE792E">
        <w:rPr>
          <w:b/>
        </w:rPr>
        <w:lastRenderedPageBreak/>
        <w:t xml:space="preserve">Measure 10.2 – </w:t>
      </w:r>
      <w:bookmarkStart w:id="640" w:name="_Hlk112680716"/>
      <w:r w:rsidRPr="76BE792E">
        <w:rPr>
          <w:b/>
        </w:rPr>
        <w:t>Notification rate of unspecified</w:t>
      </w:r>
      <w:r w:rsidR="00AC4826" w:rsidRPr="76BE792E">
        <w:rPr>
          <w:rStyle w:val="FootnoteReference"/>
          <w:b/>
        </w:rPr>
        <w:footnoteReference w:id="129"/>
      </w:r>
      <w:r w:rsidRPr="76BE792E">
        <w:rPr>
          <w:b/>
        </w:rPr>
        <w:t xml:space="preserve"> hepatitis B</w:t>
      </w:r>
    </w:p>
    <w:p w14:paraId="53895FC3" w14:textId="341D6D11" w:rsidR="000C78CC" w:rsidRDefault="000C78CC" w:rsidP="00867A76">
      <w:pPr>
        <w:pStyle w:val="Figurecaption"/>
        <w:rPr>
          <w:sz w:val="20"/>
        </w:rPr>
      </w:pPr>
      <w:bookmarkStart w:id="641" w:name="_Toc19008096"/>
      <w:bookmarkStart w:id="642" w:name="_Toc19008326"/>
      <w:bookmarkStart w:id="643" w:name="_Toc19008473"/>
      <w:bookmarkStart w:id="644" w:name="_Toc19008620"/>
      <w:bookmarkStart w:id="645" w:name="_Toc132553050"/>
      <w:bookmarkStart w:id="646" w:name="_Toc140827662"/>
      <w:bookmarkEnd w:id="639"/>
      <w:bookmarkEnd w:id="640"/>
      <w:r w:rsidRPr="00CD1209">
        <w:rPr>
          <w:sz w:val="20"/>
        </w:rPr>
        <w:t>Figure 10.2</w:t>
      </w:r>
      <w:r w:rsidR="003B391F" w:rsidRPr="00CD1209">
        <w:rPr>
          <w:sz w:val="20"/>
        </w:rPr>
        <w:t>:</w:t>
      </w:r>
      <w:r w:rsidRPr="00CD1209">
        <w:rPr>
          <w:sz w:val="20"/>
        </w:rPr>
        <w:t xml:space="preserve"> </w:t>
      </w:r>
      <w:bookmarkStart w:id="647" w:name="_Hlk112680402"/>
      <w:r w:rsidRPr="00CD1209">
        <w:rPr>
          <w:sz w:val="20"/>
        </w:rPr>
        <w:t xml:space="preserve">Notification rate </w:t>
      </w:r>
      <w:r w:rsidR="00570418" w:rsidRPr="00CD1209">
        <w:rPr>
          <w:sz w:val="20"/>
        </w:rPr>
        <w:t xml:space="preserve">per 100,000 population </w:t>
      </w:r>
      <w:r w:rsidRPr="00CD1209">
        <w:rPr>
          <w:sz w:val="20"/>
        </w:rPr>
        <w:t xml:space="preserve">of unspecified </w:t>
      </w:r>
      <w:r w:rsidR="00A65297" w:rsidRPr="00CD1209">
        <w:rPr>
          <w:sz w:val="20"/>
        </w:rPr>
        <w:t>HBV</w:t>
      </w:r>
      <w:r w:rsidR="00501CC1" w:rsidRPr="00CD1209">
        <w:rPr>
          <w:sz w:val="20"/>
        </w:rPr>
        <w:t>,</w:t>
      </w:r>
      <w:r w:rsidRPr="00CD1209">
        <w:rPr>
          <w:sz w:val="20"/>
        </w:rPr>
        <w:t xml:space="preserve"> by state/territory and year</w:t>
      </w:r>
      <w:bookmarkEnd w:id="647"/>
      <w:r w:rsidRPr="00CD1209">
        <w:rPr>
          <w:sz w:val="20"/>
        </w:rPr>
        <w:t>, 2014</w:t>
      </w:r>
      <w:r w:rsidR="00CA2AD7" w:rsidRPr="00CD1209">
        <w:rPr>
          <w:sz w:val="20"/>
        </w:rPr>
        <w:t>–</w:t>
      </w:r>
      <w:r w:rsidRPr="00CD1209">
        <w:rPr>
          <w:sz w:val="20"/>
        </w:rPr>
        <w:t>20</w:t>
      </w:r>
      <w:r w:rsidR="00BD35BD" w:rsidRPr="00CD1209">
        <w:rPr>
          <w:sz w:val="20"/>
        </w:rPr>
        <w:t>21</w:t>
      </w:r>
      <w:bookmarkEnd w:id="641"/>
      <w:bookmarkEnd w:id="642"/>
      <w:bookmarkEnd w:id="643"/>
      <w:bookmarkEnd w:id="644"/>
      <w:bookmarkEnd w:id="645"/>
      <w:bookmarkEnd w:id="646"/>
    </w:p>
    <w:p w14:paraId="67EE0070" w14:textId="66E1DDEC" w:rsidR="0098383D" w:rsidRPr="0098383D" w:rsidRDefault="0098383D" w:rsidP="0098383D">
      <w:pPr>
        <w:pStyle w:val="DHHSbody"/>
      </w:pPr>
      <w:r w:rsidRPr="0098383D">
        <w:rPr>
          <w:noProof/>
        </w:rPr>
        <w:drawing>
          <wp:inline distT="0" distB="0" distL="0" distR="0" wp14:anchorId="020B9E66" wp14:editId="4C7179C5">
            <wp:extent cx="5991225" cy="3348038"/>
            <wp:effectExtent l="0" t="0" r="0" b="5080"/>
            <wp:docPr id="1499344193" name="Picture 1499344193" descr="This figure provides a summary of ‘Measure 10.2 - Notification rate of unspecified hepatitis B'. The data by state-territory (including Victoria) for the study period 2014-2021, is set out in a table directly below Fig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44193" name="Picture 1499344193" descr="This figure provides a summary of ‘Measure 10.2 - Notification rate of unspecified hepatitis B'. The data by state-territory (including Victoria) for the study period 2014-2021, is set out in a table directly below Figure 10.2."/>
                    <pic:cNvPicPr/>
                  </pic:nvPicPr>
                  <pic:blipFill>
                    <a:blip r:embed="rId107"/>
                    <a:stretch>
                      <a:fillRect/>
                    </a:stretch>
                  </pic:blipFill>
                  <pic:spPr>
                    <a:xfrm>
                      <a:off x="0" y="0"/>
                      <a:ext cx="6010333" cy="3358716"/>
                    </a:xfrm>
                    <a:prstGeom prst="rect">
                      <a:avLst/>
                    </a:prstGeom>
                  </pic:spPr>
                </pic:pic>
              </a:graphicData>
            </a:graphic>
          </wp:inline>
        </w:drawing>
      </w:r>
    </w:p>
    <w:p w14:paraId="582BA843" w14:textId="3859620B" w:rsidR="000C78CC" w:rsidRPr="00BD35BD" w:rsidRDefault="000C78CC" w:rsidP="00E87AAA">
      <w:pPr>
        <w:pStyle w:val="Body"/>
      </w:pPr>
    </w:p>
    <w:p w14:paraId="1DE2E5D0" w14:textId="218BEA24" w:rsidR="000C78CC" w:rsidRPr="0098383D" w:rsidRDefault="0083419B" w:rsidP="00660649">
      <w:pPr>
        <w:pStyle w:val="Tablefigurenote"/>
        <w:rPr>
          <w:i/>
          <w:iCs/>
        </w:rPr>
      </w:pPr>
      <w:r w:rsidRPr="0098383D">
        <w:rPr>
          <w:i/>
          <w:iCs/>
        </w:rPr>
        <w:t xml:space="preserve">Source: </w:t>
      </w:r>
      <w:bookmarkStart w:id="648" w:name="_Hlk112680361"/>
      <w:r w:rsidRPr="0098383D">
        <w:rPr>
          <w:i/>
          <w:iCs/>
        </w:rPr>
        <w:t>National Notifiable Disease Surveillance System</w:t>
      </w:r>
      <w:bookmarkEnd w:id="648"/>
    </w:p>
    <w:p w14:paraId="24971D61" w14:textId="581313EA" w:rsidR="000C78CC" w:rsidRDefault="000C78CC" w:rsidP="00867A76">
      <w:pPr>
        <w:pStyle w:val="Figurecaption"/>
        <w:rPr>
          <w:sz w:val="20"/>
        </w:rPr>
      </w:pPr>
      <w:bookmarkStart w:id="649" w:name="_Toc19008097"/>
      <w:bookmarkStart w:id="650" w:name="_Toc19008327"/>
      <w:bookmarkStart w:id="651" w:name="_Toc19008474"/>
      <w:bookmarkStart w:id="652" w:name="_Toc19008621"/>
      <w:bookmarkStart w:id="653" w:name="_Toc132553051"/>
      <w:bookmarkStart w:id="654" w:name="_Toc140827663"/>
      <w:r w:rsidRPr="00CD1209">
        <w:rPr>
          <w:sz w:val="20"/>
        </w:rPr>
        <w:t>Figure 10.2.1</w:t>
      </w:r>
      <w:r w:rsidR="003B391F" w:rsidRPr="00CD1209">
        <w:rPr>
          <w:sz w:val="20"/>
        </w:rPr>
        <w:t>:</w:t>
      </w:r>
      <w:r w:rsidRPr="00CD1209">
        <w:rPr>
          <w:sz w:val="20"/>
        </w:rPr>
        <w:t xml:space="preserve"> Notification rate </w:t>
      </w:r>
      <w:r w:rsidR="00570418" w:rsidRPr="00CD1209">
        <w:rPr>
          <w:sz w:val="20"/>
        </w:rPr>
        <w:t xml:space="preserve">per 100,000 population </w:t>
      </w:r>
      <w:r w:rsidRPr="00CD1209">
        <w:rPr>
          <w:sz w:val="20"/>
        </w:rPr>
        <w:t xml:space="preserve">of unspecified </w:t>
      </w:r>
      <w:r w:rsidR="00A65297" w:rsidRPr="00CD1209">
        <w:rPr>
          <w:sz w:val="20"/>
        </w:rPr>
        <w:t>HBV</w:t>
      </w:r>
      <w:r w:rsidR="00501CC1" w:rsidRPr="00CD1209">
        <w:rPr>
          <w:sz w:val="20"/>
        </w:rPr>
        <w:t>,</w:t>
      </w:r>
      <w:r w:rsidRPr="00CD1209">
        <w:rPr>
          <w:sz w:val="20"/>
        </w:rPr>
        <w:t xml:space="preserve"> by sex and year, Victoria, 2014</w:t>
      </w:r>
      <w:r w:rsidR="00CA2AD7" w:rsidRPr="00CD1209">
        <w:rPr>
          <w:sz w:val="20"/>
        </w:rPr>
        <w:t>–</w:t>
      </w:r>
      <w:r w:rsidRPr="00CD1209">
        <w:rPr>
          <w:sz w:val="20"/>
        </w:rPr>
        <w:t>20</w:t>
      </w:r>
      <w:bookmarkEnd w:id="649"/>
      <w:bookmarkEnd w:id="650"/>
      <w:bookmarkEnd w:id="651"/>
      <w:bookmarkEnd w:id="652"/>
      <w:r w:rsidR="00347A72" w:rsidRPr="00CD1209">
        <w:rPr>
          <w:sz w:val="20"/>
        </w:rPr>
        <w:t>21</w:t>
      </w:r>
      <w:bookmarkEnd w:id="653"/>
      <w:bookmarkEnd w:id="654"/>
    </w:p>
    <w:p w14:paraId="544ECA49" w14:textId="04B5F0C3" w:rsidR="000C78CC" w:rsidRDefault="0098383D" w:rsidP="0098383D">
      <w:pPr>
        <w:pStyle w:val="DHHSbody"/>
      </w:pPr>
      <w:r w:rsidRPr="0098383D">
        <w:rPr>
          <w:noProof/>
        </w:rPr>
        <w:drawing>
          <wp:inline distT="0" distB="0" distL="0" distR="0" wp14:anchorId="0ED068EC" wp14:editId="6FF4282B">
            <wp:extent cx="5848350" cy="2743670"/>
            <wp:effectExtent l="0" t="0" r="0" b="0"/>
            <wp:docPr id="1499344194" name="Picture 1499344194" descr="‘Measure 10.2 - Notification rate of unspecified hepatitis B'. The data specific to Victoria for the study period 2014-2021 and by sex, is included Figure 10.2.1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44194" name="Picture 1499344194" descr="‘Measure 10.2 - Notification rate of unspecified hepatitis B'. The data specific to Victoria for the study period 2014-2021 and by sex, is included Figure 10.2.1 (bar graph)."/>
                    <pic:cNvPicPr/>
                  </pic:nvPicPr>
                  <pic:blipFill>
                    <a:blip r:embed="rId108"/>
                    <a:stretch>
                      <a:fillRect/>
                    </a:stretch>
                  </pic:blipFill>
                  <pic:spPr>
                    <a:xfrm>
                      <a:off x="0" y="0"/>
                      <a:ext cx="5864033" cy="2751027"/>
                    </a:xfrm>
                    <a:prstGeom prst="rect">
                      <a:avLst/>
                    </a:prstGeom>
                  </pic:spPr>
                </pic:pic>
              </a:graphicData>
            </a:graphic>
          </wp:inline>
        </w:drawing>
      </w:r>
      <w:r w:rsidR="006C0A47" w:rsidRPr="006C0A47">
        <w:rPr>
          <w:noProof/>
        </w:rPr>
        <mc:AlternateContent>
          <mc:Choice Requires="wps">
            <w:drawing>
              <wp:anchor distT="45720" distB="45720" distL="114300" distR="114300" simplePos="0" relativeHeight="252317696" behindDoc="0" locked="0" layoutInCell="1" allowOverlap="1" wp14:anchorId="75A7D414" wp14:editId="236D135C">
                <wp:simplePos x="0" y="0"/>
                <wp:positionH relativeFrom="column">
                  <wp:posOffset>2910625</wp:posOffset>
                </wp:positionH>
                <wp:positionV relativeFrom="paragraph">
                  <wp:posOffset>2654264</wp:posOffset>
                </wp:positionV>
                <wp:extent cx="489398" cy="1404620"/>
                <wp:effectExtent l="0" t="0" r="6350" b="1270"/>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398" cy="1404620"/>
                        </a:xfrm>
                        <a:prstGeom prst="rect">
                          <a:avLst/>
                        </a:prstGeom>
                        <a:solidFill>
                          <a:srgbClr val="FFFFFF"/>
                        </a:solidFill>
                        <a:ln w="9525">
                          <a:noFill/>
                          <a:miter lim="800000"/>
                          <a:headEnd/>
                          <a:tailEnd/>
                        </a:ln>
                      </wps:spPr>
                      <wps:txbx>
                        <w:txbxContent>
                          <w:p w14:paraId="1C9F0A81" w14:textId="28D2DF34" w:rsidR="006C0A47" w:rsidRPr="006C0A47" w:rsidRDefault="006C0A47">
                            <w:pPr>
                              <w:rPr>
                                <w:rFonts w:ascii="Arial" w:hAnsi="Arial" w:cs="Arial"/>
                                <w:b/>
                                <w:bCs/>
                              </w:rPr>
                            </w:pPr>
                            <w:r w:rsidRPr="006C0A47">
                              <w:rPr>
                                <w:rFonts w:ascii="Arial" w:hAnsi="Arial" w:cs="Arial"/>
                                <w:b/>
                                <w:bCs/>
                              </w:rPr>
                              <w:t>Year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A7D414" id="_x0000_s1041" type="#_x0000_t202" style="position:absolute;margin-left:229.2pt;margin-top:209pt;width:38.55pt;height:110.6pt;z-index:25231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" stroked="f">
                <v:textbox style="mso-fit-shape-to-text:t">
                  <w:txbxContent>
                    <w:p w14:paraId="1C9F0A81" w14:textId="28D2DF34" w:rsidR="006C0A47" w:rsidRPr="006C0A47" w:rsidRDefault="006C0A47">
                      <w:pPr>
                        <w:rPr>
                          <w:rFonts w:ascii="Arial" w:hAnsi="Arial" w:cs="Arial"/>
                          <w:b/>
                          <w:bCs/>
                        </w:rPr>
                      </w:pPr>
                      <w:r w:rsidRPr="006C0A47">
                        <w:rPr>
                          <w:rFonts w:ascii="Arial" w:hAnsi="Arial" w:cs="Arial"/>
                          <w:b/>
                          <w:bCs/>
                        </w:rPr>
                        <w:t>Year</w:t>
                      </w:r>
                    </w:p>
                  </w:txbxContent>
                </v:textbox>
              </v:shape>
            </w:pict>
          </mc:Fallback>
        </mc:AlternateContent>
      </w:r>
    </w:p>
    <w:p w14:paraId="12255DDF" w14:textId="0FA23D19" w:rsidR="00DA05C9" w:rsidRPr="00CD1209" w:rsidRDefault="00DA05C9" w:rsidP="00DA05C9">
      <w:pPr>
        <w:pStyle w:val="Tablefigurenote"/>
        <w:rPr>
          <w:i/>
          <w:iCs/>
          <w:sz w:val="18"/>
          <w:szCs w:val="18"/>
        </w:rPr>
      </w:pPr>
      <w:r w:rsidRPr="00CD1209">
        <w:rPr>
          <w:i/>
          <w:iCs/>
          <w:sz w:val="18"/>
          <w:szCs w:val="18"/>
        </w:rPr>
        <w:t>Source: Public Health Event Surveillance System (PHESS), Department of Health</w:t>
      </w:r>
    </w:p>
    <w:p w14:paraId="08F095AC" w14:textId="52E2151F" w:rsidR="00347A72" w:rsidRDefault="000C78CC" w:rsidP="0074667E">
      <w:pPr>
        <w:pStyle w:val="Figurecaption"/>
        <w:rPr>
          <w:noProof/>
          <w:sz w:val="20"/>
        </w:rPr>
      </w:pPr>
      <w:bookmarkStart w:id="655" w:name="_Toc19008098"/>
      <w:bookmarkStart w:id="656" w:name="_Toc19008328"/>
      <w:bookmarkStart w:id="657" w:name="_Toc19008475"/>
      <w:bookmarkStart w:id="658" w:name="_Toc19008622"/>
      <w:bookmarkStart w:id="659" w:name="_Toc132553052"/>
      <w:bookmarkStart w:id="660" w:name="_Toc140827664"/>
      <w:r w:rsidRPr="00CD1209">
        <w:rPr>
          <w:noProof/>
          <w:sz w:val="20"/>
        </w:rPr>
        <w:lastRenderedPageBreak/>
        <w:t>Figure 10.2.2</w:t>
      </w:r>
      <w:r w:rsidR="003B391F" w:rsidRPr="00CD1209">
        <w:rPr>
          <w:sz w:val="20"/>
        </w:rPr>
        <w:t>:</w:t>
      </w:r>
      <w:r w:rsidRPr="00CD1209">
        <w:rPr>
          <w:noProof/>
          <w:sz w:val="20"/>
        </w:rPr>
        <w:t xml:space="preserve"> Notification rate </w:t>
      </w:r>
      <w:r w:rsidR="00570418" w:rsidRPr="00CD1209">
        <w:rPr>
          <w:noProof/>
          <w:sz w:val="20"/>
        </w:rPr>
        <w:t xml:space="preserve">per 100,000 population </w:t>
      </w:r>
      <w:r w:rsidRPr="00CD1209">
        <w:rPr>
          <w:noProof/>
          <w:sz w:val="20"/>
        </w:rPr>
        <w:t xml:space="preserve">of unspecified </w:t>
      </w:r>
      <w:r w:rsidR="00A65297" w:rsidRPr="00CD1209">
        <w:rPr>
          <w:noProof/>
          <w:sz w:val="20"/>
        </w:rPr>
        <w:t>HBV</w:t>
      </w:r>
      <w:r w:rsidR="00501CC1" w:rsidRPr="00CD1209">
        <w:rPr>
          <w:noProof/>
          <w:sz w:val="20"/>
        </w:rPr>
        <w:t>,</w:t>
      </w:r>
      <w:r w:rsidRPr="00CD1209">
        <w:rPr>
          <w:noProof/>
          <w:sz w:val="20"/>
        </w:rPr>
        <w:t xml:space="preserve"> by age group and year, Victoria, 2014</w:t>
      </w:r>
      <w:r w:rsidR="00CA2AD7" w:rsidRPr="00CD1209">
        <w:rPr>
          <w:noProof/>
          <w:sz w:val="20"/>
        </w:rPr>
        <w:t>–</w:t>
      </w:r>
      <w:r w:rsidRPr="00CD1209">
        <w:rPr>
          <w:noProof/>
          <w:sz w:val="20"/>
        </w:rPr>
        <w:t>20</w:t>
      </w:r>
      <w:r w:rsidR="00347A72" w:rsidRPr="00CD1209">
        <w:rPr>
          <w:noProof/>
          <w:sz w:val="20"/>
        </w:rPr>
        <w:t>21</w:t>
      </w:r>
      <w:bookmarkEnd w:id="655"/>
      <w:bookmarkEnd w:id="656"/>
      <w:bookmarkEnd w:id="657"/>
      <w:bookmarkEnd w:id="658"/>
      <w:bookmarkEnd w:id="659"/>
      <w:bookmarkEnd w:id="660"/>
    </w:p>
    <w:p w14:paraId="46512D83" w14:textId="79AFACEC" w:rsidR="0098383D" w:rsidRPr="0098383D" w:rsidRDefault="0098383D" w:rsidP="0098383D">
      <w:pPr>
        <w:pStyle w:val="DHHSbody"/>
      </w:pPr>
      <w:r w:rsidRPr="0098383D">
        <w:rPr>
          <w:noProof/>
        </w:rPr>
        <w:drawing>
          <wp:inline distT="0" distB="0" distL="0" distR="0" wp14:anchorId="6389DEA8" wp14:editId="1CB71D4E">
            <wp:extent cx="5876925" cy="4133531"/>
            <wp:effectExtent l="0" t="0" r="0" b="635"/>
            <wp:docPr id="1499344195" name="Picture 1499344195" descr="‘Measure 10.2 - Notification rate of unspecified hepatitis B'. The data by age group for the study period 2014-2021, is set out in a table directly below Fig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44195" name="Picture 1499344195" descr="‘Measure 10.2 - Notification rate of unspecified hepatitis B'. The data by age group for the study period 2014-2021, is set out in a table directly below Figure 10.2.2."/>
                    <pic:cNvPicPr/>
                  </pic:nvPicPr>
                  <pic:blipFill>
                    <a:blip r:embed="rId109"/>
                    <a:stretch>
                      <a:fillRect/>
                    </a:stretch>
                  </pic:blipFill>
                  <pic:spPr>
                    <a:xfrm>
                      <a:off x="0" y="0"/>
                      <a:ext cx="5887063" cy="4140662"/>
                    </a:xfrm>
                    <a:prstGeom prst="rect">
                      <a:avLst/>
                    </a:prstGeom>
                  </pic:spPr>
                </pic:pic>
              </a:graphicData>
            </a:graphic>
          </wp:inline>
        </w:drawing>
      </w:r>
    </w:p>
    <w:p w14:paraId="49F56098" w14:textId="37EC0B29" w:rsidR="00347A72" w:rsidRPr="00347A72" w:rsidRDefault="00347A72" w:rsidP="00E87AAA">
      <w:pPr>
        <w:pStyle w:val="Body"/>
      </w:pPr>
    </w:p>
    <w:p w14:paraId="5B6F0D8B" w14:textId="5E0EAFA3" w:rsidR="00325CB9" w:rsidRPr="00CD1209" w:rsidRDefault="00325CB9" w:rsidP="00660649">
      <w:pPr>
        <w:pStyle w:val="Tablefigurenote"/>
        <w:rPr>
          <w:i/>
          <w:iCs/>
          <w:sz w:val="18"/>
          <w:szCs w:val="18"/>
        </w:rPr>
      </w:pPr>
      <w:r w:rsidRPr="00CD1209">
        <w:rPr>
          <w:i/>
          <w:iCs/>
          <w:sz w:val="18"/>
          <w:szCs w:val="18"/>
        </w:rPr>
        <w:t xml:space="preserve">Source: Public Health Event Surveillance System (PHESS), </w:t>
      </w:r>
      <w:r w:rsidR="00CF6F8C" w:rsidRPr="00CD1209">
        <w:rPr>
          <w:i/>
          <w:iCs/>
          <w:sz w:val="18"/>
          <w:szCs w:val="18"/>
        </w:rPr>
        <w:t xml:space="preserve">Victorian </w:t>
      </w:r>
      <w:r w:rsidRPr="00CD1209">
        <w:rPr>
          <w:i/>
          <w:iCs/>
          <w:sz w:val="18"/>
          <w:szCs w:val="18"/>
        </w:rPr>
        <w:t>Department of Health</w:t>
      </w:r>
    </w:p>
    <w:p w14:paraId="08830841" w14:textId="19974642" w:rsidR="00414B65" w:rsidRPr="00CD1209" w:rsidRDefault="000C78CC" w:rsidP="00660649">
      <w:pPr>
        <w:pStyle w:val="Tablefigurenote"/>
        <w:rPr>
          <w:i/>
          <w:iCs/>
          <w:sz w:val="18"/>
          <w:szCs w:val="18"/>
        </w:rPr>
      </w:pPr>
      <w:r w:rsidRPr="00CD1209">
        <w:rPr>
          <w:i/>
          <w:iCs/>
          <w:sz w:val="18"/>
          <w:szCs w:val="18"/>
        </w:rPr>
        <w:t xml:space="preserve">Note: </w:t>
      </w:r>
      <w:r w:rsidR="00587492" w:rsidRPr="00CD1209">
        <w:rPr>
          <w:i/>
          <w:iCs/>
          <w:sz w:val="18"/>
          <w:szCs w:val="18"/>
        </w:rPr>
        <w:t>T</w:t>
      </w:r>
      <w:r w:rsidRPr="00CD1209">
        <w:rPr>
          <w:i/>
          <w:iCs/>
          <w:sz w:val="18"/>
          <w:szCs w:val="18"/>
        </w:rPr>
        <w:t>his data excludes cases where age is unknown or not reported</w:t>
      </w:r>
      <w:r w:rsidR="004A3E67" w:rsidRPr="00CD1209">
        <w:rPr>
          <w:i/>
          <w:iCs/>
          <w:sz w:val="18"/>
          <w:szCs w:val="18"/>
        </w:rPr>
        <w:t>.</w:t>
      </w:r>
    </w:p>
    <w:p w14:paraId="39C8287F" w14:textId="7574E4DB" w:rsidR="000C78CC" w:rsidRDefault="000C78CC" w:rsidP="00867A76">
      <w:pPr>
        <w:pStyle w:val="Figurecaption"/>
        <w:rPr>
          <w:sz w:val="20"/>
        </w:rPr>
      </w:pPr>
      <w:bookmarkStart w:id="661" w:name="_Toc19008099"/>
      <w:bookmarkStart w:id="662" w:name="_Toc19008329"/>
      <w:bookmarkStart w:id="663" w:name="_Toc19008476"/>
      <w:bookmarkStart w:id="664" w:name="_Toc19008623"/>
      <w:bookmarkStart w:id="665" w:name="_Toc132553053"/>
      <w:bookmarkStart w:id="666" w:name="_Toc140827665"/>
      <w:r w:rsidRPr="00CD1209">
        <w:rPr>
          <w:sz w:val="20"/>
        </w:rPr>
        <w:lastRenderedPageBreak/>
        <w:t>Figure 10.2.3</w:t>
      </w:r>
      <w:r w:rsidR="003B391F" w:rsidRPr="00CD1209">
        <w:rPr>
          <w:sz w:val="20"/>
        </w:rPr>
        <w:t>:</w:t>
      </w:r>
      <w:r w:rsidRPr="00CD1209">
        <w:rPr>
          <w:sz w:val="20"/>
        </w:rPr>
        <w:t xml:space="preserve"> Notification rate </w:t>
      </w:r>
      <w:r w:rsidR="00570418" w:rsidRPr="00CD1209">
        <w:rPr>
          <w:sz w:val="20"/>
        </w:rPr>
        <w:t xml:space="preserve">per 100,000 population </w:t>
      </w:r>
      <w:r w:rsidRPr="00CD1209">
        <w:rPr>
          <w:sz w:val="20"/>
        </w:rPr>
        <w:t xml:space="preserve">of unspecified </w:t>
      </w:r>
      <w:r w:rsidR="00A65297" w:rsidRPr="00CD1209">
        <w:rPr>
          <w:sz w:val="20"/>
        </w:rPr>
        <w:t>HBV</w:t>
      </w:r>
      <w:r w:rsidR="00501CC1" w:rsidRPr="00CD1209">
        <w:rPr>
          <w:sz w:val="20"/>
        </w:rPr>
        <w:t>,</w:t>
      </w:r>
      <w:r w:rsidRPr="00CD1209">
        <w:rPr>
          <w:sz w:val="20"/>
        </w:rPr>
        <w:t xml:space="preserve"> by </w:t>
      </w:r>
      <w:r w:rsidR="008439C8" w:rsidRPr="00CD1209">
        <w:rPr>
          <w:sz w:val="20"/>
        </w:rPr>
        <w:t>ICS</w:t>
      </w:r>
      <w:r w:rsidR="00FE01F6" w:rsidRPr="00CD1209">
        <w:rPr>
          <w:sz w:val="20"/>
        </w:rPr>
        <w:t xml:space="preserve"> and year</w:t>
      </w:r>
      <w:r w:rsidRPr="00CD1209">
        <w:rPr>
          <w:sz w:val="20"/>
        </w:rPr>
        <w:t>, Victoria, 2014</w:t>
      </w:r>
      <w:r w:rsidR="00CA2AD7" w:rsidRPr="00CD1209">
        <w:rPr>
          <w:sz w:val="20"/>
        </w:rPr>
        <w:t>–</w:t>
      </w:r>
      <w:r w:rsidR="00FE01F6" w:rsidRPr="00CD1209">
        <w:rPr>
          <w:sz w:val="20"/>
        </w:rPr>
        <w:t>20</w:t>
      </w:r>
      <w:r w:rsidR="00347A72" w:rsidRPr="00CD1209">
        <w:rPr>
          <w:sz w:val="20"/>
        </w:rPr>
        <w:t>21</w:t>
      </w:r>
      <w:bookmarkEnd w:id="661"/>
      <w:bookmarkEnd w:id="662"/>
      <w:bookmarkEnd w:id="663"/>
      <w:bookmarkEnd w:id="664"/>
      <w:bookmarkEnd w:id="665"/>
      <w:bookmarkEnd w:id="666"/>
    </w:p>
    <w:p w14:paraId="207C91E8" w14:textId="5AC07316" w:rsidR="0098383D" w:rsidRPr="0098383D" w:rsidRDefault="0098383D" w:rsidP="0098383D">
      <w:pPr>
        <w:pStyle w:val="DHHSbody"/>
      </w:pPr>
      <w:r w:rsidRPr="0098383D">
        <w:rPr>
          <w:noProof/>
        </w:rPr>
        <w:drawing>
          <wp:inline distT="0" distB="0" distL="0" distR="0" wp14:anchorId="240C057C" wp14:editId="7982E8EC">
            <wp:extent cx="5867400" cy="4982271"/>
            <wp:effectExtent l="0" t="0" r="0" b="8890"/>
            <wp:docPr id="1499344196" name="Picture 1499344196" descr="‘Measure 10.2 - Notification rate of unspecified hepatitis B'. The data by Integrated Cancer Service for the study period 2014-2021, is set out in a table directly below Fig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44196" name="Picture 1499344196" descr="‘Measure 10.2 - Notification rate of unspecified hepatitis B'. The data by Integrated Cancer Service for the study period 2014-2021, is set out in a table directly below Figure 10.2.3."/>
                    <pic:cNvPicPr/>
                  </pic:nvPicPr>
                  <pic:blipFill>
                    <a:blip r:embed="rId110"/>
                    <a:stretch>
                      <a:fillRect/>
                    </a:stretch>
                  </pic:blipFill>
                  <pic:spPr>
                    <a:xfrm>
                      <a:off x="0" y="0"/>
                      <a:ext cx="5875255" cy="4988941"/>
                    </a:xfrm>
                    <a:prstGeom prst="rect">
                      <a:avLst/>
                    </a:prstGeom>
                  </pic:spPr>
                </pic:pic>
              </a:graphicData>
            </a:graphic>
          </wp:inline>
        </w:drawing>
      </w:r>
    </w:p>
    <w:p w14:paraId="522BB875" w14:textId="5C34E3BB" w:rsidR="009453DF" w:rsidRPr="009453DF" w:rsidRDefault="009453DF" w:rsidP="00E87AAA">
      <w:pPr>
        <w:pStyle w:val="Body"/>
      </w:pPr>
    </w:p>
    <w:p w14:paraId="5E9A45E6" w14:textId="7474EBF5" w:rsidR="00325CB9" w:rsidRPr="00CD1209" w:rsidRDefault="00325CB9" w:rsidP="00660649">
      <w:pPr>
        <w:pStyle w:val="Tablefigurenote"/>
        <w:rPr>
          <w:i/>
          <w:iCs/>
          <w:sz w:val="18"/>
          <w:szCs w:val="18"/>
        </w:rPr>
      </w:pPr>
      <w:r w:rsidRPr="00CD1209">
        <w:rPr>
          <w:i/>
          <w:iCs/>
          <w:sz w:val="18"/>
          <w:szCs w:val="18"/>
        </w:rPr>
        <w:t xml:space="preserve">Source: Public Health Event Surveillance System (PHESS), </w:t>
      </w:r>
      <w:r w:rsidR="00CF6F8C" w:rsidRPr="00CD1209">
        <w:rPr>
          <w:i/>
          <w:iCs/>
          <w:sz w:val="18"/>
          <w:szCs w:val="18"/>
        </w:rPr>
        <w:t xml:space="preserve">Victorian </w:t>
      </w:r>
      <w:r w:rsidRPr="00CD1209">
        <w:rPr>
          <w:i/>
          <w:iCs/>
          <w:sz w:val="18"/>
          <w:szCs w:val="18"/>
        </w:rPr>
        <w:t>Department of Health</w:t>
      </w:r>
    </w:p>
    <w:p w14:paraId="6A4F98B6" w14:textId="74BEF3CE" w:rsidR="008C6D6F" w:rsidRPr="00CD1209" w:rsidRDefault="000C78CC" w:rsidP="006D2096">
      <w:pPr>
        <w:pStyle w:val="Tablefigurenote"/>
        <w:rPr>
          <w:i/>
          <w:iCs/>
          <w:sz w:val="18"/>
          <w:szCs w:val="18"/>
        </w:rPr>
      </w:pPr>
      <w:r w:rsidRPr="00CD1209">
        <w:rPr>
          <w:i/>
          <w:iCs/>
          <w:sz w:val="18"/>
          <w:szCs w:val="18"/>
        </w:rPr>
        <w:t>Note:</w:t>
      </w:r>
      <w:r w:rsidR="00FE01F6" w:rsidRPr="00CD1209">
        <w:rPr>
          <w:i/>
          <w:iCs/>
          <w:sz w:val="18"/>
          <w:szCs w:val="18"/>
        </w:rPr>
        <w:t xml:space="preserve"> </w:t>
      </w:r>
      <w:r w:rsidR="008C6D6F" w:rsidRPr="00CD1209">
        <w:rPr>
          <w:i/>
          <w:iCs/>
          <w:sz w:val="18"/>
          <w:szCs w:val="18"/>
        </w:rPr>
        <w:t>The decline in disease notifications seen in 2020 and 2021 should be interpreted with caution. They are likely to under-represent true disease incidence. Disease reductions are likely to be strongly influenced by the ongoing COVID-19 pandemic, resulting in changes in behaviour</w:t>
      </w:r>
      <w:r w:rsidR="006551CF" w:rsidRPr="00CD1209">
        <w:rPr>
          <w:i/>
          <w:iCs/>
          <w:sz w:val="18"/>
          <w:szCs w:val="18"/>
        </w:rPr>
        <w:t>al risk factors</w:t>
      </w:r>
      <w:r w:rsidR="008C6D6F" w:rsidRPr="00CD1209">
        <w:rPr>
          <w:i/>
          <w:iCs/>
          <w:sz w:val="18"/>
          <w:szCs w:val="18"/>
        </w:rPr>
        <w:t>, access to healthcare services, health</w:t>
      </w:r>
      <w:r w:rsidR="00731386" w:rsidRPr="00CD1209">
        <w:rPr>
          <w:i/>
          <w:iCs/>
          <w:sz w:val="18"/>
          <w:szCs w:val="18"/>
        </w:rPr>
        <w:t>-</w:t>
      </w:r>
      <w:r w:rsidR="008C6D6F" w:rsidRPr="00CD1209">
        <w:rPr>
          <w:i/>
          <w:iCs/>
          <w:sz w:val="18"/>
          <w:szCs w:val="18"/>
        </w:rPr>
        <w:t>seeking and testing practices and interstate and international travel restrictions.</w:t>
      </w:r>
    </w:p>
    <w:p w14:paraId="73B2F4CD" w14:textId="2A1D0CBD" w:rsidR="00007714" w:rsidRPr="00CF6F8C" w:rsidRDefault="00501CC1" w:rsidP="00CF6F8C">
      <w:pPr>
        <w:pStyle w:val="Tablefigurenote"/>
      </w:pPr>
      <w:r w:rsidRPr="00CD1209">
        <w:rPr>
          <w:i/>
          <w:iCs/>
          <w:sz w:val="18"/>
          <w:szCs w:val="18"/>
        </w:rPr>
        <w:t>E</w:t>
      </w:r>
      <w:r w:rsidR="000C78CC" w:rsidRPr="00CD1209">
        <w:rPr>
          <w:i/>
          <w:iCs/>
          <w:sz w:val="18"/>
          <w:szCs w:val="18"/>
        </w:rPr>
        <w:t>xclude</w:t>
      </w:r>
      <w:r w:rsidR="00FE01F6" w:rsidRPr="00CD1209">
        <w:rPr>
          <w:i/>
          <w:iCs/>
          <w:sz w:val="18"/>
          <w:szCs w:val="18"/>
        </w:rPr>
        <w:t>s</w:t>
      </w:r>
      <w:r w:rsidR="000C78CC" w:rsidRPr="00CD1209">
        <w:rPr>
          <w:i/>
          <w:iCs/>
          <w:sz w:val="18"/>
          <w:szCs w:val="18"/>
        </w:rPr>
        <w:t xml:space="preserve"> cases where </w:t>
      </w:r>
      <w:r w:rsidR="00023893" w:rsidRPr="00CD1209">
        <w:rPr>
          <w:i/>
          <w:iCs/>
          <w:sz w:val="18"/>
          <w:szCs w:val="18"/>
        </w:rPr>
        <w:t xml:space="preserve">the </w:t>
      </w:r>
      <w:r w:rsidR="000C78CC" w:rsidRPr="00CD1209">
        <w:rPr>
          <w:i/>
          <w:iCs/>
          <w:sz w:val="18"/>
          <w:szCs w:val="18"/>
        </w:rPr>
        <w:t>postcode of residence was unknown or not reported.</w:t>
      </w:r>
      <w:r w:rsidR="00007714">
        <w:br w:type="page"/>
      </w:r>
    </w:p>
    <w:p w14:paraId="18583AA8" w14:textId="4EE9A02E" w:rsidR="000C78CC" w:rsidRPr="00671C7A" w:rsidRDefault="000C78CC" w:rsidP="007C7F00">
      <w:pPr>
        <w:pStyle w:val="Heading4"/>
      </w:pPr>
      <w:bookmarkStart w:id="667" w:name="_Hlk118124340"/>
      <w:r>
        <w:lastRenderedPageBreak/>
        <w:t>Measure assessment</w:t>
      </w:r>
    </w:p>
    <w:p w14:paraId="5448425D" w14:textId="77777777" w:rsidR="000C692F" w:rsidRDefault="000C78CC" w:rsidP="00606436">
      <w:pPr>
        <w:pStyle w:val="Body"/>
      </w:pPr>
      <w:r>
        <w:t xml:space="preserve">Traffic light rating: </w:t>
      </w:r>
      <w:r w:rsidR="000C692F" w:rsidRPr="00D207B2">
        <w:rPr>
          <w:b/>
          <w:color w:val="007B4B"/>
        </w:rPr>
        <w:t>Green</w:t>
      </w:r>
      <w:r w:rsidR="000C692F">
        <w:t xml:space="preserve"> (satisfactory result)</w:t>
      </w:r>
    </w:p>
    <w:p w14:paraId="21AC83B0" w14:textId="77777777" w:rsidR="000C78CC" w:rsidRDefault="000C78CC" w:rsidP="00606436">
      <w:pPr>
        <w:pStyle w:val="Body"/>
      </w:pPr>
      <w:r>
        <w:t>Overall trend: Moving in the right direction</w:t>
      </w:r>
    </w:p>
    <w:p w14:paraId="7244BBA5" w14:textId="4DAB7ACD" w:rsidR="000C78CC" w:rsidRDefault="000C78CC" w:rsidP="00606436">
      <w:pPr>
        <w:pStyle w:val="Body"/>
      </w:pPr>
      <w:r w:rsidRPr="00651252">
        <w:t xml:space="preserve">Commentary: </w:t>
      </w:r>
      <w:r>
        <w:t>In Victoria an estimated</w:t>
      </w:r>
      <w:r w:rsidR="00DE3C74">
        <w:t xml:space="preserve"> </w:t>
      </w:r>
      <w:r w:rsidR="00F976DA">
        <w:t>63</w:t>
      </w:r>
      <w:r>
        <w:t>,000 people are living with hepatitis B</w:t>
      </w:r>
      <w:r w:rsidR="00A65297">
        <w:t xml:space="preserve"> (HBV)</w:t>
      </w:r>
      <w:r w:rsidR="00F976DA">
        <w:t>, 37</w:t>
      </w:r>
      <w:r w:rsidR="0054537F">
        <w:t>%</w:t>
      </w:r>
      <w:r w:rsidR="00F976DA">
        <w:t xml:space="preserve"> of whom are undiagnosed</w:t>
      </w:r>
      <w:r w:rsidR="00A111D4">
        <w:t>.</w:t>
      </w:r>
      <w:r w:rsidR="00106BCF">
        <w:rPr>
          <w:rStyle w:val="FootnoteReference"/>
          <w:rFonts w:cs="Arial"/>
        </w:rPr>
        <w:footnoteReference w:id="130"/>
      </w:r>
      <w:r>
        <w:t xml:space="preserve"> </w:t>
      </w:r>
      <w:r w:rsidRPr="00651252">
        <w:t>HB</w:t>
      </w:r>
      <w:r w:rsidR="00A65297">
        <w:t>V</w:t>
      </w:r>
      <w:r w:rsidRPr="00651252">
        <w:t xml:space="preserve"> is a viral infection that causes liver inflammation. Untreated chronic </w:t>
      </w:r>
      <w:r w:rsidR="00A65297">
        <w:t>HBV</w:t>
      </w:r>
      <w:r w:rsidRPr="00651252">
        <w:t xml:space="preserve"> is a leading cause of liver cancer, the fastest increasing cause of cancer deaths in Victorians.</w:t>
      </w:r>
      <w:r>
        <w:rPr>
          <w:rStyle w:val="FootnoteReference"/>
          <w:rFonts w:eastAsia="MS Mincho" w:cs="Arial"/>
        </w:rPr>
        <w:footnoteReference w:id="131"/>
      </w:r>
    </w:p>
    <w:p w14:paraId="792B33AA" w14:textId="4692DF37" w:rsidR="00B8349F" w:rsidRDefault="000C78CC" w:rsidP="00606436">
      <w:pPr>
        <w:pStyle w:val="Body"/>
      </w:pPr>
      <w:r>
        <w:t xml:space="preserve">In Victoria </w:t>
      </w:r>
      <w:r w:rsidR="00A65297">
        <w:t>HBV</w:t>
      </w:r>
      <w:r>
        <w:t xml:space="preserve"> is a notifiable disease under the </w:t>
      </w:r>
      <w:r w:rsidRPr="00455EDF">
        <w:t>Public Health and Wellbeing Regulations 2009</w:t>
      </w:r>
      <w:r>
        <w:t>.</w:t>
      </w:r>
      <w:r>
        <w:rPr>
          <w:rStyle w:val="FootnoteReference"/>
          <w:rFonts w:eastAsia="MS Mincho" w:cs="Arial"/>
        </w:rPr>
        <w:footnoteReference w:id="132"/>
      </w:r>
      <w:r>
        <w:t xml:space="preserve"> </w:t>
      </w:r>
      <w:r w:rsidR="00F07B51">
        <w:t xml:space="preserve">Figure 10.2 shows that the </w:t>
      </w:r>
      <w:r w:rsidR="00F07B51" w:rsidRPr="00D3649D">
        <w:t xml:space="preserve">notification rate of </w:t>
      </w:r>
      <w:r w:rsidR="00F07B51">
        <w:t>unspecified HBV in Victoria has reduced by 9.8</w:t>
      </w:r>
      <w:r w:rsidR="0054537F">
        <w:t>%</w:t>
      </w:r>
      <w:r w:rsidR="00F07B51">
        <w:t xml:space="preserve"> from 29.2 cases per 100,000 population in 2014 to 19.4 cases per 100,000 population in 2021. During the same period (2014–2021), the rate of HBV notification in Victoria was higher than the national rate (Figure 10.2). </w:t>
      </w:r>
      <w:r w:rsidR="00B8349F" w:rsidRPr="00097FCC">
        <w:rPr>
          <w:rFonts w:eastAsia="ArialMTPro-Light"/>
        </w:rPr>
        <w:t xml:space="preserve">However, </w:t>
      </w:r>
      <w:r w:rsidR="00B8349F" w:rsidRPr="76BE792E">
        <w:rPr>
          <w:rFonts w:eastAsiaTheme="minorEastAsia"/>
        </w:rPr>
        <w:t>the decline in disease notifications seen in 2020 and 2021 should be interpreted with caution. They</w:t>
      </w:r>
      <w:r w:rsidR="00B8349F" w:rsidRPr="76BE792E" w:rsidDel="00F238CF">
        <w:rPr>
          <w:rFonts w:eastAsiaTheme="minorEastAsia"/>
        </w:rPr>
        <w:t xml:space="preserve"> </w:t>
      </w:r>
      <w:r w:rsidR="00B8349F" w:rsidRPr="76BE792E">
        <w:rPr>
          <w:rFonts w:eastAsiaTheme="minorEastAsia"/>
        </w:rPr>
        <w:t xml:space="preserve">are likely to under-represent true disease incidence. Disease reductions are likely to be strongly influenced by the </w:t>
      </w:r>
      <w:r w:rsidR="007B2510" w:rsidRPr="76BE792E">
        <w:rPr>
          <w:rFonts w:eastAsiaTheme="minorEastAsia"/>
        </w:rPr>
        <w:t>impact of the</w:t>
      </w:r>
      <w:r w:rsidR="00B8349F" w:rsidRPr="76BE792E">
        <w:rPr>
          <w:rFonts w:eastAsiaTheme="minorEastAsia"/>
        </w:rPr>
        <w:t xml:space="preserve"> COVID-19 pandemic, resulting in changes in behaviour</w:t>
      </w:r>
      <w:r w:rsidR="00DA05C9" w:rsidRPr="76BE792E">
        <w:rPr>
          <w:rFonts w:eastAsiaTheme="minorEastAsia"/>
        </w:rPr>
        <w:t>al risk factors</w:t>
      </w:r>
      <w:r w:rsidR="00B8349F" w:rsidRPr="76BE792E">
        <w:rPr>
          <w:rFonts w:eastAsiaTheme="minorEastAsia"/>
        </w:rPr>
        <w:t>, healthcare access, health</w:t>
      </w:r>
      <w:r w:rsidR="00731386" w:rsidRPr="76BE792E">
        <w:rPr>
          <w:rFonts w:eastAsiaTheme="minorEastAsia"/>
        </w:rPr>
        <w:t>-</w:t>
      </w:r>
      <w:r w:rsidR="00B8349F" w:rsidRPr="76BE792E">
        <w:rPr>
          <w:rFonts w:eastAsiaTheme="minorEastAsia"/>
        </w:rPr>
        <w:t>seeking and testing practices and interstate and international travel restrictions.</w:t>
      </w:r>
      <w:r w:rsidR="00D1000A" w:rsidRPr="76BE792E">
        <w:rPr>
          <w:rFonts w:eastAsiaTheme="minorEastAsia"/>
        </w:rPr>
        <w:t xml:space="preserve"> For example</w:t>
      </w:r>
      <w:r w:rsidR="00731386" w:rsidRPr="76BE792E">
        <w:rPr>
          <w:rFonts w:eastAsiaTheme="minorEastAsia"/>
        </w:rPr>
        <w:t>,</w:t>
      </w:r>
      <w:r w:rsidR="00D1000A" w:rsidRPr="76BE792E">
        <w:rPr>
          <w:rFonts w:eastAsiaTheme="minorEastAsia"/>
        </w:rPr>
        <w:t xml:space="preserve"> the decrease in testing rates from 2019 to 2020 in Western Australia may have resulted in an increase </w:t>
      </w:r>
      <w:r w:rsidR="00CF6F8C" w:rsidRPr="76BE792E">
        <w:rPr>
          <w:rFonts w:eastAsiaTheme="minorEastAsia"/>
        </w:rPr>
        <w:t xml:space="preserve">in </w:t>
      </w:r>
      <w:r w:rsidR="00E14A44" w:rsidRPr="76BE792E">
        <w:rPr>
          <w:rFonts w:eastAsiaTheme="minorEastAsia"/>
        </w:rPr>
        <w:t>notifications.</w:t>
      </w:r>
    </w:p>
    <w:p w14:paraId="4A173A68" w14:textId="68F5A507" w:rsidR="00F07B51" w:rsidRDefault="00F07B51" w:rsidP="00606436">
      <w:pPr>
        <w:pStyle w:val="Body"/>
      </w:pPr>
      <w:r>
        <w:t>Rates have been consistently higher among males than females (Figure 10.2.1) but decreased from 30.6 per 100,000 population (2014) to 20.8</w:t>
      </w:r>
      <w:r w:rsidRPr="00A2733C">
        <w:t xml:space="preserve"> </w:t>
      </w:r>
      <w:r>
        <w:t>per 100,000 population (2021) for males and for females from 26.5 per 100,000 population (2014) to 18.3 per 100,000 population respectively. Notification rates were significantly higher for those aged 30–39 years compared with other age groups</w:t>
      </w:r>
      <w:r w:rsidR="00731386">
        <w:t>,</w:t>
      </w:r>
      <w:r>
        <w:t xml:space="preserve"> although there was a marked decrease during 2020 and 2021 (Figure 10.2.2). In contrast, despite the much lower notification rates, rates for those aged 40–59 and 60+ years remained relatively stable between 2014 and 2021. Rates were consistently low among those aged 0–14 years during the reporting period (Figure 10.2.2).</w:t>
      </w:r>
    </w:p>
    <w:p w14:paraId="033F5170" w14:textId="4B5FE180" w:rsidR="00F07B51" w:rsidRPr="00F07B51" w:rsidRDefault="00F07B51" w:rsidP="00606436">
      <w:pPr>
        <w:pStyle w:val="Body"/>
      </w:pPr>
      <w:r>
        <w:t xml:space="preserve">Figure 10.2.3 shows the </w:t>
      </w:r>
      <w:r w:rsidRPr="00A86F08">
        <w:t xml:space="preserve">distribution of </w:t>
      </w:r>
      <w:r>
        <w:t>HBV</w:t>
      </w:r>
      <w:r w:rsidRPr="00A86F08">
        <w:t xml:space="preserve"> notification rate</w:t>
      </w:r>
      <w:r>
        <w:t>s by ICS across Victoria between 2014 and 2021</w:t>
      </w:r>
      <w:r w:rsidRPr="00A86F08">
        <w:t>.</w:t>
      </w:r>
      <w:r>
        <w:t xml:space="preserve"> </w:t>
      </w:r>
      <w:r w:rsidRPr="00A86F08">
        <w:t xml:space="preserve">ICSs with the highest rates tended to be </w:t>
      </w:r>
      <w:r>
        <w:t>the metropolitan ICS such as NEMICS, WCMICS and SMICS, suggesting that the HBV burden is inequitably distributed across Victoria. Of note were the regional/rural ICSs, BSWRICS, LMICS and GICS, which all showed an increase between 2020 and 2021.</w:t>
      </w:r>
    </w:p>
    <w:p w14:paraId="40A240E6" w14:textId="4779C546" w:rsidR="00A16D42" w:rsidRPr="00CF6F8C" w:rsidRDefault="000C78CC" w:rsidP="00606436">
      <w:pPr>
        <w:pStyle w:val="Body"/>
      </w:pPr>
      <w:r w:rsidRPr="00275B25">
        <w:t>While no target has been set for this measure</w:t>
      </w:r>
      <w:r w:rsidR="00501CC1">
        <w:t>,</w:t>
      </w:r>
      <w:r w:rsidRPr="00275B25">
        <w:t xml:space="preserve"> the</w:t>
      </w:r>
      <w:r w:rsidR="00564BFD">
        <w:t xml:space="preserve"> </w:t>
      </w:r>
      <w:r w:rsidR="00564BFD" w:rsidRPr="76BE792E">
        <w:rPr>
          <w:i/>
          <w:iCs/>
        </w:rPr>
        <w:t xml:space="preserve">Victorian </w:t>
      </w:r>
      <w:r w:rsidR="008166A7" w:rsidRPr="76BE792E">
        <w:rPr>
          <w:i/>
          <w:iCs/>
        </w:rPr>
        <w:t>h</w:t>
      </w:r>
      <w:r w:rsidR="00564BFD" w:rsidRPr="76BE792E">
        <w:rPr>
          <w:i/>
          <w:iCs/>
        </w:rPr>
        <w:t xml:space="preserve">epatitis B </w:t>
      </w:r>
      <w:r w:rsidR="008166A7" w:rsidRPr="76BE792E">
        <w:rPr>
          <w:i/>
          <w:iCs/>
        </w:rPr>
        <w:t>p</w:t>
      </w:r>
      <w:r w:rsidR="00564BFD" w:rsidRPr="76BE792E">
        <w:rPr>
          <w:i/>
          <w:iCs/>
        </w:rPr>
        <w:t>lan 2022</w:t>
      </w:r>
      <w:r w:rsidR="008166A7" w:rsidRPr="76BE792E">
        <w:rPr>
          <w:i/>
          <w:iCs/>
        </w:rPr>
        <w:t>–</w:t>
      </w:r>
      <w:r w:rsidR="00564BFD" w:rsidRPr="76BE792E">
        <w:rPr>
          <w:i/>
          <w:iCs/>
        </w:rPr>
        <w:t>30</w:t>
      </w:r>
      <w:r w:rsidR="00564BFD">
        <w:t xml:space="preserve"> </w:t>
      </w:r>
      <w:r w:rsidR="00BE7C5C">
        <w:t xml:space="preserve">sets a </w:t>
      </w:r>
      <w:r w:rsidR="0074667E">
        <w:t xml:space="preserve">vision </w:t>
      </w:r>
      <w:r w:rsidRPr="00A86F08">
        <w:t xml:space="preserve">to eliminate </w:t>
      </w:r>
      <w:r>
        <w:t>HBV</w:t>
      </w:r>
      <w:r w:rsidRPr="00A86F08">
        <w:t xml:space="preserve"> as a public health concern by 2030</w:t>
      </w:r>
      <w:bookmarkEnd w:id="667"/>
      <w:r w:rsidR="0074667E">
        <w:t>.</w:t>
      </w:r>
      <w:r w:rsidR="00921B4D">
        <w:rPr>
          <w:rStyle w:val="FootnoteReference"/>
          <w:rFonts w:cs="Arial"/>
        </w:rPr>
        <w:footnoteReference w:id="133"/>
      </w:r>
      <w:r w:rsidR="00772F12">
        <w:t xml:space="preserve"> </w:t>
      </w:r>
      <w:r w:rsidR="00A16D42">
        <w:br w:type="page"/>
      </w:r>
    </w:p>
    <w:p w14:paraId="5DFFAD9E" w14:textId="0B7B6DD1" w:rsidR="000C78CC" w:rsidRPr="00984F72" w:rsidRDefault="000C78CC" w:rsidP="00A16D42">
      <w:pPr>
        <w:pStyle w:val="Heading3"/>
        <w:rPr>
          <w:b/>
          <w:bCs w:val="0"/>
        </w:rPr>
      </w:pPr>
      <w:bookmarkStart w:id="668" w:name="_Measure_10.3_–"/>
      <w:bookmarkEnd w:id="668"/>
      <w:r w:rsidRPr="76BE792E">
        <w:rPr>
          <w:b/>
        </w:rPr>
        <w:lastRenderedPageBreak/>
        <w:t xml:space="preserve">Measure 10.3 – </w:t>
      </w:r>
      <w:bookmarkStart w:id="669" w:name="_Hlk111712248"/>
      <w:r w:rsidRPr="76BE792E">
        <w:rPr>
          <w:b/>
        </w:rPr>
        <w:t>Notification rate of unspecified</w:t>
      </w:r>
      <w:r w:rsidR="00AC4826" w:rsidRPr="76BE792E">
        <w:rPr>
          <w:rStyle w:val="FootnoteReference"/>
          <w:b/>
        </w:rPr>
        <w:footnoteReference w:id="134"/>
      </w:r>
      <w:r w:rsidRPr="76BE792E">
        <w:rPr>
          <w:b/>
        </w:rPr>
        <w:t xml:space="preserve"> hepatitis C</w:t>
      </w:r>
    </w:p>
    <w:p w14:paraId="34B47020" w14:textId="3F8D6D5C" w:rsidR="000C78CC" w:rsidRDefault="000C78CC" w:rsidP="00867A76">
      <w:pPr>
        <w:pStyle w:val="Figurecaption"/>
        <w:rPr>
          <w:sz w:val="20"/>
        </w:rPr>
      </w:pPr>
      <w:bookmarkStart w:id="670" w:name="_Toc19008100"/>
      <w:bookmarkStart w:id="671" w:name="_Toc19008330"/>
      <w:bookmarkStart w:id="672" w:name="_Toc19008477"/>
      <w:bookmarkStart w:id="673" w:name="_Toc19008624"/>
      <w:bookmarkStart w:id="674" w:name="_Toc132553054"/>
      <w:bookmarkStart w:id="675" w:name="_Toc140827666"/>
      <w:bookmarkEnd w:id="669"/>
      <w:r w:rsidRPr="00CD1209">
        <w:rPr>
          <w:sz w:val="20"/>
        </w:rPr>
        <w:t>Figure 10.3</w:t>
      </w:r>
      <w:r w:rsidR="003B391F" w:rsidRPr="00CD1209">
        <w:rPr>
          <w:sz w:val="20"/>
        </w:rPr>
        <w:t>:</w:t>
      </w:r>
      <w:r w:rsidR="00413E9A" w:rsidRPr="00CD1209">
        <w:rPr>
          <w:sz w:val="20"/>
        </w:rPr>
        <w:t xml:space="preserve"> </w:t>
      </w:r>
      <w:r w:rsidRPr="00CD1209">
        <w:rPr>
          <w:sz w:val="20"/>
        </w:rPr>
        <w:t xml:space="preserve">Notification rate </w:t>
      </w:r>
      <w:r w:rsidR="00570418" w:rsidRPr="00CD1209">
        <w:rPr>
          <w:sz w:val="20"/>
        </w:rPr>
        <w:t xml:space="preserve">per 100,000 population </w:t>
      </w:r>
      <w:r w:rsidRPr="00CD1209">
        <w:rPr>
          <w:sz w:val="20"/>
        </w:rPr>
        <w:t>of unspecified hepatitis C</w:t>
      </w:r>
      <w:r w:rsidR="00023893" w:rsidRPr="00CD1209">
        <w:rPr>
          <w:sz w:val="20"/>
        </w:rPr>
        <w:t>,</w:t>
      </w:r>
      <w:r w:rsidRPr="00CD1209">
        <w:rPr>
          <w:sz w:val="20"/>
        </w:rPr>
        <w:t xml:space="preserve"> by state/territory and year, 2014</w:t>
      </w:r>
      <w:r w:rsidR="00CA2AD7" w:rsidRPr="00CD1209">
        <w:rPr>
          <w:sz w:val="20"/>
        </w:rPr>
        <w:t>–</w:t>
      </w:r>
      <w:r w:rsidRPr="00CD1209">
        <w:rPr>
          <w:sz w:val="20"/>
        </w:rPr>
        <w:t>20</w:t>
      </w:r>
      <w:r w:rsidR="00ED0A95" w:rsidRPr="00CD1209">
        <w:rPr>
          <w:sz w:val="20"/>
        </w:rPr>
        <w:t>21</w:t>
      </w:r>
      <w:bookmarkEnd w:id="670"/>
      <w:bookmarkEnd w:id="671"/>
      <w:bookmarkEnd w:id="672"/>
      <w:bookmarkEnd w:id="673"/>
      <w:bookmarkEnd w:id="674"/>
      <w:bookmarkEnd w:id="675"/>
      <w:r w:rsidR="00E30D4D" w:rsidRPr="00CD1209">
        <w:rPr>
          <w:sz w:val="20"/>
        </w:rPr>
        <w:t xml:space="preserve"> </w:t>
      </w:r>
    </w:p>
    <w:p w14:paraId="6B9FBC9A" w14:textId="66877169" w:rsidR="00DF1CCC" w:rsidRPr="00DF1CCC" w:rsidRDefault="00312A6C" w:rsidP="00B50540">
      <w:pPr>
        <w:pStyle w:val="DHHSbody"/>
      </w:pPr>
      <w:r w:rsidRPr="00312A6C">
        <w:rPr>
          <w:noProof/>
        </w:rPr>
        <w:drawing>
          <wp:inline distT="0" distB="0" distL="0" distR="0" wp14:anchorId="142A4C71" wp14:editId="6713328E">
            <wp:extent cx="5819775" cy="4068455"/>
            <wp:effectExtent l="0" t="0" r="0" b="8255"/>
            <wp:docPr id="1499344197" name="Picture 1499344197" descr="‘Measure 10.3 - Notification rate of unspecified hepatitis C'. The data by state-territory (including Victoria) for the study period 2014-2021, is set out in a table directly below Fig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44197" name="Picture 1499344197" descr="‘Measure 10.3 - Notification rate of unspecified hepatitis C'. The data by state-territory (including Victoria) for the study period 2014-2021, is set out in a table directly below Figure 10.3."/>
                    <pic:cNvPicPr/>
                  </pic:nvPicPr>
                  <pic:blipFill>
                    <a:blip r:embed="rId111"/>
                    <a:stretch>
                      <a:fillRect/>
                    </a:stretch>
                  </pic:blipFill>
                  <pic:spPr>
                    <a:xfrm>
                      <a:off x="0" y="0"/>
                      <a:ext cx="5825998" cy="4072805"/>
                    </a:xfrm>
                    <a:prstGeom prst="rect">
                      <a:avLst/>
                    </a:prstGeom>
                  </pic:spPr>
                </pic:pic>
              </a:graphicData>
            </a:graphic>
          </wp:inline>
        </w:drawing>
      </w:r>
    </w:p>
    <w:p w14:paraId="52289E74" w14:textId="220AAEE9" w:rsidR="00E30D4D" w:rsidRPr="00CD1209" w:rsidRDefault="002C6E14" w:rsidP="00660649">
      <w:pPr>
        <w:pStyle w:val="Tablefigurenote"/>
        <w:rPr>
          <w:i/>
          <w:iCs/>
          <w:sz w:val="18"/>
          <w:szCs w:val="18"/>
        </w:rPr>
      </w:pPr>
      <w:r w:rsidRPr="00CD1209">
        <w:rPr>
          <w:i/>
          <w:iCs/>
          <w:sz w:val="18"/>
          <w:szCs w:val="18"/>
        </w:rPr>
        <w:t>Source: National Notifiable Disease Surveillance System</w:t>
      </w:r>
    </w:p>
    <w:p w14:paraId="325C2FC7" w14:textId="7516C4B3" w:rsidR="000C78CC" w:rsidRDefault="000C78CC" w:rsidP="00867A76">
      <w:pPr>
        <w:pStyle w:val="Figurecaption"/>
        <w:rPr>
          <w:sz w:val="20"/>
        </w:rPr>
      </w:pPr>
      <w:bookmarkStart w:id="676" w:name="_Toc19008101"/>
      <w:bookmarkStart w:id="677" w:name="_Toc19008331"/>
      <w:bookmarkStart w:id="678" w:name="_Toc19008478"/>
      <w:bookmarkStart w:id="679" w:name="_Toc19008625"/>
      <w:bookmarkStart w:id="680" w:name="_Toc132553055"/>
      <w:bookmarkStart w:id="681" w:name="_Toc140827667"/>
      <w:r w:rsidRPr="00CD1209">
        <w:rPr>
          <w:sz w:val="20"/>
        </w:rPr>
        <w:lastRenderedPageBreak/>
        <w:t>Figure 10.3.1</w:t>
      </w:r>
      <w:r w:rsidR="003B391F" w:rsidRPr="00CD1209">
        <w:rPr>
          <w:sz w:val="20"/>
        </w:rPr>
        <w:t>:</w:t>
      </w:r>
      <w:r w:rsidRPr="00CD1209">
        <w:rPr>
          <w:sz w:val="20"/>
        </w:rPr>
        <w:t xml:space="preserve"> Notification rate </w:t>
      </w:r>
      <w:r w:rsidR="00570418" w:rsidRPr="00CD1209">
        <w:rPr>
          <w:sz w:val="20"/>
        </w:rPr>
        <w:t xml:space="preserve">per 100,000 population </w:t>
      </w:r>
      <w:r w:rsidRPr="00CD1209">
        <w:rPr>
          <w:sz w:val="20"/>
        </w:rPr>
        <w:t>of unspecified hepatitis C</w:t>
      </w:r>
      <w:r w:rsidR="00023893" w:rsidRPr="00CD1209">
        <w:rPr>
          <w:sz w:val="20"/>
        </w:rPr>
        <w:t>,</w:t>
      </w:r>
      <w:r w:rsidRPr="00CD1209">
        <w:rPr>
          <w:sz w:val="20"/>
        </w:rPr>
        <w:t xml:space="preserve"> by sex and year, Victoria, 2014</w:t>
      </w:r>
      <w:r w:rsidR="00CA2AD7" w:rsidRPr="00CD1209">
        <w:rPr>
          <w:sz w:val="20"/>
        </w:rPr>
        <w:t>–</w:t>
      </w:r>
      <w:r w:rsidRPr="00CD1209">
        <w:rPr>
          <w:sz w:val="20"/>
        </w:rPr>
        <w:t>20</w:t>
      </w:r>
      <w:bookmarkEnd w:id="676"/>
      <w:bookmarkEnd w:id="677"/>
      <w:bookmarkEnd w:id="678"/>
      <w:bookmarkEnd w:id="679"/>
      <w:r w:rsidR="007113B3" w:rsidRPr="00CD1209">
        <w:rPr>
          <w:sz w:val="20"/>
        </w:rPr>
        <w:t>21</w:t>
      </w:r>
      <w:bookmarkEnd w:id="680"/>
      <w:bookmarkEnd w:id="681"/>
    </w:p>
    <w:p w14:paraId="2C0EBD74" w14:textId="40C73D83" w:rsidR="00B50C00" w:rsidRPr="00B50540" w:rsidRDefault="00B50540" w:rsidP="00B50540">
      <w:pPr>
        <w:pStyle w:val="DHHSbody"/>
      </w:pPr>
      <w:r w:rsidRPr="00B50540">
        <w:rPr>
          <w:noProof/>
        </w:rPr>
        <w:drawing>
          <wp:inline distT="0" distB="0" distL="0" distR="0" wp14:anchorId="2D22F7A9" wp14:editId="6E837ACA">
            <wp:extent cx="5781675" cy="2950530"/>
            <wp:effectExtent l="0" t="0" r="0" b="2540"/>
            <wp:docPr id="1499344198" name="Picture 1499344198" descr="‘Measure 10.3 - Notification rate of unspecified hepatitis C'. The data specific to Victoria for the study period 2014-2021 and by sex, is included Figure 10.3.1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44198" name="Picture 1499344198" descr="‘Measure 10.3 - Notification rate of unspecified hepatitis C'. The data specific to Victoria for the study period 2014-2021 and by sex, is included Figure 10.3.1 (bar graph)."/>
                    <pic:cNvPicPr/>
                  </pic:nvPicPr>
                  <pic:blipFill>
                    <a:blip r:embed="rId112"/>
                    <a:stretch>
                      <a:fillRect/>
                    </a:stretch>
                  </pic:blipFill>
                  <pic:spPr>
                    <a:xfrm>
                      <a:off x="0" y="0"/>
                      <a:ext cx="5791105" cy="2955343"/>
                    </a:xfrm>
                    <a:prstGeom prst="rect">
                      <a:avLst/>
                    </a:prstGeom>
                  </pic:spPr>
                </pic:pic>
              </a:graphicData>
            </a:graphic>
          </wp:inline>
        </w:drawing>
      </w:r>
      <w:r w:rsidR="00B50C00" w:rsidRPr="00CD1209">
        <w:rPr>
          <w:bCs/>
          <w:i/>
          <w:iCs/>
          <w:sz w:val="18"/>
          <w:szCs w:val="18"/>
        </w:rPr>
        <w:t>Source:</w:t>
      </w:r>
      <w:r w:rsidR="00B50C00" w:rsidRPr="00CD1209">
        <w:rPr>
          <w:b/>
          <w:i/>
          <w:iCs/>
          <w:sz w:val="18"/>
          <w:szCs w:val="18"/>
        </w:rPr>
        <w:t xml:space="preserve"> </w:t>
      </w:r>
      <w:r w:rsidR="00B50C00" w:rsidRPr="00CD1209">
        <w:rPr>
          <w:i/>
          <w:iCs/>
          <w:sz w:val="18"/>
          <w:szCs w:val="18"/>
        </w:rPr>
        <w:t>Public Health Event Surveillance System (PHESS), Department of Health</w:t>
      </w:r>
    </w:p>
    <w:p w14:paraId="49D4EFCC" w14:textId="368FB178" w:rsidR="000C78CC" w:rsidRDefault="000C78CC" w:rsidP="00C9459B">
      <w:pPr>
        <w:pStyle w:val="Figurecaption"/>
        <w:rPr>
          <w:noProof/>
          <w:sz w:val="20"/>
        </w:rPr>
      </w:pPr>
      <w:bookmarkStart w:id="682" w:name="_Toc19008102"/>
      <w:bookmarkStart w:id="683" w:name="_Toc19008332"/>
      <w:bookmarkStart w:id="684" w:name="_Toc19008479"/>
      <w:bookmarkStart w:id="685" w:name="_Toc19008626"/>
      <w:bookmarkStart w:id="686" w:name="_Toc132553056"/>
      <w:bookmarkStart w:id="687" w:name="_Toc140827668"/>
      <w:r w:rsidRPr="00CD1209">
        <w:rPr>
          <w:noProof/>
          <w:sz w:val="20"/>
        </w:rPr>
        <w:t>Figure 10.3.2</w:t>
      </w:r>
      <w:r w:rsidR="003B391F" w:rsidRPr="00CD1209">
        <w:rPr>
          <w:sz w:val="20"/>
        </w:rPr>
        <w:t>:</w:t>
      </w:r>
      <w:r w:rsidRPr="00CD1209">
        <w:rPr>
          <w:noProof/>
          <w:sz w:val="20"/>
        </w:rPr>
        <w:t xml:space="preserve"> Notification rate </w:t>
      </w:r>
      <w:r w:rsidR="00570418" w:rsidRPr="00CD1209">
        <w:rPr>
          <w:noProof/>
          <w:sz w:val="20"/>
        </w:rPr>
        <w:t xml:space="preserve">per 100,000 population </w:t>
      </w:r>
      <w:r w:rsidRPr="00CD1209">
        <w:rPr>
          <w:noProof/>
          <w:sz w:val="20"/>
        </w:rPr>
        <w:t>of unspecified hepatitis C</w:t>
      </w:r>
      <w:r w:rsidR="00023893" w:rsidRPr="00CD1209">
        <w:rPr>
          <w:noProof/>
          <w:sz w:val="20"/>
        </w:rPr>
        <w:t>,</w:t>
      </w:r>
      <w:r w:rsidRPr="00CD1209">
        <w:rPr>
          <w:noProof/>
          <w:sz w:val="20"/>
        </w:rPr>
        <w:t xml:space="preserve"> by age group and year, Victoria, 2014</w:t>
      </w:r>
      <w:r w:rsidR="00A14570" w:rsidRPr="00CD1209">
        <w:rPr>
          <w:noProof/>
          <w:sz w:val="20"/>
        </w:rPr>
        <w:t>–</w:t>
      </w:r>
      <w:r w:rsidRPr="00CD1209">
        <w:rPr>
          <w:noProof/>
          <w:sz w:val="20"/>
        </w:rPr>
        <w:t>20</w:t>
      </w:r>
      <w:bookmarkEnd w:id="682"/>
      <w:bookmarkEnd w:id="683"/>
      <w:bookmarkEnd w:id="684"/>
      <w:bookmarkEnd w:id="685"/>
      <w:r w:rsidR="00711DAD" w:rsidRPr="00CD1209">
        <w:rPr>
          <w:noProof/>
          <w:sz w:val="20"/>
        </w:rPr>
        <w:t>21</w:t>
      </w:r>
      <w:bookmarkEnd w:id="686"/>
      <w:bookmarkEnd w:id="687"/>
    </w:p>
    <w:p w14:paraId="41980B21" w14:textId="36C3B57D" w:rsidR="00B50540" w:rsidRPr="00B50540" w:rsidRDefault="00B50540" w:rsidP="00B50540">
      <w:pPr>
        <w:pStyle w:val="DHHSbody"/>
      </w:pPr>
      <w:r w:rsidRPr="00B50540">
        <w:rPr>
          <w:noProof/>
        </w:rPr>
        <w:drawing>
          <wp:inline distT="0" distB="0" distL="0" distR="0" wp14:anchorId="0D164133" wp14:editId="7A0FC26D">
            <wp:extent cx="5810250" cy="3987065"/>
            <wp:effectExtent l="0" t="0" r="0" b="0"/>
            <wp:docPr id="1499344199" name="Picture 1499344199" descr="‘Measure 10.3 - Notification rate of unspecified hepatitis C'. The data by age group for the study period 2014-2021, is set out in a table directly below Fig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44199" name="Picture 1499344199" descr="‘Measure 10.3 - Notification rate of unspecified hepatitis C'. The data by age group for the study period 2014-2021, is set out in a table directly below Figure 10.3.2."/>
                    <pic:cNvPicPr/>
                  </pic:nvPicPr>
                  <pic:blipFill>
                    <a:blip r:embed="rId113"/>
                    <a:stretch>
                      <a:fillRect/>
                    </a:stretch>
                  </pic:blipFill>
                  <pic:spPr>
                    <a:xfrm>
                      <a:off x="0" y="0"/>
                      <a:ext cx="5825510" cy="3997536"/>
                    </a:xfrm>
                    <a:prstGeom prst="rect">
                      <a:avLst/>
                    </a:prstGeom>
                  </pic:spPr>
                </pic:pic>
              </a:graphicData>
            </a:graphic>
          </wp:inline>
        </w:drawing>
      </w:r>
    </w:p>
    <w:p w14:paraId="6B02B05C" w14:textId="3C5379B8" w:rsidR="000C78CC" w:rsidRDefault="000C78CC" w:rsidP="00E87AAA">
      <w:pPr>
        <w:pStyle w:val="Body"/>
      </w:pPr>
    </w:p>
    <w:p w14:paraId="4ECB7839" w14:textId="764263C3" w:rsidR="00B50C00" w:rsidRPr="00CD1209" w:rsidRDefault="00B50C00" w:rsidP="00660649">
      <w:pPr>
        <w:pStyle w:val="Tablefigurenote"/>
        <w:rPr>
          <w:i/>
          <w:iCs/>
          <w:sz w:val="18"/>
          <w:szCs w:val="18"/>
        </w:rPr>
      </w:pPr>
      <w:r w:rsidRPr="00CD1209">
        <w:rPr>
          <w:i/>
          <w:iCs/>
          <w:sz w:val="18"/>
          <w:szCs w:val="18"/>
        </w:rPr>
        <w:t>Source:</w:t>
      </w:r>
      <w:r w:rsidR="006869B9" w:rsidRPr="00CD1209">
        <w:rPr>
          <w:i/>
          <w:iCs/>
          <w:sz w:val="18"/>
          <w:szCs w:val="18"/>
        </w:rPr>
        <w:t xml:space="preserve"> </w:t>
      </w:r>
      <w:r w:rsidRPr="00CD1209">
        <w:rPr>
          <w:i/>
          <w:iCs/>
          <w:sz w:val="18"/>
          <w:szCs w:val="18"/>
        </w:rPr>
        <w:t>Public Health Event Surveillance System (PHESS), Department of Health</w:t>
      </w:r>
    </w:p>
    <w:p w14:paraId="6134A1CC" w14:textId="08AF7941" w:rsidR="000C78CC" w:rsidRPr="00CD1209" w:rsidRDefault="000C78CC" w:rsidP="00660649">
      <w:pPr>
        <w:pStyle w:val="Tablefigurenote"/>
        <w:rPr>
          <w:i/>
          <w:iCs/>
          <w:sz w:val="18"/>
          <w:szCs w:val="18"/>
        </w:rPr>
      </w:pPr>
      <w:r w:rsidRPr="00CD1209">
        <w:rPr>
          <w:i/>
          <w:iCs/>
          <w:sz w:val="18"/>
          <w:szCs w:val="18"/>
        </w:rPr>
        <w:t xml:space="preserve">Note: </w:t>
      </w:r>
      <w:r w:rsidR="004A3E67" w:rsidRPr="00CD1209">
        <w:rPr>
          <w:i/>
          <w:iCs/>
          <w:sz w:val="18"/>
          <w:szCs w:val="18"/>
        </w:rPr>
        <w:t>T</w:t>
      </w:r>
      <w:r w:rsidRPr="00CD1209">
        <w:rPr>
          <w:i/>
          <w:iCs/>
          <w:sz w:val="18"/>
          <w:szCs w:val="18"/>
        </w:rPr>
        <w:t>his data excludes cases where age is unknown or not reported</w:t>
      </w:r>
      <w:r w:rsidR="004A3E67" w:rsidRPr="00CD1209">
        <w:rPr>
          <w:i/>
          <w:iCs/>
          <w:sz w:val="18"/>
          <w:szCs w:val="18"/>
        </w:rPr>
        <w:t>.</w:t>
      </w:r>
      <w:r w:rsidRPr="00CD1209">
        <w:rPr>
          <w:i/>
          <w:iCs/>
          <w:sz w:val="18"/>
          <w:szCs w:val="18"/>
        </w:rPr>
        <w:t xml:space="preserve"> </w:t>
      </w:r>
    </w:p>
    <w:p w14:paraId="3830C224" w14:textId="49A2C84F" w:rsidR="000C78CC" w:rsidRDefault="000C78CC" w:rsidP="00867A76">
      <w:pPr>
        <w:pStyle w:val="Figurecaption"/>
        <w:rPr>
          <w:sz w:val="20"/>
        </w:rPr>
      </w:pPr>
      <w:bookmarkStart w:id="688" w:name="_Toc19008103"/>
      <w:bookmarkStart w:id="689" w:name="_Toc19008333"/>
      <w:bookmarkStart w:id="690" w:name="_Toc19008480"/>
      <w:bookmarkStart w:id="691" w:name="_Toc19008627"/>
      <w:bookmarkStart w:id="692" w:name="_Toc132553057"/>
      <w:bookmarkStart w:id="693" w:name="_Toc140827669"/>
      <w:r w:rsidRPr="00CD1209">
        <w:rPr>
          <w:sz w:val="20"/>
        </w:rPr>
        <w:lastRenderedPageBreak/>
        <w:t>Figure 10.3.3</w:t>
      </w:r>
      <w:r w:rsidR="003B391F" w:rsidRPr="00CD1209">
        <w:rPr>
          <w:sz w:val="20"/>
        </w:rPr>
        <w:t>:</w:t>
      </w:r>
      <w:r w:rsidRPr="00CD1209">
        <w:rPr>
          <w:sz w:val="20"/>
        </w:rPr>
        <w:t xml:space="preserve"> Notification rate of unspecified hepatitis C</w:t>
      </w:r>
      <w:r w:rsidR="00DE51CA" w:rsidRPr="00CD1209">
        <w:rPr>
          <w:sz w:val="20"/>
        </w:rPr>
        <w:t>,</w:t>
      </w:r>
      <w:r w:rsidRPr="00CD1209">
        <w:rPr>
          <w:sz w:val="20"/>
        </w:rPr>
        <w:t xml:space="preserve"> by </w:t>
      </w:r>
      <w:r w:rsidR="008439C8" w:rsidRPr="00CD1209">
        <w:rPr>
          <w:sz w:val="20"/>
        </w:rPr>
        <w:t>ICS</w:t>
      </w:r>
      <w:r w:rsidR="00197A29" w:rsidRPr="00CD1209">
        <w:rPr>
          <w:sz w:val="20"/>
        </w:rPr>
        <w:t xml:space="preserve"> and year</w:t>
      </w:r>
      <w:r w:rsidRPr="00CD1209">
        <w:rPr>
          <w:sz w:val="20"/>
        </w:rPr>
        <w:t>, Victoria</w:t>
      </w:r>
      <w:r w:rsidR="00197A29" w:rsidRPr="00CD1209">
        <w:rPr>
          <w:sz w:val="20"/>
        </w:rPr>
        <w:t>,</w:t>
      </w:r>
      <w:r w:rsidRPr="00CD1209">
        <w:rPr>
          <w:sz w:val="20"/>
        </w:rPr>
        <w:t xml:space="preserve"> 2014</w:t>
      </w:r>
      <w:r w:rsidR="00A14570" w:rsidRPr="00CD1209">
        <w:rPr>
          <w:sz w:val="20"/>
        </w:rPr>
        <w:t>–</w:t>
      </w:r>
      <w:r w:rsidR="00197A29" w:rsidRPr="00CD1209">
        <w:rPr>
          <w:sz w:val="20"/>
        </w:rPr>
        <w:t>20</w:t>
      </w:r>
      <w:bookmarkEnd w:id="688"/>
      <w:bookmarkEnd w:id="689"/>
      <w:bookmarkEnd w:id="690"/>
      <w:bookmarkEnd w:id="691"/>
      <w:r w:rsidR="00711DAD" w:rsidRPr="00CD1209">
        <w:rPr>
          <w:sz w:val="20"/>
        </w:rPr>
        <w:t>21</w:t>
      </w:r>
      <w:bookmarkEnd w:id="692"/>
      <w:bookmarkEnd w:id="693"/>
    </w:p>
    <w:p w14:paraId="2ADE76C4" w14:textId="365204B4" w:rsidR="00197A29" w:rsidRPr="009F53CE" w:rsidRDefault="00B50540" w:rsidP="00B50540">
      <w:pPr>
        <w:pStyle w:val="DHHSbody"/>
      </w:pPr>
      <w:r w:rsidRPr="00B50540">
        <w:rPr>
          <w:noProof/>
        </w:rPr>
        <w:drawing>
          <wp:inline distT="0" distB="0" distL="0" distR="0" wp14:anchorId="510F8A08" wp14:editId="57DC37B5">
            <wp:extent cx="5781675" cy="3738994"/>
            <wp:effectExtent l="0" t="0" r="0" b="0"/>
            <wp:docPr id="1499344200" name="Picture 1499344200" descr="Measure 10.3 - Notification rate of unspecified hepatitis C'. The data by Integrated Cancer Service for the study period 2014-2021, is set out in a table directly below Fig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44200" name="Picture 1499344200" descr="Measure 10.3 - Notification rate of unspecified hepatitis C'. The data by Integrated Cancer Service for the study period 2014-2021, is set out in a table directly below Figure 10.3.3."/>
                    <pic:cNvPicPr/>
                  </pic:nvPicPr>
                  <pic:blipFill>
                    <a:blip r:embed="rId114"/>
                    <a:stretch>
                      <a:fillRect/>
                    </a:stretch>
                  </pic:blipFill>
                  <pic:spPr>
                    <a:xfrm>
                      <a:off x="0" y="0"/>
                      <a:ext cx="5786987" cy="3742429"/>
                    </a:xfrm>
                    <a:prstGeom prst="rect">
                      <a:avLst/>
                    </a:prstGeom>
                  </pic:spPr>
                </pic:pic>
              </a:graphicData>
            </a:graphic>
          </wp:inline>
        </w:drawing>
      </w:r>
    </w:p>
    <w:p w14:paraId="058ED413" w14:textId="6BFA33DC" w:rsidR="00B50C00" w:rsidRPr="00CD1209" w:rsidRDefault="00B50C00" w:rsidP="00660649">
      <w:pPr>
        <w:pStyle w:val="Tablefigurenote"/>
        <w:rPr>
          <w:i/>
          <w:iCs/>
          <w:sz w:val="18"/>
          <w:szCs w:val="18"/>
        </w:rPr>
      </w:pPr>
      <w:r w:rsidRPr="00CD1209">
        <w:rPr>
          <w:i/>
          <w:iCs/>
          <w:sz w:val="18"/>
          <w:szCs w:val="18"/>
        </w:rPr>
        <w:t>Source: Public Health Event Surveillance System (PHESS), Department of Health</w:t>
      </w:r>
    </w:p>
    <w:p w14:paraId="31474AFF" w14:textId="59FE3CC0" w:rsidR="001D6AF1" w:rsidRPr="00CD1209" w:rsidRDefault="001D6AF1" w:rsidP="006D2096">
      <w:pPr>
        <w:pStyle w:val="Tablefigurenote"/>
        <w:rPr>
          <w:i/>
          <w:iCs/>
          <w:sz w:val="18"/>
          <w:szCs w:val="18"/>
        </w:rPr>
      </w:pPr>
      <w:r w:rsidRPr="00CD1209">
        <w:rPr>
          <w:i/>
          <w:iCs/>
          <w:sz w:val="18"/>
          <w:szCs w:val="18"/>
        </w:rPr>
        <w:t>Note: The decline in disease notifications seen in 2020 and 2021 should be interpreted with caution. They are likely to under-represent true disease incidence. Disease reductions are likely to be strongly influenced by the ongoing COVID-19 pandemic, resulting in changes in behaviour</w:t>
      </w:r>
      <w:r w:rsidR="006551CF" w:rsidRPr="00CD1209">
        <w:rPr>
          <w:i/>
          <w:iCs/>
          <w:sz w:val="18"/>
          <w:szCs w:val="18"/>
        </w:rPr>
        <w:t>al risk factors</w:t>
      </w:r>
      <w:r w:rsidRPr="00CD1209">
        <w:rPr>
          <w:i/>
          <w:iCs/>
          <w:sz w:val="18"/>
          <w:szCs w:val="18"/>
        </w:rPr>
        <w:t>, access to healthcare services, health</w:t>
      </w:r>
      <w:r w:rsidR="00DE51CA" w:rsidRPr="00CD1209">
        <w:rPr>
          <w:i/>
          <w:iCs/>
          <w:sz w:val="18"/>
          <w:szCs w:val="18"/>
        </w:rPr>
        <w:t>-</w:t>
      </w:r>
      <w:r w:rsidRPr="00CD1209">
        <w:rPr>
          <w:i/>
          <w:iCs/>
          <w:sz w:val="18"/>
          <w:szCs w:val="18"/>
        </w:rPr>
        <w:t>seeking and testing practices and interstate and international travel restrictions.</w:t>
      </w:r>
    </w:p>
    <w:p w14:paraId="558ABABC" w14:textId="7B8ED326" w:rsidR="000C78CC" w:rsidRPr="00CD1209" w:rsidRDefault="00023893" w:rsidP="00660649">
      <w:pPr>
        <w:pStyle w:val="Tablefigurenote"/>
        <w:rPr>
          <w:b/>
          <w:i/>
          <w:iCs/>
          <w:sz w:val="18"/>
          <w:szCs w:val="18"/>
        </w:rPr>
      </w:pPr>
      <w:r w:rsidRPr="00CD1209">
        <w:rPr>
          <w:i/>
          <w:iCs/>
          <w:sz w:val="18"/>
          <w:szCs w:val="18"/>
        </w:rPr>
        <w:t>E</w:t>
      </w:r>
      <w:r w:rsidR="000C78CC" w:rsidRPr="00CD1209">
        <w:rPr>
          <w:i/>
          <w:iCs/>
          <w:sz w:val="18"/>
          <w:szCs w:val="18"/>
        </w:rPr>
        <w:t>xclude</w:t>
      </w:r>
      <w:r w:rsidR="00197A29" w:rsidRPr="00CD1209">
        <w:rPr>
          <w:i/>
          <w:iCs/>
          <w:sz w:val="18"/>
          <w:szCs w:val="18"/>
        </w:rPr>
        <w:t>s</w:t>
      </w:r>
      <w:r w:rsidR="000C78CC" w:rsidRPr="00CD1209">
        <w:rPr>
          <w:i/>
          <w:iCs/>
          <w:sz w:val="18"/>
          <w:szCs w:val="18"/>
        </w:rPr>
        <w:t xml:space="preserve"> cases where </w:t>
      </w:r>
      <w:r w:rsidRPr="00CD1209">
        <w:rPr>
          <w:i/>
          <w:iCs/>
          <w:sz w:val="18"/>
          <w:szCs w:val="18"/>
        </w:rPr>
        <w:t xml:space="preserve">the </w:t>
      </w:r>
      <w:r w:rsidR="000C78CC" w:rsidRPr="00CD1209">
        <w:rPr>
          <w:i/>
          <w:iCs/>
          <w:sz w:val="18"/>
          <w:szCs w:val="18"/>
        </w:rPr>
        <w:t>postcode of residence was unknown or not reported.</w:t>
      </w:r>
    </w:p>
    <w:p w14:paraId="462A9A15" w14:textId="77777777" w:rsidR="000C78CC" w:rsidRPr="00671C7A" w:rsidRDefault="000C78CC" w:rsidP="007C7F00">
      <w:pPr>
        <w:pStyle w:val="Heading4"/>
      </w:pPr>
      <w:r>
        <w:t>Measure assessment</w:t>
      </w:r>
    </w:p>
    <w:p w14:paraId="679314AE" w14:textId="3B42D0A8" w:rsidR="00EA3932" w:rsidRPr="00921B4D" w:rsidRDefault="000C78CC" w:rsidP="00606436">
      <w:pPr>
        <w:pStyle w:val="Body"/>
      </w:pPr>
      <w:r w:rsidRPr="00921B4D">
        <w:t xml:space="preserve">Traffic light rating: </w:t>
      </w:r>
      <w:r w:rsidR="00921B4D" w:rsidRPr="00D207B2">
        <w:rPr>
          <w:b/>
          <w:color w:val="007B4B"/>
        </w:rPr>
        <w:t>Green</w:t>
      </w:r>
      <w:r w:rsidR="00921B4D" w:rsidRPr="00921B4D">
        <w:t xml:space="preserve"> (satisfactory</w:t>
      </w:r>
      <w:r w:rsidR="00921B4D">
        <w:t xml:space="preserve"> result)</w:t>
      </w:r>
    </w:p>
    <w:p w14:paraId="43DB9883" w14:textId="77777777" w:rsidR="000C78CC" w:rsidRDefault="000C78CC" w:rsidP="00606436">
      <w:pPr>
        <w:pStyle w:val="Body"/>
      </w:pPr>
      <w:r>
        <w:t>Overall trend: Moving in the right direction</w:t>
      </w:r>
    </w:p>
    <w:p w14:paraId="5A76B1A1" w14:textId="6CF0403F" w:rsidR="000C78CC" w:rsidRDefault="000C78CC" w:rsidP="00E87AAA">
      <w:pPr>
        <w:pStyle w:val="Body"/>
      </w:pPr>
      <w:bookmarkStart w:id="694" w:name="_Hlk118130099"/>
      <w:r w:rsidRPr="004E5E2E">
        <w:t xml:space="preserve">Commentary: In </w:t>
      </w:r>
      <w:r w:rsidRPr="00A65297">
        <w:t xml:space="preserve">Victoria an estimated 65,000 </w:t>
      </w:r>
      <w:r w:rsidR="00605640">
        <w:t>people</w:t>
      </w:r>
      <w:r w:rsidRPr="00A65297">
        <w:t xml:space="preserve"> are living with HCV. As with </w:t>
      </w:r>
      <w:r w:rsidR="00A65297">
        <w:t>HBV</w:t>
      </w:r>
      <w:r w:rsidRPr="00A65297">
        <w:t xml:space="preserve">, </w:t>
      </w:r>
      <w:r w:rsidR="009D4D76" w:rsidRPr="00C9459B">
        <w:t>HCV</w:t>
      </w:r>
      <w:r w:rsidRPr="00C9459B">
        <w:t xml:space="preserve"> is a virus that causes inflammation and damage to the liver and</w:t>
      </w:r>
      <w:r w:rsidR="009D4D76" w:rsidRPr="00C9459B">
        <w:t>,</w:t>
      </w:r>
      <w:r w:rsidRPr="00C9459B">
        <w:t xml:space="preserve"> </w:t>
      </w:r>
      <w:r w:rsidRPr="00A65297">
        <w:t>if left untreated, chronic HCV can lead to liver cancer</w:t>
      </w:r>
      <w:r w:rsidRPr="004E5E2E">
        <w:t>.</w:t>
      </w:r>
      <w:r>
        <w:rPr>
          <w:rStyle w:val="FootnoteReference"/>
          <w:rFonts w:eastAsia="MS Mincho" w:cs="Arial"/>
        </w:rPr>
        <w:footnoteReference w:id="135"/>
      </w:r>
    </w:p>
    <w:p w14:paraId="1A4DD577" w14:textId="11054E7C" w:rsidR="00921B4D" w:rsidRPr="00097FCC" w:rsidRDefault="000C78CC" w:rsidP="00606436">
      <w:pPr>
        <w:pStyle w:val="Body"/>
        <w:rPr>
          <w:rFonts w:eastAsia="ArialMTPro-Light"/>
        </w:rPr>
      </w:pPr>
      <w:r w:rsidRPr="00B35011">
        <w:t xml:space="preserve">In Victoria </w:t>
      </w:r>
      <w:r w:rsidR="009D4D76">
        <w:t>HCV</w:t>
      </w:r>
      <w:r w:rsidRPr="00B35011">
        <w:t xml:space="preserve"> is a notifiable disease under the </w:t>
      </w:r>
      <w:r w:rsidRPr="76BE792E">
        <w:rPr>
          <w:i/>
          <w:iCs/>
        </w:rPr>
        <w:t>Public Health and Wellbeing Regulations 2009</w:t>
      </w:r>
      <w:r w:rsidRPr="00B35011">
        <w:t>.</w:t>
      </w:r>
      <w:r w:rsidRPr="00B35011">
        <w:rPr>
          <w:rStyle w:val="FootnoteReference"/>
          <w:rFonts w:eastAsia="MS Mincho" w:cs="Arial"/>
        </w:rPr>
        <w:footnoteReference w:id="136"/>
      </w:r>
      <w:r w:rsidRPr="00B35011">
        <w:t xml:space="preserve"> </w:t>
      </w:r>
      <w:r w:rsidR="00692423" w:rsidRPr="00097FCC">
        <w:t xml:space="preserve">Figure 10.3 shows that the notification rate of unspecified HCV in Victoria has reduced by nearly </w:t>
      </w:r>
      <w:r w:rsidR="00FC2326">
        <w:t>15</w:t>
      </w:r>
      <w:r w:rsidR="0054537F">
        <w:t>%</w:t>
      </w:r>
      <w:r w:rsidR="00692423" w:rsidRPr="00097FCC">
        <w:t xml:space="preserve"> from 33.6 cases per 100,000 in 2014 to 18.7 cases per 100,000 in 2021</w:t>
      </w:r>
      <w:r w:rsidRPr="00B35011">
        <w:rPr>
          <w:rStyle w:val="FootnoteReference"/>
          <w:rFonts w:cs="Arial"/>
        </w:rPr>
        <w:footnoteReference w:id="137"/>
      </w:r>
      <w:r w:rsidRPr="00B35011">
        <w:t xml:space="preserve"> and is lower than the overall notification rate for HCV </w:t>
      </w:r>
      <w:r w:rsidRPr="00B35011">
        <w:rPr>
          <w:rFonts w:eastAsia="ArialMTPro-Light"/>
        </w:rPr>
        <w:t>in Australia.</w:t>
      </w:r>
      <w:r>
        <w:rPr>
          <w:rFonts w:eastAsia="ArialMTPro-Light"/>
        </w:rPr>
        <w:t xml:space="preserve"> </w:t>
      </w:r>
      <w:r w:rsidRPr="00DB6020">
        <w:rPr>
          <w:rFonts w:eastAsia="ArialMTPro-Light"/>
        </w:rPr>
        <w:t xml:space="preserve">It is important to note that the increase in </w:t>
      </w:r>
      <w:r>
        <w:rPr>
          <w:rFonts w:eastAsia="ArialMTPro-Light"/>
        </w:rPr>
        <w:t xml:space="preserve">the Victorian </w:t>
      </w:r>
      <w:r w:rsidRPr="00DB6020">
        <w:rPr>
          <w:rFonts w:eastAsia="ArialMTPro-Light"/>
        </w:rPr>
        <w:t xml:space="preserve">notification rate in 2016 may reflect increased testing </w:t>
      </w:r>
      <w:r>
        <w:rPr>
          <w:rFonts w:eastAsia="ArialMTPro-Light"/>
        </w:rPr>
        <w:t>as a result of people accessing new direct-acting antiviral regimens subsidised by the Pharmaceutical Benefit</w:t>
      </w:r>
      <w:r w:rsidR="00FC2326">
        <w:rPr>
          <w:rFonts w:eastAsia="ArialMTPro-Light"/>
        </w:rPr>
        <w:t>s</w:t>
      </w:r>
      <w:r>
        <w:rPr>
          <w:rFonts w:eastAsia="ArialMTPro-Light"/>
        </w:rPr>
        <w:t xml:space="preserve"> Scheme from March 2016</w:t>
      </w:r>
      <w:r w:rsidRPr="00DB6020">
        <w:rPr>
          <w:rFonts w:eastAsia="ArialMTPro-Light"/>
        </w:rPr>
        <w:t>.</w:t>
      </w:r>
      <w:r w:rsidR="00921B4D">
        <w:rPr>
          <w:rFonts w:eastAsia="ArialMTPro-Light"/>
        </w:rPr>
        <w:t xml:space="preserve"> </w:t>
      </w:r>
      <w:r w:rsidR="00921B4D" w:rsidRPr="00097FCC">
        <w:rPr>
          <w:rFonts w:eastAsia="ArialMTPro-Light"/>
        </w:rPr>
        <w:t xml:space="preserve">However, </w:t>
      </w:r>
      <w:r w:rsidR="00921B4D" w:rsidRPr="76BE792E">
        <w:rPr>
          <w:rFonts w:eastAsiaTheme="minorEastAsia"/>
        </w:rPr>
        <w:t xml:space="preserve">the decline in disease notifications seen in 2020 and 2021 should be interpreted </w:t>
      </w:r>
      <w:r w:rsidR="00921B4D" w:rsidRPr="76BE792E">
        <w:rPr>
          <w:rFonts w:eastAsiaTheme="minorEastAsia"/>
        </w:rPr>
        <w:lastRenderedPageBreak/>
        <w:t>with caution. They</w:t>
      </w:r>
      <w:r w:rsidR="00921B4D" w:rsidRPr="76BE792E" w:rsidDel="00F238CF">
        <w:rPr>
          <w:rFonts w:eastAsiaTheme="minorEastAsia"/>
        </w:rPr>
        <w:t xml:space="preserve"> </w:t>
      </w:r>
      <w:r w:rsidR="00921B4D" w:rsidRPr="76BE792E">
        <w:rPr>
          <w:rFonts w:eastAsiaTheme="minorEastAsia"/>
        </w:rPr>
        <w:t xml:space="preserve">are likely to under-represent true disease incidence. </w:t>
      </w:r>
      <w:bookmarkStart w:id="695" w:name="_Hlk136876252"/>
      <w:r w:rsidR="00921B4D" w:rsidRPr="76BE792E">
        <w:rPr>
          <w:rFonts w:eastAsiaTheme="minorEastAsia"/>
        </w:rPr>
        <w:t>Disease reductions are likely to be strongly influenced by the ongoing COVID-19 pandemic, resulting in changes in behaviour</w:t>
      </w:r>
      <w:r w:rsidR="00DA05C9" w:rsidRPr="76BE792E">
        <w:rPr>
          <w:rFonts w:eastAsiaTheme="minorEastAsia"/>
        </w:rPr>
        <w:t>al risk factors</w:t>
      </w:r>
      <w:r w:rsidR="00921B4D" w:rsidRPr="76BE792E">
        <w:rPr>
          <w:rFonts w:eastAsiaTheme="minorEastAsia"/>
        </w:rPr>
        <w:t>, healthcare access, health</w:t>
      </w:r>
      <w:r w:rsidR="00FC2326" w:rsidRPr="76BE792E">
        <w:rPr>
          <w:rFonts w:eastAsiaTheme="minorEastAsia"/>
        </w:rPr>
        <w:t>-</w:t>
      </w:r>
      <w:r w:rsidR="00921B4D" w:rsidRPr="76BE792E">
        <w:rPr>
          <w:rFonts w:eastAsiaTheme="minorEastAsia"/>
        </w:rPr>
        <w:t>seeking and testing practices</w:t>
      </w:r>
      <w:bookmarkStart w:id="696" w:name="_Hlk136876348"/>
      <w:r w:rsidR="00B32DC0" w:rsidRPr="76BE792E">
        <w:rPr>
          <w:rStyle w:val="FootnoteReference"/>
          <w:rFonts w:eastAsiaTheme="minorEastAsia"/>
        </w:rPr>
        <w:footnoteReference w:id="138"/>
      </w:r>
      <w:r w:rsidR="00921B4D" w:rsidRPr="76BE792E">
        <w:rPr>
          <w:rFonts w:eastAsiaTheme="minorEastAsia"/>
        </w:rPr>
        <w:t xml:space="preserve"> </w:t>
      </w:r>
      <w:bookmarkEnd w:id="696"/>
      <w:r w:rsidR="00921B4D" w:rsidRPr="76BE792E">
        <w:rPr>
          <w:rFonts w:eastAsiaTheme="minorEastAsia"/>
        </w:rPr>
        <w:t>and interstate and international travel restrictions.</w:t>
      </w:r>
    </w:p>
    <w:bookmarkEnd w:id="695"/>
    <w:p w14:paraId="2DF7B6DE" w14:textId="5E86C29C" w:rsidR="000C78CC" w:rsidRDefault="00921B4D" w:rsidP="00606436">
      <w:pPr>
        <w:pStyle w:val="Body"/>
        <w:rPr>
          <w:rFonts w:eastAsia="ArialMTPro-Light"/>
        </w:rPr>
      </w:pPr>
      <w:r>
        <w:rPr>
          <w:rFonts w:eastAsia="ArialMTPro-Light"/>
        </w:rPr>
        <w:t xml:space="preserve">As with HBV, rates for HCV </w:t>
      </w:r>
      <w:r>
        <w:t xml:space="preserve">have been consistently higher among males than females but are decreasing from 39.1 </w:t>
      </w:r>
      <w:r w:rsidRPr="00B35011">
        <w:t xml:space="preserve">cases per 100,000 </w:t>
      </w:r>
      <w:r>
        <w:t xml:space="preserve">(2014) to 29.9 </w:t>
      </w:r>
      <w:r w:rsidRPr="00B35011">
        <w:t xml:space="preserve">cases per 100,000 </w:t>
      </w:r>
      <w:r>
        <w:t xml:space="preserve">(2021) for males and 23.9 cases per 100,000 population in 2014 to 13.1 </w:t>
      </w:r>
      <w:r w:rsidRPr="00B35011">
        <w:t xml:space="preserve">cases per 100,000 </w:t>
      </w:r>
      <w:r>
        <w:t>(2021) for females (Figure 10.3.1).</w:t>
      </w:r>
      <w:r>
        <w:rPr>
          <w:rFonts w:eastAsia="ArialMTPro-Light"/>
        </w:rPr>
        <w:t xml:space="preserve"> Because</w:t>
      </w:r>
      <w:r w:rsidRPr="00DB6020">
        <w:rPr>
          <w:rFonts w:eastAsia="ArialMTPro-Light"/>
        </w:rPr>
        <w:t xml:space="preserve"> the primary route of </w:t>
      </w:r>
      <w:r>
        <w:rPr>
          <w:rFonts w:eastAsia="ArialMTPro-Light"/>
        </w:rPr>
        <w:t>HCV</w:t>
      </w:r>
      <w:r w:rsidRPr="00DB6020">
        <w:rPr>
          <w:rFonts w:eastAsia="ArialMTPro-Light"/>
        </w:rPr>
        <w:t xml:space="preserve"> transmission is sharing injecting equipment </w:t>
      </w:r>
      <w:r w:rsidR="00C07826">
        <w:rPr>
          <w:rFonts w:eastAsia="ArialMTPro-Light"/>
        </w:rPr>
        <w:t>(</w:t>
      </w:r>
      <w:r w:rsidRPr="00DB6020">
        <w:rPr>
          <w:rFonts w:eastAsia="ArialMTPro-Light"/>
        </w:rPr>
        <w:t>a practice that typically starts in late adolescence</w:t>
      </w:r>
      <w:r>
        <w:rPr>
          <w:rFonts w:eastAsia="ArialMTPro-Light"/>
        </w:rPr>
        <w:t xml:space="preserve"> (15–19 years)</w:t>
      </w:r>
      <w:r w:rsidRPr="00DB6020">
        <w:rPr>
          <w:rFonts w:eastAsia="ArialMTPro-Light"/>
        </w:rPr>
        <w:t xml:space="preserve"> or early adulthood</w:t>
      </w:r>
      <w:r w:rsidR="00C07826">
        <w:rPr>
          <w:rFonts w:eastAsia="ArialMTPro-Light"/>
        </w:rPr>
        <w:t>)</w:t>
      </w:r>
      <w:r w:rsidRPr="00DB6020">
        <w:rPr>
          <w:rFonts w:eastAsia="ArialMTPro-Light"/>
        </w:rPr>
        <w:t>, trends in the rate of notifications in those under 2</w:t>
      </w:r>
      <w:r>
        <w:rPr>
          <w:rFonts w:eastAsia="ArialMTPro-Light"/>
        </w:rPr>
        <w:t>0</w:t>
      </w:r>
      <w:r w:rsidRPr="00DB6020">
        <w:rPr>
          <w:rFonts w:eastAsia="ArialMTPro-Light"/>
        </w:rPr>
        <w:t xml:space="preserve"> years</w:t>
      </w:r>
      <w:r>
        <w:rPr>
          <w:rFonts w:eastAsia="ArialMTPro-Light"/>
        </w:rPr>
        <w:t xml:space="preserve"> </w:t>
      </w:r>
      <w:r w:rsidR="00C07826">
        <w:rPr>
          <w:rFonts w:eastAsia="ArialMTPro-Light"/>
        </w:rPr>
        <w:t xml:space="preserve">who </w:t>
      </w:r>
      <w:r>
        <w:rPr>
          <w:rFonts w:eastAsia="ArialMTPro-Light"/>
        </w:rPr>
        <w:t>are injecting drug users</w:t>
      </w:r>
      <w:r w:rsidRPr="00DB6020">
        <w:rPr>
          <w:rFonts w:eastAsia="ArialMTPro-Light"/>
        </w:rPr>
        <w:t xml:space="preserve"> can be a proxy for the </w:t>
      </w:r>
      <w:r>
        <w:rPr>
          <w:rFonts w:eastAsia="ArialMTPro-Light"/>
        </w:rPr>
        <w:t>notification</w:t>
      </w:r>
      <w:r w:rsidRPr="00DB6020">
        <w:rPr>
          <w:rFonts w:eastAsia="ArialMTPro-Light"/>
        </w:rPr>
        <w:t xml:space="preserve"> of </w:t>
      </w:r>
      <w:r>
        <w:rPr>
          <w:rFonts w:eastAsia="ArialMTPro-Light"/>
        </w:rPr>
        <w:t>HCV</w:t>
      </w:r>
      <w:r w:rsidRPr="00DB6020">
        <w:rPr>
          <w:rFonts w:eastAsia="ArialMTPro-Light"/>
        </w:rPr>
        <w:t xml:space="preserve"> infection in recent years</w:t>
      </w:r>
      <w:r w:rsidR="007616B1" w:rsidRPr="00DB6020">
        <w:rPr>
          <w:rFonts w:eastAsia="ArialMTPro-Light"/>
        </w:rPr>
        <w:t>.</w:t>
      </w:r>
      <w:r w:rsidR="007616B1">
        <w:rPr>
          <w:rStyle w:val="FootnoteReference"/>
          <w:rFonts w:eastAsia="ArialMTPro-Light" w:cs="Arial"/>
        </w:rPr>
        <w:footnoteReference w:id="139"/>
      </w:r>
      <w:r w:rsidR="007616B1">
        <w:rPr>
          <w:rFonts w:eastAsia="ArialMTPro-Light"/>
        </w:rPr>
        <w:t xml:space="preserve"> </w:t>
      </w:r>
      <w:r>
        <w:rPr>
          <w:rFonts w:eastAsia="ArialMTPro-Light"/>
        </w:rPr>
        <w:t xml:space="preserve">Among Victorian people aged under 20 years, there has been a decrease in the notification rate among </w:t>
      </w:r>
      <w:r w:rsidR="00C06A08">
        <w:rPr>
          <w:rFonts w:eastAsia="ArialMTPro-Light"/>
        </w:rPr>
        <w:t xml:space="preserve">the </w:t>
      </w:r>
      <w:r>
        <w:rPr>
          <w:rFonts w:eastAsia="ArialMTPro-Light"/>
        </w:rPr>
        <w:t xml:space="preserve">15–19-year age group between 2014 and 2021 (with the exception of 2020) from 6.6 cases per 100,000 population in 2014 to 2.7 cases per 100,000 </w:t>
      </w:r>
      <w:r>
        <w:t xml:space="preserve">population </w:t>
      </w:r>
      <w:r>
        <w:rPr>
          <w:rFonts w:eastAsia="ArialMTPro-Light"/>
        </w:rPr>
        <w:t>in 2021 (Figure 10.3.2). The age group 30</w:t>
      </w:r>
      <w:r w:rsidRPr="00DB6020">
        <w:rPr>
          <w:rFonts w:eastAsia="ArialMTPro-Light"/>
        </w:rPr>
        <w:t>–39 years had the</w:t>
      </w:r>
      <w:r>
        <w:rPr>
          <w:rFonts w:eastAsia="ArialMTPro-Light"/>
        </w:rPr>
        <w:t xml:space="preserve"> next</w:t>
      </w:r>
      <w:r w:rsidRPr="00DB6020">
        <w:rPr>
          <w:rFonts w:eastAsia="ArialMTPro-Light"/>
        </w:rPr>
        <w:t xml:space="preserve"> highest rate of notification, </w:t>
      </w:r>
      <w:r>
        <w:rPr>
          <w:rFonts w:eastAsia="ArialMTPro-Light"/>
        </w:rPr>
        <w:t xml:space="preserve">although the rate of notification of HCV has declined from 66.7 cases per 100,000 </w:t>
      </w:r>
      <w:r>
        <w:t>population</w:t>
      </w:r>
      <w:r>
        <w:rPr>
          <w:rFonts w:eastAsia="ArialMTPro-Light"/>
        </w:rPr>
        <w:t xml:space="preserve"> in 2014 to 26 cases per 100,000 </w:t>
      </w:r>
      <w:r>
        <w:t>population</w:t>
      </w:r>
      <w:r>
        <w:rPr>
          <w:rFonts w:eastAsia="ArialMTPro-Light"/>
        </w:rPr>
        <w:t xml:space="preserve"> in 2021. Over the reporting period 2014–2021, a relatively steady pattern was observed among people aged 40 years or older, except for </w:t>
      </w:r>
      <w:r w:rsidR="00C06A08">
        <w:rPr>
          <w:rFonts w:eastAsia="ArialMTPro-Light"/>
        </w:rPr>
        <w:t xml:space="preserve">in </w:t>
      </w:r>
      <w:r>
        <w:rPr>
          <w:rFonts w:eastAsia="ArialMTPro-Light"/>
        </w:rPr>
        <w:t>2020 and 2021</w:t>
      </w:r>
      <w:r w:rsidR="00C06A08">
        <w:rPr>
          <w:rFonts w:eastAsia="ArialMTPro-Light"/>
        </w:rPr>
        <w:t>,</w:t>
      </w:r>
      <w:r>
        <w:rPr>
          <w:rFonts w:eastAsia="ArialMTPro-Light"/>
        </w:rPr>
        <w:t xml:space="preserve"> which showed a decrease in the 40</w:t>
      </w:r>
      <w:r w:rsidR="00C06A08">
        <w:rPr>
          <w:rFonts w:eastAsia="ArialMTPro-Light"/>
        </w:rPr>
        <w:t>–</w:t>
      </w:r>
      <w:r>
        <w:rPr>
          <w:rFonts w:eastAsia="ArialMTPro-Light"/>
        </w:rPr>
        <w:t>59 but not the 60+ year category.</w:t>
      </w:r>
    </w:p>
    <w:p w14:paraId="047C0834" w14:textId="77777777" w:rsidR="00921B4D" w:rsidRPr="007C285D" w:rsidRDefault="00921B4D" w:rsidP="00606436">
      <w:pPr>
        <w:pStyle w:val="Body"/>
      </w:pPr>
      <w:r>
        <w:t>Figure</w:t>
      </w:r>
      <w:r w:rsidRPr="00A86F08">
        <w:t xml:space="preserve"> 10.</w:t>
      </w:r>
      <w:r>
        <w:t>3.3 shows the</w:t>
      </w:r>
      <w:r w:rsidRPr="00A86F08">
        <w:t xml:space="preserve"> distribution of </w:t>
      </w:r>
      <w:r>
        <w:t>HCV</w:t>
      </w:r>
      <w:r w:rsidRPr="00A86F08">
        <w:t xml:space="preserve"> notification rat</w:t>
      </w:r>
      <w:r>
        <w:t xml:space="preserve">e by ICS </w:t>
      </w:r>
      <w:r w:rsidRPr="00A86F08">
        <w:t>withi</w:t>
      </w:r>
      <w:r>
        <w:t>n Victoria between 2014 and 2021</w:t>
      </w:r>
      <w:r w:rsidRPr="00A86F08">
        <w:t>.</w:t>
      </w:r>
      <w:r>
        <w:t xml:space="preserve"> </w:t>
      </w:r>
      <w:r w:rsidRPr="00A86F08">
        <w:t xml:space="preserve">ICSs with the </w:t>
      </w:r>
      <w:r>
        <w:t xml:space="preserve">lower </w:t>
      </w:r>
      <w:r w:rsidRPr="00A86F08">
        <w:t xml:space="preserve">rates tended to be those that have large metropolitan areas such </w:t>
      </w:r>
      <w:r>
        <w:t xml:space="preserve">as </w:t>
      </w:r>
      <w:r w:rsidRPr="00A86F08">
        <w:t>Melbourne</w:t>
      </w:r>
      <w:r>
        <w:t>, suggesting that the HCV burden is inequitably distributed across Victoria. However, some ICSs that include outer regional areas, while having higher rates, show a declining gradient between 2014 and 2021 – for example, GRICS, HRICS (except for 2016) and LMICS.</w:t>
      </w:r>
    </w:p>
    <w:p w14:paraId="708FE163" w14:textId="0F6D773E" w:rsidR="00A16D42" w:rsidRDefault="000C78CC" w:rsidP="00606436">
      <w:pPr>
        <w:pStyle w:val="Body"/>
      </w:pPr>
      <w:r w:rsidRPr="00275B25">
        <w:t>While no target has been set for this measure</w:t>
      </w:r>
      <w:r>
        <w:t>,</w:t>
      </w:r>
      <w:r w:rsidRPr="00275B25">
        <w:t xml:space="preserve"> the </w:t>
      </w:r>
      <w:r w:rsidRPr="76BE792E">
        <w:rPr>
          <w:i/>
          <w:iCs/>
        </w:rPr>
        <w:t xml:space="preserve">Victorian </w:t>
      </w:r>
      <w:r w:rsidR="00F802FE" w:rsidRPr="76BE792E">
        <w:rPr>
          <w:i/>
          <w:iCs/>
        </w:rPr>
        <w:t>h</w:t>
      </w:r>
      <w:r w:rsidRPr="76BE792E">
        <w:rPr>
          <w:i/>
          <w:iCs/>
        </w:rPr>
        <w:t>epatitis C</w:t>
      </w:r>
      <w:r w:rsidR="00F802FE" w:rsidRPr="76BE792E">
        <w:rPr>
          <w:i/>
          <w:iCs/>
        </w:rPr>
        <w:t xml:space="preserve"> p</w:t>
      </w:r>
      <w:r w:rsidR="00DB67E0" w:rsidRPr="76BE792E">
        <w:rPr>
          <w:i/>
          <w:iCs/>
        </w:rPr>
        <w:t>lan 2022</w:t>
      </w:r>
      <w:r w:rsidRPr="76BE792E">
        <w:rPr>
          <w:i/>
          <w:iCs/>
        </w:rPr>
        <w:t>–</w:t>
      </w:r>
      <w:r w:rsidR="00DB67E0" w:rsidRPr="76BE792E">
        <w:rPr>
          <w:i/>
          <w:iCs/>
        </w:rPr>
        <w:t>30</w:t>
      </w:r>
      <w:r w:rsidRPr="00A86F08">
        <w:t xml:space="preserve"> </w:t>
      </w:r>
      <w:r>
        <w:t xml:space="preserve">includes </w:t>
      </w:r>
      <w:r w:rsidRPr="00A86F08">
        <w:t>a</w:t>
      </w:r>
      <w:r w:rsidR="00DB67E0">
        <w:t xml:space="preserve"> vision </w:t>
      </w:r>
      <w:r w:rsidRPr="00A86F08">
        <w:t xml:space="preserve">to eliminate </w:t>
      </w:r>
      <w:r>
        <w:t>HCV</w:t>
      </w:r>
      <w:r w:rsidRPr="00A86F08">
        <w:t xml:space="preserve"> as a public health concern by 2030</w:t>
      </w:r>
      <w:r>
        <w:t>.</w:t>
      </w:r>
      <w:bookmarkStart w:id="697" w:name="_Hlk2688259"/>
      <w:bookmarkEnd w:id="694"/>
      <w:r w:rsidR="00921B4D">
        <w:rPr>
          <w:rStyle w:val="FootnoteReference"/>
          <w:rFonts w:cs="Arial"/>
        </w:rPr>
        <w:footnoteReference w:id="140"/>
      </w:r>
      <w:r w:rsidR="00921B4D">
        <w:t xml:space="preserve"> </w:t>
      </w:r>
      <w:r w:rsidR="00A16D42">
        <w:br w:type="page"/>
      </w:r>
    </w:p>
    <w:p w14:paraId="031206BE" w14:textId="77777777" w:rsidR="001F7E28" w:rsidRPr="00984F72" w:rsidRDefault="00A22BE9" w:rsidP="00A451D4">
      <w:pPr>
        <w:pStyle w:val="Heading3"/>
        <w:rPr>
          <w:b/>
          <w:bCs w:val="0"/>
        </w:rPr>
      </w:pPr>
      <w:bookmarkStart w:id="698" w:name="_Measure_10.4_–"/>
      <w:bookmarkEnd w:id="698"/>
      <w:r w:rsidRPr="00984F72">
        <w:rPr>
          <w:b/>
          <w:bCs w:val="0"/>
        </w:rPr>
        <w:lastRenderedPageBreak/>
        <w:t xml:space="preserve">Measure 10.4 – </w:t>
      </w:r>
      <w:bookmarkStart w:id="699" w:name="_Hlk111712486"/>
      <w:r w:rsidRPr="00984F72">
        <w:rPr>
          <w:b/>
          <w:bCs w:val="0"/>
        </w:rPr>
        <w:t>Proportion of p</w:t>
      </w:r>
      <w:r w:rsidR="00A4670F" w:rsidRPr="00984F72">
        <w:rPr>
          <w:b/>
          <w:bCs w:val="0"/>
        </w:rPr>
        <w:t>eople</w:t>
      </w:r>
      <w:r w:rsidR="00733767" w:rsidRPr="00984F72">
        <w:rPr>
          <w:b/>
          <w:bCs w:val="0"/>
        </w:rPr>
        <w:t xml:space="preserve"> with </w:t>
      </w:r>
      <w:r w:rsidR="00107A1C" w:rsidRPr="00984F72">
        <w:rPr>
          <w:b/>
          <w:bCs w:val="0"/>
        </w:rPr>
        <w:t xml:space="preserve">a </w:t>
      </w:r>
      <w:r w:rsidR="00733767" w:rsidRPr="00984F72">
        <w:rPr>
          <w:b/>
          <w:bCs w:val="0"/>
        </w:rPr>
        <w:t>hepatitis B diagnosis with liver cancer</w:t>
      </w:r>
      <w:r w:rsidR="00A4670F" w:rsidRPr="00984F72">
        <w:rPr>
          <w:b/>
          <w:bCs w:val="0"/>
        </w:rPr>
        <w:t>, whose hepatitis B was diagnosed late</w:t>
      </w:r>
      <w:bookmarkEnd w:id="699"/>
      <w:r w:rsidR="0061096F" w:rsidRPr="00984F72">
        <w:rPr>
          <w:b/>
          <w:bCs w:val="0"/>
        </w:rPr>
        <w:t xml:space="preserve"> </w:t>
      </w:r>
    </w:p>
    <w:p w14:paraId="1877238D" w14:textId="429656FE" w:rsidR="00AC550A" w:rsidRPr="00AC550A" w:rsidRDefault="00AC550A" w:rsidP="00B35A10">
      <w:pPr>
        <w:pStyle w:val="Body"/>
        <w:rPr>
          <w:b/>
        </w:rPr>
      </w:pPr>
      <w:bookmarkStart w:id="700" w:name="_Toc18908739"/>
      <w:bookmarkStart w:id="701" w:name="_Toc132491538"/>
      <w:r w:rsidRPr="00AC550A">
        <w:t xml:space="preserve">At the </w:t>
      </w:r>
      <w:r>
        <w:t xml:space="preserve">time of writing refreshed data was unavailable for further analysis. For data on this measure for the years 2010-2013 and 2014 refer to the </w:t>
      </w:r>
      <w:r w:rsidRPr="00AC550A">
        <w:rPr>
          <w:i/>
          <w:iCs/>
        </w:rPr>
        <w:t>Victorian Cancer Plan Monitoring and Evaluation Framework: Baseline Report (2020)</w:t>
      </w:r>
      <w:r>
        <w:t>.</w:t>
      </w:r>
    </w:p>
    <w:p w14:paraId="3DEA8BF4" w14:textId="77777777" w:rsidR="00D13361" w:rsidRPr="00984F72" w:rsidRDefault="00A22BE9" w:rsidP="00A451D4">
      <w:pPr>
        <w:pStyle w:val="Heading3"/>
        <w:rPr>
          <w:b/>
          <w:bCs w:val="0"/>
        </w:rPr>
      </w:pPr>
      <w:bookmarkStart w:id="702" w:name="_Measure_10.5_–"/>
      <w:bookmarkStart w:id="703" w:name="_Toc19008104"/>
      <w:bookmarkStart w:id="704" w:name="_Hlk111712311"/>
      <w:bookmarkEnd w:id="700"/>
      <w:bookmarkEnd w:id="701"/>
      <w:bookmarkEnd w:id="702"/>
      <w:r w:rsidRPr="00984F72">
        <w:rPr>
          <w:b/>
          <w:bCs w:val="0"/>
        </w:rPr>
        <w:t xml:space="preserve">Measure 10.5 – </w:t>
      </w:r>
      <w:r w:rsidR="005A1356" w:rsidRPr="00984F72">
        <w:rPr>
          <w:b/>
          <w:bCs w:val="0"/>
        </w:rPr>
        <w:t xml:space="preserve">Proportion of people with </w:t>
      </w:r>
      <w:r w:rsidR="00107A1C" w:rsidRPr="00984F72">
        <w:rPr>
          <w:b/>
          <w:bCs w:val="0"/>
        </w:rPr>
        <w:t xml:space="preserve">a </w:t>
      </w:r>
      <w:r w:rsidR="005A1356" w:rsidRPr="00984F72">
        <w:rPr>
          <w:b/>
          <w:bCs w:val="0"/>
        </w:rPr>
        <w:t>hepatitis C diagnosis with liver cancer, whose hepatitis C was diagnosed late</w:t>
      </w:r>
      <w:bookmarkEnd w:id="703"/>
      <w:r w:rsidR="0061096F" w:rsidRPr="00984F72">
        <w:rPr>
          <w:b/>
          <w:bCs w:val="0"/>
        </w:rPr>
        <w:t xml:space="preserve"> </w:t>
      </w:r>
    </w:p>
    <w:p w14:paraId="78CE9B68" w14:textId="6D31A7CE" w:rsidR="00AC550A" w:rsidRPr="00AC550A" w:rsidRDefault="00AC550A" w:rsidP="00B35A10">
      <w:pPr>
        <w:pStyle w:val="Body"/>
        <w:rPr>
          <w:b/>
        </w:rPr>
      </w:pPr>
      <w:bookmarkStart w:id="705" w:name="_Toc18908740"/>
      <w:bookmarkStart w:id="706" w:name="_Toc132491539"/>
      <w:bookmarkEnd w:id="704"/>
      <w:r w:rsidRPr="00B35A10">
        <w:rPr>
          <w:rStyle w:val="DHHSbodyChar"/>
        </w:rPr>
        <w:t>At the time of writing refreshed</w:t>
      </w:r>
      <w:r>
        <w:t xml:space="preserve"> data was unavailable for further analysis. For data on this measure for the years 2010-2013 and 2014 refer to the </w:t>
      </w:r>
      <w:r w:rsidRPr="00AC550A">
        <w:rPr>
          <w:i/>
          <w:iCs/>
        </w:rPr>
        <w:t>Victorian Cancer Plan Monitoring and Evaluation Framework: Baseline Report</w:t>
      </w:r>
      <w:r>
        <w:rPr>
          <w:i/>
          <w:iCs/>
        </w:rPr>
        <w:t xml:space="preserve"> (2020)</w:t>
      </w:r>
      <w:r>
        <w:t>.</w:t>
      </w:r>
    </w:p>
    <w:bookmarkEnd w:id="697"/>
    <w:bookmarkEnd w:id="705"/>
    <w:bookmarkEnd w:id="706"/>
    <w:p w14:paraId="7ECE10E1" w14:textId="65D7F52E" w:rsidR="00CC52BE" w:rsidRPr="001A2A05" w:rsidRDefault="00CC52BE" w:rsidP="007D6BCA">
      <w:pPr>
        <w:pStyle w:val="Heading1"/>
        <w:rPr>
          <w:lang w:val="en"/>
        </w:rPr>
      </w:pPr>
      <w:r>
        <w:br w:type="page"/>
      </w:r>
      <w:bookmarkStart w:id="707" w:name="_Toc19008105"/>
      <w:bookmarkStart w:id="708" w:name="_Toc140843421"/>
      <w:r w:rsidRPr="00B91C4A">
        <w:lastRenderedPageBreak/>
        <w:t>Outcome: Detect cancers early</w:t>
      </w:r>
      <w:bookmarkEnd w:id="707"/>
      <w:bookmarkEnd w:id="708"/>
    </w:p>
    <w:p w14:paraId="426A8851" w14:textId="7A7A5C3D" w:rsidR="00DF376C" w:rsidRPr="00B91C4A" w:rsidRDefault="00DF376C" w:rsidP="006053E7">
      <w:pPr>
        <w:pStyle w:val="Heading2"/>
      </w:pPr>
      <w:bookmarkStart w:id="709" w:name="_Toc19008106"/>
      <w:bookmarkStart w:id="710" w:name="_Toc140843422"/>
      <w:r w:rsidRPr="00B91C4A">
        <w:t>Key result: Increase early</w:t>
      </w:r>
      <w:r w:rsidR="004C18EC" w:rsidRPr="00B91C4A">
        <w:t>-</w:t>
      </w:r>
      <w:r w:rsidRPr="00B91C4A">
        <w:t>stage diagnosis</w:t>
      </w:r>
      <w:bookmarkEnd w:id="709"/>
      <w:bookmarkEnd w:id="710"/>
    </w:p>
    <w:p w14:paraId="0BFC5994" w14:textId="3F79BA8E" w:rsidR="00DF376C" w:rsidRDefault="00DF376C" w:rsidP="00A451D4">
      <w:pPr>
        <w:pStyle w:val="Heading3"/>
      </w:pPr>
      <w:bookmarkStart w:id="711" w:name="_Measure_11.1_–"/>
      <w:bookmarkStart w:id="712" w:name="_Toc19008107"/>
      <w:bookmarkEnd w:id="711"/>
      <w:r>
        <w:t>Measure 11.1 – Proportion</w:t>
      </w:r>
      <w:r w:rsidR="00C85FCE">
        <w:t xml:space="preserve"> of all cancers diagnosed</w:t>
      </w:r>
      <w:r w:rsidR="00A60F88">
        <w:t xml:space="preserve"> at stages 1 </w:t>
      </w:r>
      <w:r w:rsidR="002714EF">
        <w:t>or</w:t>
      </w:r>
      <w:r w:rsidR="00A60F88">
        <w:t xml:space="preserve"> 2</w:t>
      </w:r>
      <w:bookmarkEnd w:id="712"/>
    </w:p>
    <w:p w14:paraId="1D341189" w14:textId="014043CD" w:rsidR="001B5858" w:rsidRDefault="00302403" w:rsidP="00E87AAA">
      <w:pPr>
        <w:pStyle w:val="Body"/>
      </w:pPr>
      <w:r>
        <w:t xml:space="preserve">The VCR does not currently capture all </w:t>
      </w:r>
      <w:r w:rsidR="00781327">
        <w:t>staging information</w:t>
      </w:r>
      <w:r w:rsidR="007D18B3">
        <w:t>.</w:t>
      </w:r>
      <w:r w:rsidR="00330DC3">
        <w:t xml:space="preserve"> Refer to Appendix 1.</w:t>
      </w:r>
      <w:r w:rsidR="001B5858">
        <w:br w:type="page"/>
      </w:r>
    </w:p>
    <w:p w14:paraId="4496BC52" w14:textId="68DA63D0" w:rsidR="00170972" w:rsidRPr="0085603F" w:rsidRDefault="00DF376C" w:rsidP="00A451D4">
      <w:pPr>
        <w:pStyle w:val="Heading3"/>
        <w:rPr>
          <w:b/>
          <w:bCs w:val="0"/>
        </w:rPr>
      </w:pPr>
      <w:bookmarkStart w:id="713" w:name="_Measure_11.2_–"/>
      <w:bookmarkEnd w:id="713"/>
      <w:r w:rsidRPr="0085603F">
        <w:rPr>
          <w:b/>
          <w:bCs w:val="0"/>
        </w:rPr>
        <w:lastRenderedPageBreak/>
        <w:t>Measure 11.2 –</w:t>
      </w:r>
      <w:r w:rsidR="00A60F88" w:rsidRPr="0085603F">
        <w:rPr>
          <w:b/>
          <w:bCs w:val="0"/>
        </w:rPr>
        <w:t xml:space="preserve"> Proportion of female breast c</w:t>
      </w:r>
      <w:r w:rsidR="00337038" w:rsidRPr="0085603F">
        <w:rPr>
          <w:b/>
          <w:bCs w:val="0"/>
        </w:rPr>
        <w:t>ancers diagnosed at stages 1 or</w:t>
      </w:r>
      <w:r w:rsidR="00A60F88" w:rsidRPr="0085603F">
        <w:rPr>
          <w:b/>
          <w:bCs w:val="0"/>
        </w:rPr>
        <w:t xml:space="preserve"> 2</w:t>
      </w:r>
    </w:p>
    <w:p w14:paraId="5DEBBAFF" w14:textId="3CD273C8" w:rsidR="00DF7766" w:rsidRPr="00CD1209" w:rsidRDefault="00AD7D76" w:rsidP="00867A76">
      <w:pPr>
        <w:pStyle w:val="Figurecaption"/>
        <w:rPr>
          <w:sz w:val="20"/>
        </w:rPr>
      </w:pPr>
      <w:bookmarkStart w:id="714" w:name="_Toc19008108"/>
      <w:bookmarkStart w:id="715" w:name="_Toc19008334"/>
      <w:bookmarkStart w:id="716" w:name="_Toc19008481"/>
      <w:bookmarkStart w:id="717" w:name="_Toc19008628"/>
      <w:bookmarkStart w:id="718" w:name="_Toc132553058"/>
      <w:bookmarkStart w:id="719" w:name="_Toc140827670"/>
      <w:r w:rsidRPr="00CD1209">
        <w:rPr>
          <w:sz w:val="20"/>
        </w:rPr>
        <w:t>Figure 11.2</w:t>
      </w:r>
      <w:r w:rsidR="003B391F" w:rsidRPr="00CD1209">
        <w:rPr>
          <w:sz w:val="20"/>
        </w:rPr>
        <w:t>:</w:t>
      </w:r>
      <w:r w:rsidRPr="00CD1209">
        <w:rPr>
          <w:sz w:val="20"/>
        </w:rPr>
        <w:t xml:space="preserve"> Proportion of female breast cancers diagnosed at stages 1 and 2, by age, </w:t>
      </w:r>
      <w:r w:rsidR="00D3516B" w:rsidRPr="00CD1209">
        <w:rPr>
          <w:sz w:val="20"/>
        </w:rPr>
        <w:t>I</w:t>
      </w:r>
      <w:r w:rsidRPr="00CD1209">
        <w:rPr>
          <w:sz w:val="20"/>
        </w:rPr>
        <w:t>ndigenous status and language spoken at home, 2014</w:t>
      </w:r>
      <w:r w:rsidR="004756BB" w:rsidRPr="00CD1209">
        <w:rPr>
          <w:sz w:val="20"/>
        </w:rPr>
        <w:t xml:space="preserve">, </w:t>
      </w:r>
      <w:r w:rsidRPr="00CD1209">
        <w:rPr>
          <w:sz w:val="20"/>
        </w:rPr>
        <w:t>2016</w:t>
      </w:r>
      <w:bookmarkEnd w:id="714"/>
      <w:bookmarkEnd w:id="715"/>
      <w:bookmarkEnd w:id="716"/>
      <w:bookmarkEnd w:id="717"/>
      <w:r w:rsidR="004756BB" w:rsidRPr="00CD1209">
        <w:rPr>
          <w:sz w:val="20"/>
        </w:rPr>
        <w:t xml:space="preserve"> and 20</w:t>
      </w:r>
      <w:r w:rsidR="00DE209E" w:rsidRPr="00CD1209">
        <w:rPr>
          <w:sz w:val="20"/>
        </w:rPr>
        <w:t>21</w:t>
      </w:r>
      <w:bookmarkEnd w:id="718"/>
      <w:bookmarkEnd w:id="719"/>
    </w:p>
    <w:p w14:paraId="1CDF1331" w14:textId="75C96CF8" w:rsidR="00C31127" w:rsidRPr="00C31127" w:rsidRDefault="00C31127" w:rsidP="00E87AAA">
      <w:pPr>
        <w:pStyle w:val="Body"/>
      </w:pPr>
      <w:r>
        <w:rPr>
          <w:noProof/>
        </w:rPr>
        <w:drawing>
          <wp:inline distT="0" distB="0" distL="0" distR="0" wp14:anchorId="4B6657FC" wp14:editId="5D6E1DEA">
            <wp:extent cx="6016625" cy="5271541"/>
            <wp:effectExtent l="0" t="0" r="3175" b="5715"/>
            <wp:docPr id="260" name="Picture 260" descr="This figure shows a data summary of 'Measure 11.2 – Proportion of female breast cancers diagnosed at stage 1 and 2' via subgroups namely age, Indigenous status and language spoken at home for the study period 2014, 2016 and 2021. The data set is available under 'Measure 11.2 – Proportion of female breast cancers diagnosed at stage 1 and 2'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This figure shows a data summary of 'Measure 11.2 – Proportion of female breast cancers diagnosed at stage 1 and 2' via subgroups namely age, Indigenous status and language spoken at home for the study period 2014, 2016 and 2021. The data set is available under 'Measure 11.2 – Proportion of female breast cancers diagnosed at stage 1 and 2' in a separate volume, the Victorian cancer plan monitoring and evaluation framework: baseline report: Appendix 2: Datasets available on Cancer care &lt;https://www.health.vic.gov.au/health-strategies/cancer-care&gt;."/>
                    <pic:cNvPicPr/>
                  </pic:nvPicPr>
                  <pic:blipFill>
                    <a:blip r:embed="rId115"/>
                    <a:stretch>
                      <a:fillRect/>
                    </a:stretch>
                  </pic:blipFill>
                  <pic:spPr>
                    <a:xfrm>
                      <a:off x="0" y="0"/>
                      <a:ext cx="6019800" cy="5274323"/>
                    </a:xfrm>
                    <a:prstGeom prst="rect">
                      <a:avLst/>
                    </a:prstGeom>
                  </pic:spPr>
                </pic:pic>
              </a:graphicData>
            </a:graphic>
          </wp:inline>
        </w:drawing>
      </w:r>
    </w:p>
    <w:p w14:paraId="58DCC178" w14:textId="2BB61F39" w:rsidR="00D53842" w:rsidRPr="00CD1209" w:rsidRDefault="00A95A6C" w:rsidP="00A73034">
      <w:pPr>
        <w:pStyle w:val="Tablefigurenote"/>
        <w:rPr>
          <w:i/>
          <w:iCs/>
          <w:color w:val="000000"/>
          <w:sz w:val="18"/>
          <w:szCs w:val="18"/>
        </w:rPr>
      </w:pPr>
      <w:r w:rsidRPr="00CD1209">
        <w:rPr>
          <w:i/>
          <w:iCs/>
          <w:sz w:val="18"/>
          <w:szCs w:val="18"/>
        </w:rPr>
        <w:t>Note:</w:t>
      </w:r>
      <w:r w:rsidR="00952FC7" w:rsidRPr="00CD1209">
        <w:rPr>
          <w:i/>
          <w:iCs/>
          <w:sz w:val="18"/>
          <w:szCs w:val="18"/>
        </w:rPr>
        <w:t xml:space="preserve"> </w:t>
      </w:r>
      <w:r w:rsidR="00D53842" w:rsidRPr="00CD1209">
        <w:rPr>
          <w:i/>
          <w:iCs/>
          <w:color w:val="000000"/>
          <w:sz w:val="18"/>
          <w:szCs w:val="18"/>
        </w:rPr>
        <w:t>The following was included:</w:t>
      </w:r>
    </w:p>
    <w:p w14:paraId="500FF165" w14:textId="49FFBD21" w:rsidR="00D53842" w:rsidRPr="00CD1209" w:rsidRDefault="00C2742B" w:rsidP="00160602">
      <w:pPr>
        <w:pStyle w:val="Tablefigurenote"/>
        <w:numPr>
          <w:ilvl w:val="0"/>
          <w:numId w:val="48"/>
        </w:numPr>
        <w:rPr>
          <w:i/>
          <w:iCs/>
          <w:sz w:val="18"/>
          <w:szCs w:val="18"/>
        </w:rPr>
      </w:pPr>
      <w:r w:rsidRPr="00CD1209">
        <w:rPr>
          <w:i/>
          <w:iCs/>
          <w:sz w:val="18"/>
          <w:szCs w:val="18"/>
        </w:rPr>
        <w:t>n</w:t>
      </w:r>
      <w:r w:rsidR="00D53842" w:rsidRPr="00CD1209">
        <w:rPr>
          <w:i/>
          <w:iCs/>
          <w:sz w:val="18"/>
          <w:szCs w:val="18"/>
        </w:rPr>
        <w:t>ew diagnoses with stage recorded as 1</w:t>
      </w:r>
      <w:r w:rsidR="0015057E" w:rsidRPr="00CD1209">
        <w:rPr>
          <w:i/>
          <w:iCs/>
          <w:sz w:val="18"/>
          <w:szCs w:val="18"/>
        </w:rPr>
        <w:t>–</w:t>
      </w:r>
      <w:r w:rsidR="00D53842" w:rsidRPr="00CD1209">
        <w:rPr>
          <w:i/>
          <w:iCs/>
          <w:sz w:val="18"/>
          <w:szCs w:val="18"/>
        </w:rPr>
        <w:t>4 in the VCR, or with metastases recorded in the VCR (TNM</w:t>
      </w:r>
      <w:r w:rsidR="00EB0BB7" w:rsidRPr="00CD1209">
        <w:rPr>
          <w:i/>
          <w:iCs/>
          <w:sz w:val="18"/>
          <w:szCs w:val="18"/>
        </w:rPr>
        <w:t xml:space="preserve"> </w:t>
      </w:r>
      <w:r w:rsidR="00D53842" w:rsidRPr="00CD1209">
        <w:rPr>
          <w:i/>
          <w:iCs/>
          <w:sz w:val="18"/>
          <w:szCs w:val="18"/>
        </w:rPr>
        <w:t>=</w:t>
      </w:r>
      <w:r w:rsidR="00EB0BB7" w:rsidRPr="00CD1209">
        <w:rPr>
          <w:i/>
          <w:iCs/>
          <w:sz w:val="18"/>
          <w:szCs w:val="18"/>
        </w:rPr>
        <w:t xml:space="preserve"> </w:t>
      </w:r>
      <w:r w:rsidR="00D53842" w:rsidRPr="00CD1209">
        <w:rPr>
          <w:i/>
          <w:iCs/>
          <w:sz w:val="18"/>
          <w:szCs w:val="18"/>
        </w:rPr>
        <w:t>M1)</w:t>
      </w:r>
    </w:p>
    <w:p w14:paraId="208B7D9A" w14:textId="77777777" w:rsidR="00A73034" w:rsidRPr="00CD1209" w:rsidRDefault="00C2742B" w:rsidP="00160602">
      <w:pPr>
        <w:pStyle w:val="Tablefigurenote"/>
        <w:numPr>
          <w:ilvl w:val="0"/>
          <w:numId w:val="48"/>
        </w:numPr>
        <w:rPr>
          <w:i/>
          <w:iCs/>
          <w:sz w:val="18"/>
          <w:szCs w:val="18"/>
        </w:rPr>
      </w:pPr>
      <w:r w:rsidRPr="00CD1209">
        <w:rPr>
          <w:i/>
          <w:iCs/>
          <w:sz w:val="18"/>
          <w:szCs w:val="18"/>
        </w:rPr>
        <w:t>p</w:t>
      </w:r>
      <w:r w:rsidR="00D53842" w:rsidRPr="00CD1209">
        <w:rPr>
          <w:i/>
          <w:iCs/>
          <w:sz w:val="18"/>
          <w:szCs w:val="18"/>
        </w:rPr>
        <w:t>atients diagnosed after neoadjuvant treatment</w:t>
      </w:r>
      <w:r w:rsidR="00A73034" w:rsidRPr="00CD1209">
        <w:rPr>
          <w:i/>
          <w:iCs/>
          <w:sz w:val="18"/>
          <w:szCs w:val="18"/>
        </w:rPr>
        <w:t xml:space="preserve"> </w:t>
      </w:r>
    </w:p>
    <w:p w14:paraId="3C5711B6" w14:textId="69F96B05" w:rsidR="00D53842" w:rsidRPr="00CD1209" w:rsidRDefault="00C2742B" w:rsidP="00160602">
      <w:pPr>
        <w:pStyle w:val="Tablefigurenote"/>
        <w:numPr>
          <w:ilvl w:val="0"/>
          <w:numId w:val="48"/>
        </w:numPr>
        <w:rPr>
          <w:i/>
          <w:iCs/>
          <w:sz w:val="18"/>
          <w:szCs w:val="18"/>
        </w:rPr>
      </w:pPr>
      <w:r w:rsidRPr="00CD1209">
        <w:rPr>
          <w:i/>
          <w:iCs/>
          <w:sz w:val="18"/>
          <w:szCs w:val="18"/>
        </w:rPr>
        <w:t>f</w:t>
      </w:r>
      <w:r w:rsidR="00D53842" w:rsidRPr="00CD1209">
        <w:rPr>
          <w:i/>
          <w:iCs/>
          <w:sz w:val="18"/>
          <w:szCs w:val="18"/>
        </w:rPr>
        <w:t>or patients with multiple diagnoses within the year of interest, each diagnosis was included. Therefore, the number of new cancers does not necessarily equal the number of distinct patients.</w:t>
      </w:r>
    </w:p>
    <w:p w14:paraId="1C2AA3C4" w14:textId="7C159461" w:rsidR="002B3108" w:rsidRPr="00CD1209" w:rsidRDefault="00D53842" w:rsidP="00A73034">
      <w:pPr>
        <w:pStyle w:val="Tablefigurenote"/>
        <w:rPr>
          <w:i/>
          <w:iCs/>
          <w:color w:val="000000"/>
          <w:sz w:val="18"/>
          <w:szCs w:val="18"/>
        </w:rPr>
      </w:pPr>
      <w:r w:rsidRPr="76BE792E">
        <w:rPr>
          <w:i/>
          <w:iCs/>
          <w:color w:val="000000"/>
          <w:sz w:val="18"/>
          <w:szCs w:val="18"/>
        </w:rPr>
        <w:t>The following was excluded:</w:t>
      </w:r>
      <w:r w:rsidR="00A73034" w:rsidRPr="76BE792E">
        <w:rPr>
          <w:i/>
          <w:iCs/>
          <w:color w:val="000000"/>
          <w:sz w:val="18"/>
          <w:szCs w:val="18"/>
        </w:rPr>
        <w:t xml:space="preserve"> </w:t>
      </w:r>
      <w:r w:rsidR="00C2742B" w:rsidRPr="76BE792E">
        <w:rPr>
          <w:i/>
          <w:iCs/>
          <w:sz w:val="18"/>
          <w:szCs w:val="18"/>
        </w:rPr>
        <w:t>a</w:t>
      </w:r>
      <w:r w:rsidR="00F40C1D" w:rsidRPr="76BE792E">
        <w:rPr>
          <w:i/>
          <w:iCs/>
          <w:sz w:val="18"/>
          <w:szCs w:val="18"/>
        </w:rPr>
        <w:t>l</w:t>
      </w:r>
      <w:r w:rsidRPr="76BE792E">
        <w:rPr>
          <w:i/>
          <w:iCs/>
          <w:color w:val="000000"/>
          <w:sz w:val="18"/>
          <w:szCs w:val="18"/>
        </w:rPr>
        <w:t>l cases of male breast cancer</w:t>
      </w:r>
      <w:r w:rsidRPr="76BE792E">
        <w:rPr>
          <w:rStyle w:val="FootnoteReference"/>
          <w:rFonts w:cs="Arial"/>
          <w:i/>
          <w:iCs/>
          <w:color w:val="000000"/>
          <w:sz w:val="18"/>
          <w:szCs w:val="18"/>
        </w:rPr>
        <w:footnoteReference w:id="141"/>
      </w:r>
      <w:r w:rsidR="00A73034" w:rsidRPr="76BE792E">
        <w:rPr>
          <w:i/>
          <w:iCs/>
          <w:color w:val="000000"/>
          <w:sz w:val="18"/>
          <w:szCs w:val="18"/>
        </w:rPr>
        <w:t xml:space="preserve"> and </w:t>
      </w:r>
      <w:r w:rsidR="00C2742B" w:rsidRPr="76BE792E">
        <w:rPr>
          <w:i/>
          <w:iCs/>
          <w:sz w:val="18"/>
          <w:szCs w:val="18"/>
        </w:rPr>
        <w:t>a</w:t>
      </w:r>
      <w:r w:rsidRPr="76BE792E">
        <w:rPr>
          <w:i/>
          <w:iCs/>
          <w:sz w:val="18"/>
          <w:szCs w:val="18"/>
        </w:rPr>
        <w:t>ll patients with unknown stage.</w:t>
      </w:r>
    </w:p>
    <w:p w14:paraId="093E15AE" w14:textId="23F54E55" w:rsidR="00D57F68" w:rsidRPr="001A2A05" w:rsidRDefault="002B3108" w:rsidP="00A73034">
      <w:pPr>
        <w:pStyle w:val="Tablefigurenote"/>
      </w:pPr>
      <w:r w:rsidRPr="00CD1209">
        <w:rPr>
          <w:i/>
          <w:iCs/>
          <w:color w:val="000000"/>
          <w:sz w:val="18"/>
          <w:szCs w:val="18"/>
        </w:rPr>
        <w:t>Appendix 2 provides the data</w:t>
      </w:r>
      <w:r w:rsidR="00B50CEE" w:rsidRPr="00CD1209">
        <w:rPr>
          <w:i/>
          <w:iCs/>
          <w:color w:val="000000"/>
          <w:sz w:val="18"/>
          <w:szCs w:val="18"/>
        </w:rPr>
        <w:t>set.</w:t>
      </w:r>
      <w:r w:rsidR="00D57F68" w:rsidRPr="00D53842">
        <w:rPr>
          <w:b/>
        </w:rPr>
        <w:br w:type="page"/>
      </w:r>
    </w:p>
    <w:p w14:paraId="63A02BAC" w14:textId="6D046DBD" w:rsidR="003F3F3E" w:rsidRPr="00CD1209" w:rsidRDefault="001838D0" w:rsidP="00867A76">
      <w:pPr>
        <w:pStyle w:val="Figurecaption"/>
        <w:rPr>
          <w:sz w:val="20"/>
        </w:rPr>
      </w:pPr>
      <w:bookmarkStart w:id="720" w:name="_Toc19008109"/>
      <w:bookmarkStart w:id="721" w:name="_Toc19008335"/>
      <w:bookmarkStart w:id="722" w:name="_Toc19008482"/>
      <w:bookmarkStart w:id="723" w:name="_Toc19008629"/>
      <w:bookmarkStart w:id="724" w:name="_Toc132553059"/>
      <w:bookmarkStart w:id="725" w:name="_Toc140827671"/>
      <w:r w:rsidRPr="00CD1209">
        <w:rPr>
          <w:sz w:val="20"/>
        </w:rPr>
        <w:lastRenderedPageBreak/>
        <w:t>Figure</w:t>
      </w:r>
      <w:r w:rsidR="003F3F3E" w:rsidRPr="00CD1209">
        <w:rPr>
          <w:sz w:val="20"/>
        </w:rPr>
        <w:t xml:space="preserve"> 11.2.1</w:t>
      </w:r>
      <w:r w:rsidR="003B391F" w:rsidRPr="00CD1209">
        <w:rPr>
          <w:sz w:val="20"/>
        </w:rPr>
        <w:t>:</w:t>
      </w:r>
      <w:r w:rsidR="003F3F3E" w:rsidRPr="00CD1209">
        <w:rPr>
          <w:sz w:val="20"/>
        </w:rPr>
        <w:t xml:space="preserve"> Proportion of female breast cancers diagnosed at stages 1 and 2, by remoteness area, </w:t>
      </w:r>
      <w:r w:rsidR="00EB0BB7" w:rsidRPr="00CD1209">
        <w:rPr>
          <w:sz w:val="20"/>
        </w:rPr>
        <w:t>ICS</w:t>
      </w:r>
      <w:r w:rsidR="003F3F3E" w:rsidRPr="00CD1209">
        <w:rPr>
          <w:sz w:val="20"/>
        </w:rPr>
        <w:t xml:space="preserve"> and </w:t>
      </w:r>
      <w:r w:rsidR="00DE7FFE" w:rsidRPr="00CD1209">
        <w:rPr>
          <w:sz w:val="20"/>
        </w:rPr>
        <w:t>SES</w:t>
      </w:r>
      <w:r w:rsidR="003F3F3E" w:rsidRPr="00CD1209">
        <w:rPr>
          <w:sz w:val="20"/>
        </w:rPr>
        <w:t>, 2014</w:t>
      </w:r>
      <w:r w:rsidR="00BA7786" w:rsidRPr="00CD1209">
        <w:rPr>
          <w:sz w:val="20"/>
        </w:rPr>
        <w:t xml:space="preserve">, </w:t>
      </w:r>
      <w:r w:rsidR="003F3F3E" w:rsidRPr="00CD1209">
        <w:rPr>
          <w:sz w:val="20"/>
        </w:rPr>
        <w:t>2016</w:t>
      </w:r>
      <w:bookmarkEnd w:id="720"/>
      <w:bookmarkEnd w:id="721"/>
      <w:bookmarkEnd w:id="722"/>
      <w:bookmarkEnd w:id="723"/>
      <w:r w:rsidR="00BA7786" w:rsidRPr="00CD1209">
        <w:rPr>
          <w:sz w:val="20"/>
        </w:rPr>
        <w:t xml:space="preserve"> and 20</w:t>
      </w:r>
      <w:r w:rsidR="00DE209E" w:rsidRPr="00CD1209">
        <w:rPr>
          <w:sz w:val="20"/>
        </w:rPr>
        <w:t>21</w:t>
      </w:r>
      <w:bookmarkEnd w:id="724"/>
      <w:bookmarkEnd w:id="725"/>
    </w:p>
    <w:p w14:paraId="7EF786EF" w14:textId="3A4BCE62" w:rsidR="004B6415" w:rsidRPr="004B6415" w:rsidRDefault="00C31127" w:rsidP="00E87AAA">
      <w:pPr>
        <w:pStyle w:val="Body"/>
      </w:pPr>
      <w:r>
        <w:rPr>
          <w:noProof/>
        </w:rPr>
        <w:drawing>
          <wp:inline distT="0" distB="0" distL="0" distR="0" wp14:anchorId="404D084C" wp14:editId="035A0B03">
            <wp:extent cx="6016625" cy="4970145"/>
            <wp:effectExtent l="0" t="0" r="3175" b="1905"/>
            <wp:docPr id="263" name="Picture 263" descr="This figure shows a data summary of 'Measure 11.2 – Proportion of female breast cancers diagnosed at stage 1 and 2' via subgroups namely remoteness area, Integrated Cancer Service and socioeconomic status for the study period 2014, 2016 and 2021. The data set is available under 'Measure 11.2 – Proportion of female breast cancers diagnosed at stage 1 and 2'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This figure shows a data summary of 'Measure 11.2 – Proportion of female breast cancers diagnosed at stage 1 and 2' via subgroups namely remoteness area, Integrated Cancer Service and socioeconomic status for the study period 2014, 2016 and 2021. The data set is available under 'Measure 11.2 – Proportion of female breast cancers diagnosed at stage 1 and 2' in a separate volume, the Victorian cancer plan monitoring and evaluation framework: baseline report: Appendix 2: Datasets available on Cancer care &lt;https://www.health.vic.gov.au/health-strategies/cancer-care&gt;."/>
                    <pic:cNvPicPr/>
                  </pic:nvPicPr>
                  <pic:blipFill>
                    <a:blip r:embed="rId116"/>
                    <a:stretch>
                      <a:fillRect/>
                    </a:stretch>
                  </pic:blipFill>
                  <pic:spPr>
                    <a:xfrm>
                      <a:off x="0" y="0"/>
                      <a:ext cx="6016625" cy="4970145"/>
                    </a:xfrm>
                    <a:prstGeom prst="rect">
                      <a:avLst/>
                    </a:prstGeom>
                  </pic:spPr>
                </pic:pic>
              </a:graphicData>
            </a:graphic>
          </wp:inline>
        </w:drawing>
      </w:r>
    </w:p>
    <w:p w14:paraId="07B93C3B" w14:textId="122EC464" w:rsidR="000711F0" w:rsidRPr="00CD1209" w:rsidRDefault="00425FC5" w:rsidP="00A73034">
      <w:pPr>
        <w:pStyle w:val="Tablefigurenote"/>
        <w:rPr>
          <w:i/>
          <w:iCs/>
          <w:sz w:val="18"/>
          <w:szCs w:val="18"/>
        </w:rPr>
      </w:pPr>
      <w:r w:rsidRPr="00CD1209">
        <w:rPr>
          <w:i/>
          <w:iCs/>
          <w:sz w:val="18"/>
          <w:szCs w:val="18"/>
        </w:rPr>
        <w:t xml:space="preserve">Note: </w:t>
      </w:r>
      <w:r w:rsidR="00B50CEE" w:rsidRPr="00CD1209">
        <w:rPr>
          <w:i/>
          <w:iCs/>
          <w:sz w:val="18"/>
          <w:szCs w:val="18"/>
        </w:rPr>
        <w:t>Appendix 2 provides the dataset.</w:t>
      </w:r>
    </w:p>
    <w:p w14:paraId="65C3765F" w14:textId="5F1D41DE" w:rsidR="00170972" w:rsidRPr="007B5FE6" w:rsidRDefault="00170972" w:rsidP="007C7F00">
      <w:pPr>
        <w:pStyle w:val="Heading4"/>
      </w:pPr>
      <w:r w:rsidRPr="007B5FE6">
        <w:t>Measure assessment</w:t>
      </w:r>
    </w:p>
    <w:p w14:paraId="3F3C6BCC" w14:textId="2C825A14" w:rsidR="00EA3932" w:rsidRPr="007B5FE6" w:rsidRDefault="00170972" w:rsidP="00606436">
      <w:pPr>
        <w:pStyle w:val="Body"/>
      </w:pPr>
      <w:r w:rsidRPr="007B5FE6">
        <w:t xml:space="preserve">Traffic light rating: </w:t>
      </w:r>
      <w:r w:rsidR="007B5FE6" w:rsidRPr="00D207B2">
        <w:rPr>
          <w:b/>
          <w:color w:val="007B4B"/>
        </w:rPr>
        <w:t>Green</w:t>
      </w:r>
      <w:r w:rsidR="007B5FE6" w:rsidRPr="007B5FE6">
        <w:t xml:space="preserve"> (satisfactory result)</w:t>
      </w:r>
    </w:p>
    <w:p w14:paraId="38914972" w14:textId="43C77219" w:rsidR="00170972" w:rsidRPr="007B5FE6" w:rsidRDefault="00170972" w:rsidP="00606436">
      <w:pPr>
        <w:pStyle w:val="Body"/>
      </w:pPr>
      <w:r w:rsidRPr="007B5FE6">
        <w:t xml:space="preserve">Overall trend: </w:t>
      </w:r>
      <w:r w:rsidR="007B5FE6" w:rsidRPr="007B5FE6">
        <w:t>Moving in the right direction</w:t>
      </w:r>
    </w:p>
    <w:p w14:paraId="497CA14A" w14:textId="6C5CBE26" w:rsidR="0081564D" w:rsidRPr="00BA7786" w:rsidRDefault="00170972" w:rsidP="00E87AAA">
      <w:pPr>
        <w:pStyle w:val="Body"/>
        <w:rPr>
          <w:highlight w:val="yellow"/>
        </w:rPr>
      </w:pPr>
      <w:r w:rsidRPr="00E6252F">
        <w:t xml:space="preserve">Commentary: Cancers can be assigned a ‘stage’ that reflects </w:t>
      </w:r>
      <w:r w:rsidR="00281C92" w:rsidRPr="00E6252F">
        <w:t>how far the disease has spread</w:t>
      </w:r>
      <w:r w:rsidRPr="00E6252F">
        <w:t>. Stage</w:t>
      </w:r>
      <w:r w:rsidR="00196444">
        <w:t>s</w:t>
      </w:r>
      <w:r w:rsidRPr="00E6252F">
        <w:t xml:space="preserve"> range from 1 (best prognosis) to 4 (worst prognosis).</w:t>
      </w:r>
      <w:r w:rsidRPr="00E6252F">
        <w:rPr>
          <w:rStyle w:val="FootnoteReference"/>
          <w:rFonts w:cs="Arial"/>
          <w:lang w:eastAsia="en-AU"/>
        </w:rPr>
        <w:footnoteReference w:id="142"/>
      </w:r>
      <w:r w:rsidR="008757A9" w:rsidRPr="00E6252F">
        <w:rPr>
          <w:lang w:val="en"/>
        </w:rPr>
        <w:t xml:space="preserve"> At </w:t>
      </w:r>
      <w:r w:rsidR="00196444">
        <w:rPr>
          <w:lang w:val="en"/>
        </w:rPr>
        <w:t>the</w:t>
      </w:r>
      <w:r w:rsidR="00196444" w:rsidRPr="00E6252F">
        <w:rPr>
          <w:lang w:val="en"/>
        </w:rPr>
        <w:t xml:space="preserve"> </w:t>
      </w:r>
      <w:r w:rsidR="008757A9" w:rsidRPr="00E6252F">
        <w:rPr>
          <w:lang w:val="en"/>
        </w:rPr>
        <w:t xml:space="preserve">international level it is important to note that due to differences in the scope of data collection, methodology and availability of information for staging, the distribution at a global </w:t>
      </w:r>
      <w:r w:rsidR="00810161">
        <w:rPr>
          <w:lang w:val="en"/>
        </w:rPr>
        <w:t>level</w:t>
      </w:r>
      <w:r w:rsidR="008757A9" w:rsidRPr="00E6252F">
        <w:rPr>
          <w:lang w:val="en"/>
        </w:rPr>
        <w:t xml:space="preserve"> at diagnosis will vary considerably.</w:t>
      </w:r>
      <w:r w:rsidR="00281C92" w:rsidRPr="00E6252F">
        <w:rPr>
          <w:lang w:val="en"/>
        </w:rPr>
        <w:t xml:space="preserve"> </w:t>
      </w:r>
      <w:r w:rsidR="0071529D" w:rsidRPr="00E6252F">
        <w:t xml:space="preserve">This measure presents </w:t>
      </w:r>
      <w:r w:rsidR="00196444">
        <w:t>data for Victoria</w:t>
      </w:r>
      <w:r w:rsidR="00DE536E" w:rsidRPr="00E6252F">
        <w:t>-</w:t>
      </w:r>
      <w:r w:rsidR="003A1D6C" w:rsidRPr="00E6252F">
        <w:t>specific stage</w:t>
      </w:r>
      <w:r w:rsidR="00B5121D">
        <w:t>s</w:t>
      </w:r>
      <w:r w:rsidR="003A1D6C" w:rsidRPr="00E6252F">
        <w:t xml:space="preserve"> 1 and </w:t>
      </w:r>
      <w:r w:rsidR="00AF3AB4" w:rsidRPr="00E6252F">
        <w:t>2</w:t>
      </w:r>
      <w:r w:rsidR="003A1D6C" w:rsidRPr="00E6252F">
        <w:t xml:space="preserve"> for female breast cancer</w:t>
      </w:r>
      <w:r w:rsidR="00DE536E" w:rsidRPr="00E6252F">
        <w:t>,</w:t>
      </w:r>
      <w:r w:rsidR="00FB40A1" w:rsidRPr="00E6252F">
        <w:t xml:space="preserve"> which </w:t>
      </w:r>
      <w:r w:rsidR="0035684F">
        <w:t>is</w:t>
      </w:r>
      <w:r w:rsidR="00FB40A1" w:rsidRPr="00E6252F">
        <w:t xml:space="preserve"> the second most common cancer in Victoria</w:t>
      </w:r>
      <w:r w:rsidR="00196444">
        <w:t>,</w:t>
      </w:r>
      <w:r w:rsidR="00E6252F" w:rsidRPr="00E6252F">
        <w:t xml:space="preserve"> accounting for 29</w:t>
      </w:r>
      <w:r w:rsidR="0054537F">
        <w:t>%</w:t>
      </w:r>
      <w:r w:rsidR="00E6252F" w:rsidRPr="00E6252F">
        <w:t xml:space="preserve"> of all new cases diagnosed in females in 2021</w:t>
      </w:r>
      <w:r w:rsidR="003A1D6C" w:rsidRPr="00E6252F">
        <w:t>.</w:t>
      </w:r>
      <w:r w:rsidR="00FB40A1" w:rsidRPr="00E6252F">
        <w:rPr>
          <w:rStyle w:val="FootnoteReference"/>
          <w:rFonts w:cs="Arial"/>
          <w:lang w:eastAsia="en-AU"/>
        </w:rPr>
        <w:footnoteReference w:id="143"/>
      </w:r>
      <w:r w:rsidR="003B7A36" w:rsidRPr="00E6252F">
        <w:t xml:space="preserve"> </w:t>
      </w:r>
      <w:r w:rsidR="001346FC">
        <w:t>Stage</w:t>
      </w:r>
      <w:r w:rsidR="00B5121D">
        <w:t>s</w:t>
      </w:r>
      <w:r w:rsidR="001346FC">
        <w:t xml:space="preserve"> 1 and 2 diagnos</w:t>
      </w:r>
      <w:r w:rsidR="00196444">
        <w:t>e</w:t>
      </w:r>
      <w:r w:rsidR="001346FC">
        <w:t>s for female cancer indicates that the cancer is contained in the breast or that growth has only extended to the nearby lymph nodes.</w:t>
      </w:r>
      <w:r w:rsidR="001346FC">
        <w:rPr>
          <w:rStyle w:val="FootnoteReference"/>
          <w:rFonts w:cs="Arial"/>
          <w:lang w:eastAsia="en-AU"/>
        </w:rPr>
        <w:footnoteReference w:id="144"/>
      </w:r>
      <w:r w:rsidR="001346FC">
        <w:t xml:space="preserve"> </w:t>
      </w:r>
      <w:r w:rsidR="003B466C" w:rsidRPr="003B466C">
        <w:t>Overall from the baseline year m</w:t>
      </w:r>
      <w:r w:rsidR="00DE536E" w:rsidRPr="003B466C">
        <w:t xml:space="preserve">ore than </w:t>
      </w:r>
      <w:r w:rsidR="0071529D" w:rsidRPr="003B466C">
        <w:rPr>
          <w:lang w:val="en"/>
        </w:rPr>
        <w:t>84</w:t>
      </w:r>
      <w:r w:rsidR="0054537F">
        <w:rPr>
          <w:lang w:val="en"/>
        </w:rPr>
        <w:t>%</w:t>
      </w:r>
      <w:r w:rsidR="00BB0C8E" w:rsidRPr="003B466C">
        <w:rPr>
          <w:lang w:val="en"/>
        </w:rPr>
        <w:t xml:space="preserve"> of cancers were diagnosed as early stage (stage</w:t>
      </w:r>
      <w:r w:rsidR="00B5121D">
        <w:rPr>
          <w:lang w:val="en"/>
        </w:rPr>
        <w:t>s</w:t>
      </w:r>
      <w:r w:rsidR="00BB0C8E" w:rsidRPr="003B466C">
        <w:rPr>
          <w:lang w:val="en"/>
        </w:rPr>
        <w:t xml:space="preserve"> 1 or 2) for breast (female)</w:t>
      </w:r>
      <w:r w:rsidR="007C2DCC" w:rsidRPr="003B466C">
        <w:rPr>
          <w:lang w:val="en"/>
        </w:rPr>
        <w:t xml:space="preserve"> cancer</w:t>
      </w:r>
      <w:r w:rsidR="0071529D" w:rsidRPr="003B466C">
        <w:rPr>
          <w:lang w:val="en"/>
        </w:rPr>
        <w:t xml:space="preserve"> </w:t>
      </w:r>
      <w:r w:rsidR="00032AFE" w:rsidRPr="003B466C">
        <w:rPr>
          <w:lang w:val="en"/>
        </w:rPr>
        <w:t xml:space="preserve">and generally increased with age </w:t>
      </w:r>
      <w:r w:rsidR="001346FC" w:rsidRPr="003B466C">
        <w:rPr>
          <w:lang w:val="en"/>
        </w:rPr>
        <w:t>between</w:t>
      </w:r>
      <w:r w:rsidR="0071529D" w:rsidRPr="003B466C">
        <w:rPr>
          <w:lang w:val="en"/>
        </w:rPr>
        <w:t xml:space="preserve"> 2014 </w:t>
      </w:r>
      <w:r w:rsidR="0003766E" w:rsidRPr="003B466C">
        <w:rPr>
          <w:lang w:val="en"/>
        </w:rPr>
        <w:t>(84.</w:t>
      </w:r>
      <w:r w:rsidR="00DE209E">
        <w:rPr>
          <w:lang w:val="en"/>
        </w:rPr>
        <w:t>7</w:t>
      </w:r>
      <w:r w:rsidR="0054537F">
        <w:rPr>
          <w:lang w:val="en"/>
        </w:rPr>
        <w:t>%</w:t>
      </w:r>
      <w:r w:rsidR="0003766E" w:rsidRPr="003B466C">
        <w:rPr>
          <w:lang w:val="en"/>
        </w:rPr>
        <w:t xml:space="preserve">) </w:t>
      </w:r>
      <w:r w:rsidR="0071529D" w:rsidRPr="003B466C">
        <w:rPr>
          <w:lang w:val="en"/>
        </w:rPr>
        <w:t>and 20</w:t>
      </w:r>
      <w:r w:rsidR="00DE209E">
        <w:rPr>
          <w:lang w:val="en"/>
        </w:rPr>
        <w:t>21</w:t>
      </w:r>
      <w:r w:rsidR="0003766E" w:rsidRPr="003B466C">
        <w:rPr>
          <w:lang w:val="en"/>
        </w:rPr>
        <w:t xml:space="preserve"> (8</w:t>
      </w:r>
      <w:r w:rsidR="00DE209E">
        <w:rPr>
          <w:lang w:val="en"/>
        </w:rPr>
        <w:t>8.1</w:t>
      </w:r>
      <w:r w:rsidR="0054537F">
        <w:rPr>
          <w:lang w:val="en"/>
        </w:rPr>
        <w:t>%</w:t>
      </w:r>
      <w:r w:rsidR="0003766E" w:rsidRPr="003B466C">
        <w:rPr>
          <w:lang w:val="en"/>
        </w:rPr>
        <w:t>)</w:t>
      </w:r>
      <w:r w:rsidR="0071529D" w:rsidRPr="003B466C">
        <w:rPr>
          <w:lang w:val="en"/>
        </w:rPr>
        <w:t xml:space="preserve"> (Figure 11.2)</w:t>
      </w:r>
      <w:r w:rsidR="007648B6" w:rsidRPr="003B466C">
        <w:rPr>
          <w:lang w:val="en"/>
        </w:rPr>
        <w:t>.</w:t>
      </w:r>
      <w:r w:rsidR="00952FC7" w:rsidRPr="003B466C">
        <w:rPr>
          <w:lang w:val="en"/>
        </w:rPr>
        <w:t xml:space="preserve"> </w:t>
      </w:r>
      <w:r w:rsidR="008547EE" w:rsidRPr="003B466C">
        <w:rPr>
          <w:lang w:val="en"/>
        </w:rPr>
        <w:lastRenderedPageBreak/>
        <w:t>The highest proportion of early</w:t>
      </w:r>
      <w:r w:rsidR="00DE536E" w:rsidRPr="003B466C">
        <w:rPr>
          <w:lang w:val="en"/>
        </w:rPr>
        <w:t>-</w:t>
      </w:r>
      <w:r w:rsidR="008547EE" w:rsidRPr="003B466C">
        <w:rPr>
          <w:lang w:val="en"/>
        </w:rPr>
        <w:t>stage cancers were in females aged 60</w:t>
      </w:r>
      <w:r w:rsidR="00CA2AD7" w:rsidRPr="003B466C">
        <w:rPr>
          <w:lang w:val="en"/>
        </w:rPr>
        <w:t>–</w:t>
      </w:r>
      <w:r w:rsidR="008547EE" w:rsidRPr="003B466C">
        <w:rPr>
          <w:lang w:val="en"/>
        </w:rPr>
        <w:t>69 years</w:t>
      </w:r>
      <w:r w:rsidR="00C605C5">
        <w:rPr>
          <w:lang w:val="en"/>
        </w:rPr>
        <w:t>,</w:t>
      </w:r>
      <w:r w:rsidR="008547EE" w:rsidRPr="003B466C">
        <w:rPr>
          <w:lang w:val="en"/>
        </w:rPr>
        <w:t xml:space="preserve"> </w:t>
      </w:r>
      <w:r w:rsidR="003B466C" w:rsidRPr="003B466C">
        <w:rPr>
          <w:lang w:val="en"/>
        </w:rPr>
        <w:t>increasing from 8</w:t>
      </w:r>
      <w:r w:rsidR="00017268">
        <w:rPr>
          <w:lang w:val="en"/>
        </w:rPr>
        <w:t>8</w:t>
      </w:r>
      <w:r w:rsidR="003B466C" w:rsidRPr="003B466C">
        <w:rPr>
          <w:lang w:val="en"/>
        </w:rPr>
        <w:t>.</w:t>
      </w:r>
      <w:r w:rsidR="00017268">
        <w:rPr>
          <w:lang w:val="en"/>
        </w:rPr>
        <w:t>2</w:t>
      </w:r>
      <w:r w:rsidR="0054537F">
        <w:rPr>
          <w:lang w:val="en"/>
        </w:rPr>
        <w:t>%</w:t>
      </w:r>
      <w:r w:rsidR="003B466C" w:rsidRPr="003B466C">
        <w:rPr>
          <w:lang w:val="en"/>
        </w:rPr>
        <w:t xml:space="preserve"> (2014) to 90.</w:t>
      </w:r>
      <w:r w:rsidR="00017268">
        <w:rPr>
          <w:lang w:val="en"/>
        </w:rPr>
        <w:t>4</w:t>
      </w:r>
      <w:r w:rsidR="0054537F">
        <w:rPr>
          <w:lang w:val="en"/>
        </w:rPr>
        <w:t>%</w:t>
      </w:r>
      <w:r w:rsidR="003B466C" w:rsidRPr="003B466C">
        <w:rPr>
          <w:lang w:val="en"/>
        </w:rPr>
        <w:t xml:space="preserve"> (20</w:t>
      </w:r>
      <w:r w:rsidR="00017268">
        <w:rPr>
          <w:lang w:val="en"/>
        </w:rPr>
        <w:t>21</w:t>
      </w:r>
      <w:r w:rsidR="003B466C" w:rsidRPr="003B466C">
        <w:rPr>
          <w:lang w:val="en"/>
        </w:rPr>
        <w:t>)</w:t>
      </w:r>
      <w:r w:rsidR="0034084F" w:rsidRPr="003B466C">
        <w:rPr>
          <w:lang w:val="en"/>
        </w:rPr>
        <w:t>.</w:t>
      </w:r>
      <w:r w:rsidR="00F544AE" w:rsidRPr="003B466C">
        <w:rPr>
          <w:lang w:val="en"/>
        </w:rPr>
        <w:t xml:space="preserve"> </w:t>
      </w:r>
      <w:r w:rsidR="009E65E6" w:rsidRPr="003B466C">
        <w:rPr>
          <w:lang w:val="en"/>
        </w:rPr>
        <w:t>This trend may reflect an increase in the participation rate of breast cancer screening through BreastScreen Australia</w:t>
      </w:r>
      <w:r w:rsidR="00DE536E" w:rsidRPr="003B466C">
        <w:rPr>
          <w:lang w:val="en"/>
        </w:rPr>
        <w:t>,</w:t>
      </w:r>
      <w:r w:rsidR="009E65E6" w:rsidRPr="003B466C">
        <w:rPr>
          <w:lang w:val="en"/>
        </w:rPr>
        <w:t xml:space="preserve"> which targets </w:t>
      </w:r>
      <w:r w:rsidR="009E65E6" w:rsidRPr="003B466C">
        <w:t xml:space="preserve">women aged 50–74 for </w:t>
      </w:r>
      <w:r w:rsidR="00CA2AD7" w:rsidRPr="003B466C">
        <w:t>two</w:t>
      </w:r>
      <w:r w:rsidR="009E65E6" w:rsidRPr="003B466C">
        <w:t xml:space="preserve">-yearly screening mammograms. </w:t>
      </w:r>
      <w:r w:rsidR="00DE536E" w:rsidRPr="003B466C">
        <w:t>N</w:t>
      </w:r>
      <w:r w:rsidR="009E65E6" w:rsidRPr="003B466C">
        <w:t xml:space="preserve">ew technologies such as magnetic resonance imaging (MRI) of the breast and increased breast </w:t>
      </w:r>
      <w:r w:rsidR="00781327" w:rsidRPr="003B466C">
        <w:t xml:space="preserve">cancer </w:t>
      </w:r>
      <w:r w:rsidR="009E65E6" w:rsidRPr="003B466C">
        <w:t xml:space="preserve">awareness may also have </w:t>
      </w:r>
      <w:r w:rsidR="00FD1A1D" w:rsidRPr="003B466C">
        <w:rPr>
          <w:color w:val="000000"/>
        </w:rPr>
        <w:t>contributed to the increased diagnosis of breast cancer.</w:t>
      </w:r>
      <w:r w:rsidR="00DA2713" w:rsidRPr="003B466C">
        <w:rPr>
          <w:rStyle w:val="FootnoteReference"/>
          <w:rFonts w:cs="Arial"/>
          <w:color w:val="000000"/>
        </w:rPr>
        <w:footnoteReference w:id="145"/>
      </w:r>
      <w:r w:rsidR="00DA2713" w:rsidRPr="003B466C">
        <w:rPr>
          <w:color w:val="000000"/>
        </w:rPr>
        <w:t xml:space="preserve"> </w:t>
      </w:r>
      <w:r w:rsidR="0034084F" w:rsidRPr="003B466C">
        <w:rPr>
          <w:lang w:val="en"/>
        </w:rPr>
        <w:t xml:space="preserve">The </w:t>
      </w:r>
      <w:r w:rsidR="000453BE" w:rsidRPr="003B466C">
        <w:rPr>
          <w:lang w:val="en"/>
        </w:rPr>
        <w:t xml:space="preserve">lower </w:t>
      </w:r>
      <w:r w:rsidR="0034084F" w:rsidRPr="003B466C">
        <w:rPr>
          <w:lang w:val="en"/>
        </w:rPr>
        <w:t xml:space="preserve">proportion of </w:t>
      </w:r>
      <w:r w:rsidR="000453BE" w:rsidRPr="003B466C">
        <w:rPr>
          <w:lang w:val="en"/>
        </w:rPr>
        <w:t>early</w:t>
      </w:r>
      <w:r w:rsidR="00DE536E" w:rsidRPr="003B466C">
        <w:rPr>
          <w:lang w:val="en"/>
        </w:rPr>
        <w:t>-</w:t>
      </w:r>
      <w:r w:rsidR="000453BE" w:rsidRPr="003B466C">
        <w:rPr>
          <w:lang w:val="en"/>
        </w:rPr>
        <w:t xml:space="preserve">stage </w:t>
      </w:r>
      <w:r w:rsidR="0034084F" w:rsidRPr="003B466C">
        <w:rPr>
          <w:lang w:val="en"/>
        </w:rPr>
        <w:t xml:space="preserve">breast cancer detected in women 80 years of age </w:t>
      </w:r>
      <w:r w:rsidR="001B50BF" w:rsidRPr="003B466C">
        <w:rPr>
          <w:lang w:val="en"/>
        </w:rPr>
        <w:t xml:space="preserve">or </w:t>
      </w:r>
      <w:r w:rsidR="0034084F" w:rsidRPr="003B466C">
        <w:rPr>
          <w:lang w:val="en"/>
        </w:rPr>
        <w:t>older may reflect lower rates of screening</w:t>
      </w:r>
      <w:r w:rsidR="00D5051A" w:rsidRPr="003B466C">
        <w:rPr>
          <w:lang w:val="en"/>
        </w:rPr>
        <w:t>,</w:t>
      </w:r>
      <w:r w:rsidR="0034084F" w:rsidRPr="003B466C">
        <w:rPr>
          <w:rStyle w:val="FootnoteReference"/>
          <w:rFonts w:cs="Arial"/>
          <w:lang w:val="en"/>
        </w:rPr>
        <w:footnoteReference w:id="146"/>
      </w:r>
      <w:r w:rsidR="0034084F" w:rsidRPr="003B466C">
        <w:rPr>
          <w:lang w:val="en"/>
        </w:rPr>
        <w:t xml:space="preserve"> </w:t>
      </w:r>
      <w:r w:rsidR="000453BE" w:rsidRPr="003B466C">
        <w:rPr>
          <w:lang w:val="en"/>
        </w:rPr>
        <w:t>high</w:t>
      </w:r>
      <w:r w:rsidR="0034084F" w:rsidRPr="003B466C">
        <w:rPr>
          <w:lang w:val="en"/>
        </w:rPr>
        <w:t xml:space="preserve"> detection of cancers by </w:t>
      </w:r>
      <w:r w:rsidR="0034084F" w:rsidRPr="003B466C">
        <w:t>mammography before 80 years of age and/or incomplete detection.</w:t>
      </w:r>
    </w:p>
    <w:p w14:paraId="4CB3FC46" w14:textId="5E1D1ED7" w:rsidR="004574D9" w:rsidRPr="004B3531" w:rsidRDefault="006D05E6" w:rsidP="00E87AAA">
      <w:pPr>
        <w:pStyle w:val="Body"/>
        <w:rPr>
          <w:lang w:eastAsia="en-AU"/>
        </w:rPr>
      </w:pPr>
      <w:r w:rsidRPr="004B3531">
        <w:rPr>
          <w:lang w:val="en"/>
        </w:rPr>
        <w:t xml:space="preserve">Due to the small number of incident cancer cases in a single year </w:t>
      </w:r>
      <w:r w:rsidR="00F95D24" w:rsidRPr="004B3531">
        <w:rPr>
          <w:lang w:val="en"/>
        </w:rPr>
        <w:t>ov</w:t>
      </w:r>
      <w:r w:rsidR="003B5661" w:rsidRPr="004B3531">
        <w:rPr>
          <w:lang w:val="en"/>
        </w:rPr>
        <w:t>e</w:t>
      </w:r>
      <w:r w:rsidR="00F95D24" w:rsidRPr="004B3531">
        <w:rPr>
          <w:lang w:val="en"/>
        </w:rPr>
        <w:t>r</w:t>
      </w:r>
      <w:r w:rsidR="003B5661" w:rsidRPr="004B3531">
        <w:rPr>
          <w:lang w:val="en"/>
        </w:rPr>
        <w:t xml:space="preserve"> </w:t>
      </w:r>
      <w:r w:rsidR="00F95D24" w:rsidRPr="004B3531">
        <w:rPr>
          <w:lang w:val="en"/>
        </w:rPr>
        <w:t xml:space="preserve">the </w:t>
      </w:r>
      <w:r w:rsidR="003B466C" w:rsidRPr="004B3531">
        <w:rPr>
          <w:lang w:val="en"/>
        </w:rPr>
        <w:t>s</w:t>
      </w:r>
      <w:r w:rsidR="00DE209E">
        <w:rPr>
          <w:lang w:val="en"/>
        </w:rPr>
        <w:t>even</w:t>
      </w:r>
      <w:r w:rsidR="003B5661" w:rsidRPr="004B3531">
        <w:rPr>
          <w:lang w:val="en"/>
        </w:rPr>
        <w:t>-</w:t>
      </w:r>
      <w:r w:rsidR="00F95D24" w:rsidRPr="004B3531">
        <w:rPr>
          <w:lang w:val="en"/>
        </w:rPr>
        <w:t xml:space="preserve">year period </w:t>
      </w:r>
      <w:r w:rsidR="00D5051A" w:rsidRPr="004B3531">
        <w:rPr>
          <w:lang w:val="en"/>
        </w:rPr>
        <w:t>(</w:t>
      </w:r>
      <w:r w:rsidRPr="004B3531">
        <w:rPr>
          <w:lang w:val="en"/>
        </w:rPr>
        <w:t>2014</w:t>
      </w:r>
      <w:r w:rsidR="00C605C5">
        <w:rPr>
          <w:lang w:val="en"/>
        </w:rPr>
        <w:t>–</w:t>
      </w:r>
      <w:r w:rsidR="003B466C" w:rsidRPr="004B3531">
        <w:rPr>
          <w:lang w:val="en"/>
        </w:rPr>
        <w:t>20</w:t>
      </w:r>
      <w:r w:rsidR="00DE209E">
        <w:rPr>
          <w:lang w:val="en"/>
        </w:rPr>
        <w:t>21</w:t>
      </w:r>
      <w:r w:rsidR="00D5051A" w:rsidRPr="004B3531">
        <w:rPr>
          <w:lang w:val="en"/>
        </w:rPr>
        <w:t>)</w:t>
      </w:r>
      <w:r w:rsidRPr="004B3531">
        <w:rPr>
          <w:lang w:val="en"/>
        </w:rPr>
        <w:t>, results of analysis by</w:t>
      </w:r>
      <w:r w:rsidR="00071ED1" w:rsidRPr="004B3531">
        <w:rPr>
          <w:lang w:val="en"/>
        </w:rPr>
        <w:t xml:space="preserve"> </w:t>
      </w:r>
      <w:r w:rsidR="00DC7655" w:rsidRPr="004B3531">
        <w:rPr>
          <w:lang w:val="en"/>
        </w:rPr>
        <w:t>A</w:t>
      </w:r>
      <w:r w:rsidR="00781327" w:rsidRPr="004B3531">
        <w:rPr>
          <w:lang w:val="en"/>
        </w:rPr>
        <w:t>boriginal</w:t>
      </w:r>
      <w:r w:rsidR="00071ED1" w:rsidRPr="004B3531">
        <w:rPr>
          <w:lang w:val="en"/>
        </w:rPr>
        <w:t xml:space="preserve"> Victorian</w:t>
      </w:r>
      <w:r w:rsidRPr="004B3531">
        <w:rPr>
          <w:lang w:val="en"/>
        </w:rPr>
        <w:t xml:space="preserve"> status should be interpreted with </w:t>
      </w:r>
      <w:r w:rsidR="00604420" w:rsidRPr="004B3531">
        <w:rPr>
          <w:lang w:val="en"/>
        </w:rPr>
        <w:t>caution.</w:t>
      </w:r>
      <w:r w:rsidR="003F339C" w:rsidRPr="004B3531">
        <w:rPr>
          <w:lang w:val="en"/>
        </w:rPr>
        <w:t xml:space="preserve"> Nevertheless, Figure </w:t>
      </w:r>
      <w:r w:rsidR="00C92E32" w:rsidRPr="004B3531">
        <w:rPr>
          <w:lang w:val="en"/>
        </w:rPr>
        <w:t>11.2 shows a</w:t>
      </w:r>
      <w:r w:rsidR="007B5FE6" w:rsidRPr="004B3531">
        <w:rPr>
          <w:lang w:val="en"/>
        </w:rPr>
        <w:t xml:space="preserve"> slight</w:t>
      </w:r>
      <w:r w:rsidR="00C92E32" w:rsidRPr="004B3531">
        <w:rPr>
          <w:lang w:val="en"/>
        </w:rPr>
        <w:t xml:space="preserve"> increase in </w:t>
      </w:r>
      <w:r w:rsidR="00DC7655" w:rsidRPr="004B3531">
        <w:rPr>
          <w:lang w:val="en"/>
        </w:rPr>
        <w:t>A</w:t>
      </w:r>
      <w:r w:rsidR="003527D7" w:rsidRPr="004B3531">
        <w:rPr>
          <w:lang w:val="en"/>
        </w:rPr>
        <w:t xml:space="preserve">boriginal </w:t>
      </w:r>
      <w:r w:rsidR="00071ED1" w:rsidRPr="004B3531">
        <w:rPr>
          <w:lang w:val="en"/>
        </w:rPr>
        <w:t xml:space="preserve">Victorian </w:t>
      </w:r>
      <w:r w:rsidR="00C92E32" w:rsidRPr="004B3531">
        <w:rPr>
          <w:lang w:val="en"/>
        </w:rPr>
        <w:t>cases of female breast cancer being diagnosed at an earlier stage over the reporting period.</w:t>
      </w:r>
      <w:r w:rsidR="00604420" w:rsidRPr="004B3531">
        <w:rPr>
          <w:lang w:val="en"/>
        </w:rPr>
        <w:t xml:space="preserve"> It is recognised that groups </w:t>
      </w:r>
      <w:r w:rsidR="005C697C" w:rsidRPr="004B3531">
        <w:rPr>
          <w:lang w:val="en"/>
        </w:rPr>
        <w:t xml:space="preserve">in Victoria </w:t>
      </w:r>
      <w:r w:rsidR="00604420" w:rsidRPr="004B3531">
        <w:rPr>
          <w:lang w:val="en"/>
        </w:rPr>
        <w:t>with</w:t>
      </w:r>
      <w:r w:rsidR="009A5757" w:rsidRPr="004B3531">
        <w:rPr>
          <w:lang w:val="en"/>
        </w:rPr>
        <w:t xml:space="preserve"> the lowest </w:t>
      </w:r>
      <w:r w:rsidR="00D5051A" w:rsidRPr="004B3531">
        <w:rPr>
          <w:lang w:val="en"/>
        </w:rPr>
        <w:t>participation rate in screening are</w:t>
      </w:r>
      <w:r w:rsidR="00BA2AAC">
        <w:rPr>
          <w:lang w:val="en"/>
        </w:rPr>
        <w:t xml:space="preserve"> mostly likely</w:t>
      </w:r>
      <w:r w:rsidR="00D5051A" w:rsidRPr="004B3531">
        <w:rPr>
          <w:lang w:val="en"/>
        </w:rPr>
        <w:t xml:space="preserve"> women from Aboriginal and Torres Strait Islander</w:t>
      </w:r>
      <w:r w:rsidR="00BA2AAC">
        <w:rPr>
          <w:rStyle w:val="FootnoteReference"/>
          <w:lang w:val="en"/>
        </w:rPr>
        <w:footnoteReference w:id="147"/>
      </w:r>
      <w:r w:rsidR="00D5051A" w:rsidRPr="004B3531">
        <w:rPr>
          <w:lang w:val="en"/>
        </w:rPr>
        <w:t xml:space="preserve"> and culturally diverse backgrounds (where the language spoken at home may be a language other than English)</w:t>
      </w:r>
      <w:r w:rsidR="00791B1F" w:rsidRPr="004B3531">
        <w:rPr>
          <w:rStyle w:val="FootnoteReference"/>
          <w:rFonts w:cs="Arial"/>
          <w:lang w:val="en"/>
        </w:rPr>
        <w:footnoteReference w:id="148"/>
      </w:r>
      <w:r w:rsidR="00C14E48" w:rsidRPr="004B3531">
        <w:rPr>
          <w:lang w:val="en"/>
        </w:rPr>
        <w:t xml:space="preserve"> (Figure 11.2)</w:t>
      </w:r>
      <w:r w:rsidR="00357568" w:rsidRPr="004B3531">
        <w:rPr>
          <w:lang w:val="en"/>
        </w:rPr>
        <w:t>. As a result, these women are</w:t>
      </w:r>
      <w:r w:rsidR="00502689" w:rsidRPr="004B3531">
        <w:rPr>
          <w:lang w:val="en"/>
        </w:rPr>
        <w:t xml:space="preserve"> </w:t>
      </w:r>
      <w:r w:rsidR="00357568" w:rsidRPr="004B3531">
        <w:rPr>
          <w:lang w:eastAsia="en-AU"/>
        </w:rPr>
        <w:t>more likely to have</w:t>
      </w:r>
      <w:r w:rsidR="00C605C5">
        <w:rPr>
          <w:lang w:eastAsia="en-AU"/>
        </w:rPr>
        <w:t xml:space="preserve"> a</w:t>
      </w:r>
      <w:r w:rsidR="00357568" w:rsidRPr="004B3531">
        <w:rPr>
          <w:lang w:eastAsia="en-AU"/>
        </w:rPr>
        <w:t xml:space="preserve"> later stage cancer diagnosis and therefore poorer outcomes. </w:t>
      </w:r>
      <w:r w:rsidR="00FD7EA5" w:rsidRPr="004B3531">
        <w:rPr>
          <w:lang w:eastAsia="en-AU"/>
        </w:rPr>
        <w:t xml:space="preserve">To </w:t>
      </w:r>
      <w:r w:rsidR="0031242E" w:rsidRPr="004B3531">
        <w:rPr>
          <w:lang w:eastAsia="en-AU"/>
        </w:rPr>
        <w:t>reverse</w:t>
      </w:r>
      <w:r w:rsidR="00FD7EA5" w:rsidRPr="004B3531">
        <w:rPr>
          <w:lang w:eastAsia="en-AU"/>
        </w:rPr>
        <w:t xml:space="preserve"> this trend</w:t>
      </w:r>
      <w:r w:rsidR="0081564D" w:rsidRPr="004B3531">
        <w:rPr>
          <w:lang w:eastAsia="en-AU"/>
        </w:rPr>
        <w:t xml:space="preserve"> </w:t>
      </w:r>
      <w:r w:rsidR="00C5600E" w:rsidRPr="004B3531">
        <w:rPr>
          <w:lang w:eastAsia="en-AU"/>
        </w:rPr>
        <w:t xml:space="preserve">the Department of Health, in </w:t>
      </w:r>
      <w:r w:rsidR="001C7443" w:rsidRPr="004B3531">
        <w:rPr>
          <w:lang w:val="en"/>
        </w:rPr>
        <w:t xml:space="preserve">collaboration with </w:t>
      </w:r>
      <w:r w:rsidR="000453BE" w:rsidRPr="004B3531">
        <w:rPr>
          <w:lang w:val="en"/>
        </w:rPr>
        <w:t xml:space="preserve">BreastScreen Victoria and </w:t>
      </w:r>
      <w:r w:rsidR="001C7443" w:rsidRPr="004B3531">
        <w:rPr>
          <w:lang w:val="en"/>
        </w:rPr>
        <w:t>cancer screening programs and key partners</w:t>
      </w:r>
      <w:r w:rsidR="00D925EF">
        <w:rPr>
          <w:lang w:val="en"/>
        </w:rPr>
        <w:t xml:space="preserve"> such as VACCHO (</w:t>
      </w:r>
      <w:r w:rsidR="00BA2AAC">
        <w:rPr>
          <w:lang w:val="en"/>
        </w:rPr>
        <w:t xml:space="preserve">The </w:t>
      </w:r>
      <w:r w:rsidR="00D925EF">
        <w:rPr>
          <w:lang w:val="en"/>
        </w:rPr>
        <w:t>Beautiful Shawl Project)</w:t>
      </w:r>
      <w:r w:rsidR="00D7069B" w:rsidRPr="004B3531">
        <w:rPr>
          <w:lang w:val="en"/>
        </w:rPr>
        <w:t xml:space="preserve">, </w:t>
      </w:r>
      <w:r w:rsidR="004B3531" w:rsidRPr="004B3531">
        <w:rPr>
          <w:lang w:val="en"/>
        </w:rPr>
        <w:t>continue</w:t>
      </w:r>
      <w:r w:rsidR="00C605C5">
        <w:rPr>
          <w:lang w:val="en"/>
        </w:rPr>
        <w:t>s</w:t>
      </w:r>
      <w:r w:rsidR="004B3531" w:rsidRPr="004B3531">
        <w:rPr>
          <w:lang w:val="en"/>
        </w:rPr>
        <w:t xml:space="preserve"> to work in</w:t>
      </w:r>
      <w:r w:rsidR="00D7069B" w:rsidRPr="004B3531">
        <w:rPr>
          <w:lang w:val="en"/>
        </w:rPr>
        <w:t xml:space="preserve"> implement</w:t>
      </w:r>
      <w:r w:rsidR="004B3531" w:rsidRPr="004B3531">
        <w:rPr>
          <w:lang w:val="en"/>
        </w:rPr>
        <w:t xml:space="preserve">ing </w:t>
      </w:r>
      <w:r w:rsidR="00D7069B" w:rsidRPr="004B3531">
        <w:rPr>
          <w:lang w:val="en"/>
        </w:rPr>
        <w:t>a range of initiatives to reduce health disparities.</w:t>
      </w:r>
    </w:p>
    <w:p w14:paraId="7B227DF6" w14:textId="484CD65C" w:rsidR="001B5858" w:rsidRDefault="00994B92" w:rsidP="00E87AAA">
      <w:pPr>
        <w:pStyle w:val="Body"/>
        <w:rPr>
          <w:lang w:eastAsia="en-AU"/>
        </w:rPr>
      </w:pPr>
      <w:r w:rsidRPr="007B5FE6">
        <w:rPr>
          <w:lang w:val="en"/>
        </w:rPr>
        <w:t xml:space="preserve">In the </w:t>
      </w:r>
      <w:r w:rsidR="007B5FE6" w:rsidRPr="007B5FE6">
        <w:rPr>
          <w:lang w:val="en"/>
        </w:rPr>
        <w:t>s</w:t>
      </w:r>
      <w:r w:rsidR="00017268">
        <w:rPr>
          <w:lang w:val="en"/>
        </w:rPr>
        <w:t>even</w:t>
      </w:r>
      <w:r w:rsidR="003B5661" w:rsidRPr="007B5FE6">
        <w:rPr>
          <w:lang w:val="en"/>
        </w:rPr>
        <w:t>-</w:t>
      </w:r>
      <w:r w:rsidRPr="007B5FE6">
        <w:rPr>
          <w:lang w:val="en"/>
        </w:rPr>
        <w:t xml:space="preserve">year period </w:t>
      </w:r>
      <w:r w:rsidR="000D79A4" w:rsidRPr="007B5FE6">
        <w:rPr>
          <w:lang w:val="en"/>
        </w:rPr>
        <w:t>(</w:t>
      </w:r>
      <w:r w:rsidRPr="007B5FE6">
        <w:rPr>
          <w:lang w:val="en"/>
        </w:rPr>
        <w:t>2014</w:t>
      </w:r>
      <w:r w:rsidR="00CA2AD7" w:rsidRPr="007B5FE6">
        <w:rPr>
          <w:lang w:val="en"/>
        </w:rPr>
        <w:t>–</w:t>
      </w:r>
      <w:r w:rsidRPr="007B5FE6">
        <w:rPr>
          <w:lang w:val="en"/>
        </w:rPr>
        <w:t>20</w:t>
      </w:r>
      <w:r w:rsidR="00017268">
        <w:rPr>
          <w:lang w:val="en"/>
        </w:rPr>
        <w:t>21</w:t>
      </w:r>
      <w:r w:rsidR="000D79A4" w:rsidRPr="007B5FE6">
        <w:rPr>
          <w:lang w:val="en"/>
        </w:rPr>
        <w:t>)</w:t>
      </w:r>
      <w:r w:rsidR="00914D6B" w:rsidRPr="007B5FE6">
        <w:rPr>
          <w:lang w:val="en"/>
        </w:rPr>
        <w:t xml:space="preserve"> </w:t>
      </w:r>
      <w:r w:rsidR="00880F77" w:rsidRPr="004B3531">
        <w:rPr>
          <w:lang w:val="en"/>
        </w:rPr>
        <w:t xml:space="preserve">there were </w:t>
      </w:r>
      <w:r w:rsidR="0031529D" w:rsidRPr="004B3531">
        <w:rPr>
          <w:lang w:val="en"/>
        </w:rPr>
        <w:t xml:space="preserve">similar </w:t>
      </w:r>
      <w:r w:rsidR="003458E8" w:rsidRPr="004B3531">
        <w:rPr>
          <w:lang w:val="en"/>
        </w:rPr>
        <w:t xml:space="preserve">stage (1 and 2) </w:t>
      </w:r>
      <w:r w:rsidR="00880F77" w:rsidRPr="004B3531">
        <w:rPr>
          <w:lang w:val="en"/>
        </w:rPr>
        <w:t>distribution pattern</w:t>
      </w:r>
      <w:r w:rsidR="003458E8" w:rsidRPr="004B3531">
        <w:rPr>
          <w:lang w:val="en"/>
        </w:rPr>
        <w:t>s</w:t>
      </w:r>
      <w:r w:rsidR="00880F77" w:rsidRPr="004B3531">
        <w:rPr>
          <w:lang w:val="en"/>
        </w:rPr>
        <w:t xml:space="preserve"> </w:t>
      </w:r>
      <w:r w:rsidR="0031529D" w:rsidRPr="004B3531">
        <w:rPr>
          <w:lang w:val="en"/>
        </w:rPr>
        <w:t>for female (breast)</w:t>
      </w:r>
      <w:r w:rsidR="00880F77" w:rsidRPr="004B3531">
        <w:rPr>
          <w:lang w:val="en"/>
        </w:rPr>
        <w:t xml:space="preserve"> cancer </w:t>
      </w:r>
      <w:r w:rsidR="0031529D" w:rsidRPr="004B3531">
        <w:rPr>
          <w:lang w:val="en"/>
        </w:rPr>
        <w:t xml:space="preserve">across </w:t>
      </w:r>
      <w:r w:rsidR="003458E8" w:rsidRPr="004B3531">
        <w:rPr>
          <w:lang w:val="en"/>
        </w:rPr>
        <w:t xml:space="preserve">remoteness area and </w:t>
      </w:r>
      <w:r w:rsidR="00DE7FFE" w:rsidRPr="004B3531">
        <w:rPr>
          <w:lang w:eastAsia="en-AU"/>
        </w:rPr>
        <w:t xml:space="preserve">SES </w:t>
      </w:r>
      <w:r w:rsidR="003458E8" w:rsidRPr="004B3531">
        <w:rPr>
          <w:lang w:val="en"/>
        </w:rPr>
        <w:t>(Figure 11.2.1)</w:t>
      </w:r>
      <w:r w:rsidR="0031529D" w:rsidRPr="004B3531">
        <w:rPr>
          <w:lang w:val="en"/>
        </w:rPr>
        <w:t xml:space="preserve">. </w:t>
      </w:r>
      <w:r w:rsidR="003458E8" w:rsidRPr="004B3531">
        <w:rPr>
          <w:lang w:val="en"/>
        </w:rPr>
        <w:t>There were also no notable differences in the</w:t>
      </w:r>
      <w:r w:rsidR="00C774D1" w:rsidRPr="004B3531">
        <w:rPr>
          <w:lang w:val="en"/>
        </w:rPr>
        <w:t xml:space="preserve"> high</w:t>
      </w:r>
      <w:r w:rsidR="003458E8" w:rsidRPr="004B3531">
        <w:rPr>
          <w:lang w:val="en"/>
        </w:rPr>
        <w:t xml:space="preserve"> proportion of </w:t>
      </w:r>
      <w:r w:rsidR="003458E8" w:rsidRPr="004B3531">
        <w:rPr>
          <w:lang w:eastAsia="en-AU"/>
        </w:rPr>
        <w:t>female breast cancers diagnosed at stages 1 and</w:t>
      </w:r>
      <w:r w:rsidR="003458E8" w:rsidRPr="004B3531">
        <w:rPr>
          <w:lang w:val="en"/>
        </w:rPr>
        <w:t xml:space="preserve"> 2 across each of the </w:t>
      </w:r>
      <w:r w:rsidR="00CA2AD7" w:rsidRPr="004B3531">
        <w:rPr>
          <w:lang w:val="en"/>
        </w:rPr>
        <w:t>ICS</w:t>
      </w:r>
      <w:r w:rsidR="003458E8" w:rsidRPr="004B3531">
        <w:rPr>
          <w:lang w:val="en"/>
        </w:rPr>
        <w:t>.</w:t>
      </w:r>
      <w:r w:rsidR="00952FC7" w:rsidRPr="004B3531">
        <w:rPr>
          <w:lang w:val="en"/>
        </w:rPr>
        <w:t xml:space="preserve"> </w:t>
      </w:r>
      <w:r w:rsidR="004B3531" w:rsidRPr="004B3531">
        <w:rPr>
          <w:lang w:val="en"/>
        </w:rPr>
        <w:t xml:space="preserve">However, Figure 11.2.1 shows that despite the increase across all </w:t>
      </w:r>
      <w:r w:rsidR="00C605C5">
        <w:rPr>
          <w:lang w:val="en"/>
        </w:rPr>
        <w:t>SES</w:t>
      </w:r>
      <w:r w:rsidR="004B3531" w:rsidRPr="004B3531">
        <w:rPr>
          <w:lang w:val="en"/>
        </w:rPr>
        <w:t xml:space="preserve"> categories, disparities exist between those who are most compared </w:t>
      </w:r>
      <w:r w:rsidR="00D31B3C" w:rsidRPr="00D31B3C">
        <w:rPr>
          <w:lang w:val="en"/>
        </w:rPr>
        <w:t xml:space="preserve">with </w:t>
      </w:r>
      <w:r w:rsidR="004B3531" w:rsidRPr="004B3531">
        <w:rPr>
          <w:lang w:val="en"/>
        </w:rPr>
        <w:t>least disadvantage</w:t>
      </w:r>
      <w:r w:rsidR="00B5121D">
        <w:rPr>
          <w:lang w:val="en"/>
        </w:rPr>
        <w:t>d</w:t>
      </w:r>
      <w:r w:rsidR="004B3531" w:rsidRPr="004B3531">
        <w:rPr>
          <w:lang w:val="en"/>
        </w:rPr>
        <w:t xml:space="preserve">. </w:t>
      </w:r>
      <w:r w:rsidR="00C774D1" w:rsidRPr="004B3531">
        <w:rPr>
          <w:lang w:val="en"/>
        </w:rPr>
        <w:t>While no target has been set for this measure</w:t>
      </w:r>
      <w:r w:rsidR="00317801">
        <w:rPr>
          <w:lang w:val="en"/>
        </w:rPr>
        <w:t>,</w:t>
      </w:r>
      <w:r w:rsidR="00364AEA">
        <w:rPr>
          <w:lang w:val="en"/>
        </w:rPr>
        <w:t xml:space="preserve"> </w:t>
      </w:r>
      <w:r w:rsidR="00364AEA" w:rsidRPr="004B3531">
        <w:rPr>
          <w:lang w:val="en"/>
        </w:rPr>
        <w:t xml:space="preserve">early diagnosis and screening remain </w:t>
      </w:r>
      <w:r w:rsidR="00364AEA">
        <w:rPr>
          <w:lang w:val="en"/>
        </w:rPr>
        <w:t>essential</w:t>
      </w:r>
      <w:r w:rsidR="00C774D1" w:rsidRPr="004B3531">
        <w:rPr>
          <w:lang w:val="en"/>
        </w:rPr>
        <w:t xml:space="preserve"> </w:t>
      </w:r>
      <w:r w:rsidR="00C5600E" w:rsidRPr="004B3531">
        <w:rPr>
          <w:lang w:val="en"/>
        </w:rPr>
        <w:t>to</w:t>
      </w:r>
      <w:r w:rsidR="00940EDE" w:rsidRPr="004B3531">
        <w:rPr>
          <w:lang w:val="en"/>
        </w:rPr>
        <w:t xml:space="preserve"> enable the</w:t>
      </w:r>
      <w:r w:rsidR="00C774D1" w:rsidRPr="004B3531">
        <w:rPr>
          <w:lang w:val="en"/>
        </w:rPr>
        <w:t xml:space="preserve"> improve</w:t>
      </w:r>
      <w:r w:rsidR="00940EDE" w:rsidRPr="004B3531">
        <w:rPr>
          <w:lang w:val="en"/>
        </w:rPr>
        <w:t>ment in</w:t>
      </w:r>
      <w:r w:rsidR="00C774D1" w:rsidRPr="004B3531">
        <w:rPr>
          <w:lang w:val="en"/>
        </w:rPr>
        <w:t xml:space="preserve"> </w:t>
      </w:r>
      <w:r w:rsidR="00D57F68" w:rsidRPr="004B3531">
        <w:rPr>
          <w:lang w:val="en"/>
        </w:rPr>
        <w:t xml:space="preserve">female </w:t>
      </w:r>
      <w:r w:rsidR="00C774D1" w:rsidRPr="004B3531">
        <w:rPr>
          <w:lang w:val="en"/>
        </w:rPr>
        <w:t>breast cancer outcomes and survival</w:t>
      </w:r>
      <w:r w:rsidR="00364AEA">
        <w:rPr>
          <w:lang w:val="en"/>
        </w:rPr>
        <w:t>.</w:t>
      </w:r>
      <w:bookmarkStart w:id="726" w:name="_Toc19008110"/>
      <w:r w:rsidR="001B5858">
        <w:br w:type="page"/>
      </w:r>
    </w:p>
    <w:p w14:paraId="4DA60EA2" w14:textId="3D556EE6" w:rsidR="00DF376C" w:rsidRPr="00AF5717" w:rsidRDefault="00DF376C" w:rsidP="00A451D4">
      <w:pPr>
        <w:pStyle w:val="Heading3"/>
        <w:rPr>
          <w:b/>
          <w:bCs w:val="0"/>
        </w:rPr>
      </w:pPr>
      <w:bookmarkStart w:id="727" w:name="_Measure_11.3_–"/>
      <w:bookmarkEnd w:id="727"/>
      <w:r w:rsidRPr="00AF5717">
        <w:rPr>
          <w:b/>
          <w:bCs w:val="0"/>
        </w:rPr>
        <w:lastRenderedPageBreak/>
        <w:t>Measure 11.3 –</w:t>
      </w:r>
      <w:r w:rsidR="00A60F88" w:rsidRPr="00AF5717">
        <w:rPr>
          <w:b/>
          <w:bCs w:val="0"/>
        </w:rPr>
        <w:t xml:space="preserve"> Proportion of colore</w:t>
      </w:r>
      <w:r w:rsidR="00784627" w:rsidRPr="00AF5717">
        <w:rPr>
          <w:b/>
          <w:bCs w:val="0"/>
        </w:rPr>
        <w:t>ctal cancers diagnosed at stage</w:t>
      </w:r>
      <w:r w:rsidR="00A60F88" w:rsidRPr="00AF5717">
        <w:rPr>
          <w:b/>
          <w:bCs w:val="0"/>
        </w:rPr>
        <w:t xml:space="preserve"> 1 </w:t>
      </w:r>
      <w:r w:rsidR="002714EF" w:rsidRPr="00AF5717">
        <w:rPr>
          <w:b/>
          <w:bCs w:val="0"/>
        </w:rPr>
        <w:t>or</w:t>
      </w:r>
      <w:r w:rsidR="00A60F88" w:rsidRPr="00AF5717">
        <w:rPr>
          <w:b/>
          <w:bCs w:val="0"/>
        </w:rPr>
        <w:t xml:space="preserve"> 2</w:t>
      </w:r>
      <w:bookmarkEnd w:id="726"/>
    </w:p>
    <w:p w14:paraId="016FA642" w14:textId="35917E9F" w:rsidR="00DB0DD4" w:rsidRPr="00CD1209" w:rsidRDefault="0048708E" w:rsidP="00DB0DD4">
      <w:pPr>
        <w:pStyle w:val="Figurecaption"/>
        <w:rPr>
          <w:sz w:val="20"/>
        </w:rPr>
      </w:pPr>
      <w:bookmarkStart w:id="728" w:name="_Toc19008111"/>
      <w:bookmarkStart w:id="729" w:name="_Toc19008336"/>
      <w:bookmarkStart w:id="730" w:name="_Toc19008483"/>
      <w:bookmarkStart w:id="731" w:name="_Toc19008630"/>
      <w:bookmarkStart w:id="732" w:name="_Toc132553060"/>
      <w:bookmarkStart w:id="733" w:name="_Toc140827672"/>
      <w:r w:rsidRPr="00CD1209">
        <w:rPr>
          <w:sz w:val="20"/>
        </w:rPr>
        <w:t>Figure 11.3</w:t>
      </w:r>
      <w:r w:rsidR="003B391F" w:rsidRPr="00CD1209">
        <w:rPr>
          <w:sz w:val="20"/>
        </w:rPr>
        <w:t>:</w:t>
      </w:r>
      <w:r w:rsidRPr="00CD1209">
        <w:rPr>
          <w:sz w:val="20"/>
        </w:rPr>
        <w:t xml:space="preserve"> Proportion of colorectal cancers diagnosed at stages 1 and 2, by age, sex, </w:t>
      </w:r>
      <w:r w:rsidR="00D3516B" w:rsidRPr="00CD1209">
        <w:rPr>
          <w:sz w:val="20"/>
        </w:rPr>
        <w:t>I</w:t>
      </w:r>
      <w:r w:rsidRPr="00CD1209">
        <w:rPr>
          <w:sz w:val="20"/>
        </w:rPr>
        <w:t>ndigenous status and language spoken at home, 2014</w:t>
      </w:r>
      <w:r w:rsidR="0034799A" w:rsidRPr="00CD1209">
        <w:rPr>
          <w:sz w:val="20"/>
        </w:rPr>
        <w:t xml:space="preserve">, </w:t>
      </w:r>
      <w:r w:rsidRPr="00CD1209">
        <w:rPr>
          <w:sz w:val="20"/>
        </w:rPr>
        <w:t>2016</w:t>
      </w:r>
      <w:bookmarkEnd w:id="728"/>
      <w:bookmarkEnd w:id="729"/>
      <w:bookmarkEnd w:id="730"/>
      <w:bookmarkEnd w:id="731"/>
      <w:r w:rsidR="0034799A" w:rsidRPr="00CD1209">
        <w:rPr>
          <w:sz w:val="20"/>
        </w:rPr>
        <w:t xml:space="preserve"> and 20</w:t>
      </w:r>
      <w:r w:rsidR="00827040" w:rsidRPr="00CD1209">
        <w:rPr>
          <w:sz w:val="20"/>
        </w:rPr>
        <w:t>21</w:t>
      </w:r>
      <w:bookmarkEnd w:id="732"/>
      <w:bookmarkEnd w:id="733"/>
    </w:p>
    <w:p w14:paraId="7720D9F7" w14:textId="15B97E02" w:rsidR="00C31127" w:rsidRPr="00C31127" w:rsidRDefault="00C31127" w:rsidP="00E87AAA">
      <w:pPr>
        <w:pStyle w:val="Body"/>
      </w:pPr>
      <w:r>
        <w:rPr>
          <w:noProof/>
        </w:rPr>
        <w:drawing>
          <wp:inline distT="0" distB="0" distL="0" distR="0" wp14:anchorId="0823DD5C" wp14:editId="4B0D93F7">
            <wp:extent cx="6016625" cy="4970145"/>
            <wp:effectExtent l="0" t="0" r="3175" b="1905"/>
            <wp:docPr id="264" name="Picture 264" descr="This figure shows a data summary of 'Measure 11.3 – Proportion of colorectal cancers diagnosed at stage 1 and 2' via subgroups namely age, Indigenous status and language spoken at home for the study period 2014, 2016 and 2021. The data set is available under 'Measure 11.3 – Proportion of colorectal cancers diagnosed at stage 1 and 2'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This figure shows a data summary of 'Measure 11.3 – Proportion of colorectal cancers diagnosed at stage 1 and 2' via subgroups namely age, Indigenous status and language spoken at home for the study period 2014, 2016 and 2021. The data set is available under 'Measure 11.3 – Proportion of colorectal cancers diagnosed at stage 1 and 2' in a separate volume, the Victorian cancer plan monitoring and evaluation framework: baseline report: Appendix 2: Datasets available on Cancer care &lt;https://www.health.vic.gov.au/health-strategies/cancer-care&gt;."/>
                    <pic:cNvPicPr/>
                  </pic:nvPicPr>
                  <pic:blipFill>
                    <a:blip r:embed="rId117"/>
                    <a:stretch>
                      <a:fillRect/>
                    </a:stretch>
                  </pic:blipFill>
                  <pic:spPr>
                    <a:xfrm>
                      <a:off x="0" y="0"/>
                      <a:ext cx="6016625" cy="4970145"/>
                    </a:xfrm>
                    <a:prstGeom prst="rect">
                      <a:avLst/>
                    </a:prstGeom>
                  </pic:spPr>
                </pic:pic>
              </a:graphicData>
            </a:graphic>
          </wp:inline>
        </w:drawing>
      </w:r>
    </w:p>
    <w:p w14:paraId="23779189" w14:textId="688FA059" w:rsidR="008D4FF6" w:rsidRPr="00CD1209" w:rsidRDefault="008D4FF6" w:rsidP="00287A8B">
      <w:pPr>
        <w:pStyle w:val="Tablefigurenote"/>
        <w:rPr>
          <w:i/>
          <w:iCs/>
          <w:color w:val="000000"/>
          <w:sz w:val="18"/>
          <w:szCs w:val="18"/>
        </w:rPr>
      </w:pPr>
      <w:r w:rsidRPr="00CD1209">
        <w:rPr>
          <w:i/>
          <w:iCs/>
          <w:sz w:val="18"/>
          <w:szCs w:val="18"/>
        </w:rPr>
        <w:t>Note:</w:t>
      </w:r>
      <w:r w:rsidR="00952FC7" w:rsidRPr="00CD1209">
        <w:rPr>
          <w:i/>
          <w:iCs/>
          <w:sz w:val="18"/>
          <w:szCs w:val="18"/>
        </w:rPr>
        <w:t xml:space="preserve"> </w:t>
      </w:r>
    </w:p>
    <w:p w14:paraId="36FA5AF8" w14:textId="69076440" w:rsidR="008D4FF6" w:rsidRPr="00CD1209" w:rsidRDefault="008D4FF6" w:rsidP="00287A8B">
      <w:pPr>
        <w:pStyle w:val="Tablefigurenote"/>
        <w:rPr>
          <w:i/>
          <w:iCs/>
          <w:color w:val="000000"/>
          <w:sz w:val="18"/>
          <w:szCs w:val="18"/>
        </w:rPr>
      </w:pPr>
      <w:r w:rsidRPr="00CD1209">
        <w:rPr>
          <w:i/>
          <w:iCs/>
          <w:color w:val="000000"/>
          <w:sz w:val="18"/>
          <w:szCs w:val="18"/>
        </w:rPr>
        <w:t>The following was included:</w:t>
      </w:r>
    </w:p>
    <w:p w14:paraId="3D80A11A" w14:textId="4E223952" w:rsidR="008D4FF6" w:rsidRPr="00CD1209" w:rsidRDefault="00C2742B" w:rsidP="00160602">
      <w:pPr>
        <w:pStyle w:val="Tablefigurenote"/>
        <w:numPr>
          <w:ilvl w:val="0"/>
          <w:numId w:val="49"/>
        </w:numPr>
        <w:rPr>
          <w:i/>
          <w:iCs/>
          <w:sz w:val="18"/>
          <w:szCs w:val="18"/>
        </w:rPr>
      </w:pPr>
      <w:r w:rsidRPr="00CD1209">
        <w:rPr>
          <w:i/>
          <w:iCs/>
          <w:sz w:val="18"/>
          <w:szCs w:val="18"/>
        </w:rPr>
        <w:t>n</w:t>
      </w:r>
      <w:r w:rsidR="008D4FF6" w:rsidRPr="00CD1209">
        <w:rPr>
          <w:i/>
          <w:iCs/>
          <w:sz w:val="18"/>
          <w:szCs w:val="18"/>
        </w:rPr>
        <w:t>ew diagnoses with stage recorded as 1</w:t>
      </w:r>
      <w:r w:rsidR="0015057E" w:rsidRPr="00CD1209">
        <w:rPr>
          <w:i/>
          <w:iCs/>
          <w:sz w:val="18"/>
          <w:szCs w:val="18"/>
        </w:rPr>
        <w:t>–</w:t>
      </w:r>
      <w:r w:rsidR="008D4FF6" w:rsidRPr="00CD1209">
        <w:rPr>
          <w:i/>
          <w:iCs/>
          <w:sz w:val="18"/>
          <w:szCs w:val="18"/>
        </w:rPr>
        <w:t>4 in the VCR, or with metastases recorded in the VCR (TNM</w:t>
      </w:r>
      <w:r w:rsidR="00DE536E" w:rsidRPr="00CD1209">
        <w:rPr>
          <w:i/>
          <w:iCs/>
          <w:sz w:val="18"/>
          <w:szCs w:val="18"/>
        </w:rPr>
        <w:t xml:space="preserve"> </w:t>
      </w:r>
      <w:r w:rsidR="008D4FF6" w:rsidRPr="00CD1209">
        <w:rPr>
          <w:i/>
          <w:iCs/>
          <w:sz w:val="18"/>
          <w:szCs w:val="18"/>
        </w:rPr>
        <w:t>=</w:t>
      </w:r>
      <w:r w:rsidR="00DE536E" w:rsidRPr="00CD1209">
        <w:rPr>
          <w:i/>
          <w:iCs/>
          <w:sz w:val="18"/>
          <w:szCs w:val="18"/>
        </w:rPr>
        <w:t xml:space="preserve"> </w:t>
      </w:r>
      <w:r w:rsidR="008D4FF6" w:rsidRPr="00CD1209">
        <w:rPr>
          <w:i/>
          <w:iCs/>
          <w:sz w:val="18"/>
          <w:szCs w:val="18"/>
        </w:rPr>
        <w:t>M1)</w:t>
      </w:r>
    </w:p>
    <w:p w14:paraId="0AB14774" w14:textId="11FDE0A6" w:rsidR="008D4FF6" w:rsidRPr="00CD1209" w:rsidRDefault="00C2742B" w:rsidP="00160602">
      <w:pPr>
        <w:pStyle w:val="Tablefigurenote"/>
        <w:numPr>
          <w:ilvl w:val="0"/>
          <w:numId w:val="49"/>
        </w:numPr>
        <w:rPr>
          <w:i/>
          <w:iCs/>
          <w:sz w:val="18"/>
          <w:szCs w:val="18"/>
        </w:rPr>
      </w:pPr>
      <w:r w:rsidRPr="00CD1209">
        <w:rPr>
          <w:i/>
          <w:iCs/>
          <w:sz w:val="18"/>
          <w:szCs w:val="18"/>
        </w:rPr>
        <w:t>p</w:t>
      </w:r>
      <w:r w:rsidR="008D4FF6" w:rsidRPr="00CD1209">
        <w:rPr>
          <w:i/>
          <w:iCs/>
          <w:sz w:val="18"/>
          <w:szCs w:val="18"/>
        </w:rPr>
        <w:t>atients diagnosed after neoadjuvant treatment</w:t>
      </w:r>
    </w:p>
    <w:p w14:paraId="2AF168E7" w14:textId="6439668E" w:rsidR="008D4FF6" w:rsidRPr="00CD1209" w:rsidRDefault="00C2742B" w:rsidP="00160602">
      <w:pPr>
        <w:pStyle w:val="Tablefigurenote"/>
        <w:numPr>
          <w:ilvl w:val="0"/>
          <w:numId w:val="49"/>
        </w:numPr>
        <w:rPr>
          <w:i/>
          <w:iCs/>
          <w:sz w:val="18"/>
          <w:szCs w:val="18"/>
        </w:rPr>
      </w:pPr>
      <w:r w:rsidRPr="00CD1209">
        <w:rPr>
          <w:i/>
          <w:iCs/>
          <w:sz w:val="18"/>
          <w:szCs w:val="18"/>
        </w:rPr>
        <w:t>f</w:t>
      </w:r>
      <w:r w:rsidR="008D4FF6" w:rsidRPr="00CD1209">
        <w:rPr>
          <w:i/>
          <w:iCs/>
          <w:sz w:val="18"/>
          <w:szCs w:val="18"/>
        </w:rPr>
        <w:t>or patients with multiple diagnoses within the year of interest, each diagnosis was included. Therefore, the number of new cancers does not necessarily equal the number of distinct patients.</w:t>
      </w:r>
    </w:p>
    <w:p w14:paraId="591E1263" w14:textId="0E7B22A1" w:rsidR="008D4FF6" w:rsidRPr="00CD1209" w:rsidRDefault="008D4FF6" w:rsidP="00287A8B">
      <w:pPr>
        <w:pStyle w:val="Tablefigurenote"/>
        <w:rPr>
          <w:i/>
          <w:iCs/>
          <w:color w:val="000000"/>
          <w:sz w:val="18"/>
          <w:szCs w:val="18"/>
        </w:rPr>
      </w:pPr>
      <w:r w:rsidRPr="00CD1209">
        <w:rPr>
          <w:i/>
          <w:iCs/>
          <w:color w:val="000000"/>
          <w:sz w:val="18"/>
          <w:szCs w:val="18"/>
        </w:rPr>
        <w:t>The following was excluded:</w:t>
      </w:r>
      <w:r w:rsidR="00287A8B" w:rsidRPr="00CD1209">
        <w:rPr>
          <w:i/>
          <w:iCs/>
          <w:color w:val="000000"/>
          <w:sz w:val="18"/>
          <w:szCs w:val="18"/>
        </w:rPr>
        <w:t xml:space="preserve"> </w:t>
      </w:r>
      <w:r w:rsidR="00DE536E" w:rsidRPr="00CD1209">
        <w:rPr>
          <w:i/>
          <w:iCs/>
          <w:sz w:val="18"/>
          <w:szCs w:val="18"/>
        </w:rPr>
        <w:t>a</w:t>
      </w:r>
      <w:r w:rsidRPr="00CD1209">
        <w:rPr>
          <w:i/>
          <w:iCs/>
          <w:sz w:val="18"/>
          <w:szCs w:val="18"/>
        </w:rPr>
        <w:t>ll patients with unknown stage</w:t>
      </w:r>
      <w:r w:rsidR="00287A8B" w:rsidRPr="00CD1209">
        <w:rPr>
          <w:i/>
          <w:iCs/>
          <w:sz w:val="18"/>
          <w:szCs w:val="18"/>
        </w:rPr>
        <w:t>.</w:t>
      </w:r>
    </w:p>
    <w:p w14:paraId="676436D9" w14:textId="24D6FDC9" w:rsidR="00C80981" w:rsidRPr="001A2A05" w:rsidRDefault="008D4FF6" w:rsidP="00287A8B">
      <w:pPr>
        <w:pStyle w:val="Tablefigurenote"/>
      </w:pPr>
      <w:r w:rsidRPr="00CD1209">
        <w:rPr>
          <w:i/>
          <w:iCs/>
          <w:color w:val="000000"/>
          <w:sz w:val="18"/>
          <w:szCs w:val="18"/>
        </w:rPr>
        <w:t>Appendix 2 provides the dataset.</w:t>
      </w:r>
      <w:r w:rsidR="00C80981">
        <w:rPr>
          <w:b/>
        </w:rPr>
        <w:br w:type="page"/>
      </w:r>
    </w:p>
    <w:p w14:paraId="1E1CF2E3" w14:textId="54395FEF" w:rsidR="009F719D" w:rsidRPr="00CD1209" w:rsidRDefault="0045645C" w:rsidP="00867A76">
      <w:pPr>
        <w:pStyle w:val="Figurecaption"/>
        <w:rPr>
          <w:sz w:val="20"/>
        </w:rPr>
      </w:pPr>
      <w:bookmarkStart w:id="734" w:name="_Toc19008112"/>
      <w:bookmarkStart w:id="735" w:name="_Toc19008337"/>
      <w:bookmarkStart w:id="736" w:name="_Toc19008484"/>
      <w:bookmarkStart w:id="737" w:name="_Toc19008631"/>
      <w:bookmarkStart w:id="738" w:name="_Toc132553061"/>
      <w:bookmarkStart w:id="739" w:name="_Toc140827673"/>
      <w:r w:rsidRPr="00CD1209">
        <w:rPr>
          <w:sz w:val="20"/>
        </w:rPr>
        <w:lastRenderedPageBreak/>
        <w:t>Figure</w:t>
      </w:r>
      <w:r w:rsidR="009F719D" w:rsidRPr="00CD1209">
        <w:rPr>
          <w:sz w:val="20"/>
        </w:rPr>
        <w:t xml:space="preserve"> 11.3.1</w:t>
      </w:r>
      <w:r w:rsidR="003B391F" w:rsidRPr="00CD1209">
        <w:rPr>
          <w:sz w:val="20"/>
        </w:rPr>
        <w:t>:</w:t>
      </w:r>
      <w:r w:rsidR="009F719D" w:rsidRPr="00CD1209">
        <w:rPr>
          <w:sz w:val="20"/>
        </w:rPr>
        <w:t xml:space="preserve"> Proportion of colorectal cancers diagnosed at stages 1 and 2, by remoteness area, I</w:t>
      </w:r>
      <w:r w:rsidR="00DE536E" w:rsidRPr="00CD1209">
        <w:rPr>
          <w:sz w:val="20"/>
        </w:rPr>
        <w:t xml:space="preserve">CS </w:t>
      </w:r>
      <w:r w:rsidR="009F719D" w:rsidRPr="00CD1209">
        <w:rPr>
          <w:sz w:val="20"/>
        </w:rPr>
        <w:t xml:space="preserve">and </w:t>
      </w:r>
      <w:r w:rsidR="00DE7FFE" w:rsidRPr="00CD1209">
        <w:rPr>
          <w:sz w:val="20"/>
        </w:rPr>
        <w:t>SES</w:t>
      </w:r>
      <w:r w:rsidR="009F719D" w:rsidRPr="00CD1209">
        <w:rPr>
          <w:sz w:val="20"/>
        </w:rPr>
        <w:t>, 2014</w:t>
      </w:r>
      <w:r w:rsidR="0034799A" w:rsidRPr="00CD1209">
        <w:rPr>
          <w:sz w:val="20"/>
        </w:rPr>
        <w:t xml:space="preserve">, </w:t>
      </w:r>
      <w:r w:rsidR="009F719D" w:rsidRPr="00CD1209">
        <w:rPr>
          <w:sz w:val="20"/>
        </w:rPr>
        <w:t>2016</w:t>
      </w:r>
      <w:bookmarkEnd w:id="734"/>
      <w:bookmarkEnd w:id="735"/>
      <w:bookmarkEnd w:id="736"/>
      <w:bookmarkEnd w:id="737"/>
      <w:r w:rsidR="0034799A" w:rsidRPr="00CD1209">
        <w:rPr>
          <w:sz w:val="20"/>
        </w:rPr>
        <w:t xml:space="preserve"> and 20</w:t>
      </w:r>
      <w:r w:rsidR="00827040" w:rsidRPr="00CD1209">
        <w:rPr>
          <w:sz w:val="20"/>
        </w:rPr>
        <w:t>21</w:t>
      </w:r>
      <w:bookmarkEnd w:id="738"/>
      <w:bookmarkEnd w:id="739"/>
    </w:p>
    <w:p w14:paraId="3EEFF069" w14:textId="3D9A17CD" w:rsidR="00181C26" w:rsidRPr="0034799A" w:rsidRDefault="00C31127" w:rsidP="00E87AAA">
      <w:pPr>
        <w:pStyle w:val="Body"/>
      </w:pPr>
      <w:r>
        <w:rPr>
          <w:noProof/>
        </w:rPr>
        <w:drawing>
          <wp:inline distT="0" distB="0" distL="0" distR="0" wp14:anchorId="5FF3C4D2" wp14:editId="7D46AA05">
            <wp:extent cx="6016625" cy="4970145"/>
            <wp:effectExtent l="0" t="0" r="3175" b="1905"/>
            <wp:docPr id="274" name="Picture 274" descr="This figure shows a data summary of 'Measure 11.3 – Proportion of colorectal cancers diagnosed at stage 1 and 2' via subgroups namely remoteness area, Integrated Cancer Service and socioeconomic status for the study period 2014, 2016 and 2021. The data set is available under 'Measure 11.3 – Proportion of colorectal cancers diagnosed at stage 1 and 2'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This figure shows a data summary of 'Measure 11.3 – Proportion of colorectal cancers diagnosed at stage 1 and 2' via subgroups namely remoteness area, Integrated Cancer Service and socioeconomic status for the study period 2014, 2016 and 2021. The data set is available under 'Measure 11.3 – Proportion of colorectal cancers diagnosed at stage 1 and 2' in a separate volume, the Victorian cancer plan monitoring and evaluation framework: baseline report: Appendix 2: Datasets available on Cancer care &lt;https://www.health.vic.gov.au/health-strategies/cancer-care&gt;."/>
                    <pic:cNvPicPr/>
                  </pic:nvPicPr>
                  <pic:blipFill>
                    <a:blip r:embed="rId118"/>
                    <a:stretch>
                      <a:fillRect/>
                    </a:stretch>
                  </pic:blipFill>
                  <pic:spPr>
                    <a:xfrm>
                      <a:off x="0" y="0"/>
                      <a:ext cx="6016625" cy="4970145"/>
                    </a:xfrm>
                    <a:prstGeom prst="rect">
                      <a:avLst/>
                    </a:prstGeom>
                  </pic:spPr>
                </pic:pic>
              </a:graphicData>
            </a:graphic>
          </wp:inline>
        </w:drawing>
      </w:r>
    </w:p>
    <w:p w14:paraId="20327804" w14:textId="5F059520" w:rsidR="00D8617F" w:rsidRPr="00CD1209" w:rsidRDefault="00D8617F" w:rsidP="005257B7">
      <w:pPr>
        <w:pStyle w:val="Tablefigurenote"/>
        <w:rPr>
          <w:i/>
          <w:iCs/>
          <w:sz w:val="18"/>
          <w:szCs w:val="18"/>
        </w:rPr>
      </w:pPr>
      <w:r w:rsidRPr="00CD1209">
        <w:rPr>
          <w:i/>
          <w:iCs/>
          <w:sz w:val="18"/>
          <w:szCs w:val="18"/>
        </w:rPr>
        <w:t>Note:</w:t>
      </w:r>
    </w:p>
    <w:p w14:paraId="215181FC" w14:textId="46023DB1" w:rsidR="00C464BE" w:rsidRPr="00CD1209" w:rsidRDefault="00C464BE" w:rsidP="005257B7">
      <w:pPr>
        <w:pStyle w:val="Tablefigurenote"/>
        <w:rPr>
          <w:i/>
          <w:iCs/>
          <w:color w:val="000000"/>
          <w:sz w:val="18"/>
          <w:szCs w:val="18"/>
        </w:rPr>
      </w:pPr>
      <w:r w:rsidRPr="00CD1209">
        <w:rPr>
          <w:i/>
          <w:iCs/>
          <w:color w:val="000000"/>
          <w:sz w:val="18"/>
          <w:szCs w:val="18"/>
        </w:rPr>
        <w:t>The following was included:</w:t>
      </w:r>
    </w:p>
    <w:p w14:paraId="4EF46508" w14:textId="337F5E87" w:rsidR="00C464BE" w:rsidRPr="00CD1209" w:rsidRDefault="00C2742B" w:rsidP="00160602">
      <w:pPr>
        <w:pStyle w:val="Tablefigurenote"/>
        <w:numPr>
          <w:ilvl w:val="0"/>
          <w:numId w:val="50"/>
        </w:numPr>
        <w:rPr>
          <w:i/>
          <w:iCs/>
          <w:sz w:val="18"/>
          <w:szCs w:val="18"/>
        </w:rPr>
      </w:pPr>
      <w:r w:rsidRPr="00CD1209">
        <w:rPr>
          <w:i/>
          <w:iCs/>
          <w:sz w:val="18"/>
          <w:szCs w:val="18"/>
        </w:rPr>
        <w:t>n</w:t>
      </w:r>
      <w:r w:rsidR="00C464BE" w:rsidRPr="00CD1209">
        <w:rPr>
          <w:i/>
          <w:iCs/>
          <w:sz w:val="18"/>
          <w:szCs w:val="18"/>
        </w:rPr>
        <w:t>ew diagnoses with stage recorded as 1</w:t>
      </w:r>
      <w:r w:rsidR="0015057E" w:rsidRPr="00CD1209">
        <w:rPr>
          <w:i/>
          <w:iCs/>
          <w:sz w:val="18"/>
          <w:szCs w:val="18"/>
        </w:rPr>
        <w:t>–</w:t>
      </w:r>
      <w:r w:rsidR="00C464BE" w:rsidRPr="00CD1209">
        <w:rPr>
          <w:i/>
          <w:iCs/>
          <w:sz w:val="18"/>
          <w:szCs w:val="18"/>
        </w:rPr>
        <w:t>4 in the VCR, or with metastases recorded in the VCR (TNM</w:t>
      </w:r>
      <w:r w:rsidR="00DE536E" w:rsidRPr="00CD1209">
        <w:rPr>
          <w:i/>
          <w:iCs/>
          <w:sz w:val="18"/>
          <w:szCs w:val="18"/>
        </w:rPr>
        <w:t xml:space="preserve"> </w:t>
      </w:r>
      <w:r w:rsidR="00C464BE" w:rsidRPr="00CD1209">
        <w:rPr>
          <w:i/>
          <w:iCs/>
          <w:sz w:val="18"/>
          <w:szCs w:val="18"/>
        </w:rPr>
        <w:t>=</w:t>
      </w:r>
      <w:r w:rsidR="00DE536E" w:rsidRPr="00CD1209">
        <w:rPr>
          <w:i/>
          <w:iCs/>
          <w:sz w:val="18"/>
          <w:szCs w:val="18"/>
        </w:rPr>
        <w:t xml:space="preserve"> </w:t>
      </w:r>
      <w:r w:rsidR="00C464BE" w:rsidRPr="00CD1209">
        <w:rPr>
          <w:i/>
          <w:iCs/>
          <w:sz w:val="18"/>
          <w:szCs w:val="18"/>
        </w:rPr>
        <w:t>M1)</w:t>
      </w:r>
    </w:p>
    <w:p w14:paraId="10D4BE7F" w14:textId="348A2A23" w:rsidR="00C464BE" w:rsidRPr="00CD1209" w:rsidRDefault="00C2742B" w:rsidP="00160602">
      <w:pPr>
        <w:pStyle w:val="Tablefigurenote"/>
        <w:numPr>
          <w:ilvl w:val="0"/>
          <w:numId w:val="50"/>
        </w:numPr>
        <w:rPr>
          <w:i/>
          <w:iCs/>
          <w:sz w:val="18"/>
          <w:szCs w:val="18"/>
        </w:rPr>
      </w:pPr>
      <w:r w:rsidRPr="00CD1209">
        <w:rPr>
          <w:i/>
          <w:iCs/>
          <w:sz w:val="18"/>
          <w:szCs w:val="18"/>
        </w:rPr>
        <w:t>p</w:t>
      </w:r>
      <w:r w:rsidR="00C464BE" w:rsidRPr="00CD1209">
        <w:rPr>
          <w:i/>
          <w:iCs/>
          <w:sz w:val="18"/>
          <w:szCs w:val="18"/>
        </w:rPr>
        <w:t>atients diagnosed after neoadjuvant treatment</w:t>
      </w:r>
    </w:p>
    <w:p w14:paraId="3834ADBF" w14:textId="582690F0" w:rsidR="00C464BE" w:rsidRPr="00CD1209" w:rsidRDefault="00C2742B" w:rsidP="00160602">
      <w:pPr>
        <w:pStyle w:val="Tablefigurenote"/>
        <w:numPr>
          <w:ilvl w:val="0"/>
          <w:numId w:val="50"/>
        </w:numPr>
        <w:rPr>
          <w:i/>
          <w:iCs/>
          <w:sz w:val="18"/>
          <w:szCs w:val="18"/>
        </w:rPr>
      </w:pPr>
      <w:r w:rsidRPr="00CD1209">
        <w:rPr>
          <w:i/>
          <w:iCs/>
          <w:sz w:val="18"/>
          <w:szCs w:val="18"/>
        </w:rPr>
        <w:t>f</w:t>
      </w:r>
      <w:r w:rsidR="00C464BE" w:rsidRPr="00CD1209">
        <w:rPr>
          <w:i/>
          <w:iCs/>
          <w:sz w:val="18"/>
          <w:szCs w:val="18"/>
        </w:rPr>
        <w:t>or patients with multiple diagnoses within the year of interest, each diagnosis was included. Therefore, the number of new cancers does not necessarily equal the number of distinct patients.</w:t>
      </w:r>
    </w:p>
    <w:p w14:paraId="41CF4171" w14:textId="71059159" w:rsidR="00C464BE" w:rsidRPr="00CD1209" w:rsidRDefault="00C464BE" w:rsidP="005257B7">
      <w:pPr>
        <w:pStyle w:val="Tablefigurenote"/>
        <w:rPr>
          <w:i/>
          <w:iCs/>
          <w:color w:val="000000"/>
          <w:sz w:val="18"/>
          <w:szCs w:val="18"/>
        </w:rPr>
      </w:pPr>
      <w:r w:rsidRPr="00CD1209">
        <w:rPr>
          <w:i/>
          <w:iCs/>
          <w:color w:val="000000"/>
          <w:sz w:val="18"/>
          <w:szCs w:val="18"/>
        </w:rPr>
        <w:t>The following was excluded:</w:t>
      </w:r>
      <w:r w:rsidR="005257B7" w:rsidRPr="00CD1209">
        <w:rPr>
          <w:i/>
          <w:iCs/>
          <w:color w:val="000000"/>
          <w:sz w:val="18"/>
          <w:szCs w:val="18"/>
        </w:rPr>
        <w:t xml:space="preserve"> </w:t>
      </w:r>
      <w:r w:rsidR="00C2742B" w:rsidRPr="00CD1209">
        <w:rPr>
          <w:i/>
          <w:iCs/>
          <w:sz w:val="18"/>
          <w:szCs w:val="18"/>
        </w:rPr>
        <w:t>a</w:t>
      </w:r>
      <w:r w:rsidRPr="00CD1209">
        <w:rPr>
          <w:i/>
          <w:iCs/>
          <w:sz w:val="18"/>
          <w:szCs w:val="18"/>
        </w:rPr>
        <w:t>ll patients with unknown stage.</w:t>
      </w:r>
    </w:p>
    <w:p w14:paraId="470E7061" w14:textId="77777777" w:rsidR="00C464BE" w:rsidRPr="00CD1209" w:rsidRDefault="00C464BE" w:rsidP="005257B7">
      <w:pPr>
        <w:pStyle w:val="Tablefigurenote"/>
        <w:rPr>
          <w:i/>
          <w:iCs/>
          <w:sz w:val="18"/>
          <w:szCs w:val="18"/>
        </w:rPr>
      </w:pPr>
      <w:r w:rsidRPr="00CD1209">
        <w:rPr>
          <w:i/>
          <w:iCs/>
          <w:color w:val="000000"/>
          <w:sz w:val="18"/>
          <w:szCs w:val="18"/>
        </w:rPr>
        <w:t>Appendix 2 provides the dataset.</w:t>
      </w:r>
    </w:p>
    <w:p w14:paraId="7F6DCFB0" w14:textId="4B330380" w:rsidR="00C15462" w:rsidRPr="007F02C0" w:rsidRDefault="00C15462" w:rsidP="007C7F00">
      <w:pPr>
        <w:pStyle w:val="Heading4"/>
      </w:pPr>
      <w:r w:rsidRPr="007F02C0">
        <w:t>Measure assessment</w:t>
      </w:r>
    </w:p>
    <w:p w14:paraId="32C59AA2" w14:textId="753572AF" w:rsidR="00C15462" w:rsidRPr="007F02C0" w:rsidRDefault="00C15462" w:rsidP="00606436">
      <w:pPr>
        <w:pStyle w:val="Body"/>
      </w:pPr>
      <w:r w:rsidRPr="007F02C0">
        <w:t xml:space="preserve">Traffic light rating: </w:t>
      </w:r>
      <w:r w:rsidR="007F02C0" w:rsidRPr="00D207B2">
        <w:rPr>
          <w:b/>
          <w:color w:val="007B4B"/>
        </w:rPr>
        <w:t>Green</w:t>
      </w:r>
      <w:r w:rsidR="007F02C0" w:rsidRPr="007F02C0">
        <w:t xml:space="preserve"> (satisfactory result)</w:t>
      </w:r>
    </w:p>
    <w:p w14:paraId="61CA10E4" w14:textId="401DFBFB" w:rsidR="00C15462" w:rsidRPr="007F02C0" w:rsidRDefault="00C15462" w:rsidP="00606436">
      <w:pPr>
        <w:pStyle w:val="Body"/>
      </w:pPr>
      <w:r w:rsidRPr="007F02C0">
        <w:t xml:space="preserve">Overall trend: </w:t>
      </w:r>
      <w:r w:rsidR="00A35016" w:rsidRPr="007F02C0">
        <w:t>Moving in the right direction</w:t>
      </w:r>
    </w:p>
    <w:p w14:paraId="5E36611C" w14:textId="3CF7B516" w:rsidR="000F5F8B" w:rsidRPr="000F5F8B" w:rsidRDefault="00C15462" w:rsidP="00E87AAA">
      <w:pPr>
        <w:pStyle w:val="Body"/>
        <w:rPr>
          <w:lang w:val="en"/>
        </w:rPr>
      </w:pPr>
      <w:r w:rsidRPr="000F5F8B">
        <w:rPr>
          <w:lang w:eastAsia="en-AU"/>
        </w:rPr>
        <w:t>Commentary:</w:t>
      </w:r>
      <w:r w:rsidR="00E672BA" w:rsidRPr="000F5F8B">
        <w:rPr>
          <w:lang w:eastAsia="en-AU"/>
        </w:rPr>
        <w:t xml:space="preserve"> </w:t>
      </w:r>
      <w:r w:rsidR="00E672BA" w:rsidRPr="000F5F8B">
        <w:rPr>
          <w:lang w:val="en"/>
        </w:rPr>
        <w:t>The distribution of cancer stage at diagnosis provides an indication of whether a particular cancer type is diagnosed earlier or later</w:t>
      </w:r>
      <w:r w:rsidR="00FC1695" w:rsidRPr="000F5F8B">
        <w:rPr>
          <w:lang w:val="en"/>
        </w:rPr>
        <w:t>.</w:t>
      </w:r>
      <w:r w:rsidR="00952FC7" w:rsidRPr="000F5F8B">
        <w:rPr>
          <w:lang w:val="en"/>
        </w:rPr>
        <w:t xml:space="preserve"> </w:t>
      </w:r>
      <w:r w:rsidR="00890668" w:rsidRPr="000F5F8B">
        <w:rPr>
          <w:lang w:val="en"/>
        </w:rPr>
        <w:t xml:space="preserve">At </w:t>
      </w:r>
      <w:r w:rsidR="00B5121D">
        <w:rPr>
          <w:lang w:val="en"/>
        </w:rPr>
        <w:t>the</w:t>
      </w:r>
      <w:r w:rsidR="00B5121D" w:rsidRPr="000F5F8B">
        <w:rPr>
          <w:lang w:val="en"/>
        </w:rPr>
        <w:t xml:space="preserve"> </w:t>
      </w:r>
      <w:r w:rsidR="00890668" w:rsidRPr="000F5F8B">
        <w:rPr>
          <w:lang w:val="en"/>
        </w:rPr>
        <w:t xml:space="preserve">international level it is important to note that due to differences in the scope of data collection, methodology and availability of information for staging, the distribution at a global stage at diagnosis will vary considerably. This measure presents </w:t>
      </w:r>
      <w:r w:rsidR="00D7117D" w:rsidRPr="000F5F8B">
        <w:rPr>
          <w:lang w:val="en"/>
        </w:rPr>
        <w:t xml:space="preserve">the distribution pattern of </w:t>
      </w:r>
      <w:r w:rsidR="00890668" w:rsidRPr="000F5F8B">
        <w:rPr>
          <w:lang w:val="en"/>
        </w:rPr>
        <w:t>statewide stage (</w:t>
      </w:r>
      <w:r w:rsidR="00B5121D">
        <w:rPr>
          <w:lang w:val="en"/>
        </w:rPr>
        <w:t xml:space="preserve">stages </w:t>
      </w:r>
      <w:r w:rsidR="00890668" w:rsidRPr="000F5F8B">
        <w:rPr>
          <w:lang w:val="en"/>
        </w:rPr>
        <w:t>1 and 2) at diagnosis data for</w:t>
      </w:r>
      <w:r w:rsidR="00A52EC3" w:rsidRPr="000F5F8B">
        <w:rPr>
          <w:lang w:val="en"/>
        </w:rPr>
        <w:t xml:space="preserve"> colorectal cancer</w:t>
      </w:r>
      <w:r w:rsidR="00890668" w:rsidRPr="000F5F8B">
        <w:rPr>
          <w:lang w:val="en"/>
        </w:rPr>
        <w:t xml:space="preserve"> </w:t>
      </w:r>
      <w:r w:rsidR="00A52EC3" w:rsidRPr="000F5F8B">
        <w:rPr>
          <w:lang w:val="en"/>
        </w:rPr>
        <w:lastRenderedPageBreak/>
        <w:t>(</w:t>
      </w:r>
      <w:r w:rsidR="00112A28" w:rsidRPr="000F5F8B">
        <w:rPr>
          <w:lang w:val="en"/>
        </w:rPr>
        <w:t>CRC</w:t>
      </w:r>
      <w:r w:rsidR="00A52EC3" w:rsidRPr="000F5F8B">
        <w:rPr>
          <w:lang w:val="en"/>
        </w:rPr>
        <w:t>)</w:t>
      </w:r>
      <w:r w:rsidR="000F5F8B">
        <w:rPr>
          <w:lang w:val="en"/>
        </w:rPr>
        <w:t xml:space="preserve"> or bowel cancer</w:t>
      </w:r>
      <w:r w:rsidR="00890668" w:rsidRPr="000F5F8B">
        <w:rPr>
          <w:lang w:val="en"/>
        </w:rPr>
        <w:t>.</w:t>
      </w:r>
      <w:r w:rsidR="00952FC7" w:rsidRPr="000F5F8B">
        <w:rPr>
          <w:lang w:val="en"/>
        </w:rPr>
        <w:t xml:space="preserve"> </w:t>
      </w:r>
      <w:r w:rsidR="000F5F8B" w:rsidRPr="000F5F8B">
        <w:rPr>
          <w:lang w:val="en"/>
        </w:rPr>
        <w:t>Stage 1 disease indicates that the tumour is contained to the lining of the bowel.</w:t>
      </w:r>
      <w:r w:rsidR="000F5F8B" w:rsidRPr="000F5F8B">
        <w:rPr>
          <w:rStyle w:val="FootnoteReference"/>
          <w:rFonts w:cs="Arial"/>
          <w:lang w:val="en"/>
        </w:rPr>
        <w:footnoteReference w:id="149"/>
      </w:r>
      <w:r w:rsidR="000F5F8B" w:rsidRPr="000F5F8B">
        <w:rPr>
          <w:lang w:val="en"/>
        </w:rPr>
        <w:t xml:space="preserve"> In 2021, </w:t>
      </w:r>
      <w:r w:rsidR="005F3CC4">
        <w:rPr>
          <w:lang w:val="en"/>
        </w:rPr>
        <w:t>54</w:t>
      </w:r>
      <w:r w:rsidR="000F5F8B" w:rsidRPr="000F5F8B">
        <w:rPr>
          <w:lang w:val="en"/>
        </w:rPr>
        <w:t>.</w:t>
      </w:r>
      <w:r w:rsidR="005F3CC4">
        <w:rPr>
          <w:lang w:val="en"/>
        </w:rPr>
        <w:t>1</w:t>
      </w:r>
      <w:r w:rsidR="0054537F">
        <w:rPr>
          <w:lang w:val="en"/>
        </w:rPr>
        <w:t>%</w:t>
      </w:r>
      <w:r w:rsidR="000F5F8B" w:rsidRPr="000F5F8B">
        <w:rPr>
          <w:lang w:val="en"/>
        </w:rPr>
        <w:t xml:space="preserve"> of </w:t>
      </w:r>
      <w:r w:rsidR="000F5F8B">
        <w:rPr>
          <w:lang w:val="en"/>
        </w:rPr>
        <w:t xml:space="preserve">CRC </w:t>
      </w:r>
      <w:r w:rsidR="000F5F8B" w:rsidRPr="000F5F8B">
        <w:rPr>
          <w:lang w:val="en"/>
        </w:rPr>
        <w:t>was diagnosed at stage</w:t>
      </w:r>
      <w:r w:rsidR="00B5121D">
        <w:rPr>
          <w:lang w:val="en"/>
        </w:rPr>
        <w:t>s</w:t>
      </w:r>
      <w:r w:rsidR="000F5F8B" w:rsidRPr="000F5F8B">
        <w:rPr>
          <w:lang w:val="en"/>
        </w:rPr>
        <w:t xml:space="preserve"> 1 or 2 in Victoria.</w:t>
      </w:r>
      <w:r w:rsidR="000F5F8B" w:rsidRPr="000F5F8B">
        <w:rPr>
          <w:rStyle w:val="FootnoteReference"/>
          <w:rFonts w:cs="Arial"/>
          <w:lang w:val="en"/>
        </w:rPr>
        <w:footnoteReference w:id="150"/>
      </w:r>
    </w:p>
    <w:p w14:paraId="0852FEA2" w14:textId="06B4B343" w:rsidR="00D7117D" w:rsidRPr="0034799A" w:rsidRDefault="00D7117D" w:rsidP="00E87AAA">
      <w:pPr>
        <w:pStyle w:val="Body"/>
        <w:rPr>
          <w:highlight w:val="yellow"/>
          <w:lang w:val="en"/>
        </w:rPr>
      </w:pPr>
      <w:r w:rsidRPr="0084759F">
        <w:rPr>
          <w:lang w:val="en"/>
        </w:rPr>
        <w:t>Figure 11.3 shows that</w:t>
      </w:r>
      <w:r w:rsidR="00E26224" w:rsidRPr="0084759F">
        <w:rPr>
          <w:lang w:val="en"/>
        </w:rPr>
        <w:t xml:space="preserve"> </w:t>
      </w:r>
      <w:r w:rsidRPr="0084759F">
        <w:rPr>
          <w:lang w:val="en"/>
        </w:rPr>
        <w:t xml:space="preserve">over half </w:t>
      </w:r>
      <w:r w:rsidRPr="008C6244">
        <w:rPr>
          <w:lang w:val="en"/>
        </w:rPr>
        <w:t xml:space="preserve">of </w:t>
      </w:r>
      <w:r w:rsidR="00DB6A2A" w:rsidRPr="008C6244">
        <w:rPr>
          <w:lang w:val="en"/>
        </w:rPr>
        <w:t xml:space="preserve">all </w:t>
      </w:r>
      <w:r w:rsidR="001B573C" w:rsidRPr="008C6244">
        <w:rPr>
          <w:lang w:val="en"/>
        </w:rPr>
        <w:t xml:space="preserve">colorectal </w:t>
      </w:r>
      <w:r w:rsidRPr="008C6244">
        <w:rPr>
          <w:lang w:val="en"/>
        </w:rPr>
        <w:t xml:space="preserve">cases </w:t>
      </w:r>
      <w:r w:rsidR="00366F4A" w:rsidRPr="008C6244">
        <w:rPr>
          <w:lang w:val="en"/>
        </w:rPr>
        <w:t>between 2014 (5</w:t>
      </w:r>
      <w:r w:rsidR="00827040" w:rsidRPr="008C6244">
        <w:rPr>
          <w:lang w:val="en"/>
        </w:rPr>
        <w:t>3</w:t>
      </w:r>
      <w:r w:rsidR="00366F4A" w:rsidRPr="008C6244">
        <w:rPr>
          <w:lang w:val="en"/>
        </w:rPr>
        <w:t>.</w:t>
      </w:r>
      <w:r w:rsidR="00827040" w:rsidRPr="008C6244">
        <w:rPr>
          <w:lang w:val="en"/>
        </w:rPr>
        <w:t>0</w:t>
      </w:r>
      <w:r w:rsidR="0054537F">
        <w:rPr>
          <w:lang w:val="en"/>
        </w:rPr>
        <w:t>%</w:t>
      </w:r>
      <w:r w:rsidR="00366F4A" w:rsidRPr="008C6244">
        <w:rPr>
          <w:lang w:val="en"/>
        </w:rPr>
        <w:t>) and 20</w:t>
      </w:r>
      <w:r w:rsidR="00827040" w:rsidRPr="008C6244">
        <w:rPr>
          <w:lang w:val="en"/>
        </w:rPr>
        <w:t>21</w:t>
      </w:r>
      <w:r w:rsidR="00366F4A" w:rsidRPr="008C6244">
        <w:rPr>
          <w:lang w:val="en"/>
        </w:rPr>
        <w:t xml:space="preserve"> (5</w:t>
      </w:r>
      <w:r w:rsidR="00827040" w:rsidRPr="008C6244">
        <w:rPr>
          <w:lang w:val="en"/>
        </w:rPr>
        <w:t>4</w:t>
      </w:r>
      <w:r w:rsidR="000F5F8B" w:rsidRPr="008C6244">
        <w:rPr>
          <w:lang w:val="en"/>
        </w:rPr>
        <w:t>.</w:t>
      </w:r>
      <w:r w:rsidR="00827040" w:rsidRPr="008C6244">
        <w:rPr>
          <w:lang w:val="en"/>
        </w:rPr>
        <w:t>1</w:t>
      </w:r>
      <w:r w:rsidR="0054537F">
        <w:rPr>
          <w:lang w:val="en"/>
        </w:rPr>
        <w:t>%</w:t>
      </w:r>
      <w:r w:rsidR="00366F4A" w:rsidRPr="008C6244">
        <w:rPr>
          <w:lang w:val="en"/>
        </w:rPr>
        <w:t xml:space="preserve">) </w:t>
      </w:r>
      <w:r w:rsidRPr="008C6244">
        <w:rPr>
          <w:lang w:val="en"/>
        </w:rPr>
        <w:t>were diagnosed at an early stage (</w:t>
      </w:r>
      <w:r w:rsidR="00B5121D">
        <w:rPr>
          <w:lang w:val="en"/>
        </w:rPr>
        <w:t xml:space="preserve">stages </w:t>
      </w:r>
      <w:r w:rsidRPr="008C6244">
        <w:rPr>
          <w:lang w:val="en"/>
        </w:rPr>
        <w:t>1 or 2)</w:t>
      </w:r>
      <w:r w:rsidR="001B573C" w:rsidRPr="008C6244">
        <w:rPr>
          <w:lang w:val="en"/>
        </w:rPr>
        <w:t>. Early</w:t>
      </w:r>
      <w:r w:rsidR="00A52EC3" w:rsidRPr="008C6244">
        <w:rPr>
          <w:lang w:val="en"/>
        </w:rPr>
        <w:t>-</w:t>
      </w:r>
      <w:r w:rsidR="001B573C" w:rsidRPr="008C6244">
        <w:rPr>
          <w:lang w:val="en"/>
        </w:rPr>
        <w:t xml:space="preserve">stage </w:t>
      </w:r>
      <w:r w:rsidR="00112A28" w:rsidRPr="008C6244">
        <w:rPr>
          <w:lang w:val="en"/>
        </w:rPr>
        <w:t xml:space="preserve">CRC </w:t>
      </w:r>
      <w:r w:rsidR="001B573C" w:rsidRPr="008C6244">
        <w:rPr>
          <w:lang w:val="en"/>
        </w:rPr>
        <w:t>(stage</w:t>
      </w:r>
      <w:r w:rsidR="00B5121D">
        <w:rPr>
          <w:lang w:val="en"/>
        </w:rPr>
        <w:t>s</w:t>
      </w:r>
      <w:r w:rsidR="001B573C" w:rsidRPr="008C6244">
        <w:rPr>
          <w:lang w:val="en"/>
        </w:rPr>
        <w:t xml:space="preserve"> 1 and 2) accounted for between </w:t>
      </w:r>
      <w:r w:rsidR="0084759F" w:rsidRPr="008C6244">
        <w:rPr>
          <w:lang w:val="en"/>
        </w:rPr>
        <w:t>80.6</w:t>
      </w:r>
      <w:r w:rsidR="0054537F">
        <w:rPr>
          <w:lang w:val="en"/>
        </w:rPr>
        <w:t>%</w:t>
      </w:r>
      <w:r w:rsidR="0084759F" w:rsidRPr="008C6244">
        <w:rPr>
          <w:lang w:val="en"/>
        </w:rPr>
        <w:t xml:space="preserve"> in 2014 to 77.</w:t>
      </w:r>
      <w:r w:rsidR="008C6244" w:rsidRPr="008C6244">
        <w:rPr>
          <w:lang w:val="en"/>
        </w:rPr>
        <w:t>8</w:t>
      </w:r>
      <w:r w:rsidR="0054537F">
        <w:rPr>
          <w:lang w:val="en"/>
        </w:rPr>
        <w:t>%</w:t>
      </w:r>
      <w:r w:rsidR="0084759F" w:rsidRPr="008C6244">
        <w:rPr>
          <w:lang w:val="en"/>
        </w:rPr>
        <w:t xml:space="preserve"> in 20</w:t>
      </w:r>
      <w:r w:rsidR="008C6244" w:rsidRPr="008C6244">
        <w:rPr>
          <w:lang w:val="en"/>
        </w:rPr>
        <w:t>21</w:t>
      </w:r>
      <w:r w:rsidR="001B573C" w:rsidRPr="008C6244">
        <w:rPr>
          <w:lang w:val="en"/>
        </w:rPr>
        <w:t xml:space="preserve"> of cancers for </w:t>
      </w:r>
      <w:r w:rsidR="00DC7655" w:rsidRPr="008C6244">
        <w:rPr>
          <w:lang w:val="en"/>
        </w:rPr>
        <w:t>people</w:t>
      </w:r>
      <w:r w:rsidR="001B573C" w:rsidRPr="008C6244">
        <w:rPr>
          <w:lang w:val="en"/>
        </w:rPr>
        <w:t xml:space="preserve"> aged 60 years </w:t>
      </w:r>
      <w:r w:rsidR="001B50BF" w:rsidRPr="008C6244">
        <w:rPr>
          <w:lang w:val="en"/>
        </w:rPr>
        <w:t xml:space="preserve">or </w:t>
      </w:r>
      <w:r w:rsidR="001B573C" w:rsidRPr="008C6244">
        <w:rPr>
          <w:lang w:val="en"/>
        </w:rPr>
        <w:t>older. Slightly lower proportions of early</w:t>
      </w:r>
      <w:r w:rsidR="00A52EC3" w:rsidRPr="008C6244">
        <w:rPr>
          <w:lang w:val="en"/>
        </w:rPr>
        <w:t>-</w:t>
      </w:r>
      <w:r w:rsidR="001B573C" w:rsidRPr="008C6244">
        <w:rPr>
          <w:lang w:val="en"/>
        </w:rPr>
        <w:t xml:space="preserve">stage cancers were </w:t>
      </w:r>
      <w:r w:rsidR="0084759F" w:rsidRPr="008C6244">
        <w:rPr>
          <w:lang w:val="en"/>
        </w:rPr>
        <w:t>detected</w:t>
      </w:r>
      <w:r w:rsidR="001B573C" w:rsidRPr="008C6244">
        <w:rPr>
          <w:lang w:val="en"/>
        </w:rPr>
        <w:t xml:space="preserve"> in </w:t>
      </w:r>
      <w:r w:rsidR="00DC7655" w:rsidRPr="008C6244">
        <w:rPr>
          <w:lang w:val="en"/>
        </w:rPr>
        <w:t>people</w:t>
      </w:r>
      <w:r w:rsidR="001B573C" w:rsidRPr="008C6244">
        <w:rPr>
          <w:lang w:val="en"/>
        </w:rPr>
        <w:t xml:space="preserve"> aged under 60 years (</w:t>
      </w:r>
      <w:r w:rsidR="003A00B2" w:rsidRPr="008C6244">
        <w:rPr>
          <w:lang w:val="en"/>
        </w:rPr>
        <w:t>46</w:t>
      </w:r>
      <w:r w:rsidR="009B4997" w:rsidRPr="008C6244">
        <w:rPr>
          <w:lang w:val="en"/>
        </w:rPr>
        <w:t>.</w:t>
      </w:r>
      <w:r w:rsidR="003A00B2" w:rsidRPr="008C6244">
        <w:rPr>
          <w:lang w:val="en"/>
        </w:rPr>
        <w:t>5</w:t>
      </w:r>
      <w:r w:rsidR="0054537F">
        <w:rPr>
          <w:lang w:val="en"/>
        </w:rPr>
        <w:t>%</w:t>
      </w:r>
      <w:r w:rsidR="009B4997" w:rsidRPr="008C6244">
        <w:rPr>
          <w:lang w:val="en"/>
        </w:rPr>
        <w:t xml:space="preserve"> in 2014 rising </w:t>
      </w:r>
      <w:r w:rsidR="003A00B2" w:rsidRPr="008C6244">
        <w:rPr>
          <w:lang w:val="en"/>
        </w:rPr>
        <w:t xml:space="preserve">slightly </w:t>
      </w:r>
      <w:r w:rsidR="009B4997" w:rsidRPr="008C6244">
        <w:rPr>
          <w:lang w:val="en"/>
        </w:rPr>
        <w:t xml:space="preserve">to </w:t>
      </w:r>
      <w:r w:rsidR="003A00B2" w:rsidRPr="008C6244">
        <w:rPr>
          <w:lang w:val="en"/>
        </w:rPr>
        <w:t>46</w:t>
      </w:r>
      <w:r w:rsidR="009B4997" w:rsidRPr="008C6244">
        <w:rPr>
          <w:lang w:val="en"/>
        </w:rPr>
        <w:t>.</w:t>
      </w:r>
      <w:r w:rsidR="003A00B2" w:rsidRPr="008C6244">
        <w:rPr>
          <w:lang w:val="en"/>
        </w:rPr>
        <w:t>7</w:t>
      </w:r>
      <w:r w:rsidR="0054537F">
        <w:rPr>
          <w:lang w:val="en"/>
        </w:rPr>
        <w:t>%</w:t>
      </w:r>
      <w:r w:rsidR="009B4997" w:rsidRPr="008C6244">
        <w:rPr>
          <w:lang w:val="en"/>
        </w:rPr>
        <w:t xml:space="preserve"> in 20</w:t>
      </w:r>
      <w:r w:rsidR="003A00B2" w:rsidRPr="008C6244">
        <w:rPr>
          <w:lang w:val="en"/>
        </w:rPr>
        <w:t>21</w:t>
      </w:r>
      <w:r w:rsidR="00B5121D">
        <w:rPr>
          <w:lang w:val="en"/>
        </w:rPr>
        <w:t>;</w:t>
      </w:r>
      <w:r w:rsidR="009B4997" w:rsidRPr="008C6244">
        <w:rPr>
          <w:lang w:val="en"/>
        </w:rPr>
        <w:t xml:space="preserve"> refer to Table 11.3, Appendix 2</w:t>
      </w:r>
      <w:r w:rsidR="001B573C" w:rsidRPr="008C6244">
        <w:rPr>
          <w:lang w:val="en"/>
        </w:rPr>
        <w:t>).</w:t>
      </w:r>
      <w:r w:rsidR="00E06C8D" w:rsidRPr="008C6244">
        <w:rPr>
          <w:lang w:val="en"/>
        </w:rPr>
        <w:t xml:space="preserve"> </w:t>
      </w:r>
      <w:r w:rsidR="009630A7" w:rsidRPr="008C6244">
        <w:rPr>
          <w:lang w:val="en"/>
        </w:rPr>
        <w:t>B</w:t>
      </w:r>
      <w:r w:rsidR="00B8307A" w:rsidRPr="008C6244">
        <w:rPr>
          <w:lang w:val="en"/>
        </w:rPr>
        <w:t>etween 2014</w:t>
      </w:r>
      <w:r w:rsidR="00B8307A" w:rsidRPr="009B4997">
        <w:rPr>
          <w:lang w:val="en"/>
        </w:rPr>
        <w:t xml:space="preserve"> and 20</w:t>
      </w:r>
      <w:r w:rsidR="003A00B2">
        <w:rPr>
          <w:lang w:val="en"/>
        </w:rPr>
        <w:t>21</w:t>
      </w:r>
      <w:r w:rsidR="00B8307A" w:rsidRPr="009B4997">
        <w:rPr>
          <w:lang w:val="en"/>
        </w:rPr>
        <w:t xml:space="preserve"> </w:t>
      </w:r>
      <w:r w:rsidR="00E06C8D" w:rsidRPr="009B4997">
        <w:rPr>
          <w:lang w:val="en"/>
        </w:rPr>
        <w:t>there was a similar distribution of early stage (</w:t>
      </w:r>
      <w:r w:rsidR="00B5121D">
        <w:rPr>
          <w:lang w:val="en"/>
        </w:rPr>
        <w:t xml:space="preserve">stages </w:t>
      </w:r>
      <w:r w:rsidR="00E06C8D" w:rsidRPr="009B4997">
        <w:rPr>
          <w:lang w:val="en"/>
        </w:rPr>
        <w:t xml:space="preserve">1 and 2) at diagnoses for both </w:t>
      </w:r>
      <w:r w:rsidR="00B8307A" w:rsidRPr="009B4997">
        <w:rPr>
          <w:lang w:val="en"/>
        </w:rPr>
        <w:t>males and females</w:t>
      </w:r>
      <w:r w:rsidR="00A52EC3" w:rsidRPr="009B4997">
        <w:rPr>
          <w:lang w:val="en"/>
        </w:rPr>
        <w:t>,</w:t>
      </w:r>
      <w:r w:rsidR="00B8307A" w:rsidRPr="009B4997">
        <w:rPr>
          <w:lang w:val="en"/>
        </w:rPr>
        <w:t xml:space="preserve"> although the latter showed a</w:t>
      </w:r>
      <w:r w:rsidR="000F5F8B" w:rsidRPr="009B4997">
        <w:rPr>
          <w:lang w:val="en"/>
        </w:rPr>
        <w:t xml:space="preserve"> marked</w:t>
      </w:r>
      <w:r w:rsidR="00B8307A" w:rsidRPr="009B4997">
        <w:rPr>
          <w:lang w:val="en"/>
        </w:rPr>
        <w:t xml:space="preserve"> increase from 5</w:t>
      </w:r>
      <w:r w:rsidR="000F5F8B" w:rsidRPr="009B4997">
        <w:rPr>
          <w:lang w:val="en"/>
        </w:rPr>
        <w:t>0</w:t>
      </w:r>
      <w:r w:rsidR="00B8307A" w:rsidRPr="009B4997">
        <w:rPr>
          <w:lang w:val="en"/>
        </w:rPr>
        <w:t>.</w:t>
      </w:r>
      <w:r w:rsidR="003A00B2">
        <w:rPr>
          <w:lang w:val="en"/>
        </w:rPr>
        <w:t>9</w:t>
      </w:r>
      <w:r w:rsidR="0054537F">
        <w:rPr>
          <w:lang w:val="en"/>
        </w:rPr>
        <w:t>%</w:t>
      </w:r>
      <w:r w:rsidR="00B8307A" w:rsidRPr="009B4997">
        <w:rPr>
          <w:lang w:val="en"/>
        </w:rPr>
        <w:t xml:space="preserve"> in 2014 to</w:t>
      </w:r>
      <w:r w:rsidR="00375C79" w:rsidRPr="009B4997">
        <w:rPr>
          <w:lang w:val="en"/>
        </w:rPr>
        <w:t xml:space="preserve"> </w:t>
      </w:r>
      <w:r w:rsidR="00B8307A" w:rsidRPr="009B4997">
        <w:rPr>
          <w:lang w:val="en"/>
        </w:rPr>
        <w:t>54.</w:t>
      </w:r>
      <w:r w:rsidR="003A00B2">
        <w:rPr>
          <w:lang w:val="en"/>
        </w:rPr>
        <w:t>2</w:t>
      </w:r>
      <w:r w:rsidR="0054537F">
        <w:rPr>
          <w:lang w:val="en"/>
        </w:rPr>
        <w:t>%</w:t>
      </w:r>
      <w:r w:rsidR="00B8307A" w:rsidRPr="009B4997">
        <w:rPr>
          <w:lang w:val="en"/>
        </w:rPr>
        <w:t xml:space="preserve"> in 20</w:t>
      </w:r>
      <w:r w:rsidR="003A00B2">
        <w:rPr>
          <w:lang w:val="en"/>
        </w:rPr>
        <w:t>21</w:t>
      </w:r>
      <w:r w:rsidR="00B8307A" w:rsidRPr="009B4997">
        <w:rPr>
          <w:lang w:val="en"/>
        </w:rPr>
        <w:t>.</w:t>
      </w:r>
    </w:p>
    <w:p w14:paraId="750CD217" w14:textId="1DC5390C" w:rsidR="00B8307A" w:rsidRPr="0034799A" w:rsidRDefault="00B8307A" w:rsidP="00E87AAA">
      <w:pPr>
        <w:pStyle w:val="Body"/>
        <w:rPr>
          <w:highlight w:val="yellow"/>
          <w:lang w:val="en"/>
        </w:rPr>
      </w:pPr>
      <w:r w:rsidRPr="00D06389">
        <w:rPr>
          <w:lang w:val="en"/>
        </w:rPr>
        <w:t>Due to the small number of incident cancer cases</w:t>
      </w:r>
      <w:r w:rsidR="001B0F6E" w:rsidRPr="00D06389">
        <w:rPr>
          <w:lang w:val="en"/>
        </w:rPr>
        <w:t xml:space="preserve"> </w:t>
      </w:r>
      <w:r w:rsidR="00AF0F53" w:rsidRPr="00D06389">
        <w:rPr>
          <w:lang w:val="en"/>
        </w:rPr>
        <w:t xml:space="preserve">among </w:t>
      </w:r>
      <w:r w:rsidR="001B50BF" w:rsidRPr="00D06389">
        <w:rPr>
          <w:lang w:val="en"/>
        </w:rPr>
        <w:t>A</w:t>
      </w:r>
      <w:r w:rsidR="001B0F6E" w:rsidRPr="00D06389">
        <w:rPr>
          <w:lang w:val="en"/>
        </w:rPr>
        <w:t>boriginal</w:t>
      </w:r>
      <w:r w:rsidR="00AF0F53" w:rsidRPr="00D06389">
        <w:rPr>
          <w:lang w:val="en"/>
        </w:rPr>
        <w:t xml:space="preserve"> Victorians</w:t>
      </w:r>
      <w:r w:rsidRPr="00D06389">
        <w:rPr>
          <w:lang w:val="en"/>
        </w:rPr>
        <w:t xml:space="preserve"> in a single year over the </w:t>
      </w:r>
      <w:r w:rsidR="00D06389" w:rsidRPr="00D06389">
        <w:rPr>
          <w:lang w:val="en"/>
        </w:rPr>
        <w:t>s</w:t>
      </w:r>
      <w:r w:rsidR="00827040">
        <w:rPr>
          <w:lang w:val="en"/>
        </w:rPr>
        <w:t>even</w:t>
      </w:r>
      <w:r w:rsidRPr="00D06389">
        <w:rPr>
          <w:lang w:val="en"/>
        </w:rPr>
        <w:t>-year period (2014</w:t>
      </w:r>
      <w:r w:rsidR="00B5121D">
        <w:rPr>
          <w:lang w:val="en"/>
        </w:rPr>
        <w:t>–</w:t>
      </w:r>
      <w:r w:rsidR="00D06389" w:rsidRPr="00D06389">
        <w:rPr>
          <w:lang w:val="en"/>
        </w:rPr>
        <w:t>20</w:t>
      </w:r>
      <w:r w:rsidR="00827040">
        <w:rPr>
          <w:lang w:val="en"/>
        </w:rPr>
        <w:t>21</w:t>
      </w:r>
      <w:r w:rsidRPr="00D06389">
        <w:rPr>
          <w:lang w:val="en"/>
        </w:rPr>
        <w:t xml:space="preserve">), results of analysis by </w:t>
      </w:r>
      <w:r w:rsidR="00D3516B" w:rsidRPr="00D06389">
        <w:rPr>
          <w:lang w:val="en"/>
        </w:rPr>
        <w:t>I</w:t>
      </w:r>
      <w:r w:rsidRPr="00D06389">
        <w:rPr>
          <w:lang w:val="en"/>
        </w:rPr>
        <w:t>ndigenous status should be interpreted with caution.</w:t>
      </w:r>
      <w:r w:rsidR="00050894" w:rsidRPr="00D06389">
        <w:rPr>
          <w:lang w:val="en"/>
        </w:rPr>
        <w:t xml:space="preserve"> </w:t>
      </w:r>
      <w:bookmarkStart w:id="740" w:name="_Hlk140492592"/>
      <w:r w:rsidRPr="00D343D0">
        <w:rPr>
          <w:lang w:val="en"/>
        </w:rPr>
        <w:t xml:space="preserve">Figure 11.3 shows that Aboriginal Victorians </w:t>
      </w:r>
      <w:r w:rsidR="00BE2672">
        <w:rPr>
          <w:lang w:val="en"/>
        </w:rPr>
        <w:t xml:space="preserve">has </w:t>
      </w:r>
      <w:r w:rsidR="00BE2672" w:rsidRPr="00D343D0">
        <w:rPr>
          <w:lang w:val="en"/>
        </w:rPr>
        <w:t xml:space="preserve">a lower proportion of CRCs </w:t>
      </w:r>
      <w:r w:rsidR="00BE2672" w:rsidRPr="00D343D0">
        <w:rPr>
          <w:lang w:eastAsia="en-AU"/>
        </w:rPr>
        <w:t>diagnosed at stages 1 and 2 in 2014 than non-Aboriginal Victorians</w:t>
      </w:r>
      <w:r w:rsidR="00BE2672">
        <w:rPr>
          <w:lang w:eastAsia="en-AU"/>
        </w:rPr>
        <w:t>.</w:t>
      </w:r>
      <w:r w:rsidR="00BE2672">
        <w:rPr>
          <w:lang w:val="en"/>
        </w:rPr>
        <w:t xml:space="preserve"> However, in 2021 it was almost the same (54.2 percent for Aboriginal Victorians verses 54.1 percent for </w:t>
      </w:r>
      <w:r w:rsidR="00BE2672" w:rsidRPr="00D343D0">
        <w:rPr>
          <w:lang w:eastAsia="en-AU"/>
        </w:rPr>
        <w:t>non-Aboriginal Victorians</w:t>
      </w:r>
      <w:r w:rsidR="00BE2672">
        <w:rPr>
          <w:lang w:eastAsia="en-AU"/>
        </w:rPr>
        <w:t>)</w:t>
      </w:r>
      <w:r w:rsidR="00A52EC3" w:rsidRPr="00D343D0">
        <w:rPr>
          <w:lang w:eastAsia="en-AU"/>
        </w:rPr>
        <w:t>,</w:t>
      </w:r>
      <w:r w:rsidR="00953FE1" w:rsidRPr="00D343D0">
        <w:rPr>
          <w:lang w:eastAsia="en-AU"/>
        </w:rPr>
        <w:t xml:space="preserve"> but the number of </w:t>
      </w:r>
      <w:r w:rsidR="00BE2672">
        <w:rPr>
          <w:lang w:eastAsia="en-AU"/>
        </w:rPr>
        <w:t xml:space="preserve">Aboriginal </w:t>
      </w:r>
      <w:r w:rsidR="00953FE1" w:rsidRPr="00D343D0">
        <w:rPr>
          <w:lang w:eastAsia="en-AU"/>
        </w:rPr>
        <w:t>patients is very low (Table 11.3</w:t>
      </w:r>
      <w:r w:rsidR="00425FC5" w:rsidRPr="00D343D0">
        <w:rPr>
          <w:lang w:eastAsia="en-AU"/>
        </w:rPr>
        <w:t>, Appendix 2</w:t>
      </w:r>
      <w:r w:rsidR="00953FE1" w:rsidRPr="00D343D0">
        <w:rPr>
          <w:lang w:eastAsia="en-AU"/>
        </w:rPr>
        <w:t>)</w:t>
      </w:r>
      <w:r w:rsidR="00BE62DF">
        <w:rPr>
          <w:lang w:eastAsia="en-AU"/>
        </w:rPr>
        <w:t xml:space="preserve"> –</w:t>
      </w:r>
      <w:r w:rsidR="00953FE1" w:rsidRPr="00D343D0">
        <w:rPr>
          <w:lang w:eastAsia="en-AU"/>
        </w:rPr>
        <w:t xml:space="preserve"> </w:t>
      </w:r>
      <w:r w:rsidR="008869C1" w:rsidRPr="00D343D0">
        <w:rPr>
          <w:lang w:eastAsia="en-AU"/>
        </w:rPr>
        <w:t>that is,</w:t>
      </w:r>
      <w:r w:rsidR="008E4F89" w:rsidRPr="00D343D0">
        <w:rPr>
          <w:lang w:eastAsia="en-AU"/>
        </w:rPr>
        <w:t xml:space="preserve"> </w:t>
      </w:r>
      <w:r w:rsidR="00D343D0" w:rsidRPr="00D343D0">
        <w:rPr>
          <w:lang w:eastAsia="en-AU"/>
        </w:rPr>
        <w:t xml:space="preserve">approximately </w:t>
      </w:r>
      <w:r w:rsidR="00827040">
        <w:rPr>
          <w:lang w:eastAsia="en-AU"/>
        </w:rPr>
        <w:t>71</w:t>
      </w:r>
      <w:r w:rsidR="00953FE1" w:rsidRPr="00D343D0">
        <w:rPr>
          <w:lang w:eastAsia="en-AU"/>
        </w:rPr>
        <w:t xml:space="preserve"> Aboriginal patients between 2014 and 20</w:t>
      </w:r>
      <w:r w:rsidR="00827040">
        <w:rPr>
          <w:lang w:eastAsia="en-AU"/>
        </w:rPr>
        <w:t>21</w:t>
      </w:r>
      <w:r w:rsidR="00953FE1" w:rsidRPr="00D343D0">
        <w:rPr>
          <w:lang w:eastAsia="en-AU"/>
        </w:rPr>
        <w:t xml:space="preserve"> compared </w:t>
      </w:r>
      <w:r w:rsidR="001B50BF" w:rsidRPr="00D343D0">
        <w:rPr>
          <w:lang w:eastAsia="en-AU"/>
        </w:rPr>
        <w:t>with more than</w:t>
      </w:r>
      <w:r w:rsidR="00953FE1" w:rsidRPr="00D343D0">
        <w:rPr>
          <w:lang w:eastAsia="en-AU"/>
        </w:rPr>
        <w:t xml:space="preserve"> </w:t>
      </w:r>
      <w:r w:rsidR="00D343D0" w:rsidRPr="00D343D0">
        <w:rPr>
          <w:lang w:eastAsia="en-AU"/>
        </w:rPr>
        <w:t>10</w:t>
      </w:r>
      <w:r w:rsidR="001B50BF" w:rsidRPr="00D343D0">
        <w:rPr>
          <w:lang w:eastAsia="en-AU"/>
        </w:rPr>
        <w:t>,</w:t>
      </w:r>
      <w:r w:rsidR="00953FE1" w:rsidRPr="00D343D0">
        <w:rPr>
          <w:lang w:eastAsia="en-AU"/>
        </w:rPr>
        <w:t>000 non-Aboriginal patients over the same period.</w:t>
      </w:r>
      <w:r w:rsidR="00952FC7" w:rsidRPr="00D343D0">
        <w:rPr>
          <w:lang w:eastAsia="en-AU"/>
        </w:rPr>
        <w:t xml:space="preserve"> </w:t>
      </w:r>
      <w:r w:rsidR="00045BDA" w:rsidRPr="00D343D0">
        <w:rPr>
          <w:lang w:eastAsia="en-AU"/>
        </w:rPr>
        <w:t xml:space="preserve">The difference in numbers may reflect a lower </w:t>
      </w:r>
      <w:r w:rsidR="00D343D0" w:rsidRPr="00D343D0">
        <w:rPr>
          <w:lang w:eastAsia="en-AU"/>
        </w:rPr>
        <w:t>uptake</w:t>
      </w:r>
      <w:r w:rsidR="00045BDA" w:rsidRPr="00D343D0">
        <w:rPr>
          <w:lang w:eastAsia="en-AU"/>
        </w:rPr>
        <w:t xml:space="preserve"> in </w:t>
      </w:r>
      <w:r w:rsidR="00BE62DF" w:rsidRPr="00D343D0">
        <w:rPr>
          <w:lang w:val="en"/>
        </w:rPr>
        <w:t xml:space="preserve">CRC </w:t>
      </w:r>
      <w:r w:rsidR="00045BDA" w:rsidRPr="00D343D0">
        <w:rPr>
          <w:lang w:eastAsia="en-AU"/>
        </w:rPr>
        <w:t xml:space="preserve">screening </w:t>
      </w:r>
      <w:r w:rsidR="00BE62DF">
        <w:rPr>
          <w:lang w:eastAsia="en-AU"/>
        </w:rPr>
        <w:t>among</w:t>
      </w:r>
      <w:r w:rsidR="00BE62DF" w:rsidRPr="00D343D0">
        <w:rPr>
          <w:lang w:eastAsia="en-AU"/>
        </w:rPr>
        <w:t xml:space="preserve"> </w:t>
      </w:r>
      <w:r w:rsidR="00045BDA" w:rsidRPr="00D343D0">
        <w:rPr>
          <w:lang w:eastAsia="en-AU"/>
        </w:rPr>
        <w:t>this population group.</w:t>
      </w:r>
    </w:p>
    <w:bookmarkEnd w:id="740"/>
    <w:p w14:paraId="6210A195" w14:textId="5D4DC14B" w:rsidR="00675E2B" w:rsidRPr="00D343D0" w:rsidRDefault="00045BDA" w:rsidP="00E87AAA">
      <w:pPr>
        <w:pStyle w:val="Body"/>
      </w:pPr>
      <w:r w:rsidRPr="00D343D0">
        <w:rPr>
          <w:rFonts w:cs="Arial"/>
          <w:lang w:val="en"/>
        </w:rPr>
        <w:t xml:space="preserve">People living in different </w:t>
      </w:r>
      <w:r w:rsidR="00BE62DF">
        <w:rPr>
          <w:rFonts w:cs="Arial"/>
          <w:lang w:val="en"/>
        </w:rPr>
        <w:t>SES</w:t>
      </w:r>
      <w:r w:rsidR="00BE62DF" w:rsidRPr="00D343D0">
        <w:rPr>
          <w:rFonts w:cs="Arial"/>
          <w:lang w:val="en"/>
        </w:rPr>
        <w:t xml:space="preserve"> </w:t>
      </w:r>
      <w:r w:rsidRPr="00D343D0">
        <w:rPr>
          <w:rFonts w:cs="Arial"/>
          <w:lang w:val="en"/>
        </w:rPr>
        <w:t xml:space="preserve">groups had similar proportions of </w:t>
      </w:r>
      <w:r w:rsidR="00112A28" w:rsidRPr="00D343D0">
        <w:rPr>
          <w:rFonts w:cs="Arial"/>
          <w:lang w:val="en"/>
        </w:rPr>
        <w:t xml:space="preserve">CRCs </w:t>
      </w:r>
      <w:r w:rsidR="003755CC" w:rsidRPr="00D343D0">
        <w:t>diagnosed at stages 1 and 2</w:t>
      </w:r>
      <w:r w:rsidR="00A52EC3" w:rsidRPr="00D343D0">
        <w:t>,</w:t>
      </w:r>
      <w:r w:rsidR="003755CC" w:rsidRPr="00D343D0">
        <w:t xml:space="preserve"> which were generally over 50</w:t>
      </w:r>
      <w:r w:rsidR="0054537F">
        <w:t>%</w:t>
      </w:r>
      <w:r w:rsidR="003755CC" w:rsidRPr="00D343D0">
        <w:t xml:space="preserve">. This was also reflected in the proportion of </w:t>
      </w:r>
      <w:r w:rsidR="00112A28" w:rsidRPr="00D343D0">
        <w:rPr>
          <w:rFonts w:cs="Arial"/>
          <w:lang w:val="en"/>
        </w:rPr>
        <w:t xml:space="preserve">CRCs </w:t>
      </w:r>
      <w:r w:rsidR="003755CC" w:rsidRPr="00D343D0">
        <w:t xml:space="preserve">diagnosed at stages 1 and 2 </w:t>
      </w:r>
      <w:r w:rsidR="00154F9C" w:rsidRPr="00D343D0">
        <w:t xml:space="preserve">across the different </w:t>
      </w:r>
      <w:r w:rsidR="008439C8" w:rsidRPr="00D343D0">
        <w:t>ICS</w:t>
      </w:r>
      <w:r w:rsidR="00154F9C" w:rsidRPr="00D343D0">
        <w:t>s, language spoken at home and</w:t>
      </w:r>
      <w:r w:rsidR="003755CC" w:rsidRPr="00D343D0">
        <w:t xml:space="preserve"> remote areas</w:t>
      </w:r>
      <w:r w:rsidR="001B0F6E" w:rsidRPr="00D343D0">
        <w:t>.</w:t>
      </w:r>
    </w:p>
    <w:p w14:paraId="0C6574C4" w14:textId="3D3C7E2F" w:rsidR="00675E2B" w:rsidRPr="00EA604B" w:rsidRDefault="00675E2B" w:rsidP="00E87AAA">
      <w:pPr>
        <w:pStyle w:val="Body"/>
      </w:pPr>
      <w:r w:rsidRPr="00D06389">
        <w:t>While no target has been set for this measure</w:t>
      </w:r>
      <w:r w:rsidR="008E4F89" w:rsidRPr="00D06389">
        <w:t>,</w:t>
      </w:r>
      <w:r w:rsidRPr="00D06389">
        <w:t xml:space="preserve"> </w:t>
      </w:r>
      <w:r w:rsidR="00D06389" w:rsidRPr="00D06389">
        <w:t>CRC rates are anticipated to increase as a result of Victoria’s ag</w:t>
      </w:r>
      <w:r w:rsidR="00BE62DF">
        <w:t>e</w:t>
      </w:r>
      <w:r w:rsidR="00D06389" w:rsidRPr="00D06389">
        <w:t>ing population.</w:t>
      </w:r>
      <w:r w:rsidR="00D06389">
        <w:rPr>
          <w:rStyle w:val="FootnoteReference"/>
          <w:rFonts w:cs="Arial"/>
          <w:lang w:eastAsia="en-AU"/>
        </w:rPr>
        <w:footnoteReference w:id="151"/>
      </w:r>
      <w:r w:rsidR="00D06389" w:rsidRPr="00D06389">
        <w:t xml:space="preserve"> I</w:t>
      </w:r>
      <w:r w:rsidR="001E28CA" w:rsidRPr="00D06389">
        <w:t xml:space="preserve">ncreasing </w:t>
      </w:r>
      <w:r w:rsidR="00D06389" w:rsidRPr="00D06389">
        <w:t>(including targeted campaigns with under</w:t>
      </w:r>
      <w:r w:rsidR="00BE62DF">
        <w:t>-</w:t>
      </w:r>
      <w:r w:rsidR="00D06389" w:rsidRPr="00D06389">
        <w:t xml:space="preserve">screened communities) and maintaining high levels of </w:t>
      </w:r>
      <w:r w:rsidR="001E28CA" w:rsidRPr="00D06389">
        <w:t>participation in</w:t>
      </w:r>
      <w:r w:rsidR="00FB6B13" w:rsidRPr="00D06389">
        <w:t xml:space="preserve"> the N</w:t>
      </w:r>
      <w:r w:rsidR="002A7392" w:rsidRPr="00D06389">
        <w:t>ational Bowel Cancer Screening Program</w:t>
      </w:r>
      <w:r w:rsidR="001E28CA" w:rsidRPr="00D06389">
        <w:t xml:space="preserve"> </w:t>
      </w:r>
      <w:r w:rsidR="009630A7">
        <w:t>will deliver</w:t>
      </w:r>
      <w:r w:rsidR="001E28CA" w:rsidRPr="00D06389">
        <w:t xml:space="preserve"> benefits in terms of reducing illness and death from CRC</w:t>
      </w:r>
      <w:r w:rsidR="00BE62DF">
        <w:t>,</w:t>
      </w:r>
      <w:r w:rsidR="00D06389" w:rsidRPr="00D06389">
        <w:t xml:space="preserve"> particularly</w:t>
      </w:r>
      <w:r w:rsidR="001E28CA" w:rsidRPr="00D06389">
        <w:t xml:space="preserve"> in the target age group of people aged 50</w:t>
      </w:r>
      <w:r w:rsidR="00CA2AD7" w:rsidRPr="00D06389">
        <w:t>–</w:t>
      </w:r>
      <w:r w:rsidR="001E28CA" w:rsidRPr="00D06389">
        <w:t>74 years.</w:t>
      </w:r>
      <w:r>
        <w:br w:type="page"/>
      </w:r>
    </w:p>
    <w:p w14:paraId="5DBEF978" w14:textId="39421BA9" w:rsidR="00DF376C" w:rsidRPr="008823DA" w:rsidRDefault="00DF376C" w:rsidP="00A451D4">
      <w:pPr>
        <w:pStyle w:val="Heading3"/>
        <w:rPr>
          <w:b/>
          <w:bCs w:val="0"/>
        </w:rPr>
      </w:pPr>
      <w:bookmarkStart w:id="741" w:name="_Toc19008113"/>
      <w:r w:rsidRPr="008823DA">
        <w:rPr>
          <w:b/>
          <w:bCs w:val="0"/>
        </w:rPr>
        <w:lastRenderedPageBreak/>
        <w:t xml:space="preserve">Measure 11.4 – </w:t>
      </w:r>
      <w:r w:rsidR="00A60F88" w:rsidRPr="008823DA">
        <w:rPr>
          <w:b/>
          <w:bCs w:val="0"/>
        </w:rPr>
        <w:t>Proportion of cervi</w:t>
      </w:r>
      <w:r w:rsidR="002714EF" w:rsidRPr="008823DA">
        <w:rPr>
          <w:b/>
          <w:bCs w:val="0"/>
        </w:rPr>
        <w:t>cal</w:t>
      </w:r>
      <w:r w:rsidR="00A60F88" w:rsidRPr="008823DA">
        <w:rPr>
          <w:b/>
          <w:bCs w:val="0"/>
        </w:rPr>
        <w:t xml:space="preserve"> cancers diagnosed at stages 1 </w:t>
      </w:r>
      <w:r w:rsidR="002714EF" w:rsidRPr="008823DA">
        <w:rPr>
          <w:b/>
          <w:bCs w:val="0"/>
        </w:rPr>
        <w:t>or</w:t>
      </w:r>
      <w:r w:rsidR="00A60F88" w:rsidRPr="008823DA">
        <w:rPr>
          <w:b/>
          <w:bCs w:val="0"/>
        </w:rPr>
        <w:t xml:space="preserve"> 2</w:t>
      </w:r>
      <w:bookmarkEnd w:id="741"/>
    </w:p>
    <w:p w14:paraId="02755C32" w14:textId="294DCF68" w:rsidR="006C64CD" w:rsidRPr="006C64CD" w:rsidRDefault="00BE62DF" w:rsidP="00E87AAA">
      <w:pPr>
        <w:pStyle w:val="Body"/>
      </w:pPr>
      <w:r w:rsidRPr="00BE62DF">
        <w:t xml:space="preserve">The VCR does not currently capture </w:t>
      </w:r>
      <w:r>
        <w:t>t</w:t>
      </w:r>
      <w:r w:rsidR="006C64CD">
        <w:t>his information.</w:t>
      </w:r>
      <w:r w:rsidR="00330DC3">
        <w:t xml:space="preserve"> Refer to Appendix 1.</w:t>
      </w:r>
    </w:p>
    <w:p w14:paraId="6B5E9758" w14:textId="2DACF8FF" w:rsidR="00DF376C" w:rsidRPr="008823DA" w:rsidRDefault="00DF376C" w:rsidP="00A451D4">
      <w:pPr>
        <w:pStyle w:val="Heading3"/>
        <w:rPr>
          <w:b/>
          <w:bCs w:val="0"/>
        </w:rPr>
      </w:pPr>
      <w:bookmarkStart w:id="742" w:name="_Toc19008114"/>
      <w:r w:rsidRPr="008823DA">
        <w:rPr>
          <w:b/>
          <w:bCs w:val="0"/>
        </w:rPr>
        <w:t xml:space="preserve">Measure 11.5 – </w:t>
      </w:r>
      <w:r w:rsidR="00A60F88" w:rsidRPr="008823DA">
        <w:rPr>
          <w:b/>
          <w:bCs w:val="0"/>
        </w:rPr>
        <w:t xml:space="preserve">Proportion of lung cancers diagnosed at stages 1 </w:t>
      </w:r>
      <w:r w:rsidR="002714EF" w:rsidRPr="008823DA">
        <w:rPr>
          <w:b/>
          <w:bCs w:val="0"/>
        </w:rPr>
        <w:t>or</w:t>
      </w:r>
      <w:r w:rsidR="00A60F88" w:rsidRPr="008823DA">
        <w:rPr>
          <w:b/>
          <w:bCs w:val="0"/>
        </w:rPr>
        <w:t xml:space="preserve"> 2</w:t>
      </w:r>
      <w:bookmarkEnd w:id="742"/>
    </w:p>
    <w:p w14:paraId="67681CA5" w14:textId="0E834C65" w:rsidR="001B5858" w:rsidRDefault="00BE62DF" w:rsidP="00E87AAA">
      <w:pPr>
        <w:pStyle w:val="Body"/>
      </w:pPr>
      <w:r w:rsidRPr="00BE62DF">
        <w:t xml:space="preserve">The VCR does not currently capture </w:t>
      </w:r>
      <w:r>
        <w:t>this information</w:t>
      </w:r>
      <w:r w:rsidR="006C64CD">
        <w:t>.</w:t>
      </w:r>
      <w:r w:rsidR="00330DC3">
        <w:t xml:space="preserve"> Refer to Appendix 1.</w:t>
      </w:r>
      <w:r w:rsidR="001B5858">
        <w:br w:type="page"/>
      </w:r>
    </w:p>
    <w:p w14:paraId="1FC1BEE7" w14:textId="40ADD243" w:rsidR="00DF376C" w:rsidRPr="008823DA" w:rsidRDefault="00DF376C" w:rsidP="00A451D4">
      <w:pPr>
        <w:pStyle w:val="Heading3"/>
        <w:rPr>
          <w:b/>
          <w:bCs w:val="0"/>
        </w:rPr>
      </w:pPr>
      <w:bookmarkStart w:id="743" w:name="_Measure_11.6_–"/>
      <w:bookmarkEnd w:id="743"/>
      <w:r w:rsidRPr="008823DA">
        <w:rPr>
          <w:b/>
          <w:bCs w:val="0"/>
        </w:rPr>
        <w:lastRenderedPageBreak/>
        <w:t xml:space="preserve">Measure 11.6 – </w:t>
      </w:r>
      <w:r w:rsidR="00A60F88" w:rsidRPr="008823DA">
        <w:rPr>
          <w:b/>
          <w:bCs w:val="0"/>
        </w:rPr>
        <w:t>Proportion of all solid tumours diagnosed at metastatic stage</w:t>
      </w:r>
    </w:p>
    <w:p w14:paraId="323E9C68" w14:textId="0B8F5521" w:rsidR="005E6CBF" w:rsidRPr="00CD1209" w:rsidRDefault="005E6CBF" w:rsidP="00867A76">
      <w:pPr>
        <w:pStyle w:val="Figurecaption"/>
        <w:rPr>
          <w:sz w:val="20"/>
        </w:rPr>
      </w:pPr>
      <w:bookmarkStart w:id="744" w:name="_Toc19008115"/>
      <w:bookmarkStart w:id="745" w:name="_Toc19008338"/>
      <w:bookmarkStart w:id="746" w:name="_Toc19008485"/>
      <w:bookmarkStart w:id="747" w:name="_Toc19008632"/>
      <w:bookmarkStart w:id="748" w:name="_Toc132553062"/>
      <w:bookmarkStart w:id="749" w:name="_Toc140827674"/>
      <w:r w:rsidRPr="00CD1209">
        <w:rPr>
          <w:sz w:val="20"/>
        </w:rPr>
        <w:t>Figure 11.6</w:t>
      </w:r>
      <w:r w:rsidR="003B391F" w:rsidRPr="00CD1209">
        <w:rPr>
          <w:sz w:val="20"/>
        </w:rPr>
        <w:t>:</w:t>
      </w:r>
      <w:r w:rsidRPr="00CD1209">
        <w:rPr>
          <w:sz w:val="20"/>
        </w:rPr>
        <w:t xml:space="preserve"> Proportion of all solid tumours diagnosed at </w:t>
      </w:r>
      <w:r w:rsidR="00A52EC3" w:rsidRPr="00CD1209">
        <w:rPr>
          <w:sz w:val="20"/>
        </w:rPr>
        <w:t xml:space="preserve">the </w:t>
      </w:r>
      <w:r w:rsidRPr="00CD1209">
        <w:rPr>
          <w:sz w:val="20"/>
        </w:rPr>
        <w:t xml:space="preserve">metastatic stage, by age, sex, </w:t>
      </w:r>
      <w:r w:rsidR="00D3516B" w:rsidRPr="00CD1209">
        <w:rPr>
          <w:sz w:val="20"/>
        </w:rPr>
        <w:t>I</w:t>
      </w:r>
      <w:r w:rsidRPr="00CD1209">
        <w:rPr>
          <w:sz w:val="20"/>
        </w:rPr>
        <w:t>ndigenous status and language spoken at home, 2014</w:t>
      </w:r>
      <w:r w:rsidR="0034799A" w:rsidRPr="00CD1209">
        <w:rPr>
          <w:sz w:val="20"/>
        </w:rPr>
        <w:t xml:space="preserve">, </w:t>
      </w:r>
      <w:r w:rsidRPr="00CD1209">
        <w:rPr>
          <w:sz w:val="20"/>
        </w:rPr>
        <w:t>2016</w:t>
      </w:r>
      <w:bookmarkEnd w:id="744"/>
      <w:bookmarkEnd w:id="745"/>
      <w:bookmarkEnd w:id="746"/>
      <w:bookmarkEnd w:id="747"/>
      <w:r w:rsidR="0034799A" w:rsidRPr="00CD1209">
        <w:rPr>
          <w:sz w:val="20"/>
        </w:rPr>
        <w:t xml:space="preserve"> and 20</w:t>
      </w:r>
      <w:r w:rsidR="003A00B2" w:rsidRPr="00CD1209">
        <w:rPr>
          <w:sz w:val="20"/>
        </w:rPr>
        <w:t>21</w:t>
      </w:r>
      <w:bookmarkEnd w:id="748"/>
      <w:bookmarkEnd w:id="749"/>
    </w:p>
    <w:p w14:paraId="3BA13DF6" w14:textId="3C8E3BD0" w:rsidR="00C31127" w:rsidRPr="00C31127" w:rsidRDefault="00C31127" w:rsidP="00E87AAA">
      <w:pPr>
        <w:pStyle w:val="Body"/>
      </w:pPr>
      <w:r>
        <w:rPr>
          <w:noProof/>
        </w:rPr>
        <w:drawing>
          <wp:inline distT="0" distB="0" distL="0" distR="0" wp14:anchorId="37997779" wp14:editId="117F1D9F">
            <wp:extent cx="6016625" cy="4970145"/>
            <wp:effectExtent l="0" t="0" r="3175" b="1905"/>
            <wp:docPr id="276" name="Picture 276" descr="This figure shows a data summary of 'Measure 11.6 – Proportion of all solid tumours diagnosed at metastatic stage' via subgroups namely age, Indigenous status and language spoken at home for the study period 2014, 2016 and 2021. The data set is available under 'Measure 11.6 – Proportion of all solid tumours diagnosed at the metastatic stage'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This figure shows a data summary of 'Measure 11.6 – Proportion of all solid tumours diagnosed at metastatic stage' via subgroups namely age, Indigenous status and language spoken at home for the study period 2014, 2016 and 2021. The data set is available under 'Measure 11.6 – Proportion of all solid tumours diagnosed at the metastatic stage' in a separate volume, the Victorian cancer plan monitoring and evaluation framework: baseline report: Appendix 2: Datasets available on Cancer care &lt;https://www.health.vic.gov.au/health-strategies/cancer-care&gt;."/>
                    <pic:cNvPicPr/>
                  </pic:nvPicPr>
                  <pic:blipFill>
                    <a:blip r:embed="rId119"/>
                    <a:stretch>
                      <a:fillRect/>
                    </a:stretch>
                  </pic:blipFill>
                  <pic:spPr>
                    <a:xfrm>
                      <a:off x="0" y="0"/>
                      <a:ext cx="6016625" cy="4970145"/>
                    </a:xfrm>
                    <a:prstGeom prst="rect">
                      <a:avLst/>
                    </a:prstGeom>
                  </pic:spPr>
                </pic:pic>
              </a:graphicData>
            </a:graphic>
          </wp:inline>
        </w:drawing>
      </w:r>
    </w:p>
    <w:p w14:paraId="6F372913" w14:textId="6A38837D" w:rsidR="00C464BE" w:rsidRPr="00CD1209" w:rsidRDefault="00C464BE" w:rsidP="0084376C">
      <w:pPr>
        <w:pStyle w:val="Tablefigurenote"/>
        <w:rPr>
          <w:i/>
          <w:iCs/>
          <w:sz w:val="18"/>
          <w:szCs w:val="18"/>
        </w:rPr>
      </w:pPr>
      <w:r w:rsidRPr="00CD1209">
        <w:rPr>
          <w:i/>
          <w:iCs/>
          <w:sz w:val="18"/>
          <w:szCs w:val="18"/>
        </w:rPr>
        <w:t>Note</w:t>
      </w:r>
      <w:r w:rsidR="00BE62DF" w:rsidRPr="00CD1209">
        <w:rPr>
          <w:i/>
          <w:iCs/>
          <w:sz w:val="18"/>
          <w:szCs w:val="18"/>
        </w:rPr>
        <w:t>s</w:t>
      </w:r>
      <w:r w:rsidRPr="00CD1209">
        <w:rPr>
          <w:i/>
          <w:iCs/>
          <w:sz w:val="18"/>
          <w:szCs w:val="18"/>
        </w:rPr>
        <w:t>:</w:t>
      </w:r>
    </w:p>
    <w:p w14:paraId="322FA30F" w14:textId="3EFD23BE" w:rsidR="00C464BE" w:rsidRPr="00CD1209" w:rsidRDefault="00C464BE" w:rsidP="00160602">
      <w:pPr>
        <w:pStyle w:val="Tablefigurenote"/>
        <w:numPr>
          <w:ilvl w:val="0"/>
          <w:numId w:val="51"/>
        </w:numPr>
        <w:rPr>
          <w:i/>
          <w:iCs/>
          <w:sz w:val="18"/>
          <w:szCs w:val="18"/>
        </w:rPr>
      </w:pPr>
      <w:r w:rsidRPr="00CD1209">
        <w:rPr>
          <w:i/>
          <w:iCs/>
          <w:sz w:val="18"/>
          <w:szCs w:val="18"/>
        </w:rPr>
        <w:t>Metastatic disease at diagnosis was determined by:</w:t>
      </w:r>
    </w:p>
    <w:p w14:paraId="688F3251" w14:textId="0EC7991A" w:rsidR="00C464BE" w:rsidRPr="00CD1209" w:rsidRDefault="00C464BE" w:rsidP="00160602">
      <w:pPr>
        <w:pStyle w:val="Tablefigurenote"/>
        <w:numPr>
          <w:ilvl w:val="1"/>
          <w:numId w:val="51"/>
        </w:numPr>
        <w:rPr>
          <w:i/>
          <w:iCs/>
          <w:sz w:val="18"/>
          <w:szCs w:val="18"/>
        </w:rPr>
      </w:pPr>
      <w:r w:rsidRPr="00CD1209">
        <w:rPr>
          <w:i/>
          <w:iCs/>
          <w:sz w:val="18"/>
          <w:szCs w:val="18"/>
        </w:rPr>
        <w:t>VCR TNM-M (M1)</w:t>
      </w:r>
    </w:p>
    <w:p w14:paraId="3CD692A0" w14:textId="54BA578F" w:rsidR="00C464BE" w:rsidRPr="00CD1209" w:rsidRDefault="000D4B35" w:rsidP="00160602">
      <w:pPr>
        <w:pStyle w:val="Tablefigurenote"/>
        <w:numPr>
          <w:ilvl w:val="1"/>
          <w:numId w:val="51"/>
        </w:numPr>
        <w:rPr>
          <w:i/>
          <w:iCs/>
          <w:sz w:val="18"/>
          <w:szCs w:val="18"/>
        </w:rPr>
      </w:pPr>
      <w:r w:rsidRPr="00CD1209">
        <w:rPr>
          <w:i/>
          <w:iCs/>
          <w:sz w:val="18"/>
          <w:szCs w:val="18"/>
        </w:rPr>
        <w:t>a</w:t>
      </w:r>
      <w:r w:rsidR="00C464BE" w:rsidRPr="00CD1209">
        <w:rPr>
          <w:i/>
          <w:iCs/>
          <w:sz w:val="18"/>
          <w:szCs w:val="18"/>
        </w:rPr>
        <w:t xml:space="preserve">dmitted episodes in the VAED, between </w:t>
      </w:r>
      <w:r w:rsidR="008869C1" w:rsidRPr="00CD1209">
        <w:rPr>
          <w:i/>
          <w:iCs/>
          <w:sz w:val="18"/>
          <w:szCs w:val="18"/>
        </w:rPr>
        <w:t>30</w:t>
      </w:r>
      <w:r w:rsidR="00C464BE" w:rsidRPr="00CD1209">
        <w:rPr>
          <w:i/>
          <w:iCs/>
          <w:sz w:val="18"/>
          <w:szCs w:val="18"/>
        </w:rPr>
        <w:t xml:space="preserve"> days prior and four months after diagnosis date, which contained metastatic cancer diagnosis codes.</w:t>
      </w:r>
    </w:p>
    <w:p w14:paraId="09AC8406" w14:textId="64E54103" w:rsidR="0084376C" w:rsidRPr="00CD1209" w:rsidRDefault="0084376C" w:rsidP="0084376C">
      <w:pPr>
        <w:pStyle w:val="Tablefigurenote"/>
        <w:numPr>
          <w:ilvl w:val="0"/>
          <w:numId w:val="51"/>
        </w:numPr>
        <w:rPr>
          <w:i/>
          <w:iCs/>
          <w:sz w:val="18"/>
          <w:szCs w:val="18"/>
        </w:rPr>
      </w:pPr>
      <w:r w:rsidRPr="00CD1209">
        <w:rPr>
          <w:i/>
          <w:iCs/>
          <w:sz w:val="18"/>
          <w:szCs w:val="18"/>
        </w:rPr>
        <w:t>Patients who did not have an admitted episode in the VAED in the allocated timeframe could not be reclassified as metastatic at diagnosis, and so some cases of metastatic disease may not have been captured.</w:t>
      </w:r>
    </w:p>
    <w:p w14:paraId="7FE184B1" w14:textId="5E1675C3" w:rsidR="0084376C" w:rsidRPr="00CD1209" w:rsidRDefault="0084376C" w:rsidP="0084376C">
      <w:pPr>
        <w:pStyle w:val="Tablefigurenote"/>
        <w:numPr>
          <w:ilvl w:val="0"/>
          <w:numId w:val="51"/>
        </w:numPr>
        <w:rPr>
          <w:i/>
          <w:iCs/>
          <w:sz w:val="18"/>
          <w:szCs w:val="18"/>
        </w:rPr>
      </w:pPr>
      <w:r w:rsidRPr="00CD1209">
        <w:rPr>
          <w:i/>
          <w:iCs/>
          <w:sz w:val="18"/>
          <w:szCs w:val="18"/>
        </w:rPr>
        <w:t xml:space="preserve">New tumours with a VCR diagnosis of C00–C80 (solid tumour at diagnosis) were included, but codes C70–C72 (brain and CNS) were excluded in </w:t>
      </w:r>
      <w:r w:rsidR="00BE62DF" w:rsidRPr="00CD1209">
        <w:rPr>
          <w:i/>
          <w:iCs/>
          <w:sz w:val="18"/>
          <w:szCs w:val="18"/>
        </w:rPr>
        <w:t xml:space="preserve">line </w:t>
      </w:r>
      <w:r w:rsidRPr="00CD1209">
        <w:rPr>
          <w:i/>
          <w:iCs/>
          <w:sz w:val="18"/>
          <w:szCs w:val="18"/>
        </w:rPr>
        <w:t>with the Victorian cancer plan monitoring and evaluation framework – Data dictionary.</w:t>
      </w:r>
    </w:p>
    <w:p w14:paraId="373799D5" w14:textId="31616255" w:rsidR="00F016BC" w:rsidRPr="001A2A05" w:rsidRDefault="00425FC5" w:rsidP="005257B7">
      <w:pPr>
        <w:pStyle w:val="Tablefigurenote"/>
      </w:pPr>
      <w:r w:rsidRPr="00CD1209">
        <w:rPr>
          <w:i/>
          <w:iCs/>
          <w:sz w:val="18"/>
          <w:szCs w:val="18"/>
        </w:rPr>
        <w:t>Appendix 2 provides the dataset.</w:t>
      </w:r>
      <w:r w:rsidR="00F016BC">
        <w:rPr>
          <w:b/>
        </w:rPr>
        <w:br w:type="page"/>
      </w:r>
    </w:p>
    <w:p w14:paraId="7D77E471" w14:textId="421ECAA7" w:rsidR="00536B8A" w:rsidRPr="00CD1209" w:rsidRDefault="00AD2A24" w:rsidP="00867A76">
      <w:pPr>
        <w:pStyle w:val="Figurecaption"/>
        <w:rPr>
          <w:sz w:val="20"/>
        </w:rPr>
      </w:pPr>
      <w:bookmarkStart w:id="750" w:name="_Toc19008116"/>
      <w:bookmarkStart w:id="751" w:name="_Toc19008339"/>
      <w:bookmarkStart w:id="752" w:name="_Toc19008486"/>
      <w:bookmarkStart w:id="753" w:name="_Toc19008633"/>
      <w:bookmarkStart w:id="754" w:name="_Toc132553063"/>
      <w:bookmarkStart w:id="755" w:name="_Toc140827675"/>
      <w:r w:rsidRPr="00CD1209">
        <w:rPr>
          <w:sz w:val="20"/>
        </w:rPr>
        <w:lastRenderedPageBreak/>
        <w:t>Figur</w:t>
      </w:r>
      <w:r w:rsidR="009F719D" w:rsidRPr="00CD1209">
        <w:rPr>
          <w:sz w:val="20"/>
        </w:rPr>
        <w:t>e 11.6.1</w:t>
      </w:r>
      <w:r w:rsidR="003B391F" w:rsidRPr="00CD1209">
        <w:rPr>
          <w:sz w:val="20"/>
        </w:rPr>
        <w:t>:</w:t>
      </w:r>
      <w:r w:rsidR="009F719D" w:rsidRPr="00CD1209">
        <w:rPr>
          <w:sz w:val="20"/>
        </w:rPr>
        <w:t xml:space="preserve"> Proportion of </w:t>
      </w:r>
      <w:r w:rsidR="007E40AC" w:rsidRPr="00CD1209">
        <w:rPr>
          <w:sz w:val="20"/>
        </w:rPr>
        <w:t xml:space="preserve">all solid tumours diagnosed at </w:t>
      </w:r>
      <w:r w:rsidR="00375C96" w:rsidRPr="00CD1209">
        <w:rPr>
          <w:sz w:val="20"/>
        </w:rPr>
        <w:t xml:space="preserve">the </w:t>
      </w:r>
      <w:r w:rsidR="007E40AC" w:rsidRPr="00CD1209">
        <w:rPr>
          <w:sz w:val="20"/>
        </w:rPr>
        <w:t>metastatic stage</w:t>
      </w:r>
      <w:r w:rsidR="009F719D" w:rsidRPr="00CD1209">
        <w:rPr>
          <w:sz w:val="20"/>
        </w:rPr>
        <w:t xml:space="preserve">, by remoteness area, </w:t>
      </w:r>
      <w:r w:rsidR="00375C96" w:rsidRPr="00CD1209">
        <w:rPr>
          <w:sz w:val="20"/>
        </w:rPr>
        <w:t>ICS</w:t>
      </w:r>
      <w:r w:rsidR="009F719D" w:rsidRPr="00CD1209">
        <w:rPr>
          <w:sz w:val="20"/>
        </w:rPr>
        <w:t xml:space="preserve"> and </w:t>
      </w:r>
      <w:r w:rsidR="00DE7FFE" w:rsidRPr="00CD1209">
        <w:rPr>
          <w:sz w:val="20"/>
        </w:rPr>
        <w:t>SES</w:t>
      </w:r>
      <w:r w:rsidR="009F719D" w:rsidRPr="00CD1209">
        <w:rPr>
          <w:sz w:val="20"/>
        </w:rPr>
        <w:t>, 2014</w:t>
      </w:r>
      <w:r w:rsidR="0034799A" w:rsidRPr="00CD1209">
        <w:rPr>
          <w:sz w:val="20"/>
        </w:rPr>
        <w:t xml:space="preserve">, </w:t>
      </w:r>
      <w:r w:rsidR="009F719D" w:rsidRPr="00CD1209">
        <w:rPr>
          <w:sz w:val="20"/>
        </w:rPr>
        <w:t>2016</w:t>
      </w:r>
      <w:bookmarkEnd w:id="750"/>
      <w:bookmarkEnd w:id="751"/>
      <w:bookmarkEnd w:id="752"/>
      <w:bookmarkEnd w:id="753"/>
      <w:r w:rsidR="0034799A" w:rsidRPr="00CD1209">
        <w:rPr>
          <w:sz w:val="20"/>
        </w:rPr>
        <w:t xml:space="preserve"> and 20</w:t>
      </w:r>
      <w:r w:rsidR="003A00B2" w:rsidRPr="00CD1209">
        <w:rPr>
          <w:sz w:val="20"/>
        </w:rPr>
        <w:t>21</w:t>
      </w:r>
      <w:bookmarkEnd w:id="754"/>
      <w:bookmarkEnd w:id="755"/>
    </w:p>
    <w:p w14:paraId="277B7D52" w14:textId="197533AB" w:rsidR="00806F16" w:rsidRPr="00806F16" w:rsidRDefault="00806F16" w:rsidP="00E87AAA">
      <w:pPr>
        <w:pStyle w:val="Body"/>
      </w:pPr>
      <w:r>
        <w:rPr>
          <w:noProof/>
        </w:rPr>
        <w:drawing>
          <wp:inline distT="0" distB="0" distL="0" distR="0" wp14:anchorId="404BDFFE" wp14:editId="3C593A9A">
            <wp:extent cx="6016625" cy="4796725"/>
            <wp:effectExtent l="0" t="0" r="3175" b="4445"/>
            <wp:docPr id="277" name="Picture 277" descr="This figure shows a data summary of 'Measure 11.6 – Proportion of all solid tumours diagnosed at metastatic stage' via subgroups namely remoteness area, Integrated Cancer Service and socioeconomic status for the study period 2014, 2016 and 2021. The data set is available under 'Measure 11.6 – Proportion of all solid tumours diagnosed at the metastatic stage'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This figure shows a data summary of 'Measure 11.6 – Proportion of all solid tumours diagnosed at metastatic stage' via subgroups namely remoteness area, Integrated Cancer Service and socioeconomic status for the study period 2014, 2016 and 2021. The data set is available under 'Measure 11.6 – Proportion of all solid tumours diagnosed at the metastatic stage' in a separate volume, the Victorian cancer plan monitoring and evaluation framework: baseline report: Appendix 2: Datasets available on Cancer care &lt;https://www.health.vic.gov.au/health-strategies/cancer-care&gt;."/>
                    <pic:cNvPicPr/>
                  </pic:nvPicPr>
                  <pic:blipFill>
                    <a:blip r:embed="rId120"/>
                    <a:stretch>
                      <a:fillRect/>
                    </a:stretch>
                  </pic:blipFill>
                  <pic:spPr>
                    <a:xfrm>
                      <a:off x="0" y="0"/>
                      <a:ext cx="6019848" cy="4799294"/>
                    </a:xfrm>
                    <a:prstGeom prst="rect">
                      <a:avLst/>
                    </a:prstGeom>
                  </pic:spPr>
                </pic:pic>
              </a:graphicData>
            </a:graphic>
          </wp:inline>
        </w:drawing>
      </w:r>
    </w:p>
    <w:p w14:paraId="6678A14A" w14:textId="0BE1A073" w:rsidR="007B0B75" w:rsidRPr="00CD1209" w:rsidRDefault="00FF16CB" w:rsidP="00301EC4">
      <w:pPr>
        <w:pStyle w:val="Tablefigurenote"/>
        <w:rPr>
          <w:i/>
          <w:iCs/>
          <w:sz w:val="18"/>
          <w:szCs w:val="18"/>
        </w:rPr>
      </w:pPr>
      <w:r>
        <w:rPr>
          <w:noProof/>
        </w:rPr>
        <w:drawing>
          <wp:inline distT="0" distB="0" distL="0" distR="0" wp14:anchorId="7ED6076D" wp14:editId="63E7CEE5">
            <wp:extent cx="6016625" cy="6016625"/>
            <wp:effectExtent l="0" t="0" r="3175" b="317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pic:cNvPicPr/>
                  </pic:nvPicPr>
                  <pic:blipFill>
                    <a:blip r:embed="rId121"/>
                    <a:stretch>
                      <a:fillRect/>
                    </a:stretch>
                  </pic:blipFill>
                  <pic:spPr>
                    <a:xfrm>
                      <a:off x="0" y="0"/>
                      <a:ext cx="6016625" cy="6016625"/>
                    </a:xfrm>
                    <a:prstGeom prst="rect">
                      <a:avLst/>
                    </a:prstGeom>
                  </pic:spPr>
                </pic:pic>
              </a:graphicData>
            </a:graphic>
          </wp:inline>
        </w:drawing>
      </w:r>
      <w:r w:rsidR="007B0B75" w:rsidRPr="00CD1209">
        <w:rPr>
          <w:i/>
          <w:iCs/>
          <w:sz w:val="18"/>
          <w:szCs w:val="18"/>
        </w:rPr>
        <w:t>Note</w:t>
      </w:r>
      <w:r w:rsidR="00BE62DF" w:rsidRPr="00CD1209">
        <w:rPr>
          <w:i/>
          <w:iCs/>
          <w:sz w:val="18"/>
          <w:szCs w:val="18"/>
        </w:rPr>
        <w:t>s</w:t>
      </w:r>
      <w:r w:rsidR="007B0B75" w:rsidRPr="00CD1209">
        <w:rPr>
          <w:i/>
          <w:iCs/>
          <w:sz w:val="18"/>
          <w:szCs w:val="18"/>
        </w:rPr>
        <w:t>:</w:t>
      </w:r>
    </w:p>
    <w:p w14:paraId="5063D743" w14:textId="77777777" w:rsidR="00E51D52" w:rsidRPr="00CD1209" w:rsidRDefault="00E51D52" w:rsidP="00E51D52">
      <w:pPr>
        <w:pStyle w:val="Tablefigurenote"/>
        <w:numPr>
          <w:ilvl w:val="0"/>
          <w:numId w:val="52"/>
        </w:numPr>
        <w:rPr>
          <w:i/>
          <w:iCs/>
          <w:sz w:val="18"/>
          <w:szCs w:val="18"/>
        </w:rPr>
      </w:pPr>
      <w:r w:rsidRPr="00CD1209">
        <w:rPr>
          <w:i/>
          <w:iCs/>
          <w:sz w:val="18"/>
          <w:szCs w:val="18"/>
        </w:rPr>
        <w:t>Metastatic disease at diagnosis was determined by:</w:t>
      </w:r>
    </w:p>
    <w:p w14:paraId="214608FF" w14:textId="77777777" w:rsidR="00E51D52" w:rsidRPr="00CD1209" w:rsidRDefault="00E51D52" w:rsidP="00E51D52">
      <w:pPr>
        <w:pStyle w:val="Tablefigurenote"/>
        <w:numPr>
          <w:ilvl w:val="1"/>
          <w:numId w:val="52"/>
        </w:numPr>
        <w:rPr>
          <w:i/>
          <w:iCs/>
          <w:sz w:val="18"/>
          <w:szCs w:val="18"/>
        </w:rPr>
      </w:pPr>
      <w:r w:rsidRPr="00CD1209">
        <w:rPr>
          <w:i/>
          <w:iCs/>
          <w:sz w:val="18"/>
          <w:szCs w:val="18"/>
        </w:rPr>
        <w:t>VCR TNM-M (M1)</w:t>
      </w:r>
    </w:p>
    <w:p w14:paraId="16D3E872" w14:textId="77777777" w:rsidR="00E51D52" w:rsidRPr="00CD1209" w:rsidRDefault="00E51D52" w:rsidP="00E51D52">
      <w:pPr>
        <w:pStyle w:val="Tablefigurenote"/>
        <w:numPr>
          <w:ilvl w:val="1"/>
          <w:numId w:val="52"/>
        </w:numPr>
        <w:rPr>
          <w:i/>
          <w:iCs/>
          <w:sz w:val="18"/>
          <w:szCs w:val="18"/>
        </w:rPr>
      </w:pPr>
      <w:r w:rsidRPr="00CD1209">
        <w:rPr>
          <w:i/>
          <w:iCs/>
          <w:sz w:val="18"/>
          <w:szCs w:val="18"/>
        </w:rPr>
        <w:t>admitted episodes in the VAED, between 30 days prior and four months after diagnosis date, which contained metastatic cancer diagnosis codes (neoplasm and morphology codes).</w:t>
      </w:r>
    </w:p>
    <w:p w14:paraId="5A890DAB" w14:textId="77777777" w:rsidR="00E51D52" w:rsidRPr="00CD1209" w:rsidRDefault="00E51D52" w:rsidP="00E51D52">
      <w:pPr>
        <w:pStyle w:val="Tablefigurenote"/>
        <w:numPr>
          <w:ilvl w:val="0"/>
          <w:numId w:val="52"/>
        </w:numPr>
        <w:rPr>
          <w:i/>
          <w:iCs/>
          <w:sz w:val="18"/>
          <w:szCs w:val="18"/>
        </w:rPr>
      </w:pPr>
      <w:r w:rsidRPr="00CD1209">
        <w:rPr>
          <w:i/>
          <w:iCs/>
          <w:sz w:val="18"/>
          <w:szCs w:val="18"/>
        </w:rPr>
        <w:t>Patients who did not have an admitted episode in the VAED in the allocated timeframe could not be reclassified as metastatic at diagnosis, and so some cases of metastatic disease may not have been captured.</w:t>
      </w:r>
    </w:p>
    <w:p w14:paraId="5C44A466" w14:textId="1EB0A716" w:rsidR="00E51D52" w:rsidRPr="00CD1209" w:rsidRDefault="00E51D52" w:rsidP="00E51D52">
      <w:pPr>
        <w:pStyle w:val="Tablefigurenote"/>
        <w:numPr>
          <w:ilvl w:val="0"/>
          <w:numId w:val="52"/>
        </w:numPr>
        <w:rPr>
          <w:i/>
          <w:iCs/>
          <w:sz w:val="18"/>
          <w:szCs w:val="18"/>
        </w:rPr>
      </w:pPr>
      <w:r w:rsidRPr="00CD1209">
        <w:rPr>
          <w:i/>
          <w:iCs/>
          <w:sz w:val="18"/>
          <w:szCs w:val="18"/>
        </w:rPr>
        <w:t xml:space="preserve">New tumours with a VCR diagnosis of C00–C80 (solid tumour at diagnosis) were included, but codes C70–C72 (brain and CNS) were excluded in </w:t>
      </w:r>
      <w:r w:rsidR="00BE62DF" w:rsidRPr="00CD1209">
        <w:rPr>
          <w:i/>
          <w:iCs/>
          <w:sz w:val="18"/>
          <w:szCs w:val="18"/>
        </w:rPr>
        <w:t xml:space="preserve">line </w:t>
      </w:r>
      <w:r w:rsidRPr="00CD1209">
        <w:rPr>
          <w:i/>
          <w:iCs/>
          <w:sz w:val="18"/>
          <w:szCs w:val="18"/>
        </w:rPr>
        <w:t>with the Victorian cancer plan monitoring and evaluation framework – Data dictionary.</w:t>
      </w:r>
    </w:p>
    <w:p w14:paraId="0A3F0B19" w14:textId="54D35DCE" w:rsidR="003C256D" w:rsidRPr="0020440A" w:rsidRDefault="007B0B75" w:rsidP="0020440A">
      <w:pPr>
        <w:pStyle w:val="Tablefigurenote"/>
      </w:pPr>
      <w:r w:rsidRPr="00CD1209">
        <w:rPr>
          <w:i/>
          <w:iCs/>
          <w:sz w:val="18"/>
          <w:szCs w:val="18"/>
        </w:rPr>
        <w:t>Appendix 2 provides the dataset.</w:t>
      </w:r>
      <w:r w:rsidR="003C256D">
        <w:br w:type="page"/>
      </w:r>
    </w:p>
    <w:p w14:paraId="3A5E62F0" w14:textId="52330476" w:rsidR="00CC4F93" w:rsidRPr="00185321" w:rsidRDefault="00CC4F93" w:rsidP="007C7F00">
      <w:pPr>
        <w:pStyle w:val="Heading4"/>
      </w:pPr>
      <w:r w:rsidRPr="00185321">
        <w:lastRenderedPageBreak/>
        <w:t>Measure assessment</w:t>
      </w:r>
    </w:p>
    <w:p w14:paraId="02F6DA5C" w14:textId="354F8CD1" w:rsidR="00EA3932" w:rsidRPr="00185321" w:rsidRDefault="00CC4F93" w:rsidP="00606436">
      <w:pPr>
        <w:pStyle w:val="Body"/>
      </w:pPr>
      <w:r w:rsidRPr="00185321">
        <w:t>Traffic light rating:</w:t>
      </w:r>
      <w:r w:rsidRPr="00B504AD">
        <w:rPr>
          <w:color w:val="AF272F"/>
        </w:rPr>
        <w:t xml:space="preserve"> </w:t>
      </w:r>
      <w:r w:rsidR="00FC1695" w:rsidRPr="008823DA">
        <w:rPr>
          <w:b/>
          <w:color w:val="C5511A"/>
        </w:rPr>
        <w:t>Amber</w:t>
      </w:r>
      <w:r w:rsidR="00EA3932" w:rsidRPr="00185321">
        <w:rPr>
          <w:b/>
        </w:rPr>
        <w:t xml:space="preserve"> </w:t>
      </w:r>
      <w:r w:rsidR="00EA3932" w:rsidRPr="00185321">
        <w:t>(desired result not yet evident)</w:t>
      </w:r>
    </w:p>
    <w:p w14:paraId="57EC3224" w14:textId="0B483158" w:rsidR="00CC4F93" w:rsidRPr="00185321" w:rsidRDefault="00CC4F93" w:rsidP="00606436">
      <w:pPr>
        <w:pStyle w:val="Body"/>
      </w:pPr>
      <w:r w:rsidRPr="00185321">
        <w:t xml:space="preserve">Overall trend: </w:t>
      </w:r>
      <w:r w:rsidR="00185321" w:rsidRPr="00185321">
        <w:t>Moving</w:t>
      </w:r>
      <w:r w:rsidR="00FC1695" w:rsidRPr="00185321">
        <w:t xml:space="preserve"> in the right direction</w:t>
      </w:r>
    </w:p>
    <w:p w14:paraId="5CE22EEE" w14:textId="283E5E07" w:rsidR="002D0545" w:rsidRPr="00185321" w:rsidRDefault="00CC4F93" w:rsidP="00E87AAA">
      <w:pPr>
        <w:pStyle w:val="Body"/>
        <w:rPr>
          <w:lang w:val="en"/>
        </w:rPr>
      </w:pPr>
      <w:r w:rsidRPr="00185321">
        <w:rPr>
          <w:lang w:eastAsia="en-AU"/>
        </w:rPr>
        <w:t>Commentary:</w:t>
      </w:r>
      <w:r w:rsidR="00FC1695" w:rsidRPr="00185321">
        <w:rPr>
          <w:lang w:eastAsia="en-AU"/>
        </w:rPr>
        <w:t xml:space="preserve"> </w:t>
      </w:r>
      <w:r w:rsidR="00FC1695" w:rsidRPr="00185321">
        <w:rPr>
          <w:lang w:val="en"/>
        </w:rPr>
        <w:t>The distribution of cancer stage at diagnosis provides an indication of whether a particular cancer type is diagnosed earlier</w:t>
      </w:r>
      <w:r w:rsidR="00ED3649" w:rsidRPr="00185321">
        <w:rPr>
          <w:lang w:val="en"/>
        </w:rPr>
        <w:t xml:space="preserve"> (stage 1)</w:t>
      </w:r>
      <w:r w:rsidR="00FC1695" w:rsidRPr="00185321">
        <w:rPr>
          <w:lang w:val="en"/>
        </w:rPr>
        <w:t xml:space="preserve"> or later</w:t>
      </w:r>
      <w:r w:rsidR="00ED3649" w:rsidRPr="00185321">
        <w:rPr>
          <w:lang w:val="en"/>
        </w:rPr>
        <w:t xml:space="preserve"> (stage 4)</w:t>
      </w:r>
      <w:r w:rsidR="00FC1695" w:rsidRPr="00185321">
        <w:rPr>
          <w:lang w:val="en"/>
        </w:rPr>
        <w:t>.</w:t>
      </w:r>
      <w:r w:rsidR="00901B51" w:rsidRPr="00185321">
        <w:rPr>
          <w:lang w:val="en"/>
        </w:rPr>
        <w:t xml:space="preserve"> </w:t>
      </w:r>
      <w:r w:rsidR="00ED3649" w:rsidRPr="00185321">
        <w:rPr>
          <w:lang w:val="en"/>
        </w:rPr>
        <w:t xml:space="preserve">The term </w:t>
      </w:r>
      <w:r w:rsidR="00375C96" w:rsidRPr="00185321">
        <w:rPr>
          <w:lang w:val="en"/>
        </w:rPr>
        <w:t>‘</w:t>
      </w:r>
      <w:r w:rsidR="00ED3649" w:rsidRPr="00185321">
        <w:rPr>
          <w:lang w:val="en"/>
        </w:rPr>
        <w:t>metastatic</w:t>
      </w:r>
      <w:r w:rsidR="00375C96" w:rsidRPr="00185321">
        <w:rPr>
          <w:lang w:val="en"/>
        </w:rPr>
        <w:t>’</w:t>
      </w:r>
      <w:r w:rsidR="00ED3649" w:rsidRPr="00185321">
        <w:rPr>
          <w:rStyle w:val="FootnoteReference"/>
          <w:rFonts w:cs="Arial"/>
          <w:lang w:val="en"/>
        </w:rPr>
        <w:footnoteReference w:id="152"/>
      </w:r>
      <w:r w:rsidR="00ED3649" w:rsidRPr="00185321">
        <w:rPr>
          <w:lang w:val="en"/>
        </w:rPr>
        <w:t xml:space="preserve"> is used to describe cancers diagnosed at stage 4.</w:t>
      </w:r>
      <w:r w:rsidR="00952FC7" w:rsidRPr="00185321">
        <w:rPr>
          <w:lang w:val="en"/>
        </w:rPr>
        <w:t xml:space="preserve"> </w:t>
      </w:r>
    </w:p>
    <w:p w14:paraId="7AE90638" w14:textId="6AE51D42" w:rsidR="00D60C15" w:rsidRPr="00B025ED" w:rsidRDefault="002D0545" w:rsidP="00E87AAA">
      <w:pPr>
        <w:pStyle w:val="Body"/>
        <w:rPr>
          <w:highlight w:val="yellow"/>
          <w:lang w:val="en"/>
        </w:rPr>
      </w:pPr>
      <w:r w:rsidRPr="00185321">
        <w:rPr>
          <w:lang w:val="en"/>
        </w:rPr>
        <w:t>Figure 11.6 show</w:t>
      </w:r>
      <w:r w:rsidR="00473DB8" w:rsidRPr="00185321">
        <w:rPr>
          <w:lang w:val="en"/>
        </w:rPr>
        <w:t>s</w:t>
      </w:r>
      <w:r w:rsidRPr="00185321">
        <w:rPr>
          <w:lang w:val="en"/>
        </w:rPr>
        <w:t xml:space="preserve"> </w:t>
      </w:r>
      <w:r w:rsidR="00396126" w:rsidRPr="00185321">
        <w:rPr>
          <w:lang w:val="en"/>
        </w:rPr>
        <w:t>that</w:t>
      </w:r>
      <w:r w:rsidR="00DD0E46">
        <w:rPr>
          <w:lang w:val="en"/>
        </w:rPr>
        <w:t xml:space="preserve"> </w:t>
      </w:r>
      <w:r w:rsidR="00396126" w:rsidRPr="00185321">
        <w:rPr>
          <w:lang w:val="en"/>
        </w:rPr>
        <w:t>the proportion of all solid tumours diagnosed at metastatic stage was consistent between 2014 (19.6</w:t>
      </w:r>
      <w:r w:rsidR="0054537F">
        <w:rPr>
          <w:lang w:val="en"/>
        </w:rPr>
        <w:t>%</w:t>
      </w:r>
      <w:r w:rsidR="00396126" w:rsidRPr="00185321">
        <w:rPr>
          <w:lang w:val="en"/>
        </w:rPr>
        <w:t>) and 20</w:t>
      </w:r>
      <w:r w:rsidR="003A00B2">
        <w:rPr>
          <w:lang w:val="en"/>
        </w:rPr>
        <w:t>21</w:t>
      </w:r>
      <w:r w:rsidR="00396126" w:rsidRPr="00185321">
        <w:rPr>
          <w:lang w:val="en"/>
        </w:rPr>
        <w:t xml:space="preserve"> (18.</w:t>
      </w:r>
      <w:r w:rsidR="003A00B2">
        <w:rPr>
          <w:lang w:val="en"/>
        </w:rPr>
        <w:t>5</w:t>
      </w:r>
      <w:r w:rsidR="0054537F">
        <w:rPr>
          <w:lang w:val="en"/>
        </w:rPr>
        <w:t>%</w:t>
      </w:r>
      <w:r w:rsidR="00396126" w:rsidRPr="00185321">
        <w:rPr>
          <w:lang w:val="en"/>
        </w:rPr>
        <w:t xml:space="preserve">). </w:t>
      </w:r>
      <w:r w:rsidR="00396126" w:rsidRPr="004C4EEB">
        <w:rPr>
          <w:lang w:val="en"/>
        </w:rPr>
        <w:t xml:space="preserve">Figure 11.6 also shows </w:t>
      </w:r>
      <w:r w:rsidRPr="004C4EEB">
        <w:rPr>
          <w:lang w:val="en"/>
        </w:rPr>
        <w:t>a clear relationship between age and stage at diagnosis</w:t>
      </w:r>
      <w:r w:rsidR="00375C96" w:rsidRPr="004C4EEB">
        <w:rPr>
          <w:lang w:val="en"/>
        </w:rPr>
        <w:t>,</w:t>
      </w:r>
      <w:r w:rsidRPr="004C4EEB">
        <w:rPr>
          <w:lang w:val="en"/>
        </w:rPr>
        <w:t xml:space="preserve"> with a greater proportion </w:t>
      </w:r>
      <w:r w:rsidR="0047200D" w:rsidRPr="004C4EEB">
        <w:rPr>
          <w:lang w:val="en"/>
        </w:rPr>
        <w:t xml:space="preserve">of </w:t>
      </w:r>
      <w:r w:rsidRPr="004C4EEB">
        <w:rPr>
          <w:lang w:val="en"/>
        </w:rPr>
        <w:t xml:space="preserve">patients over 80 years of age </w:t>
      </w:r>
      <w:r w:rsidR="0047200D" w:rsidRPr="004C4EEB">
        <w:rPr>
          <w:lang w:val="en"/>
        </w:rPr>
        <w:t>(2</w:t>
      </w:r>
      <w:r w:rsidR="003A00B2">
        <w:rPr>
          <w:lang w:val="en"/>
        </w:rPr>
        <w:t>4</w:t>
      </w:r>
      <w:r w:rsidR="00E21BF1" w:rsidRPr="004C4EEB">
        <w:rPr>
          <w:lang w:val="en"/>
        </w:rPr>
        <w:t>.</w:t>
      </w:r>
      <w:r w:rsidR="003A00B2">
        <w:rPr>
          <w:lang w:val="en"/>
        </w:rPr>
        <w:t>0</w:t>
      </w:r>
      <w:r w:rsidR="0054537F">
        <w:rPr>
          <w:lang w:val="en"/>
        </w:rPr>
        <w:t>%</w:t>
      </w:r>
      <w:r w:rsidR="00E21BF1" w:rsidRPr="004C4EEB">
        <w:rPr>
          <w:lang w:val="en"/>
        </w:rPr>
        <w:t xml:space="preserve"> </w:t>
      </w:r>
      <w:r w:rsidR="008C547E">
        <w:rPr>
          <w:lang w:val="en"/>
        </w:rPr>
        <w:t xml:space="preserve">in </w:t>
      </w:r>
      <w:r w:rsidR="00E21BF1" w:rsidRPr="004C4EEB">
        <w:rPr>
          <w:lang w:val="en"/>
        </w:rPr>
        <w:t xml:space="preserve">2014; </w:t>
      </w:r>
      <w:r w:rsidR="0047200D" w:rsidRPr="004C4EEB">
        <w:rPr>
          <w:lang w:val="en"/>
        </w:rPr>
        <w:t>2</w:t>
      </w:r>
      <w:r w:rsidR="00E21BF1" w:rsidRPr="004C4EEB">
        <w:rPr>
          <w:lang w:val="en"/>
        </w:rPr>
        <w:t>4</w:t>
      </w:r>
      <w:r w:rsidR="0047200D" w:rsidRPr="004C4EEB">
        <w:rPr>
          <w:lang w:val="en"/>
        </w:rPr>
        <w:t>.</w:t>
      </w:r>
      <w:r w:rsidR="003A00B2">
        <w:rPr>
          <w:lang w:val="en"/>
        </w:rPr>
        <w:t>3</w:t>
      </w:r>
      <w:r w:rsidR="0054537F">
        <w:rPr>
          <w:lang w:val="en"/>
        </w:rPr>
        <w:t>%</w:t>
      </w:r>
      <w:r w:rsidR="00E21BF1" w:rsidRPr="004C4EEB">
        <w:rPr>
          <w:lang w:val="en"/>
        </w:rPr>
        <w:t xml:space="preserve"> in 20</w:t>
      </w:r>
      <w:r w:rsidR="003A00B2">
        <w:rPr>
          <w:lang w:val="en"/>
        </w:rPr>
        <w:t>21</w:t>
      </w:r>
      <w:r w:rsidR="0047200D" w:rsidRPr="004C4EEB">
        <w:rPr>
          <w:lang w:val="en"/>
        </w:rPr>
        <w:t xml:space="preserve">) presenting </w:t>
      </w:r>
      <w:r w:rsidR="005D0C7F">
        <w:rPr>
          <w:lang w:val="en"/>
        </w:rPr>
        <w:t xml:space="preserve">with </w:t>
      </w:r>
      <w:r w:rsidR="0047200D" w:rsidRPr="004C4EEB">
        <w:rPr>
          <w:lang w:val="en"/>
        </w:rPr>
        <w:t xml:space="preserve">solid tumours </w:t>
      </w:r>
      <w:r w:rsidRPr="004C4EEB">
        <w:rPr>
          <w:lang w:val="en"/>
        </w:rPr>
        <w:t xml:space="preserve">compared </w:t>
      </w:r>
      <w:r w:rsidR="001B50BF" w:rsidRPr="004C4EEB">
        <w:rPr>
          <w:lang w:val="en"/>
        </w:rPr>
        <w:t xml:space="preserve">with </w:t>
      </w:r>
      <w:r w:rsidRPr="004C4EEB">
        <w:rPr>
          <w:lang w:val="en"/>
        </w:rPr>
        <w:t>younger patients</w:t>
      </w:r>
      <w:r w:rsidR="0047200D" w:rsidRPr="004C4EEB">
        <w:rPr>
          <w:lang w:val="en"/>
        </w:rPr>
        <w:t xml:space="preserve"> age</w:t>
      </w:r>
      <w:r w:rsidR="00375C96" w:rsidRPr="004C4EEB">
        <w:rPr>
          <w:lang w:val="en"/>
        </w:rPr>
        <w:t>d</w:t>
      </w:r>
      <w:r w:rsidR="0047200D" w:rsidRPr="004C4EEB">
        <w:rPr>
          <w:lang w:val="en"/>
        </w:rPr>
        <w:t xml:space="preserve"> </w:t>
      </w:r>
      <w:r w:rsidR="005D0C7F">
        <w:rPr>
          <w:lang w:val="en"/>
        </w:rPr>
        <w:t>under</w:t>
      </w:r>
      <w:r w:rsidR="0047200D" w:rsidRPr="004C4EEB">
        <w:rPr>
          <w:lang w:val="en"/>
        </w:rPr>
        <w:t xml:space="preserve"> 60 years (</w:t>
      </w:r>
      <w:r w:rsidR="003A00B2">
        <w:rPr>
          <w:lang w:val="en"/>
        </w:rPr>
        <w:t>14</w:t>
      </w:r>
      <w:r w:rsidR="004C4EEB" w:rsidRPr="004C4EEB">
        <w:rPr>
          <w:lang w:val="en"/>
        </w:rPr>
        <w:t>.</w:t>
      </w:r>
      <w:r w:rsidR="003A00B2">
        <w:rPr>
          <w:lang w:val="en"/>
        </w:rPr>
        <w:t>8</w:t>
      </w:r>
      <w:r w:rsidR="0054537F">
        <w:rPr>
          <w:lang w:val="en"/>
        </w:rPr>
        <w:t>%</w:t>
      </w:r>
      <w:r w:rsidR="004C4EEB" w:rsidRPr="004C4EEB">
        <w:rPr>
          <w:lang w:val="en"/>
        </w:rPr>
        <w:t xml:space="preserve"> </w:t>
      </w:r>
      <w:r w:rsidR="008C547E">
        <w:rPr>
          <w:lang w:val="en"/>
        </w:rPr>
        <w:t xml:space="preserve">in </w:t>
      </w:r>
      <w:r w:rsidR="004C4EEB" w:rsidRPr="004C4EEB">
        <w:rPr>
          <w:lang w:val="en"/>
        </w:rPr>
        <w:t>2014</w:t>
      </w:r>
      <w:r w:rsidR="008C547E">
        <w:rPr>
          <w:lang w:val="en"/>
        </w:rPr>
        <w:t>;</w:t>
      </w:r>
      <w:r w:rsidR="004C4EEB" w:rsidRPr="004C4EEB">
        <w:rPr>
          <w:lang w:val="en"/>
        </w:rPr>
        <w:t xml:space="preserve"> remaining the same at </w:t>
      </w:r>
      <w:r w:rsidR="003A00B2">
        <w:rPr>
          <w:lang w:val="en"/>
        </w:rPr>
        <w:t>14</w:t>
      </w:r>
      <w:r w:rsidR="004C4EEB" w:rsidRPr="004C4EEB">
        <w:rPr>
          <w:lang w:val="en"/>
        </w:rPr>
        <w:t>.</w:t>
      </w:r>
      <w:r w:rsidR="003A00B2">
        <w:rPr>
          <w:lang w:val="en"/>
        </w:rPr>
        <w:t>3</w:t>
      </w:r>
      <w:r w:rsidR="0054537F">
        <w:rPr>
          <w:lang w:val="en"/>
        </w:rPr>
        <w:t>%</w:t>
      </w:r>
      <w:r w:rsidR="004C4EEB" w:rsidRPr="004C4EEB">
        <w:rPr>
          <w:lang w:val="en"/>
        </w:rPr>
        <w:t xml:space="preserve"> </w:t>
      </w:r>
      <w:r w:rsidR="008C547E">
        <w:rPr>
          <w:lang w:val="en"/>
        </w:rPr>
        <w:t xml:space="preserve">in </w:t>
      </w:r>
      <w:r w:rsidR="004C4EEB" w:rsidRPr="004C4EEB">
        <w:rPr>
          <w:lang w:val="en"/>
        </w:rPr>
        <w:t>20</w:t>
      </w:r>
      <w:r w:rsidR="003A00B2">
        <w:rPr>
          <w:lang w:val="en"/>
        </w:rPr>
        <w:t>21)</w:t>
      </w:r>
      <w:r w:rsidR="004C4EEB" w:rsidRPr="004C4EEB">
        <w:rPr>
          <w:lang w:val="en"/>
        </w:rPr>
        <w:t xml:space="preserve">. </w:t>
      </w:r>
      <w:r w:rsidR="004C4EEB" w:rsidRPr="0065496C">
        <w:rPr>
          <w:lang w:val="en"/>
        </w:rPr>
        <w:t>However,</w:t>
      </w:r>
      <w:r w:rsidRPr="0065496C">
        <w:rPr>
          <w:lang w:val="en"/>
        </w:rPr>
        <w:t xml:space="preserve"> there was a slight decrease </w:t>
      </w:r>
      <w:r w:rsidR="00473DB8" w:rsidRPr="0065496C">
        <w:rPr>
          <w:lang w:val="en"/>
        </w:rPr>
        <w:t>for all age categories between 2014 and 20</w:t>
      </w:r>
      <w:r w:rsidR="003A00B2">
        <w:rPr>
          <w:lang w:val="en"/>
        </w:rPr>
        <w:t>21</w:t>
      </w:r>
      <w:r w:rsidR="005D0C7F">
        <w:rPr>
          <w:lang w:val="en"/>
        </w:rPr>
        <w:t>,</w:t>
      </w:r>
      <w:r w:rsidR="004C4EEB" w:rsidRPr="0065496C">
        <w:rPr>
          <w:lang w:val="en"/>
        </w:rPr>
        <w:t xml:space="preserve"> except</w:t>
      </w:r>
      <w:r w:rsidR="005D0C7F">
        <w:rPr>
          <w:lang w:val="en"/>
        </w:rPr>
        <w:t xml:space="preserve"> for</w:t>
      </w:r>
      <w:r w:rsidR="004C4EEB" w:rsidRPr="0065496C">
        <w:rPr>
          <w:lang w:val="en"/>
        </w:rPr>
        <w:t xml:space="preserve"> those patients aged 80 year</w:t>
      </w:r>
      <w:r w:rsidR="004A496C">
        <w:rPr>
          <w:lang w:val="en"/>
        </w:rPr>
        <w:t>s</w:t>
      </w:r>
      <w:r w:rsidR="004C4EEB" w:rsidRPr="0065496C">
        <w:rPr>
          <w:lang w:val="en"/>
        </w:rPr>
        <w:t xml:space="preserve"> </w:t>
      </w:r>
      <w:r w:rsidR="004A496C">
        <w:rPr>
          <w:lang w:val="en"/>
        </w:rPr>
        <w:t>or</w:t>
      </w:r>
      <w:r w:rsidR="004C4EEB" w:rsidRPr="0065496C">
        <w:rPr>
          <w:lang w:val="en"/>
        </w:rPr>
        <w:t xml:space="preserve"> older</w:t>
      </w:r>
      <w:r w:rsidR="00473DB8" w:rsidRPr="0065496C">
        <w:rPr>
          <w:lang w:val="en"/>
        </w:rPr>
        <w:t>.</w:t>
      </w:r>
      <w:r w:rsidR="00952FC7" w:rsidRPr="0065496C">
        <w:rPr>
          <w:lang w:val="en"/>
        </w:rPr>
        <w:t xml:space="preserve"> </w:t>
      </w:r>
      <w:r w:rsidR="00473DB8" w:rsidRPr="0065496C">
        <w:rPr>
          <w:lang w:val="en"/>
        </w:rPr>
        <w:t xml:space="preserve">Males accounted for a slightly higher proportion of </w:t>
      </w:r>
      <w:r w:rsidR="00D60C15" w:rsidRPr="0065496C">
        <w:rPr>
          <w:lang w:val="en"/>
        </w:rPr>
        <w:t xml:space="preserve">all solid tumours diagnosed at </w:t>
      </w:r>
      <w:r w:rsidR="005D0C7F">
        <w:rPr>
          <w:lang w:val="en"/>
        </w:rPr>
        <w:t xml:space="preserve">the </w:t>
      </w:r>
      <w:r w:rsidR="000B05AA" w:rsidRPr="0065496C">
        <w:rPr>
          <w:lang w:val="en"/>
        </w:rPr>
        <w:t>metastatic</w:t>
      </w:r>
      <w:r w:rsidR="00D60C15" w:rsidRPr="0065496C">
        <w:rPr>
          <w:lang w:val="en"/>
        </w:rPr>
        <w:t xml:space="preserve"> stage than </w:t>
      </w:r>
      <w:r w:rsidR="00E14154" w:rsidRPr="0065496C">
        <w:rPr>
          <w:lang w:val="en"/>
        </w:rPr>
        <w:t>fe</w:t>
      </w:r>
      <w:r w:rsidR="00770E46" w:rsidRPr="0065496C">
        <w:rPr>
          <w:lang w:val="en"/>
        </w:rPr>
        <w:t>males</w:t>
      </w:r>
      <w:r w:rsidR="00FC5003" w:rsidRPr="0065496C">
        <w:rPr>
          <w:lang w:val="en"/>
        </w:rPr>
        <w:t xml:space="preserve"> between 2014 and 2016</w:t>
      </w:r>
      <w:r w:rsidR="00375C96" w:rsidRPr="0065496C">
        <w:rPr>
          <w:lang w:val="en"/>
        </w:rPr>
        <w:t>,</w:t>
      </w:r>
      <w:r w:rsidR="00D60C15" w:rsidRPr="0065496C">
        <w:rPr>
          <w:lang w:val="en"/>
        </w:rPr>
        <w:t xml:space="preserve"> possibly in part because males </w:t>
      </w:r>
      <w:r w:rsidR="0002086A" w:rsidRPr="0065496C">
        <w:rPr>
          <w:lang w:val="en"/>
        </w:rPr>
        <w:t>may be more likely to</w:t>
      </w:r>
      <w:r w:rsidR="00D60C15" w:rsidRPr="0065496C">
        <w:rPr>
          <w:lang w:val="en"/>
        </w:rPr>
        <w:t xml:space="preserve"> delay reporting symptoms and </w:t>
      </w:r>
      <w:r w:rsidR="007918DD" w:rsidRPr="0065496C">
        <w:rPr>
          <w:lang w:val="en"/>
        </w:rPr>
        <w:t>are less likely to participate in</w:t>
      </w:r>
      <w:r w:rsidR="00D60C15" w:rsidRPr="0065496C">
        <w:rPr>
          <w:lang w:val="en"/>
        </w:rPr>
        <w:t xml:space="preserve"> screening</w:t>
      </w:r>
      <w:r w:rsidR="007918DD" w:rsidRPr="0065496C">
        <w:rPr>
          <w:lang w:val="en"/>
        </w:rPr>
        <w:t xml:space="preserve"> program</w:t>
      </w:r>
      <w:r w:rsidR="006F4F35" w:rsidRPr="0065496C">
        <w:rPr>
          <w:lang w:val="en"/>
        </w:rPr>
        <w:t xml:space="preserve">s </w:t>
      </w:r>
      <w:r w:rsidR="004C4EEB" w:rsidRPr="0065496C">
        <w:rPr>
          <w:lang w:val="en"/>
        </w:rPr>
        <w:t xml:space="preserve">specific to </w:t>
      </w:r>
      <w:r w:rsidR="006F4F35" w:rsidRPr="0065496C">
        <w:rPr>
          <w:lang w:val="en"/>
        </w:rPr>
        <w:t>bowel</w:t>
      </w:r>
      <w:r w:rsidR="004C4EEB" w:rsidRPr="0065496C">
        <w:rPr>
          <w:lang w:val="en"/>
        </w:rPr>
        <w:t xml:space="preserve"> cancer</w:t>
      </w:r>
      <w:r w:rsidR="008C547E">
        <w:rPr>
          <w:lang w:val="en"/>
        </w:rPr>
        <w:t>,</w:t>
      </w:r>
      <w:r w:rsidR="004C4EEB" w:rsidRPr="0065496C">
        <w:rPr>
          <w:lang w:val="en"/>
        </w:rPr>
        <w:t xml:space="preserve"> for example</w:t>
      </w:r>
      <w:r w:rsidR="00D60C15" w:rsidRPr="0065496C">
        <w:rPr>
          <w:lang w:val="en"/>
        </w:rPr>
        <w:t>.</w:t>
      </w:r>
      <w:r w:rsidR="00F60206">
        <w:rPr>
          <w:rStyle w:val="FootnoteReference"/>
          <w:rFonts w:cs="Arial"/>
          <w:lang w:val="en"/>
        </w:rPr>
        <w:footnoteReference w:id="153"/>
      </w:r>
      <w:r w:rsidR="00D60C15" w:rsidRPr="0065496C">
        <w:rPr>
          <w:lang w:val="en"/>
        </w:rPr>
        <w:t xml:space="preserve"> Nevertheless</w:t>
      </w:r>
      <w:r w:rsidR="0002086A" w:rsidRPr="0065496C">
        <w:rPr>
          <w:lang w:val="en"/>
        </w:rPr>
        <w:t xml:space="preserve"> this trend showed a slight decline for both sexes </w:t>
      </w:r>
      <w:r w:rsidR="00F33DDC" w:rsidRPr="0065496C">
        <w:rPr>
          <w:lang w:val="en"/>
        </w:rPr>
        <w:t xml:space="preserve">overall </w:t>
      </w:r>
      <w:r w:rsidR="004C4EEB" w:rsidRPr="0065496C">
        <w:rPr>
          <w:lang w:val="en"/>
        </w:rPr>
        <w:t>during</w:t>
      </w:r>
      <w:r w:rsidR="0002086A" w:rsidRPr="0065496C">
        <w:rPr>
          <w:lang w:val="en"/>
        </w:rPr>
        <w:t xml:space="preserve"> the analysis period</w:t>
      </w:r>
      <w:r w:rsidR="00F33DDC">
        <w:rPr>
          <w:lang w:val="en"/>
        </w:rPr>
        <w:t>,</w:t>
      </w:r>
      <w:r w:rsidR="004C4EEB" w:rsidRPr="0065496C">
        <w:rPr>
          <w:lang w:val="en"/>
        </w:rPr>
        <w:t xml:space="preserve"> equalising for both genders in 20</w:t>
      </w:r>
      <w:r w:rsidR="0095086D">
        <w:rPr>
          <w:lang w:val="en"/>
        </w:rPr>
        <w:t xml:space="preserve">21 </w:t>
      </w:r>
      <w:r w:rsidR="004C4EEB" w:rsidRPr="0065496C">
        <w:rPr>
          <w:lang w:val="en"/>
        </w:rPr>
        <w:t>(1</w:t>
      </w:r>
      <w:r w:rsidR="0065496C" w:rsidRPr="0065496C">
        <w:rPr>
          <w:lang w:val="en"/>
        </w:rPr>
        <w:t>8.</w:t>
      </w:r>
      <w:r w:rsidR="0095086D">
        <w:rPr>
          <w:lang w:val="en"/>
        </w:rPr>
        <w:t>7</w:t>
      </w:r>
      <w:r w:rsidR="0054537F">
        <w:rPr>
          <w:lang w:val="en"/>
        </w:rPr>
        <w:t>%</w:t>
      </w:r>
      <w:r w:rsidR="0065496C" w:rsidRPr="0065496C">
        <w:rPr>
          <w:lang w:val="en"/>
        </w:rPr>
        <w:t xml:space="preserve"> </w:t>
      </w:r>
      <w:r w:rsidR="004A496C">
        <w:rPr>
          <w:lang w:val="en"/>
        </w:rPr>
        <w:t xml:space="preserve">for </w:t>
      </w:r>
      <w:r w:rsidR="0065496C" w:rsidRPr="0065496C">
        <w:rPr>
          <w:lang w:val="en"/>
        </w:rPr>
        <w:t>males and 18.</w:t>
      </w:r>
      <w:r w:rsidR="0095086D">
        <w:rPr>
          <w:lang w:val="en"/>
        </w:rPr>
        <w:t>2</w:t>
      </w:r>
      <w:r w:rsidR="0054537F">
        <w:rPr>
          <w:lang w:val="en"/>
        </w:rPr>
        <w:t>%</w:t>
      </w:r>
      <w:r w:rsidR="0065496C" w:rsidRPr="0065496C">
        <w:rPr>
          <w:lang w:val="en"/>
        </w:rPr>
        <w:t xml:space="preserve"> </w:t>
      </w:r>
      <w:r w:rsidR="004A496C">
        <w:rPr>
          <w:lang w:val="en"/>
        </w:rPr>
        <w:t xml:space="preserve">for </w:t>
      </w:r>
      <w:r w:rsidR="0065496C" w:rsidRPr="0065496C">
        <w:rPr>
          <w:lang w:val="en"/>
        </w:rPr>
        <w:t>females)</w:t>
      </w:r>
      <w:r w:rsidR="00CA33E9" w:rsidRPr="0065496C">
        <w:rPr>
          <w:lang w:val="en"/>
        </w:rPr>
        <w:t xml:space="preserve"> (Figure 11.6)</w:t>
      </w:r>
      <w:r w:rsidR="0002086A" w:rsidRPr="0065496C">
        <w:rPr>
          <w:lang w:val="en"/>
        </w:rPr>
        <w:t>.</w:t>
      </w:r>
    </w:p>
    <w:p w14:paraId="1F846C8E" w14:textId="57451251" w:rsidR="002D0545" w:rsidRPr="0065496C" w:rsidRDefault="0002086A" w:rsidP="00E87AAA">
      <w:pPr>
        <w:pStyle w:val="Body"/>
        <w:rPr>
          <w:lang w:val="en"/>
        </w:rPr>
      </w:pPr>
      <w:r w:rsidRPr="0065496C">
        <w:rPr>
          <w:lang w:val="en"/>
        </w:rPr>
        <w:t xml:space="preserve">For all three reporting years, </w:t>
      </w:r>
      <w:r w:rsidR="001B50BF" w:rsidRPr="0065496C">
        <w:rPr>
          <w:lang w:val="en"/>
        </w:rPr>
        <w:t>A</w:t>
      </w:r>
      <w:r w:rsidRPr="0065496C">
        <w:rPr>
          <w:lang w:val="en"/>
        </w:rPr>
        <w:t xml:space="preserve">boriginal </w:t>
      </w:r>
      <w:r w:rsidR="00AF0F53" w:rsidRPr="0065496C">
        <w:rPr>
          <w:lang w:val="en"/>
        </w:rPr>
        <w:t xml:space="preserve">Victorians </w:t>
      </w:r>
      <w:r w:rsidRPr="0065496C">
        <w:rPr>
          <w:lang w:val="en"/>
        </w:rPr>
        <w:t xml:space="preserve">had higher proportions of </w:t>
      </w:r>
      <w:r w:rsidRPr="0065496C">
        <w:rPr>
          <w:lang w:eastAsia="en-AU"/>
        </w:rPr>
        <w:t xml:space="preserve">solid tumours diagnosed at </w:t>
      </w:r>
      <w:r w:rsidR="00375C96" w:rsidRPr="0065496C">
        <w:rPr>
          <w:lang w:eastAsia="en-AU"/>
        </w:rPr>
        <w:t xml:space="preserve">the </w:t>
      </w:r>
      <w:r w:rsidRPr="0065496C">
        <w:rPr>
          <w:lang w:eastAsia="en-AU"/>
        </w:rPr>
        <w:t xml:space="preserve">metastatic stage </w:t>
      </w:r>
      <w:r w:rsidRPr="0065496C">
        <w:rPr>
          <w:lang w:val="en"/>
        </w:rPr>
        <w:t xml:space="preserve">compared </w:t>
      </w:r>
      <w:r w:rsidR="001B50BF" w:rsidRPr="0065496C">
        <w:rPr>
          <w:lang w:val="en"/>
        </w:rPr>
        <w:t xml:space="preserve">with </w:t>
      </w:r>
      <w:r w:rsidRPr="0065496C">
        <w:rPr>
          <w:lang w:val="en"/>
        </w:rPr>
        <w:t>non-</w:t>
      </w:r>
      <w:r w:rsidR="00DC7655" w:rsidRPr="0065496C">
        <w:rPr>
          <w:lang w:val="en"/>
        </w:rPr>
        <w:t>A</w:t>
      </w:r>
      <w:r w:rsidRPr="0065496C">
        <w:rPr>
          <w:lang w:val="en"/>
        </w:rPr>
        <w:t xml:space="preserve">boriginal </w:t>
      </w:r>
      <w:r w:rsidR="0088635D" w:rsidRPr="0065496C">
        <w:rPr>
          <w:lang w:val="en"/>
        </w:rPr>
        <w:t>Victorians</w:t>
      </w:r>
      <w:r w:rsidRPr="0065496C">
        <w:rPr>
          <w:lang w:val="en"/>
        </w:rPr>
        <w:t>.</w:t>
      </w:r>
      <w:r w:rsidR="00952FC7" w:rsidRPr="0065496C">
        <w:rPr>
          <w:lang w:val="en"/>
        </w:rPr>
        <w:t xml:space="preserve"> </w:t>
      </w:r>
      <w:r w:rsidRPr="0065496C">
        <w:rPr>
          <w:lang w:val="en"/>
        </w:rPr>
        <w:t xml:space="preserve">A similar pattern was observed for those whose language spoken at home was not English. This suggests that </w:t>
      </w:r>
      <w:r w:rsidR="001B50BF" w:rsidRPr="0065496C">
        <w:rPr>
          <w:lang w:val="en"/>
        </w:rPr>
        <w:t>A</w:t>
      </w:r>
      <w:r w:rsidRPr="0065496C">
        <w:rPr>
          <w:lang w:val="en"/>
        </w:rPr>
        <w:t xml:space="preserve">boriginal </w:t>
      </w:r>
      <w:r w:rsidR="00AF0F53" w:rsidRPr="0065496C">
        <w:rPr>
          <w:lang w:val="en"/>
        </w:rPr>
        <w:t>Victorian</w:t>
      </w:r>
      <w:r w:rsidR="00F33DDC">
        <w:rPr>
          <w:lang w:val="en"/>
        </w:rPr>
        <w:t>s</w:t>
      </w:r>
      <w:r w:rsidR="00AF0F53" w:rsidRPr="0065496C">
        <w:rPr>
          <w:lang w:val="en"/>
        </w:rPr>
        <w:t xml:space="preserve"> </w:t>
      </w:r>
      <w:r w:rsidRPr="0065496C">
        <w:rPr>
          <w:lang w:val="en"/>
        </w:rPr>
        <w:t xml:space="preserve">and </w:t>
      </w:r>
      <w:r w:rsidR="0011089F" w:rsidRPr="0065496C">
        <w:rPr>
          <w:lang w:val="en"/>
        </w:rPr>
        <w:t xml:space="preserve">culturally diverse </w:t>
      </w:r>
      <w:r w:rsidRPr="0065496C">
        <w:rPr>
          <w:lang w:val="en"/>
        </w:rPr>
        <w:t xml:space="preserve">communities </w:t>
      </w:r>
      <w:r w:rsidR="001A5CC8" w:rsidRPr="0065496C">
        <w:rPr>
          <w:lang w:val="en"/>
        </w:rPr>
        <w:t>may be</w:t>
      </w:r>
      <w:r w:rsidRPr="0065496C">
        <w:rPr>
          <w:lang w:val="en"/>
        </w:rPr>
        <w:t xml:space="preserve"> under-served in </w:t>
      </w:r>
      <w:r w:rsidR="007918DD" w:rsidRPr="0065496C">
        <w:rPr>
          <w:lang w:val="en"/>
        </w:rPr>
        <w:t>early diagnosis</w:t>
      </w:r>
      <w:r w:rsidR="00375C96" w:rsidRPr="0065496C">
        <w:rPr>
          <w:lang w:val="en"/>
        </w:rPr>
        <w:t>,</w:t>
      </w:r>
      <w:r w:rsidR="007918DD" w:rsidRPr="0065496C">
        <w:rPr>
          <w:lang w:val="en"/>
        </w:rPr>
        <w:t xml:space="preserve"> </w:t>
      </w:r>
      <w:r w:rsidRPr="0065496C">
        <w:rPr>
          <w:lang w:val="en"/>
        </w:rPr>
        <w:t>making them more vulnerable during the cancer treatment phas</w:t>
      </w:r>
      <w:r w:rsidR="00CA2AD7" w:rsidRPr="0065496C">
        <w:rPr>
          <w:lang w:val="en"/>
        </w:rPr>
        <w:t>e (</w:t>
      </w:r>
      <w:r w:rsidR="00475360" w:rsidRPr="0065496C">
        <w:rPr>
          <w:lang w:val="en"/>
        </w:rPr>
        <w:t>Figure 2.3</w:t>
      </w:r>
      <w:r w:rsidR="00CA2AD7" w:rsidRPr="0065496C">
        <w:rPr>
          <w:lang w:val="en"/>
        </w:rPr>
        <w:t>)</w:t>
      </w:r>
      <w:r w:rsidR="001A5CC8" w:rsidRPr="0065496C">
        <w:rPr>
          <w:lang w:val="en"/>
        </w:rPr>
        <w:t>.</w:t>
      </w:r>
    </w:p>
    <w:p w14:paraId="77A3ED37" w14:textId="72A04C95" w:rsidR="001D0B8B" w:rsidRPr="00FA7A9A" w:rsidRDefault="00CA33E9" w:rsidP="00E87AAA">
      <w:pPr>
        <w:pStyle w:val="Body"/>
        <w:rPr>
          <w:lang w:val="en"/>
        </w:rPr>
      </w:pPr>
      <w:r w:rsidRPr="00FA7A9A">
        <w:rPr>
          <w:lang w:val="en"/>
        </w:rPr>
        <w:t>Figure 11.6.1 shows</w:t>
      </w:r>
      <w:r w:rsidR="00620404">
        <w:rPr>
          <w:lang w:val="en"/>
        </w:rPr>
        <w:t xml:space="preserve"> that overall,</w:t>
      </w:r>
      <w:r w:rsidRPr="00FA7A9A">
        <w:rPr>
          <w:lang w:val="en"/>
        </w:rPr>
        <w:t xml:space="preserve"> there was no clear association </w:t>
      </w:r>
      <w:r w:rsidR="00620404">
        <w:rPr>
          <w:lang w:val="en"/>
        </w:rPr>
        <w:t>for</w:t>
      </w:r>
      <w:r w:rsidRPr="00FA7A9A">
        <w:rPr>
          <w:lang w:val="en"/>
        </w:rPr>
        <w:t xml:space="preserve"> all </w:t>
      </w:r>
      <w:r w:rsidR="00620404">
        <w:rPr>
          <w:lang w:val="en"/>
        </w:rPr>
        <w:t xml:space="preserve">solid </w:t>
      </w:r>
      <w:r w:rsidRPr="00FA7A9A">
        <w:rPr>
          <w:lang w:val="en"/>
        </w:rPr>
        <w:t xml:space="preserve">tumours diagnosed at </w:t>
      </w:r>
      <w:r w:rsidR="00682D74" w:rsidRPr="00FA7A9A">
        <w:rPr>
          <w:lang w:val="en"/>
        </w:rPr>
        <w:t xml:space="preserve">the </w:t>
      </w:r>
      <w:r w:rsidR="006B0961" w:rsidRPr="00FA7A9A">
        <w:rPr>
          <w:lang w:val="en"/>
        </w:rPr>
        <w:t>metastatic</w:t>
      </w:r>
      <w:r w:rsidRPr="00FA7A9A">
        <w:rPr>
          <w:lang w:val="en"/>
        </w:rPr>
        <w:t xml:space="preserve"> stage </w:t>
      </w:r>
      <w:r w:rsidR="004F38EB" w:rsidRPr="00FA7A9A">
        <w:rPr>
          <w:lang w:val="en"/>
        </w:rPr>
        <w:t>from 2014 to 20</w:t>
      </w:r>
      <w:r w:rsidR="0095086D">
        <w:rPr>
          <w:lang w:val="en"/>
        </w:rPr>
        <w:t>21</w:t>
      </w:r>
      <w:r w:rsidR="006B0961" w:rsidRPr="00FA7A9A">
        <w:rPr>
          <w:lang w:val="en"/>
        </w:rPr>
        <w:t xml:space="preserve">. </w:t>
      </w:r>
      <w:r w:rsidR="000B05AA" w:rsidRPr="00FA7A9A">
        <w:rPr>
          <w:lang w:val="en"/>
        </w:rPr>
        <w:t>However,</w:t>
      </w:r>
      <w:r w:rsidR="006B0961" w:rsidRPr="00FA7A9A">
        <w:rPr>
          <w:lang w:val="en"/>
        </w:rPr>
        <w:t xml:space="preserve"> there was clear associations between </w:t>
      </w:r>
      <w:r w:rsidR="00DE7FFE" w:rsidRPr="00FA7A9A">
        <w:rPr>
          <w:lang w:eastAsia="en-AU"/>
        </w:rPr>
        <w:t xml:space="preserve">SES </w:t>
      </w:r>
      <w:r w:rsidR="006B0961" w:rsidRPr="00FA7A9A">
        <w:rPr>
          <w:lang w:val="en"/>
        </w:rPr>
        <w:t xml:space="preserve">and patients diagnosed with tumours at </w:t>
      </w:r>
      <w:r w:rsidR="00F33DDC">
        <w:rPr>
          <w:lang w:val="en"/>
        </w:rPr>
        <w:t>the</w:t>
      </w:r>
      <w:r w:rsidR="006B0961" w:rsidRPr="00FA7A9A">
        <w:rPr>
          <w:lang w:val="en"/>
        </w:rPr>
        <w:t xml:space="preserve"> metastatic stage</w:t>
      </w:r>
      <w:r w:rsidR="00272C4F" w:rsidRPr="00FA7A9A">
        <w:rPr>
          <w:lang w:val="en"/>
        </w:rPr>
        <w:t>,</w:t>
      </w:r>
      <w:r w:rsidR="006B0961" w:rsidRPr="00FA7A9A">
        <w:rPr>
          <w:lang w:val="en"/>
        </w:rPr>
        <w:t xml:space="preserve"> with those in the lowest quintile having the greatest burden of all tumours being diagnosed at an advanced stage compared </w:t>
      </w:r>
      <w:r w:rsidR="001B50BF" w:rsidRPr="00FA7A9A">
        <w:rPr>
          <w:lang w:val="en"/>
        </w:rPr>
        <w:t xml:space="preserve">with </w:t>
      </w:r>
      <w:r w:rsidR="006B0961" w:rsidRPr="00FA7A9A">
        <w:rPr>
          <w:lang w:val="en"/>
        </w:rPr>
        <w:t xml:space="preserve">those in the highest </w:t>
      </w:r>
      <w:r w:rsidR="006B0961" w:rsidRPr="00E557C2">
        <w:rPr>
          <w:lang w:val="en"/>
        </w:rPr>
        <w:t>quintile.</w:t>
      </w:r>
      <w:r w:rsidR="000B05AA" w:rsidRPr="00E557C2">
        <w:rPr>
          <w:lang w:val="en"/>
        </w:rPr>
        <w:t xml:space="preserve"> </w:t>
      </w:r>
      <w:r w:rsidR="001A5CC8" w:rsidRPr="00E557C2">
        <w:rPr>
          <w:lang w:val="en"/>
        </w:rPr>
        <w:t>This could be driven by individual cancer types such as lung cancer</w:t>
      </w:r>
      <w:r w:rsidR="00272C4F" w:rsidRPr="00E557C2">
        <w:rPr>
          <w:lang w:val="en"/>
        </w:rPr>
        <w:t>,</w:t>
      </w:r>
      <w:r w:rsidR="001A5CC8" w:rsidRPr="00E557C2">
        <w:rPr>
          <w:lang w:val="en"/>
        </w:rPr>
        <w:t xml:space="preserve"> which is more prevalent in low </w:t>
      </w:r>
      <w:r w:rsidR="008C547E">
        <w:rPr>
          <w:lang w:val="en"/>
        </w:rPr>
        <w:t>SES</w:t>
      </w:r>
      <w:r w:rsidR="008C547E" w:rsidRPr="00E557C2">
        <w:rPr>
          <w:lang w:val="en"/>
        </w:rPr>
        <w:t xml:space="preserve"> </w:t>
      </w:r>
      <w:r w:rsidR="001A5CC8" w:rsidRPr="00E557C2">
        <w:rPr>
          <w:lang w:val="en"/>
        </w:rPr>
        <w:t>groups, of which 50</w:t>
      </w:r>
      <w:r w:rsidR="0054537F">
        <w:rPr>
          <w:lang w:val="en"/>
        </w:rPr>
        <w:t>%</w:t>
      </w:r>
      <w:r w:rsidR="001A5CC8" w:rsidRPr="00E557C2">
        <w:rPr>
          <w:lang w:val="en"/>
        </w:rPr>
        <w:t xml:space="preserve"> are metastatic at diagnosis.</w:t>
      </w:r>
      <w:r w:rsidR="00E557C2">
        <w:rPr>
          <w:rStyle w:val="FootnoteReference"/>
          <w:rFonts w:cs="Arial"/>
          <w:lang w:val="en"/>
        </w:rPr>
        <w:footnoteReference w:id="154"/>
      </w:r>
      <w:r w:rsidR="001A5CC8" w:rsidRPr="00E557C2">
        <w:rPr>
          <w:lang w:val="en"/>
        </w:rPr>
        <w:t xml:space="preserve"> </w:t>
      </w:r>
      <w:r w:rsidR="000B05AA" w:rsidRPr="00FA7A9A">
        <w:rPr>
          <w:lang w:val="en"/>
        </w:rPr>
        <w:t>The distribution pattern</w:t>
      </w:r>
      <w:r w:rsidR="00DE0AE2" w:rsidRPr="00FA7A9A">
        <w:rPr>
          <w:lang w:val="en"/>
        </w:rPr>
        <w:t xml:space="preserve"> by remoteness also</w:t>
      </w:r>
      <w:r w:rsidR="000B05AA" w:rsidRPr="00FA7A9A">
        <w:rPr>
          <w:lang w:val="en"/>
        </w:rPr>
        <w:t xml:space="preserve"> </w:t>
      </w:r>
      <w:r w:rsidR="00DE0AE2" w:rsidRPr="00FA7A9A">
        <w:rPr>
          <w:lang w:val="en"/>
        </w:rPr>
        <w:t>showed some variability</w:t>
      </w:r>
      <w:r w:rsidR="00022EAC">
        <w:rPr>
          <w:lang w:val="en"/>
        </w:rPr>
        <w:t xml:space="preserve"> between 2014 to 2021</w:t>
      </w:r>
      <w:r w:rsidR="00272C4F" w:rsidRPr="00FA7A9A">
        <w:rPr>
          <w:lang w:val="en"/>
        </w:rPr>
        <w:t>,</w:t>
      </w:r>
      <w:r w:rsidR="00DE0AE2" w:rsidRPr="00FA7A9A">
        <w:rPr>
          <w:lang w:val="en"/>
        </w:rPr>
        <w:t xml:space="preserve"> with those living in inner regional and outer regional/remote areas </w:t>
      </w:r>
      <w:r w:rsidR="00634CBB" w:rsidRPr="00FA7A9A">
        <w:rPr>
          <w:lang w:val="en"/>
        </w:rPr>
        <w:t xml:space="preserve">compared </w:t>
      </w:r>
      <w:r w:rsidR="001B50BF" w:rsidRPr="00FA7A9A">
        <w:rPr>
          <w:lang w:val="en"/>
        </w:rPr>
        <w:t xml:space="preserve">with </w:t>
      </w:r>
      <w:r w:rsidR="00634CBB" w:rsidRPr="00FA7A9A">
        <w:rPr>
          <w:lang w:val="en"/>
        </w:rPr>
        <w:t xml:space="preserve">major cites </w:t>
      </w:r>
      <w:r w:rsidR="00DE0AE2" w:rsidRPr="00FA7A9A">
        <w:rPr>
          <w:lang w:val="en"/>
        </w:rPr>
        <w:t xml:space="preserve">more likely to have patients with tumours diagnosed at </w:t>
      </w:r>
      <w:r w:rsidR="00F33DDC">
        <w:rPr>
          <w:lang w:val="en"/>
        </w:rPr>
        <w:t>the</w:t>
      </w:r>
      <w:r w:rsidR="00272C4F" w:rsidRPr="00FA7A9A">
        <w:rPr>
          <w:lang w:val="en"/>
        </w:rPr>
        <w:t xml:space="preserve"> </w:t>
      </w:r>
      <w:r w:rsidR="00DE0AE2" w:rsidRPr="00FA7A9A">
        <w:rPr>
          <w:lang w:val="en"/>
        </w:rPr>
        <w:t>metastatic stage</w:t>
      </w:r>
      <w:r w:rsidR="001A5CC8" w:rsidRPr="00FA7A9A">
        <w:rPr>
          <w:lang w:val="en"/>
        </w:rPr>
        <w:t xml:space="preserve"> </w:t>
      </w:r>
      <w:r w:rsidR="00634CBB" w:rsidRPr="00FA7A9A">
        <w:rPr>
          <w:lang w:val="en"/>
        </w:rPr>
        <w:t>(Table 11.6.1</w:t>
      </w:r>
      <w:r w:rsidR="000B7E29" w:rsidRPr="00FA7A9A">
        <w:rPr>
          <w:lang w:val="en"/>
        </w:rPr>
        <w:t>, Appendix 2</w:t>
      </w:r>
      <w:r w:rsidR="00634CBB" w:rsidRPr="00FA7A9A">
        <w:rPr>
          <w:lang w:val="en"/>
        </w:rPr>
        <w:t>).</w:t>
      </w:r>
    </w:p>
    <w:p w14:paraId="4070B8EB" w14:textId="3FC6F913" w:rsidR="00CC52BE" w:rsidRPr="00EA604B" w:rsidRDefault="001D0B8B" w:rsidP="00E87AAA">
      <w:pPr>
        <w:pStyle w:val="Body"/>
        <w:rPr>
          <w:lang w:val="en"/>
        </w:rPr>
      </w:pPr>
      <w:r w:rsidRPr="00185321">
        <w:rPr>
          <w:lang w:val="en"/>
        </w:rPr>
        <w:t>While no target has been set for this measure</w:t>
      </w:r>
      <w:r w:rsidR="00272C4F" w:rsidRPr="00185321">
        <w:rPr>
          <w:lang w:val="en"/>
        </w:rPr>
        <w:t>,</w:t>
      </w:r>
      <w:r w:rsidRPr="00185321">
        <w:rPr>
          <w:lang w:val="en"/>
        </w:rPr>
        <w:t xml:space="preserve"> </w:t>
      </w:r>
      <w:r w:rsidR="006C401D" w:rsidRPr="00185321">
        <w:rPr>
          <w:lang w:val="en"/>
        </w:rPr>
        <w:t>knowing</w:t>
      </w:r>
      <w:r w:rsidR="002D0545" w:rsidRPr="00185321">
        <w:rPr>
          <w:lang w:val="en"/>
        </w:rPr>
        <w:t xml:space="preserve"> </w:t>
      </w:r>
      <w:r w:rsidR="00421626" w:rsidRPr="00185321">
        <w:rPr>
          <w:lang w:val="en"/>
        </w:rPr>
        <w:t xml:space="preserve">the distribution of </w:t>
      </w:r>
      <w:r w:rsidR="00B05028" w:rsidRPr="00185321">
        <w:rPr>
          <w:lang w:val="en"/>
        </w:rPr>
        <w:t>all solid tumours</w:t>
      </w:r>
      <w:r w:rsidR="00D91405" w:rsidRPr="00185321">
        <w:rPr>
          <w:lang w:val="en"/>
        </w:rPr>
        <w:t xml:space="preserve"> diagnosed </w:t>
      </w:r>
      <w:r w:rsidR="00272C4F" w:rsidRPr="00185321">
        <w:rPr>
          <w:lang w:val="en"/>
        </w:rPr>
        <w:t xml:space="preserve">at </w:t>
      </w:r>
      <w:r w:rsidR="00F33DDC">
        <w:rPr>
          <w:lang w:val="en"/>
        </w:rPr>
        <w:t>the</w:t>
      </w:r>
      <w:r w:rsidR="00D91405" w:rsidRPr="00185321">
        <w:rPr>
          <w:lang w:val="en"/>
        </w:rPr>
        <w:t xml:space="preserve"> metastatic stage </w:t>
      </w:r>
      <w:r w:rsidR="00421626" w:rsidRPr="00185321">
        <w:rPr>
          <w:lang w:val="en"/>
        </w:rPr>
        <w:t>is crucial to understanding variations in survival</w:t>
      </w:r>
      <w:r w:rsidR="002D0545" w:rsidRPr="00185321">
        <w:rPr>
          <w:lang w:val="en"/>
        </w:rPr>
        <w:t xml:space="preserve"> </w:t>
      </w:r>
      <w:r w:rsidR="00421626" w:rsidRPr="00185321">
        <w:rPr>
          <w:lang w:val="en"/>
        </w:rPr>
        <w:t xml:space="preserve">and can </w:t>
      </w:r>
      <w:r w:rsidR="002D0545" w:rsidRPr="00185321">
        <w:rPr>
          <w:lang w:val="en"/>
        </w:rPr>
        <w:t xml:space="preserve">help </w:t>
      </w:r>
      <w:r w:rsidR="00421626" w:rsidRPr="00185321">
        <w:rPr>
          <w:lang w:val="en"/>
        </w:rPr>
        <w:t xml:space="preserve">inform where targeted cancer control strategies </w:t>
      </w:r>
      <w:r w:rsidR="002D0545" w:rsidRPr="00185321">
        <w:rPr>
          <w:lang w:val="en"/>
        </w:rPr>
        <w:t xml:space="preserve">such as screening </w:t>
      </w:r>
      <w:r w:rsidR="007918DD" w:rsidRPr="00185321">
        <w:rPr>
          <w:lang w:val="en"/>
        </w:rPr>
        <w:t xml:space="preserve">and improved early </w:t>
      </w:r>
      <w:r w:rsidR="0088635D" w:rsidRPr="00185321">
        <w:rPr>
          <w:lang w:val="en"/>
        </w:rPr>
        <w:t>detection/</w:t>
      </w:r>
      <w:r w:rsidR="007918DD" w:rsidRPr="00185321">
        <w:rPr>
          <w:lang w:val="en"/>
        </w:rPr>
        <w:t xml:space="preserve">diagnosis of cancer </w:t>
      </w:r>
      <w:r w:rsidR="00421626" w:rsidRPr="00185321">
        <w:rPr>
          <w:lang w:val="en"/>
        </w:rPr>
        <w:t>can be applied to reduce the proportion of cancers diagnosed at an advanced stage</w:t>
      </w:r>
      <w:r w:rsidR="00D91405" w:rsidRPr="00185321">
        <w:rPr>
          <w:lang w:val="en"/>
        </w:rPr>
        <w:t xml:space="preserve"> (stage </w:t>
      </w:r>
      <w:r w:rsidR="00D13225" w:rsidRPr="00185321">
        <w:rPr>
          <w:lang w:val="en"/>
        </w:rPr>
        <w:t>4</w:t>
      </w:r>
      <w:r w:rsidR="00D91405" w:rsidRPr="00185321">
        <w:rPr>
          <w:lang w:val="en"/>
        </w:rPr>
        <w:t>)</w:t>
      </w:r>
      <w:r w:rsidR="002D0545" w:rsidRPr="00185321">
        <w:rPr>
          <w:lang w:val="en"/>
        </w:rPr>
        <w:t>.</w:t>
      </w:r>
      <w:r w:rsidR="00FA7A9A">
        <w:rPr>
          <w:lang w:val="en"/>
        </w:rPr>
        <w:t xml:space="preserve"> As noted under Measure 1.3 at the time of writing, </w:t>
      </w:r>
      <w:r w:rsidR="00FA7A9A">
        <w:t xml:space="preserve">there is a proposal underway to implement a national lung cancer screening program targeted to people who are at </w:t>
      </w:r>
      <w:r w:rsidR="00FA7A9A">
        <w:lastRenderedPageBreak/>
        <w:t>high risk of developing lung cancer</w:t>
      </w:r>
      <w:r w:rsidR="00BF5312">
        <w:t xml:space="preserve"> such as those in low </w:t>
      </w:r>
      <w:r w:rsidR="00F33DDC">
        <w:t xml:space="preserve">SES </w:t>
      </w:r>
      <w:r w:rsidR="00BF5312">
        <w:t>groups</w:t>
      </w:r>
      <w:r w:rsidR="00FA7A9A">
        <w:t>. The screening component would be provided primarily through the Medicare Benefits Schedule.</w:t>
      </w:r>
      <w:r w:rsidR="00FA7A9A">
        <w:rPr>
          <w:rStyle w:val="FootnoteReference"/>
        </w:rPr>
        <w:footnoteReference w:id="155"/>
      </w:r>
      <w:r w:rsidR="00CC52BE" w:rsidRPr="0040003A">
        <w:br w:type="page"/>
      </w:r>
      <w:bookmarkStart w:id="756" w:name="_Toc19008117"/>
      <w:r w:rsidR="00CC52BE" w:rsidRPr="00227B4F">
        <w:rPr>
          <w:rStyle w:val="Heading1Char"/>
        </w:rPr>
        <w:lastRenderedPageBreak/>
        <w:t>Outcome: Optimal diagnostics and treatment</w:t>
      </w:r>
      <w:bookmarkEnd w:id="756"/>
    </w:p>
    <w:p w14:paraId="3F72E025" w14:textId="2E9EF738" w:rsidR="00DF376C" w:rsidRPr="00B91C4A" w:rsidRDefault="00DF376C" w:rsidP="006053E7">
      <w:pPr>
        <w:pStyle w:val="Heading2"/>
      </w:pPr>
      <w:bookmarkStart w:id="757" w:name="_Toc19008118"/>
      <w:bookmarkStart w:id="758" w:name="_Toc140843423"/>
      <w:r w:rsidRPr="00B91C4A">
        <w:t xml:space="preserve">Key result: Increase adherence to </w:t>
      </w:r>
      <w:r w:rsidR="0088635D" w:rsidRPr="00B91C4A">
        <w:t>O</w:t>
      </w:r>
      <w:r w:rsidRPr="00B91C4A">
        <w:t xml:space="preserve">ptimal </w:t>
      </w:r>
      <w:r w:rsidR="0088635D" w:rsidRPr="00B91C4A">
        <w:t>C</w:t>
      </w:r>
      <w:r w:rsidRPr="00B91C4A">
        <w:t xml:space="preserve">are </w:t>
      </w:r>
      <w:r w:rsidR="0088635D" w:rsidRPr="00B91C4A">
        <w:t>P</w:t>
      </w:r>
      <w:r w:rsidRPr="00B91C4A">
        <w:t>athways</w:t>
      </w:r>
      <w:bookmarkEnd w:id="757"/>
      <w:bookmarkEnd w:id="758"/>
    </w:p>
    <w:p w14:paraId="350DBDF0" w14:textId="79A342E0" w:rsidR="00DF376C" w:rsidRPr="008823DA" w:rsidRDefault="00DF376C" w:rsidP="00A451D4">
      <w:pPr>
        <w:pStyle w:val="Heading3"/>
        <w:rPr>
          <w:b/>
          <w:bCs w:val="0"/>
        </w:rPr>
      </w:pPr>
      <w:bookmarkStart w:id="759" w:name="_Measure_12.1_–"/>
      <w:bookmarkStart w:id="760" w:name="_Toc19008119"/>
      <w:bookmarkEnd w:id="759"/>
      <w:r w:rsidRPr="008823DA">
        <w:rPr>
          <w:b/>
          <w:bCs w:val="0"/>
        </w:rPr>
        <w:t>Measure 12.1 – Median days from diagnosis to start of primary curative treatment</w:t>
      </w:r>
      <w:bookmarkEnd w:id="760"/>
      <w:r w:rsidR="002D2F81" w:rsidRPr="008823DA">
        <w:rPr>
          <w:b/>
          <w:bCs w:val="0"/>
        </w:rPr>
        <w:t xml:space="preserve"> </w:t>
      </w:r>
    </w:p>
    <w:p w14:paraId="17DA433C" w14:textId="37D216FA" w:rsidR="00480FF9" w:rsidRDefault="00E57023" w:rsidP="00480FF9">
      <w:pPr>
        <w:pStyle w:val="Figurecaption"/>
        <w:rPr>
          <w:sz w:val="20"/>
        </w:rPr>
      </w:pPr>
      <w:bookmarkStart w:id="761" w:name="_Toc19008120"/>
      <w:bookmarkStart w:id="762" w:name="_Toc19008340"/>
      <w:bookmarkStart w:id="763" w:name="_Toc19008487"/>
      <w:bookmarkStart w:id="764" w:name="_Toc19008634"/>
      <w:bookmarkStart w:id="765" w:name="_Toc132553064"/>
      <w:bookmarkStart w:id="766" w:name="_Toc140827676"/>
      <w:r w:rsidRPr="00F720EE">
        <w:rPr>
          <w:sz w:val="20"/>
        </w:rPr>
        <w:t>Figure 12.1</w:t>
      </w:r>
      <w:r w:rsidR="003B391F" w:rsidRPr="00F720EE">
        <w:rPr>
          <w:sz w:val="20"/>
        </w:rPr>
        <w:t>:</w:t>
      </w:r>
      <w:r w:rsidRPr="00F720EE">
        <w:rPr>
          <w:sz w:val="20"/>
        </w:rPr>
        <w:t xml:space="preserve"> Median days </w:t>
      </w:r>
      <w:r w:rsidR="00FE4810" w:rsidRPr="00F720EE">
        <w:rPr>
          <w:sz w:val="20"/>
        </w:rPr>
        <w:t xml:space="preserve">(and interquartile range) </w:t>
      </w:r>
      <w:r w:rsidRPr="00F720EE">
        <w:rPr>
          <w:sz w:val="20"/>
        </w:rPr>
        <w:t>from diagnosis to start of primary curative treatment (overall)</w:t>
      </w:r>
      <w:r w:rsidR="00682D74" w:rsidRPr="00F720EE">
        <w:rPr>
          <w:sz w:val="20"/>
        </w:rPr>
        <w:t>,</w:t>
      </w:r>
      <w:r w:rsidRPr="00F720EE">
        <w:rPr>
          <w:sz w:val="20"/>
        </w:rPr>
        <w:t xml:space="preserve"> by year, 2014</w:t>
      </w:r>
      <w:r w:rsidR="00442450" w:rsidRPr="00F720EE">
        <w:rPr>
          <w:sz w:val="20"/>
        </w:rPr>
        <w:t>,</w:t>
      </w:r>
      <w:r w:rsidRPr="00F720EE">
        <w:rPr>
          <w:sz w:val="20"/>
        </w:rPr>
        <w:t xml:space="preserve"> 2016</w:t>
      </w:r>
      <w:bookmarkEnd w:id="761"/>
      <w:bookmarkEnd w:id="762"/>
      <w:bookmarkEnd w:id="763"/>
      <w:bookmarkEnd w:id="764"/>
      <w:r w:rsidR="00442450" w:rsidRPr="00F720EE">
        <w:rPr>
          <w:sz w:val="20"/>
        </w:rPr>
        <w:t xml:space="preserve"> and 20</w:t>
      </w:r>
      <w:r w:rsidR="00E20C6E" w:rsidRPr="00F720EE">
        <w:rPr>
          <w:sz w:val="20"/>
        </w:rPr>
        <w:t>21</w:t>
      </w:r>
      <w:bookmarkEnd w:id="765"/>
      <w:bookmarkEnd w:id="766"/>
    </w:p>
    <w:p w14:paraId="11C839AF" w14:textId="7A4D0A26" w:rsidR="00E87EB7" w:rsidRPr="00E87EB7" w:rsidRDefault="00A37A09" w:rsidP="00E87EB7">
      <w:pPr>
        <w:pStyle w:val="DHHSbody"/>
      </w:pPr>
      <w:r>
        <w:rPr>
          <w:noProof/>
        </w:rPr>
        <w:drawing>
          <wp:inline distT="0" distB="0" distL="0" distR="0" wp14:anchorId="788B5222" wp14:editId="78D68221">
            <wp:extent cx="5918200" cy="6535271"/>
            <wp:effectExtent l="0" t="0" r="6350" b="0"/>
            <wp:docPr id="26" name="Picture 26" descr="This figure shows a data summary of 'Measure 12.1 – Median days from diagnosis to start of primary curative treatment' (overall) The data set is available under 'Measure 12.1 – Median days from diagnosis to start of primary curative treatment'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his figure shows a data summary of 'Measure 12.1 – Median days from diagnosis to start of primary curative treatment' (overall) The data set is available under 'Measure 12.1 – Median days from diagnosis to start of primary curative treatment' in a separate volume, the Victorian cancer plan monitoring and evaluation framework: baseline report: Appendix 2: Datasets available on Cancer care &lt;https://www.health.vic.gov.au/health-strategies/cancer-care&gt;."/>
                    <pic:cNvPicPr/>
                  </pic:nvPicPr>
                  <pic:blipFill>
                    <a:blip r:embed="rId122"/>
                    <a:stretch>
                      <a:fillRect/>
                    </a:stretch>
                  </pic:blipFill>
                  <pic:spPr>
                    <a:xfrm>
                      <a:off x="0" y="0"/>
                      <a:ext cx="5920650" cy="6537976"/>
                    </a:xfrm>
                    <a:prstGeom prst="rect">
                      <a:avLst/>
                    </a:prstGeom>
                  </pic:spPr>
                </pic:pic>
              </a:graphicData>
            </a:graphic>
          </wp:inline>
        </w:drawing>
      </w:r>
    </w:p>
    <w:p w14:paraId="44D5D27B" w14:textId="18203EF9" w:rsidR="00F720EE" w:rsidRPr="00F720EE" w:rsidRDefault="00F720EE" w:rsidP="00F720EE">
      <w:pPr>
        <w:pStyle w:val="DHHSbody"/>
      </w:pPr>
    </w:p>
    <w:p w14:paraId="5C280D0F" w14:textId="77777777" w:rsidR="00B178E7" w:rsidRPr="00B178E7" w:rsidRDefault="00B178E7" w:rsidP="00B178E7">
      <w:pPr>
        <w:pStyle w:val="DHHSbody"/>
      </w:pPr>
    </w:p>
    <w:p w14:paraId="467AFBB4" w14:textId="5BEF9B2A" w:rsidR="001242C2" w:rsidRPr="00CD1209" w:rsidRDefault="001242C2" w:rsidP="00F11801">
      <w:pPr>
        <w:pStyle w:val="Tablefigurenote"/>
        <w:rPr>
          <w:i/>
          <w:iCs/>
          <w:sz w:val="18"/>
          <w:szCs w:val="18"/>
        </w:rPr>
      </w:pPr>
      <w:r w:rsidRPr="00CD1209">
        <w:rPr>
          <w:i/>
          <w:iCs/>
          <w:sz w:val="18"/>
          <w:szCs w:val="18"/>
        </w:rPr>
        <w:lastRenderedPageBreak/>
        <w:t>Note</w:t>
      </w:r>
      <w:r w:rsidR="004B7D27" w:rsidRPr="00CD1209">
        <w:rPr>
          <w:i/>
          <w:iCs/>
          <w:sz w:val="18"/>
          <w:szCs w:val="18"/>
        </w:rPr>
        <w:t>s</w:t>
      </w:r>
      <w:r w:rsidRPr="00CD1209">
        <w:rPr>
          <w:i/>
          <w:iCs/>
          <w:sz w:val="18"/>
          <w:szCs w:val="18"/>
        </w:rPr>
        <w:t>:</w:t>
      </w:r>
    </w:p>
    <w:p w14:paraId="569BF18D" w14:textId="0ED283B0" w:rsidR="001242C2" w:rsidRPr="00CD1209" w:rsidRDefault="001242C2" w:rsidP="00436A0E">
      <w:pPr>
        <w:pStyle w:val="Tablefigurenote"/>
        <w:numPr>
          <w:ilvl w:val="0"/>
          <w:numId w:val="53"/>
        </w:numPr>
        <w:rPr>
          <w:rFonts w:cs="Arial"/>
          <w:i/>
          <w:iCs/>
          <w:sz w:val="18"/>
          <w:szCs w:val="18"/>
        </w:rPr>
      </w:pPr>
      <w:r w:rsidRPr="00CD1209">
        <w:rPr>
          <w:rFonts w:cs="Arial"/>
          <w:i/>
          <w:iCs/>
          <w:sz w:val="18"/>
          <w:szCs w:val="18"/>
        </w:rPr>
        <w:t xml:space="preserve">Patients who had a diagnosis that did not fall within one of the major tumour streams were grouped together in a new grouping called </w:t>
      </w:r>
      <w:r w:rsidR="00BB150E" w:rsidRPr="00CD1209">
        <w:rPr>
          <w:rFonts w:cs="Arial"/>
          <w:i/>
          <w:iCs/>
          <w:sz w:val="18"/>
          <w:szCs w:val="18"/>
        </w:rPr>
        <w:t>‘</w:t>
      </w:r>
      <w:r w:rsidRPr="00CD1209">
        <w:rPr>
          <w:rFonts w:cs="Arial"/>
          <w:i/>
          <w:iCs/>
          <w:sz w:val="18"/>
          <w:szCs w:val="18"/>
        </w:rPr>
        <w:t>Other</w:t>
      </w:r>
      <w:r w:rsidR="00BB150E" w:rsidRPr="00CD1209">
        <w:rPr>
          <w:rFonts w:cs="Arial"/>
          <w:i/>
          <w:iCs/>
          <w:sz w:val="18"/>
          <w:szCs w:val="18"/>
        </w:rPr>
        <w:t>’</w:t>
      </w:r>
      <w:r w:rsidRPr="00CD1209">
        <w:rPr>
          <w:rFonts w:cs="Arial"/>
          <w:i/>
          <w:iCs/>
          <w:sz w:val="18"/>
          <w:szCs w:val="18"/>
        </w:rPr>
        <w:t>.</w:t>
      </w:r>
    </w:p>
    <w:p w14:paraId="378E9C71" w14:textId="531501D9" w:rsidR="001242C2" w:rsidRPr="00CD1209" w:rsidRDefault="001242C2" w:rsidP="00436A0E">
      <w:pPr>
        <w:pStyle w:val="Tablefigurenote"/>
        <w:numPr>
          <w:ilvl w:val="0"/>
          <w:numId w:val="54"/>
        </w:numPr>
        <w:rPr>
          <w:rFonts w:cs="Arial"/>
          <w:i/>
          <w:iCs/>
          <w:sz w:val="18"/>
          <w:szCs w:val="18"/>
        </w:rPr>
      </w:pPr>
      <w:r w:rsidRPr="00CD1209">
        <w:rPr>
          <w:rFonts w:cs="Arial"/>
          <w:i/>
          <w:iCs/>
          <w:sz w:val="18"/>
          <w:szCs w:val="18"/>
        </w:rPr>
        <w:t xml:space="preserve">If a patient had more than </w:t>
      </w:r>
      <w:r w:rsidR="00682D74" w:rsidRPr="00CD1209">
        <w:rPr>
          <w:rFonts w:cs="Arial"/>
          <w:i/>
          <w:iCs/>
          <w:sz w:val="18"/>
          <w:szCs w:val="18"/>
        </w:rPr>
        <w:t>one</w:t>
      </w:r>
      <w:r w:rsidRPr="00CD1209">
        <w:rPr>
          <w:rFonts w:cs="Arial"/>
          <w:i/>
          <w:iCs/>
          <w:sz w:val="18"/>
          <w:szCs w:val="18"/>
        </w:rPr>
        <w:t xml:space="preserve"> diagnosis within the same tumour stream (excluding </w:t>
      </w:r>
      <w:r w:rsidR="00BB150E" w:rsidRPr="00CD1209">
        <w:rPr>
          <w:rFonts w:cs="Arial"/>
          <w:i/>
          <w:iCs/>
          <w:sz w:val="18"/>
          <w:szCs w:val="18"/>
        </w:rPr>
        <w:t>‘</w:t>
      </w:r>
      <w:r w:rsidRPr="00CD1209">
        <w:rPr>
          <w:rFonts w:cs="Arial"/>
          <w:i/>
          <w:iCs/>
          <w:sz w:val="18"/>
          <w:szCs w:val="18"/>
        </w:rPr>
        <w:t>Other</w:t>
      </w:r>
      <w:r w:rsidR="00BB150E" w:rsidRPr="00CD1209">
        <w:rPr>
          <w:rFonts w:cs="Arial"/>
          <w:i/>
          <w:iCs/>
          <w:sz w:val="18"/>
          <w:szCs w:val="18"/>
        </w:rPr>
        <w:t>’</w:t>
      </w:r>
      <w:r w:rsidRPr="00CD1209">
        <w:rPr>
          <w:rFonts w:cs="Arial"/>
          <w:i/>
          <w:iCs/>
          <w:sz w:val="18"/>
          <w:szCs w:val="18"/>
        </w:rPr>
        <w:t xml:space="preserve"> tumour stream) within the year of consideration, only the earliest diagnosis was retained.</w:t>
      </w:r>
    </w:p>
    <w:p w14:paraId="237269A8" w14:textId="28CF68A6" w:rsidR="001242C2" w:rsidRPr="00CD1209" w:rsidRDefault="001242C2" w:rsidP="00436A0E">
      <w:pPr>
        <w:pStyle w:val="Tablefigurenote"/>
        <w:numPr>
          <w:ilvl w:val="0"/>
          <w:numId w:val="54"/>
        </w:numPr>
        <w:rPr>
          <w:rFonts w:cs="Arial"/>
          <w:i/>
          <w:iCs/>
          <w:sz w:val="18"/>
          <w:szCs w:val="18"/>
        </w:rPr>
      </w:pPr>
      <w:r w:rsidRPr="00CD1209">
        <w:rPr>
          <w:rFonts w:cs="Arial"/>
          <w:i/>
          <w:iCs/>
          <w:sz w:val="18"/>
          <w:szCs w:val="18"/>
        </w:rPr>
        <w:t xml:space="preserve">For patients in the </w:t>
      </w:r>
      <w:r w:rsidR="00CA2AD7" w:rsidRPr="00CD1209">
        <w:rPr>
          <w:rFonts w:cs="Arial"/>
          <w:i/>
          <w:iCs/>
          <w:sz w:val="18"/>
          <w:szCs w:val="18"/>
        </w:rPr>
        <w:t>‘</w:t>
      </w:r>
      <w:r w:rsidRPr="00CD1209">
        <w:rPr>
          <w:rFonts w:cs="Arial"/>
          <w:i/>
          <w:iCs/>
          <w:sz w:val="18"/>
          <w:szCs w:val="18"/>
        </w:rPr>
        <w:t>Other</w:t>
      </w:r>
      <w:r w:rsidR="00CA2AD7" w:rsidRPr="00CD1209">
        <w:rPr>
          <w:rFonts w:cs="Arial"/>
          <w:i/>
          <w:iCs/>
          <w:sz w:val="18"/>
          <w:szCs w:val="18"/>
        </w:rPr>
        <w:t>’</w:t>
      </w:r>
      <w:r w:rsidRPr="00CD1209">
        <w:rPr>
          <w:rFonts w:cs="Arial"/>
          <w:i/>
          <w:iCs/>
          <w:sz w:val="18"/>
          <w:szCs w:val="18"/>
        </w:rPr>
        <w:t xml:space="preserve"> tumour stream, if a patient had more than </w:t>
      </w:r>
      <w:r w:rsidR="00682D74" w:rsidRPr="00CD1209">
        <w:rPr>
          <w:rFonts w:cs="Arial"/>
          <w:i/>
          <w:iCs/>
          <w:sz w:val="18"/>
          <w:szCs w:val="18"/>
        </w:rPr>
        <w:t>one</w:t>
      </w:r>
      <w:r w:rsidRPr="00CD1209">
        <w:rPr>
          <w:rFonts w:cs="Arial"/>
          <w:i/>
          <w:iCs/>
          <w:sz w:val="18"/>
          <w:szCs w:val="18"/>
        </w:rPr>
        <w:t xml:space="preserve"> diagnosis with the same </w:t>
      </w:r>
      <w:r w:rsidR="00682D74" w:rsidRPr="00CD1209">
        <w:rPr>
          <w:rFonts w:cs="Arial"/>
          <w:i/>
          <w:iCs/>
          <w:sz w:val="18"/>
          <w:szCs w:val="18"/>
        </w:rPr>
        <w:t>three-</w:t>
      </w:r>
      <w:r w:rsidRPr="00CD1209">
        <w:rPr>
          <w:rFonts w:cs="Arial"/>
          <w:i/>
          <w:iCs/>
          <w:sz w:val="18"/>
          <w:szCs w:val="18"/>
        </w:rPr>
        <w:t>digit ICD10 code, the earliest diagnosis was retained.</w:t>
      </w:r>
    </w:p>
    <w:p w14:paraId="2DF1B3B3" w14:textId="17A5F8C1" w:rsidR="001242C2" w:rsidRPr="00CD1209" w:rsidRDefault="001242C2" w:rsidP="00436A0E">
      <w:pPr>
        <w:pStyle w:val="Tablefigurenote"/>
        <w:numPr>
          <w:ilvl w:val="0"/>
          <w:numId w:val="53"/>
        </w:numPr>
        <w:rPr>
          <w:rFonts w:cs="Arial"/>
          <w:i/>
          <w:iCs/>
          <w:sz w:val="18"/>
          <w:szCs w:val="18"/>
        </w:rPr>
      </w:pPr>
      <w:r w:rsidRPr="00CD1209">
        <w:rPr>
          <w:rFonts w:cs="Arial"/>
          <w:i/>
          <w:iCs/>
          <w:sz w:val="18"/>
          <w:szCs w:val="18"/>
        </w:rPr>
        <w:t>For patients who had a diagnosis within one of the major tumour streams, they were:</w:t>
      </w:r>
    </w:p>
    <w:p w14:paraId="2C879B24" w14:textId="487AB8A0" w:rsidR="001242C2" w:rsidRPr="00CD1209" w:rsidRDefault="001242C2" w:rsidP="00436A0E">
      <w:pPr>
        <w:pStyle w:val="Tablefigurenote"/>
        <w:numPr>
          <w:ilvl w:val="1"/>
          <w:numId w:val="53"/>
        </w:numPr>
        <w:rPr>
          <w:rFonts w:cs="Arial"/>
          <w:i/>
          <w:iCs/>
          <w:sz w:val="18"/>
          <w:szCs w:val="18"/>
        </w:rPr>
      </w:pPr>
      <w:r w:rsidRPr="00CD1209">
        <w:rPr>
          <w:rFonts w:cs="Arial"/>
          <w:i/>
          <w:iCs/>
          <w:sz w:val="18"/>
          <w:szCs w:val="18"/>
        </w:rPr>
        <w:t>flagged as having had surgery if they had an admitted episode in the VAED with a tumour stream</w:t>
      </w:r>
      <w:r w:rsidR="004B7D27" w:rsidRPr="00CD1209">
        <w:rPr>
          <w:rFonts w:cs="Arial"/>
          <w:i/>
          <w:iCs/>
          <w:sz w:val="18"/>
          <w:szCs w:val="18"/>
        </w:rPr>
        <w:t>–</w:t>
      </w:r>
      <w:r w:rsidRPr="00CD1209">
        <w:rPr>
          <w:rFonts w:cs="Arial"/>
          <w:i/>
          <w:iCs/>
          <w:sz w:val="18"/>
          <w:szCs w:val="18"/>
        </w:rPr>
        <w:t>specific surgery code in one of the operation codes</w:t>
      </w:r>
      <w:r w:rsidR="002C59D7">
        <w:rPr>
          <w:rFonts w:cs="Arial"/>
          <w:i/>
          <w:iCs/>
          <w:sz w:val="18"/>
          <w:szCs w:val="18"/>
        </w:rPr>
        <w:t>. Note that surgery activities at Albury-Wodonga Health were not captured in the VAED</w:t>
      </w:r>
    </w:p>
    <w:p w14:paraId="695787FF" w14:textId="2981DD43" w:rsidR="001242C2" w:rsidRPr="00CD1209" w:rsidRDefault="001242C2" w:rsidP="00436A0E">
      <w:pPr>
        <w:pStyle w:val="Tablefigurenote"/>
        <w:numPr>
          <w:ilvl w:val="1"/>
          <w:numId w:val="53"/>
        </w:numPr>
        <w:rPr>
          <w:rFonts w:cs="Arial"/>
          <w:i/>
          <w:iCs/>
          <w:sz w:val="18"/>
          <w:szCs w:val="18"/>
        </w:rPr>
      </w:pPr>
      <w:r w:rsidRPr="00CD1209">
        <w:rPr>
          <w:rFonts w:cs="Arial"/>
          <w:i/>
          <w:iCs/>
          <w:sz w:val="18"/>
          <w:szCs w:val="18"/>
        </w:rPr>
        <w:t xml:space="preserve">flagged as having had chemotherapy if they had an admitted episode in the VAED with a chemotherapy code </w:t>
      </w:r>
      <w:r w:rsidR="004B7D27" w:rsidRPr="00CD1209">
        <w:rPr>
          <w:rFonts w:cs="Arial"/>
          <w:i/>
          <w:iCs/>
          <w:sz w:val="18"/>
          <w:szCs w:val="18"/>
        </w:rPr>
        <w:t xml:space="preserve">and </w:t>
      </w:r>
      <w:r w:rsidRPr="00CD1209">
        <w:rPr>
          <w:rFonts w:cs="Arial"/>
          <w:i/>
          <w:iCs/>
          <w:sz w:val="18"/>
          <w:szCs w:val="18"/>
        </w:rPr>
        <w:t>a tumour stream</w:t>
      </w:r>
      <w:r w:rsidR="004B7D27" w:rsidRPr="00CD1209">
        <w:rPr>
          <w:rFonts w:cs="Arial"/>
          <w:i/>
          <w:iCs/>
          <w:sz w:val="18"/>
          <w:szCs w:val="18"/>
        </w:rPr>
        <w:t>–</w:t>
      </w:r>
      <w:r w:rsidRPr="00CD1209">
        <w:rPr>
          <w:rFonts w:cs="Arial"/>
          <w:i/>
          <w:iCs/>
          <w:sz w:val="18"/>
          <w:szCs w:val="18"/>
        </w:rPr>
        <w:t>specific ICD10 code within the diagnosis codes</w:t>
      </w:r>
    </w:p>
    <w:p w14:paraId="5E092C42" w14:textId="77777777" w:rsidR="001242C2" w:rsidRPr="00CD1209" w:rsidRDefault="001242C2" w:rsidP="00436A0E">
      <w:pPr>
        <w:pStyle w:val="Tablefigurenote"/>
        <w:numPr>
          <w:ilvl w:val="1"/>
          <w:numId w:val="53"/>
        </w:numPr>
        <w:rPr>
          <w:rFonts w:cs="Arial"/>
          <w:i/>
          <w:iCs/>
          <w:sz w:val="18"/>
          <w:szCs w:val="18"/>
        </w:rPr>
      </w:pPr>
      <w:r w:rsidRPr="00CD1209">
        <w:rPr>
          <w:rFonts w:cs="Arial"/>
          <w:i/>
          <w:iCs/>
          <w:sz w:val="18"/>
          <w:szCs w:val="18"/>
        </w:rPr>
        <w:t>flagged as having had radiotherapy if they had radical radiotherapy with a primary site that matched any ICD10 codes within their tumour stream.</w:t>
      </w:r>
    </w:p>
    <w:p w14:paraId="20F3CC06" w14:textId="3C739D8C" w:rsidR="001242C2" w:rsidRPr="00CD1209" w:rsidRDefault="001242C2" w:rsidP="00436A0E">
      <w:pPr>
        <w:pStyle w:val="Tablefigurenote"/>
        <w:numPr>
          <w:ilvl w:val="0"/>
          <w:numId w:val="53"/>
        </w:numPr>
        <w:rPr>
          <w:rFonts w:cs="Arial"/>
          <w:i/>
          <w:iCs/>
          <w:sz w:val="18"/>
          <w:szCs w:val="18"/>
        </w:rPr>
      </w:pPr>
      <w:r w:rsidRPr="00CD1209">
        <w:rPr>
          <w:rFonts w:cs="Arial"/>
          <w:i/>
          <w:iCs/>
          <w:sz w:val="18"/>
          <w:szCs w:val="18"/>
        </w:rPr>
        <w:t xml:space="preserve">For patients who had a diagnosis that did not fall within one of the major tumour streams (in the </w:t>
      </w:r>
      <w:r w:rsidR="00CA2AD7" w:rsidRPr="00CD1209">
        <w:rPr>
          <w:rFonts w:cs="Arial"/>
          <w:i/>
          <w:iCs/>
          <w:sz w:val="18"/>
          <w:szCs w:val="18"/>
        </w:rPr>
        <w:t>‘</w:t>
      </w:r>
      <w:r w:rsidRPr="00CD1209">
        <w:rPr>
          <w:rFonts w:cs="Arial"/>
          <w:i/>
          <w:iCs/>
          <w:sz w:val="18"/>
          <w:szCs w:val="18"/>
        </w:rPr>
        <w:t>Other</w:t>
      </w:r>
      <w:r w:rsidR="00CA2AD7" w:rsidRPr="00CD1209">
        <w:rPr>
          <w:rFonts w:cs="Arial"/>
          <w:i/>
          <w:iCs/>
          <w:sz w:val="18"/>
          <w:szCs w:val="18"/>
        </w:rPr>
        <w:t>’</w:t>
      </w:r>
      <w:r w:rsidRPr="00CD1209">
        <w:rPr>
          <w:rFonts w:cs="Arial"/>
          <w:i/>
          <w:iCs/>
          <w:sz w:val="18"/>
          <w:szCs w:val="18"/>
        </w:rPr>
        <w:t xml:space="preserve"> grouping), they were:</w:t>
      </w:r>
    </w:p>
    <w:p w14:paraId="43E6D92C" w14:textId="273BF9BA" w:rsidR="001242C2" w:rsidRPr="00CD1209" w:rsidRDefault="001242C2" w:rsidP="00A12F2D">
      <w:pPr>
        <w:pStyle w:val="Tablefigurenote"/>
        <w:numPr>
          <w:ilvl w:val="0"/>
          <w:numId w:val="55"/>
        </w:numPr>
        <w:ind w:left="709" w:firstLine="284"/>
        <w:rPr>
          <w:rFonts w:cs="Arial"/>
          <w:i/>
          <w:iCs/>
          <w:sz w:val="18"/>
          <w:szCs w:val="18"/>
        </w:rPr>
      </w:pPr>
      <w:r w:rsidRPr="00CD1209">
        <w:rPr>
          <w:rFonts w:cs="Arial"/>
          <w:i/>
          <w:iCs/>
          <w:sz w:val="18"/>
          <w:szCs w:val="18"/>
        </w:rPr>
        <w:t>flagged as having had surgery if they had an admitted episode in the VAED with a surgery code related to any of the major tumour streams in the operation codes</w:t>
      </w:r>
    </w:p>
    <w:p w14:paraId="0A264268" w14:textId="42E82378" w:rsidR="001242C2" w:rsidRPr="00CD1209" w:rsidRDefault="001242C2" w:rsidP="00A12F2D">
      <w:pPr>
        <w:pStyle w:val="Tablefigurenote"/>
        <w:numPr>
          <w:ilvl w:val="0"/>
          <w:numId w:val="55"/>
        </w:numPr>
        <w:ind w:left="1418" w:hanging="425"/>
        <w:rPr>
          <w:rFonts w:cs="Arial"/>
          <w:i/>
          <w:iCs/>
          <w:sz w:val="18"/>
          <w:szCs w:val="18"/>
        </w:rPr>
      </w:pPr>
      <w:r w:rsidRPr="00CD1209">
        <w:rPr>
          <w:rFonts w:cs="Arial"/>
          <w:i/>
          <w:iCs/>
          <w:sz w:val="18"/>
          <w:szCs w:val="18"/>
        </w:rPr>
        <w:t>flagged as having had chemotherapy if they had an admitted episode in the VAED with a chemotherapy code</w:t>
      </w:r>
    </w:p>
    <w:p w14:paraId="78CE45F4" w14:textId="77777777" w:rsidR="001242C2" w:rsidRPr="00CD1209" w:rsidRDefault="001242C2" w:rsidP="00A12F2D">
      <w:pPr>
        <w:pStyle w:val="Tablefigurenote"/>
        <w:numPr>
          <w:ilvl w:val="0"/>
          <w:numId w:val="55"/>
        </w:numPr>
        <w:ind w:left="1418" w:hanging="425"/>
        <w:rPr>
          <w:rFonts w:cs="Arial"/>
          <w:i/>
          <w:iCs/>
          <w:sz w:val="18"/>
          <w:szCs w:val="18"/>
        </w:rPr>
      </w:pPr>
      <w:r w:rsidRPr="00CD1209">
        <w:rPr>
          <w:rFonts w:cs="Arial"/>
          <w:i/>
          <w:iCs/>
          <w:sz w:val="18"/>
          <w:szCs w:val="18"/>
        </w:rPr>
        <w:t>flagged as having had radiotherapy if they had any radical radiotherapy.</w:t>
      </w:r>
    </w:p>
    <w:p w14:paraId="1C5E87FF" w14:textId="77777777" w:rsidR="001242C2" w:rsidRPr="00CD1209" w:rsidRDefault="001242C2" w:rsidP="00436A0E">
      <w:pPr>
        <w:pStyle w:val="Tablefigurenote"/>
        <w:numPr>
          <w:ilvl w:val="0"/>
          <w:numId w:val="53"/>
        </w:numPr>
        <w:rPr>
          <w:rFonts w:cs="Arial"/>
          <w:i/>
          <w:iCs/>
          <w:sz w:val="18"/>
          <w:szCs w:val="18"/>
        </w:rPr>
      </w:pPr>
      <w:r w:rsidRPr="00CD1209">
        <w:rPr>
          <w:rFonts w:cs="Arial"/>
          <w:i/>
          <w:iCs/>
          <w:sz w:val="18"/>
          <w:szCs w:val="18"/>
        </w:rPr>
        <w:t>Metastatic disease at diagnosis was determined by:</w:t>
      </w:r>
    </w:p>
    <w:p w14:paraId="1A926620" w14:textId="2E1AA066" w:rsidR="002A0C12" w:rsidRPr="00CD1209" w:rsidRDefault="004B7D27" w:rsidP="00436A0E">
      <w:pPr>
        <w:pStyle w:val="Tablefigurenote"/>
        <w:numPr>
          <w:ilvl w:val="0"/>
          <w:numId w:val="56"/>
        </w:numPr>
        <w:rPr>
          <w:rFonts w:cs="Arial"/>
          <w:i/>
          <w:iCs/>
          <w:sz w:val="18"/>
          <w:szCs w:val="18"/>
        </w:rPr>
      </w:pPr>
      <w:r w:rsidRPr="00CD1209">
        <w:rPr>
          <w:rFonts w:cs="Arial"/>
          <w:i/>
          <w:iCs/>
          <w:sz w:val="18"/>
          <w:szCs w:val="18"/>
        </w:rPr>
        <w:t>excluding p</w:t>
      </w:r>
      <w:r w:rsidR="002A0C12" w:rsidRPr="00CD1209">
        <w:rPr>
          <w:rFonts w:cs="Arial"/>
          <w:i/>
          <w:iCs/>
          <w:sz w:val="18"/>
          <w:szCs w:val="18"/>
        </w:rPr>
        <w:t>atients with a metastatic diagnosis</w:t>
      </w:r>
    </w:p>
    <w:p w14:paraId="7193F9E8" w14:textId="306B2C62" w:rsidR="001242C2" w:rsidRPr="00CD1209" w:rsidRDefault="001242C2" w:rsidP="00436A0E">
      <w:pPr>
        <w:pStyle w:val="Tablefigurenote"/>
        <w:numPr>
          <w:ilvl w:val="0"/>
          <w:numId w:val="56"/>
        </w:numPr>
        <w:rPr>
          <w:rFonts w:cs="Arial"/>
          <w:i/>
          <w:iCs/>
          <w:sz w:val="18"/>
          <w:szCs w:val="18"/>
        </w:rPr>
      </w:pPr>
      <w:r w:rsidRPr="00CD1209">
        <w:rPr>
          <w:rFonts w:cs="Arial"/>
          <w:i/>
          <w:iCs/>
          <w:sz w:val="18"/>
          <w:szCs w:val="18"/>
        </w:rPr>
        <w:t>VCR TNM-M (M1)</w:t>
      </w:r>
    </w:p>
    <w:p w14:paraId="79C77E04" w14:textId="31DF6432" w:rsidR="00F73368" w:rsidRPr="00CD1209" w:rsidRDefault="000D4B35" w:rsidP="00436A0E">
      <w:pPr>
        <w:pStyle w:val="Tablefigurenote"/>
        <w:numPr>
          <w:ilvl w:val="0"/>
          <w:numId w:val="56"/>
        </w:numPr>
        <w:rPr>
          <w:rFonts w:cs="Arial"/>
          <w:i/>
          <w:iCs/>
          <w:sz w:val="18"/>
          <w:szCs w:val="18"/>
        </w:rPr>
      </w:pPr>
      <w:r w:rsidRPr="00CD1209">
        <w:rPr>
          <w:rFonts w:cs="Arial"/>
          <w:i/>
          <w:iCs/>
          <w:sz w:val="18"/>
          <w:szCs w:val="18"/>
        </w:rPr>
        <w:t>a</w:t>
      </w:r>
      <w:r w:rsidR="001242C2" w:rsidRPr="00CD1209">
        <w:rPr>
          <w:rFonts w:cs="Arial"/>
          <w:i/>
          <w:iCs/>
          <w:sz w:val="18"/>
          <w:szCs w:val="18"/>
        </w:rPr>
        <w:t xml:space="preserve">dmitted episodes in the VAED, between </w:t>
      </w:r>
      <w:r w:rsidR="008869C1" w:rsidRPr="00CD1209">
        <w:rPr>
          <w:rFonts w:cs="Arial"/>
          <w:i/>
          <w:iCs/>
          <w:sz w:val="18"/>
          <w:szCs w:val="18"/>
        </w:rPr>
        <w:t xml:space="preserve">30 </w:t>
      </w:r>
      <w:r w:rsidR="001242C2" w:rsidRPr="00CD1209">
        <w:rPr>
          <w:rFonts w:cs="Arial"/>
          <w:i/>
          <w:iCs/>
          <w:sz w:val="18"/>
          <w:szCs w:val="18"/>
        </w:rPr>
        <w:t xml:space="preserve">days prior and four months after diagnosis date, </w:t>
      </w:r>
      <w:r w:rsidR="007A17B2" w:rsidRPr="00CD1209">
        <w:rPr>
          <w:rFonts w:cs="Arial"/>
          <w:i/>
          <w:iCs/>
          <w:sz w:val="18"/>
          <w:szCs w:val="18"/>
        </w:rPr>
        <w:t xml:space="preserve">that </w:t>
      </w:r>
      <w:r w:rsidR="001242C2" w:rsidRPr="00CD1209">
        <w:rPr>
          <w:rFonts w:cs="Arial"/>
          <w:i/>
          <w:iCs/>
          <w:sz w:val="18"/>
          <w:szCs w:val="18"/>
        </w:rPr>
        <w:t>contained metastatic cancer diagnosis codes (neoplasm and morphology codes).</w:t>
      </w:r>
    </w:p>
    <w:p w14:paraId="30608137" w14:textId="01BE6F44" w:rsidR="00842B03" w:rsidRPr="0020440A" w:rsidRDefault="0020440A" w:rsidP="00F11801">
      <w:pPr>
        <w:pStyle w:val="Tablefigurenote"/>
        <w:rPr>
          <w:b/>
        </w:rPr>
      </w:pPr>
      <w:r w:rsidRPr="00CD1209">
        <w:rPr>
          <w:i/>
          <w:iCs/>
          <w:color w:val="000000"/>
          <w:sz w:val="18"/>
          <w:szCs w:val="18"/>
        </w:rPr>
        <w:t>Appendix 2 provides the dataset.</w:t>
      </w:r>
      <w:r w:rsidR="00842B03" w:rsidRPr="00F720EE">
        <w:rPr>
          <w:b/>
          <w:sz w:val="18"/>
          <w:szCs w:val="18"/>
        </w:rPr>
        <w:br w:type="page"/>
      </w:r>
    </w:p>
    <w:p w14:paraId="7DCBA8C6" w14:textId="608B6E00" w:rsidR="00E57023" w:rsidRDefault="00E57023" w:rsidP="00867A76">
      <w:pPr>
        <w:pStyle w:val="Figurecaption"/>
        <w:rPr>
          <w:sz w:val="20"/>
        </w:rPr>
      </w:pPr>
      <w:bookmarkStart w:id="767" w:name="_Toc19008121"/>
      <w:bookmarkStart w:id="768" w:name="_Toc19008341"/>
      <w:bookmarkStart w:id="769" w:name="_Toc19008488"/>
      <w:bookmarkStart w:id="770" w:name="_Toc19008635"/>
      <w:bookmarkStart w:id="771" w:name="_Toc132553065"/>
      <w:bookmarkStart w:id="772" w:name="_Toc140827677"/>
      <w:r w:rsidRPr="00F720EE">
        <w:rPr>
          <w:sz w:val="20"/>
        </w:rPr>
        <w:lastRenderedPageBreak/>
        <w:t>Figure 12.</w:t>
      </w:r>
      <w:r w:rsidR="00FA5553" w:rsidRPr="00F720EE">
        <w:rPr>
          <w:sz w:val="20"/>
        </w:rPr>
        <w:t>1.</w:t>
      </w:r>
      <w:r w:rsidR="00746ED0" w:rsidRPr="00F720EE">
        <w:rPr>
          <w:sz w:val="20"/>
        </w:rPr>
        <w:t>1</w:t>
      </w:r>
      <w:r w:rsidR="003B391F" w:rsidRPr="00F720EE">
        <w:rPr>
          <w:sz w:val="20"/>
        </w:rPr>
        <w:t>:</w:t>
      </w:r>
      <w:r w:rsidRPr="00F720EE">
        <w:rPr>
          <w:sz w:val="20"/>
        </w:rPr>
        <w:t xml:space="preserve"> Median days from diagnosis to start of primary curative treatment (breast)</w:t>
      </w:r>
      <w:r w:rsidR="007A17B2" w:rsidRPr="00F720EE">
        <w:rPr>
          <w:sz w:val="20"/>
        </w:rPr>
        <w:t>,</w:t>
      </w:r>
      <w:r w:rsidRPr="00F720EE">
        <w:rPr>
          <w:sz w:val="20"/>
        </w:rPr>
        <w:t xml:space="preserve"> by year, 2014</w:t>
      </w:r>
      <w:r w:rsidR="00442450" w:rsidRPr="00F720EE">
        <w:rPr>
          <w:sz w:val="20"/>
        </w:rPr>
        <w:t>,</w:t>
      </w:r>
      <w:r w:rsidRPr="00F720EE">
        <w:rPr>
          <w:sz w:val="20"/>
        </w:rPr>
        <w:t xml:space="preserve"> 2016</w:t>
      </w:r>
      <w:bookmarkEnd w:id="767"/>
      <w:bookmarkEnd w:id="768"/>
      <w:bookmarkEnd w:id="769"/>
      <w:bookmarkEnd w:id="770"/>
      <w:r w:rsidR="00442450" w:rsidRPr="00F720EE">
        <w:rPr>
          <w:sz w:val="20"/>
        </w:rPr>
        <w:t xml:space="preserve"> and 20</w:t>
      </w:r>
      <w:r w:rsidR="00E20C6E" w:rsidRPr="00F720EE">
        <w:rPr>
          <w:sz w:val="20"/>
        </w:rPr>
        <w:t>21</w:t>
      </w:r>
      <w:bookmarkEnd w:id="771"/>
      <w:bookmarkEnd w:id="772"/>
    </w:p>
    <w:p w14:paraId="6007D994" w14:textId="44933D78" w:rsidR="00292AED" w:rsidRPr="00292AED" w:rsidRDefault="00292AED" w:rsidP="00292AED">
      <w:pPr>
        <w:pStyle w:val="DHHSbody"/>
      </w:pPr>
      <w:r>
        <w:rPr>
          <w:noProof/>
        </w:rPr>
        <w:drawing>
          <wp:inline distT="0" distB="0" distL="0" distR="0" wp14:anchorId="5FA9FD28" wp14:editId="7CA9F1DF">
            <wp:extent cx="5917696" cy="7325139"/>
            <wp:effectExtent l="0" t="0" r="6985" b="9525"/>
            <wp:docPr id="38" name="Picture 38" descr="This figure shows a data summary of 'Measure 12.1 – Median days from diagnosis to start of primary curative treatment' (breast). The data set is available under 'Measure 12.1 – Median days from diagnosis to start of primary curative treatment' (breast)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his figure shows a data summary of 'Measure 12.1 – Median days from diagnosis to start of primary curative treatment' (breast). The data set is available under 'Measure 12.1 – Median days from diagnosis to start of primary curative treatment' (breast) in a separate volume, the Victorian cancer plan monitoring and evaluation framework: baseline report: Appendix 2: Datasets available on Cancer care &lt;https://www.health.vic.gov.au/health-strategies/cancer-care&gt;."/>
                    <pic:cNvPicPr/>
                  </pic:nvPicPr>
                  <pic:blipFill>
                    <a:blip r:embed="rId123"/>
                    <a:stretch>
                      <a:fillRect/>
                    </a:stretch>
                  </pic:blipFill>
                  <pic:spPr>
                    <a:xfrm>
                      <a:off x="0" y="0"/>
                      <a:ext cx="5922564" cy="7331164"/>
                    </a:xfrm>
                    <a:prstGeom prst="rect">
                      <a:avLst/>
                    </a:prstGeom>
                  </pic:spPr>
                </pic:pic>
              </a:graphicData>
            </a:graphic>
          </wp:inline>
        </w:drawing>
      </w:r>
    </w:p>
    <w:p w14:paraId="6B3596FF" w14:textId="1B368754" w:rsidR="00FF16CB" w:rsidRPr="00FF16CB" w:rsidRDefault="00FF16CB" w:rsidP="00E87AAA">
      <w:pPr>
        <w:pStyle w:val="Body"/>
      </w:pPr>
    </w:p>
    <w:p w14:paraId="0BBDDF6C" w14:textId="3E5C6300" w:rsidR="00842B03" w:rsidRPr="00CD1209" w:rsidRDefault="0020440A" w:rsidP="0020440A">
      <w:pPr>
        <w:pStyle w:val="Tablefigurenote"/>
        <w:rPr>
          <w:rFonts w:eastAsia="Times"/>
          <w:b/>
          <w:i/>
          <w:iCs/>
          <w:sz w:val="18"/>
          <w:szCs w:val="18"/>
        </w:rPr>
      </w:pPr>
      <w:r w:rsidRPr="00CD1209">
        <w:rPr>
          <w:i/>
          <w:iCs/>
          <w:sz w:val="18"/>
          <w:szCs w:val="18"/>
        </w:rPr>
        <w:t>Appendix 2 provides the dataset.</w:t>
      </w:r>
      <w:r w:rsidR="00842B03" w:rsidRPr="00CD1209">
        <w:rPr>
          <w:b/>
          <w:i/>
          <w:iCs/>
          <w:sz w:val="18"/>
          <w:szCs w:val="18"/>
        </w:rPr>
        <w:br w:type="page"/>
      </w:r>
    </w:p>
    <w:p w14:paraId="2DA7AC9B" w14:textId="1EB0F931" w:rsidR="00E57023" w:rsidRDefault="00E57023" w:rsidP="00867A76">
      <w:pPr>
        <w:pStyle w:val="Figurecaption"/>
        <w:rPr>
          <w:sz w:val="20"/>
        </w:rPr>
      </w:pPr>
      <w:bookmarkStart w:id="773" w:name="_Toc19008122"/>
      <w:bookmarkStart w:id="774" w:name="_Toc19008342"/>
      <w:bookmarkStart w:id="775" w:name="_Toc19008489"/>
      <w:bookmarkStart w:id="776" w:name="_Toc19008636"/>
      <w:bookmarkStart w:id="777" w:name="_Toc132553066"/>
      <w:bookmarkStart w:id="778" w:name="_Toc140827678"/>
      <w:r w:rsidRPr="00CD1209">
        <w:rPr>
          <w:sz w:val="20"/>
        </w:rPr>
        <w:lastRenderedPageBreak/>
        <w:t>Figure 12.</w:t>
      </w:r>
      <w:r w:rsidR="00FA5553" w:rsidRPr="00CD1209">
        <w:rPr>
          <w:sz w:val="20"/>
        </w:rPr>
        <w:t>1.</w:t>
      </w:r>
      <w:r w:rsidR="00746ED0" w:rsidRPr="00CD1209">
        <w:rPr>
          <w:sz w:val="20"/>
        </w:rPr>
        <w:t>2</w:t>
      </w:r>
      <w:r w:rsidR="003B391F" w:rsidRPr="00CD1209">
        <w:rPr>
          <w:sz w:val="20"/>
        </w:rPr>
        <w:t>:</w:t>
      </w:r>
      <w:r w:rsidRPr="00CD1209">
        <w:rPr>
          <w:sz w:val="20"/>
        </w:rPr>
        <w:t xml:space="preserve"> Median days from diagnosis to start of primary curative treatment (colorectal)</w:t>
      </w:r>
      <w:r w:rsidR="007A17B2" w:rsidRPr="00CD1209">
        <w:rPr>
          <w:sz w:val="20"/>
        </w:rPr>
        <w:t>,</w:t>
      </w:r>
      <w:r w:rsidRPr="00CD1209">
        <w:rPr>
          <w:sz w:val="20"/>
        </w:rPr>
        <w:t xml:space="preserve"> by year, 2014</w:t>
      </w:r>
      <w:r w:rsidR="00442450" w:rsidRPr="00CD1209">
        <w:rPr>
          <w:sz w:val="20"/>
        </w:rPr>
        <w:t>,</w:t>
      </w:r>
      <w:r w:rsidRPr="00CD1209">
        <w:rPr>
          <w:sz w:val="20"/>
        </w:rPr>
        <w:t xml:space="preserve"> 2016</w:t>
      </w:r>
      <w:bookmarkEnd w:id="773"/>
      <w:bookmarkEnd w:id="774"/>
      <w:bookmarkEnd w:id="775"/>
      <w:bookmarkEnd w:id="776"/>
      <w:r w:rsidR="00442450" w:rsidRPr="00CD1209">
        <w:rPr>
          <w:sz w:val="20"/>
        </w:rPr>
        <w:t xml:space="preserve"> and 20</w:t>
      </w:r>
      <w:r w:rsidR="00E20C6E" w:rsidRPr="00CD1209">
        <w:rPr>
          <w:sz w:val="20"/>
        </w:rPr>
        <w:t>21</w:t>
      </w:r>
      <w:bookmarkEnd w:id="777"/>
      <w:bookmarkEnd w:id="778"/>
    </w:p>
    <w:p w14:paraId="065485FA" w14:textId="05C21F50" w:rsidR="00292AED" w:rsidRPr="00292AED" w:rsidRDefault="00292AED" w:rsidP="00292AED">
      <w:pPr>
        <w:pStyle w:val="DHHSbody"/>
      </w:pPr>
      <w:r>
        <w:rPr>
          <w:noProof/>
        </w:rPr>
        <w:drawing>
          <wp:inline distT="0" distB="0" distL="0" distR="0" wp14:anchorId="0338047A" wp14:editId="700B44B1">
            <wp:extent cx="5918200" cy="6242234"/>
            <wp:effectExtent l="0" t="0" r="6350" b="6350"/>
            <wp:docPr id="74" name="Picture 74" descr="This figure shows a data summary of 'Measure 12.1 – Median days from diagnosis to start of primary curative treatment' (colorectal). The data set is available under 'Measure 12.1 – Median days from diagnosis to start of primary curative treatment' (colorectal)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his figure shows a data summary of 'Measure 12.1 – Median days from diagnosis to start of primary curative treatment' (colorectal). The data set is available under 'Measure 12.1 – Median days from diagnosis to start of primary curative treatment' (colorectal) in a separate volume, the Victorian cancer plan monitoring and evaluation framework: baseline report: Appendix 2: Datasets available on Cancer care &lt;https://www.health.vic.gov.au/health-strategies/cancer-care&gt;."/>
                    <pic:cNvPicPr/>
                  </pic:nvPicPr>
                  <pic:blipFill>
                    <a:blip r:embed="rId124"/>
                    <a:stretch>
                      <a:fillRect/>
                    </a:stretch>
                  </pic:blipFill>
                  <pic:spPr>
                    <a:xfrm>
                      <a:off x="0" y="0"/>
                      <a:ext cx="5921358" cy="6245565"/>
                    </a:xfrm>
                    <a:prstGeom prst="rect">
                      <a:avLst/>
                    </a:prstGeom>
                  </pic:spPr>
                </pic:pic>
              </a:graphicData>
            </a:graphic>
          </wp:inline>
        </w:drawing>
      </w:r>
    </w:p>
    <w:p w14:paraId="0EE22A14" w14:textId="0A543E35" w:rsidR="00FF16CB" w:rsidRPr="00FF16CB" w:rsidRDefault="00FF16CB" w:rsidP="00E87AAA">
      <w:pPr>
        <w:pStyle w:val="Body"/>
      </w:pPr>
    </w:p>
    <w:p w14:paraId="0D4EEECD" w14:textId="5E7AB098" w:rsidR="00842B03" w:rsidRPr="00CD1209" w:rsidRDefault="0020440A" w:rsidP="0020440A">
      <w:pPr>
        <w:pStyle w:val="Tablefigurenote"/>
        <w:rPr>
          <w:rFonts w:eastAsia="Times"/>
          <w:b/>
          <w:i/>
          <w:iCs/>
          <w:sz w:val="18"/>
          <w:szCs w:val="18"/>
        </w:rPr>
      </w:pPr>
      <w:r w:rsidRPr="00CD1209">
        <w:rPr>
          <w:i/>
          <w:iCs/>
          <w:sz w:val="18"/>
          <w:szCs w:val="18"/>
        </w:rPr>
        <w:t>Appendix 2 provides the dataset</w:t>
      </w:r>
      <w:r w:rsidR="00117648" w:rsidRPr="00CD1209">
        <w:rPr>
          <w:i/>
          <w:iCs/>
          <w:sz w:val="18"/>
          <w:szCs w:val="18"/>
        </w:rPr>
        <w:t>.</w:t>
      </w:r>
      <w:r w:rsidRPr="00CD1209">
        <w:rPr>
          <w:b/>
          <w:i/>
          <w:iCs/>
          <w:sz w:val="18"/>
          <w:szCs w:val="18"/>
        </w:rPr>
        <w:t xml:space="preserve"> </w:t>
      </w:r>
      <w:r w:rsidR="00842B03" w:rsidRPr="00CD1209">
        <w:rPr>
          <w:b/>
          <w:i/>
          <w:iCs/>
          <w:sz w:val="18"/>
          <w:szCs w:val="18"/>
        </w:rPr>
        <w:br w:type="page"/>
      </w:r>
    </w:p>
    <w:p w14:paraId="0813282D" w14:textId="7B5731BC" w:rsidR="00E57023" w:rsidRDefault="00E57023" w:rsidP="00867A76">
      <w:pPr>
        <w:pStyle w:val="Figurecaption"/>
        <w:rPr>
          <w:sz w:val="20"/>
        </w:rPr>
      </w:pPr>
      <w:bookmarkStart w:id="779" w:name="_Toc19008123"/>
      <w:bookmarkStart w:id="780" w:name="_Toc19008343"/>
      <w:bookmarkStart w:id="781" w:name="_Toc19008490"/>
      <w:bookmarkStart w:id="782" w:name="_Toc19008637"/>
      <w:bookmarkStart w:id="783" w:name="_Toc132553067"/>
      <w:bookmarkStart w:id="784" w:name="_Toc140827679"/>
      <w:r w:rsidRPr="00CD1209">
        <w:rPr>
          <w:sz w:val="20"/>
        </w:rPr>
        <w:lastRenderedPageBreak/>
        <w:t>Figure 12</w:t>
      </w:r>
      <w:r w:rsidR="00FA5553" w:rsidRPr="00CD1209">
        <w:rPr>
          <w:sz w:val="20"/>
        </w:rPr>
        <w:t>.1</w:t>
      </w:r>
      <w:r w:rsidRPr="00CD1209">
        <w:rPr>
          <w:sz w:val="20"/>
        </w:rPr>
        <w:t>.</w:t>
      </w:r>
      <w:r w:rsidR="00746ED0" w:rsidRPr="00CD1209">
        <w:rPr>
          <w:sz w:val="20"/>
        </w:rPr>
        <w:t>3</w:t>
      </w:r>
      <w:r w:rsidR="003B391F" w:rsidRPr="00CD1209">
        <w:rPr>
          <w:sz w:val="20"/>
        </w:rPr>
        <w:t>:</w:t>
      </w:r>
      <w:r w:rsidRPr="00CD1209">
        <w:rPr>
          <w:sz w:val="20"/>
        </w:rPr>
        <w:t xml:space="preserve"> Median days from diagnosis to start of primary curative treatment (</w:t>
      </w:r>
      <w:r w:rsidR="00842B03" w:rsidRPr="00CD1209">
        <w:rPr>
          <w:sz w:val="20"/>
        </w:rPr>
        <w:t>genitourinary</w:t>
      </w:r>
      <w:r w:rsidRPr="00CD1209">
        <w:rPr>
          <w:sz w:val="20"/>
        </w:rPr>
        <w:t>)</w:t>
      </w:r>
      <w:r w:rsidR="007A17B2" w:rsidRPr="00CD1209">
        <w:rPr>
          <w:sz w:val="20"/>
        </w:rPr>
        <w:t>,</w:t>
      </w:r>
      <w:r w:rsidRPr="00CD1209">
        <w:rPr>
          <w:sz w:val="20"/>
        </w:rPr>
        <w:t xml:space="preserve"> by year, 2014</w:t>
      </w:r>
      <w:r w:rsidR="00442450" w:rsidRPr="00CD1209">
        <w:rPr>
          <w:sz w:val="20"/>
        </w:rPr>
        <w:t xml:space="preserve">, 2016 </w:t>
      </w:r>
      <w:r w:rsidRPr="00CD1209">
        <w:rPr>
          <w:sz w:val="20"/>
        </w:rPr>
        <w:t>and 20</w:t>
      </w:r>
      <w:bookmarkEnd w:id="779"/>
      <w:bookmarkEnd w:id="780"/>
      <w:bookmarkEnd w:id="781"/>
      <w:bookmarkEnd w:id="782"/>
      <w:r w:rsidR="00E20C6E" w:rsidRPr="00CD1209">
        <w:rPr>
          <w:sz w:val="20"/>
        </w:rPr>
        <w:t>21</w:t>
      </w:r>
      <w:bookmarkEnd w:id="783"/>
      <w:bookmarkEnd w:id="784"/>
    </w:p>
    <w:p w14:paraId="5B1BE7D1" w14:textId="0398340D" w:rsidR="00292AED" w:rsidRPr="00292AED" w:rsidRDefault="00292AED" w:rsidP="00292AED">
      <w:pPr>
        <w:pStyle w:val="DHHSbody"/>
      </w:pPr>
      <w:r>
        <w:rPr>
          <w:noProof/>
        </w:rPr>
        <w:drawing>
          <wp:inline distT="0" distB="0" distL="0" distR="0" wp14:anchorId="01119524" wp14:editId="74DB7F77">
            <wp:extent cx="5918200" cy="7384773"/>
            <wp:effectExtent l="0" t="0" r="6350" b="6985"/>
            <wp:docPr id="233" name="Picture 233" descr="This figure shows a data summary of 'Measure 12.1 – Median days from diagnosis to start of primary curative treatment' (genitourinary). The data set is available under 'Measure 12.1 – Median days from diagnosis to start of primary curative treatment' (genitourinary)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This figure shows a data summary of 'Measure 12.1 – Median days from diagnosis to start of primary curative treatment' (genitourinary). The data set is available under 'Measure 12.1 – Median days from diagnosis to start of primary curative treatment' (genitourinary) in a separate volume, the Victorian cancer plan monitoring and evaluation framework: baseline report: Appendix 2: Datasets available on Cancer care &lt;https://www.health.vic.gov.au/health-strategies/cancer-care&gt;."/>
                    <pic:cNvPicPr/>
                  </pic:nvPicPr>
                  <pic:blipFill>
                    <a:blip r:embed="rId125"/>
                    <a:stretch>
                      <a:fillRect/>
                    </a:stretch>
                  </pic:blipFill>
                  <pic:spPr>
                    <a:xfrm>
                      <a:off x="0" y="0"/>
                      <a:ext cx="5921065" cy="7388348"/>
                    </a:xfrm>
                    <a:prstGeom prst="rect">
                      <a:avLst/>
                    </a:prstGeom>
                  </pic:spPr>
                </pic:pic>
              </a:graphicData>
            </a:graphic>
          </wp:inline>
        </w:drawing>
      </w:r>
    </w:p>
    <w:p w14:paraId="300F5E9F" w14:textId="1E10F731" w:rsidR="0027051D" w:rsidRPr="0027051D" w:rsidRDefault="0027051D" w:rsidP="0027051D">
      <w:pPr>
        <w:pStyle w:val="DHHSbody"/>
      </w:pPr>
    </w:p>
    <w:p w14:paraId="36E6D4AF" w14:textId="0284E0C2" w:rsidR="00842B03" w:rsidRPr="00CD1209" w:rsidRDefault="0020440A" w:rsidP="0020440A">
      <w:pPr>
        <w:pStyle w:val="Tablefigurenote"/>
        <w:rPr>
          <w:rFonts w:eastAsia="Times"/>
          <w:b/>
          <w:i/>
          <w:iCs/>
          <w:sz w:val="18"/>
          <w:szCs w:val="18"/>
        </w:rPr>
      </w:pPr>
      <w:r w:rsidRPr="00CD1209">
        <w:rPr>
          <w:i/>
          <w:iCs/>
          <w:sz w:val="18"/>
          <w:szCs w:val="18"/>
        </w:rPr>
        <w:t>Appendix 2 provides the dataset</w:t>
      </w:r>
      <w:r w:rsidR="00117648" w:rsidRPr="00CD1209">
        <w:rPr>
          <w:i/>
          <w:iCs/>
          <w:sz w:val="18"/>
          <w:szCs w:val="18"/>
        </w:rPr>
        <w:t>.</w:t>
      </w:r>
      <w:r w:rsidRPr="00CD1209">
        <w:rPr>
          <w:b/>
          <w:i/>
          <w:iCs/>
          <w:sz w:val="18"/>
          <w:szCs w:val="18"/>
        </w:rPr>
        <w:t xml:space="preserve"> </w:t>
      </w:r>
      <w:r w:rsidR="00842B03" w:rsidRPr="00CD1209">
        <w:rPr>
          <w:b/>
          <w:i/>
          <w:iCs/>
          <w:sz w:val="18"/>
          <w:szCs w:val="18"/>
        </w:rPr>
        <w:br w:type="page"/>
      </w:r>
    </w:p>
    <w:p w14:paraId="28688D2A" w14:textId="23B5E807" w:rsidR="00E57023" w:rsidRDefault="00E57023" w:rsidP="00867A76">
      <w:pPr>
        <w:pStyle w:val="Figurecaption"/>
        <w:rPr>
          <w:sz w:val="20"/>
        </w:rPr>
      </w:pPr>
      <w:bookmarkStart w:id="785" w:name="_Toc19008124"/>
      <w:bookmarkStart w:id="786" w:name="_Toc19008344"/>
      <w:bookmarkStart w:id="787" w:name="_Toc19008491"/>
      <w:bookmarkStart w:id="788" w:name="_Toc19008638"/>
      <w:bookmarkStart w:id="789" w:name="_Toc132553068"/>
      <w:bookmarkStart w:id="790" w:name="_Toc140827680"/>
      <w:r w:rsidRPr="00CD1209">
        <w:rPr>
          <w:sz w:val="20"/>
        </w:rPr>
        <w:lastRenderedPageBreak/>
        <w:t>Figure 12.</w:t>
      </w:r>
      <w:r w:rsidR="00FA5553" w:rsidRPr="00CD1209">
        <w:rPr>
          <w:sz w:val="20"/>
        </w:rPr>
        <w:t>1.</w:t>
      </w:r>
      <w:r w:rsidR="00746ED0" w:rsidRPr="00CD1209">
        <w:rPr>
          <w:sz w:val="20"/>
        </w:rPr>
        <w:t>4</w:t>
      </w:r>
      <w:r w:rsidR="003B391F" w:rsidRPr="00CD1209">
        <w:rPr>
          <w:sz w:val="20"/>
        </w:rPr>
        <w:t>:</w:t>
      </w:r>
      <w:r w:rsidRPr="00CD1209">
        <w:rPr>
          <w:sz w:val="20"/>
        </w:rPr>
        <w:t xml:space="preserve"> Median days from diagnosis to start of primary curative treatment (</w:t>
      </w:r>
      <w:r w:rsidR="00842B03" w:rsidRPr="00CD1209">
        <w:rPr>
          <w:sz w:val="20"/>
        </w:rPr>
        <w:t>haematological</w:t>
      </w:r>
      <w:r w:rsidRPr="00CD1209">
        <w:rPr>
          <w:sz w:val="20"/>
        </w:rPr>
        <w:t>)</w:t>
      </w:r>
      <w:r w:rsidR="007A17B2" w:rsidRPr="00CD1209">
        <w:rPr>
          <w:sz w:val="20"/>
        </w:rPr>
        <w:t>,</w:t>
      </w:r>
      <w:r w:rsidRPr="00CD1209">
        <w:rPr>
          <w:sz w:val="20"/>
        </w:rPr>
        <w:t xml:space="preserve"> by year, 2014</w:t>
      </w:r>
      <w:r w:rsidR="00442450" w:rsidRPr="00CD1209">
        <w:rPr>
          <w:sz w:val="20"/>
        </w:rPr>
        <w:t>,</w:t>
      </w:r>
      <w:r w:rsidRPr="00CD1209">
        <w:rPr>
          <w:sz w:val="20"/>
        </w:rPr>
        <w:t xml:space="preserve"> 2016</w:t>
      </w:r>
      <w:bookmarkEnd w:id="785"/>
      <w:bookmarkEnd w:id="786"/>
      <w:bookmarkEnd w:id="787"/>
      <w:bookmarkEnd w:id="788"/>
      <w:r w:rsidR="00442450" w:rsidRPr="00CD1209">
        <w:rPr>
          <w:sz w:val="20"/>
        </w:rPr>
        <w:t xml:space="preserve"> and 20</w:t>
      </w:r>
      <w:r w:rsidR="00E20C6E" w:rsidRPr="00CD1209">
        <w:rPr>
          <w:sz w:val="20"/>
        </w:rPr>
        <w:t>21</w:t>
      </w:r>
      <w:bookmarkEnd w:id="789"/>
      <w:bookmarkEnd w:id="790"/>
    </w:p>
    <w:p w14:paraId="149313DC" w14:textId="2E61E487" w:rsidR="00292AED" w:rsidRPr="00292AED" w:rsidRDefault="00292AED" w:rsidP="00292AED">
      <w:pPr>
        <w:pStyle w:val="DHHSbody"/>
      </w:pPr>
      <w:r>
        <w:rPr>
          <w:noProof/>
        </w:rPr>
        <w:drawing>
          <wp:inline distT="0" distB="0" distL="0" distR="0" wp14:anchorId="7C88CBBB" wp14:editId="413D4EC8">
            <wp:extent cx="5918200" cy="6281530"/>
            <wp:effectExtent l="0" t="0" r="6350" b="5080"/>
            <wp:docPr id="234" name="Picture 234" descr="This figure shows a data summary of 'Measure 12.1 – Median days from diagnosis to start of primary curative treatment' (haematological). The data set is available under 'Measure 12.1 – Median days from diagnosis to start of primary curative treatment' (haematological)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This figure shows a data summary of 'Measure 12.1 – Median days from diagnosis to start of primary curative treatment' (haematological). The data set is available under 'Measure 12.1 – Median days from diagnosis to start of primary curative treatment' (haematological) in a separate volume, the Victorian cancer plan monitoring and evaluation framework: baseline report: Appendix 2: Datasets available on Cancer care &lt;https://www.health.vic.gov.au/health-strategies/cancer-care&gt;."/>
                    <pic:cNvPicPr/>
                  </pic:nvPicPr>
                  <pic:blipFill>
                    <a:blip r:embed="rId126"/>
                    <a:stretch>
                      <a:fillRect/>
                    </a:stretch>
                  </pic:blipFill>
                  <pic:spPr>
                    <a:xfrm>
                      <a:off x="0" y="0"/>
                      <a:ext cx="5919898" cy="6283332"/>
                    </a:xfrm>
                    <a:prstGeom prst="rect">
                      <a:avLst/>
                    </a:prstGeom>
                  </pic:spPr>
                </pic:pic>
              </a:graphicData>
            </a:graphic>
          </wp:inline>
        </w:drawing>
      </w:r>
    </w:p>
    <w:p w14:paraId="1756FE93" w14:textId="2DA34582" w:rsidR="0027051D" w:rsidRPr="0027051D" w:rsidRDefault="0027051D" w:rsidP="0027051D">
      <w:pPr>
        <w:pStyle w:val="DHHSbody"/>
      </w:pPr>
    </w:p>
    <w:p w14:paraId="4373D1E0" w14:textId="2446364D" w:rsidR="0020440A" w:rsidRPr="00CD1209" w:rsidRDefault="0020440A" w:rsidP="006D2096">
      <w:pPr>
        <w:pStyle w:val="Tablefigurenote"/>
        <w:rPr>
          <w:i/>
          <w:iCs/>
          <w:sz w:val="18"/>
          <w:szCs w:val="18"/>
        </w:rPr>
      </w:pPr>
      <w:r w:rsidRPr="00CD1209">
        <w:rPr>
          <w:i/>
          <w:iCs/>
          <w:sz w:val="18"/>
          <w:szCs w:val="18"/>
        </w:rPr>
        <w:t>Appendix 2 provides the dataset</w:t>
      </w:r>
      <w:r w:rsidR="00DC2D82" w:rsidRPr="00CD1209">
        <w:rPr>
          <w:i/>
          <w:iCs/>
          <w:sz w:val="18"/>
          <w:szCs w:val="18"/>
        </w:rPr>
        <w:t>.</w:t>
      </w:r>
    </w:p>
    <w:p w14:paraId="5FFBBCAB" w14:textId="60A70B1C" w:rsidR="00D20ED5" w:rsidRPr="00E40F5F" w:rsidRDefault="00D20ED5" w:rsidP="007C7F00">
      <w:pPr>
        <w:pStyle w:val="Heading4"/>
        <w:rPr>
          <w:lang w:eastAsia="en-AU"/>
        </w:rPr>
      </w:pPr>
      <w:r w:rsidRPr="007C7F00">
        <w:t>Measure assessment</w:t>
      </w:r>
    </w:p>
    <w:p w14:paraId="5FC04BA1" w14:textId="10B8C946" w:rsidR="00B77EBF" w:rsidRPr="00EA604B" w:rsidRDefault="00D20ED5" w:rsidP="00606436">
      <w:pPr>
        <w:pStyle w:val="Body"/>
      </w:pPr>
      <w:r w:rsidRPr="00B77EBF">
        <w:t>Traffic light rating</w:t>
      </w:r>
      <w:r w:rsidRPr="00EA604B">
        <w:t>:</w:t>
      </w:r>
      <w:r w:rsidR="00B77EBF" w:rsidRPr="00B504AD">
        <w:rPr>
          <w:b/>
          <w:color w:val="AF272F"/>
        </w:rPr>
        <w:t xml:space="preserve"> Red </w:t>
      </w:r>
      <w:r w:rsidR="00B77EBF" w:rsidRPr="00EA604B">
        <w:t>(result is of concern)</w:t>
      </w:r>
    </w:p>
    <w:p w14:paraId="5781D65E" w14:textId="4E6836EF" w:rsidR="00D20ED5" w:rsidRPr="00365E4B" w:rsidRDefault="00B77EBF" w:rsidP="00606436">
      <w:pPr>
        <w:pStyle w:val="Body"/>
        <w:rPr>
          <w:szCs w:val="21"/>
        </w:rPr>
      </w:pPr>
      <w:r w:rsidRPr="00365E4B">
        <w:rPr>
          <w:szCs w:val="21"/>
        </w:rPr>
        <w:t>Overall trend: Not moving in the right direction</w:t>
      </w:r>
      <w:r w:rsidR="00D20ED5" w:rsidRPr="00365E4B">
        <w:rPr>
          <w:szCs w:val="21"/>
        </w:rPr>
        <w:t xml:space="preserve"> </w:t>
      </w:r>
      <w:r w:rsidR="00365E4B" w:rsidRPr="00365E4B">
        <w:rPr>
          <w:szCs w:val="21"/>
        </w:rPr>
        <w:t xml:space="preserve">but impacts of the COVID pandemic </w:t>
      </w:r>
      <w:r w:rsidR="00365E4B">
        <w:rPr>
          <w:szCs w:val="21"/>
        </w:rPr>
        <w:t xml:space="preserve">on </w:t>
      </w:r>
      <w:r w:rsidR="00365E4B" w:rsidRPr="00365E4B">
        <w:rPr>
          <w:szCs w:val="21"/>
        </w:rPr>
        <w:t>median days from diagnosis is uncertain</w:t>
      </w:r>
    </w:p>
    <w:p w14:paraId="788320B5" w14:textId="0040444C" w:rsidR="008F46F0" w:rsidRPr="00B77EBF" w:rsidRDefault="00D20ED5" w:rsidP="00E87AAA">
      <w:pPr>
        <w:pStyle w:val="Body"/>
      </w:pPr>
      <w:r w:rsidRPr="00B77EBF">
        <w:t>Commentary:</w:t>
      </w:r>
      <w:r w:rsidR="002D4F68" w:rsidRPr="00B77EBF">
        <w:t xml:space="preserve"> </w:t>
      </w:r>
      <w:r w:rsidR="002C40B2" w:rsidRPr="00B77EBF">
        <w:t xml:space="preserve">The time from a new diagnosis of cancer to </w:t>
      </w:r>
      <w:r w:rsidR="007A17B2" w:rsidRPr="00B77EBF">
        <w:t xml:space="preserve">starting </w:t>
      </w:r>
      <w:r w:rsidR="002C40B2" w:rsidRPr="00B77EBF">
        <w:t>treatment is a period of stress and anxiety for patients and their families.</w:t>
      </w:r>
      <w:r w:rsidR="00952FC7" w:rsidRPr="00B77EBF">
        <w:t xml:space="preserve"> </w:t>
      </w:r>
      <w:r w:rsidR="00931F54" w:rsidRPr="00B77EBF">
        <w:t>Delays in time</w:t>
      </w:r>
      <w:r w:rsidR="007A17B2" w:rsidRPr="00B77EBF">
        <w:t xml:space="preserve"> </w:t>
      </w:r>
      <w:r w:rsidR="00931F54" w:rsidRPr="00B77EBF">
        <w:t>to</w:t>
      </w:r>
      <w:r w:rsidR="007A17B2" w:rsidRPr="00B77EBF">
        <w:t xml:space="preserve"> </w:t>
      </w:r>
      <w:r w:rsidR="00931F54" w:rsidRPr="00B77EBF">
        <w:t xml:space="preserve">treatment worsen survival in some </w:t>
      </w:r>
      <w:r w:rsidR="00B2656E" w:rsidRPr="00B77EBF">
        <w:t>cancers</w:t>
      </w:r>
      <w:r w:rsidR="007A17B2" w:rsidRPr="00B77EBF">
        <w:t>,</w:t>
      </w:r>
      <w:r w:rsidR="00931F54" w:rsidRPr="00B77EBF">
        <w:t xml:space="preserve"> </w:t>
      </w:r>
      <w:r w:rsidR="00931F54" w:rsidRPr="00B77EBF">
        <w:lastRenderedPageBreak/>
        <w:t>particularly</w:t>
      </w:r>
      <w:r w:rsidR="007A17B2" w:rsidRPr="00B77EBF">
        <w:t xml:space="preserve"> </w:t>
      </w:r>
      <w:r w:rsidR="00931F54" w:rsidRPr="00B77EBF">
        <w:t>early</w:t>
      </w:r>
      <w:r w:rsidR="007A17B2" w:rsidRPr="00B77EBF">
        <w:t>-</w:t>
      </w:r>
      <w:r w:rsidR="00931F54" w:rsidRPr="00B77EBF">
        <w:t>stage</w:t>
      </w:r>
      <w:r w:rsidR="007A17B2" w:rsidRPr="00B77EBF">
        <w:t xml:space="preserve"> cancer</w:t>
      </w:r>
      <w:r w:rsidR="00931F54" w:rsidRPr="00B77EBF">
        <w:t xml:space="preserve">s. Hence, it is important that people </w:t>
      </w:r>
      <w:r w:rsidR="00A10080" w:rsidRPr="00B77EBF">
        <w:t xml:space="preserve">access timely </w:t>
      </w:r>
      <w:r w:rsidR="00931F54" w:rsidRPr="00B77EBF">
        <w:t>treatment.</w:t>
      </w:r>
      <w:r w:rsidR="00B958C8" w:rsidRPr="00B77EBF">
        <w:rPr>
          <w:rStyle w:val="FootnoteReference"/>
          <w:rFonts w:cs="Arial"/>
          <w:lang w:eastAsia="en-AU"/>
        </w:rPr>
        <w:footnoteReference w:id="156"/>
      </w:r>
      <w:r w:rsidR="00952FC7" w:rsidRPr="00B77EBF">
        <w:t xml:space="preserve"> </w:t>
      </w:r>
      <w:r w:rsidR="00931F54" w:rsidRPr="00B77EBF">
        <w:t>For the purposes of this measure</w:t>
      </w:r>
      <w:r w:rsidR="00545934" w:rsidRPr="00B77EBF">
        <w:t>,</w:t>
      </w:r>
      <w:r w:rsidR="00931F54" w:rsidRPr="00B77EBF">
        <w:t xml:space="preserve"> primary curative treatment refers to surgery, radiotherapy or systemic anti-cancer therapy (SACT).</w:t>
      </w:r>
    </w:p>
    <w:p w14:paraId="6D80C611" w14:textId="2B134BE7" w:rsidR="00E40F5F" w:rsidRPr="00442450" w:rsidRDefault="00226448" w:rsidP="00E87AAA">
      <w:pPr>
        <w:pStyle w:val="Body"/>
        <w:rPr>
          <w:highlight w:val="yellow"/>
        </w:rPr>
      </w:pPr>
      <w:r w:rsidRPr="00B77EBF">
        <w:t xml:space="preserve">Figure 12.1 shows that </w:t>
      </w:r>
      <w:r w:rsidR="00131E58">
        <w:t xml:space="preserve">the </w:t>
      </w:r>
      <w:r w:rsidR="00A10080" w:rsidRPr="00B77EBF">
        <w:t xml:space="preserve">overall median time to treatment initiation from diagnosis </w:t>
      </w:r>
      <w:r w:rsidR="00B77EBF" w:rsidRPr="00B77EBF">
        <w:t>increased from 21 days in 2014 to 2</w:t>
      </w:r>
      <w:r w:rsidR="00E20C6E">
        <w:t>7</w:t>
      </w:r>
      <w:r w:rsidR="00B77EBF" w:rsidRPr="00B77EBF">
        <w:t xml:space="preserve"> days in 20</w:t>
      </w:r>
      <w:r w:rsidR="00E20C6E">
        <w:t>21</w:t>
      </w:r>
      <w:r w:rsidRPr="00B77EBF">
        <w:t>.</w:t>
      </w:r>
      <w:r w:rsidR="00EE5D80" w:rsidRPr="00B77EBF">
        <w:t xml:space="preserve"> </w:t>
      </w:r>
      <w:r w:rsidR="00E20C6E">
        <w:t>R</w:t>
      </w:r>
      <w:r w:rsidR="002F2AC6" w:rsidRPr="00623303">
        <w:t>ural/regional Victorians experience</w:t>
      </w:r>
      <w:r w:rsidR="00DB2B8E" w:rsidRPr="00623303">
        <w:t>d</w:t>
      </w:r>
      <w:r w:rsidR="002F2AC6" w:rsidRPr="00623303">
        <w:t xml:space="preserve"> </w:t>
      </w:r>
      <w:r w:rsidR="00E357F7" w:rsidRPr="00623303">
        <w:t>longer times from diagnosis to start</w:t>
      </w:r>
      <w:r w:rsidR="00131E58">
        <w:t>ing</w:t>
      </w:r>
      <w:r w:rsidR="00E357F7" w:rsidRPr="00623303">
        <w:t xml:space="preserve"> treatment </w:t>
      </w:r>
      <w:r w:rsidR="00623303" w:rsidRPr="00623303">
        <w:t>(median time to treatment 2</w:t>
      </w:r>
      <w:r w:rsidR="00E20C6E">
        <w:t>2</w:t>
      </w:r>
      <w:r w:rsidR="00623303" w:rsidRPr="00623303">
        <w:t xml:space="preserve"> days in 2014 increasing to 30 days in 20</w:t>
      </w:r>
      <w:r w:rsidR="00E20C6E">
        <w:t>21</w:t>
      </w:r>
      <w:r w:rsidR="00623303" w:rsidRPr="00623303">
        <w:t xml:space="preserve">), </w:t>
      </w:r>
      <w:r w:rsidR="002F2AC6" w:rsidRPr="00623303">
        <w:t>suggesting inequitable access to care for th</w:t>
      </w:r>
      <w:r w:rsidR="00E20C6E">
        <w:t>is</w:t>
      </w:r>
      <w:r w:rsidR="002F2AC6" w:rsidRPr="00623303">
        <w:t xml:space="preserve"> group</w:t>
      </w:r>
      <w:r w:rsidR="00E357F7" w:rsidRPr="00623303">
        <w:t>.</w:t>
      </w:r>
      <w:r w:rsidR="00942B99" w:rsidRPr="00623303">
        <w:t xml:space="preserve"> Variation in the timeliness </w:t>
      </w:r>
      <w:r w:rsidR="007C4C4B" w:rsidRPr="00623303">
        <w:t xml:space="preserve">from diagnosis to the </w:t>
      </w:r>
      <w:r w:rsidR="00942B99" w:rsidRPr="00623303">
        <w:t>start</w:t>
      </w:r>
      <w:r w:rsidR="007C4C4B" w:rsidRPr="00623303">
        <w:t xml:space="preserve"> of</w:t>
      </w:r>
      <w:r w:rsidR="00942B99" w:rsidRPr="00623303">
        <w:t xml:space="preserve"> </w:t>
      </w:r>
      <w:r w:rsidR="007C4C4B" w:rsidRPr="00623303">
        <w:t>primary curative treatment</w:t>
      </w:r>
      <w:r w:rsidR="00942B99" w:rsidRPr="00623303">
        <w:t xml:space="preserve"> between </w:t>
      </w:r>
      <w:r w:rsidR="007C4C4B" w:rsidRPr="00623303">
        <w:t>metropolitan</w:t>
      </w:r>
      <w:r w:rsidR="00942B99" w:rsidRPr="00623303">
        <w:t xml:space="preserve"> and </w:t>
      </w:r>
      <w:r w:rsidR="007C4C4B" w:rsidRPr="00623303">
        <w:t>rural/remote</w:t>
      </w:r>
      <w:r w:rsidR="00944E7A" w:rsidRPr="00623303">
        <w:t xml:space="preserve"> ICS</w:t>
      </w:r>
      <w:r w:rsidR="007C4C4B" w:rsidRPr="00623303">
        <w:t xml:space="preserve"> (</w:t>
      </w:r>
      <w:r w:rsidR="002677DD" w:rsidRPr="00623303">
        <w:t>for example,</w:t>
      </w:r>
      <w:r w:rsidR="007C4C4B" w:rsidRPr="00623303">
        <w:t xml:space="preserve"> </w:t>
      </w:r>
      <w:r w:rsidR="00623303" w:rsidRPr="00623303">
        <w:t>H</w:t>
      </w:r>
      <w:r w:rsidR="007C4C4B" w:rsidRPr="00623303">
        <w:t>RICS median days were 2</w:t>
      </w:r>
      <w:r w:rsidR="00623303" w:rsidRPr="00623303">
        <w:t>5</w:t>
      </w:r>
      <w:r w:rsidR="007C4C4B" w:rsidRPr="00623303">
        <w:t xml:space="preserve"> in 2014 rising to </w:t>
      </w:r>
      <w:r w:rsidR="00623303" w:rsidRPr="00623303">
        <w:t>34</w:t>
      </w:r>
      <w:r w:rsidR="007C4C4B" w:rsidRPr="00623303">
        <w:t xml:space="preserve"> in 20</w:t>
      </w:r>
      <w:r w:rsidR="00DE51D4">
        <w:t>21</w:t>
      </w:r>
      <w:r w:rsidR="007C4C4B" w:rsidRPr="00623303">
        <w:t xml:space="preserve">) </w:t>
      </w:r>
      <w:r w:rsidR="00942B99" w:rsidRPr="00623303">
        <w:t>may indicate resource pressures in the public system</w:t>
      </w:r>
      <w:r w:rsidR="007C4C4B" w:rsidRPr="00623303">
        <w:t xml:space="preserve"> or clinical</w:t>
      </w:r>
      <w:r w:rsidR="00EB2944" w:rsidRPr="00623303">
        <w:t xml:space="preserve"> variation by providers in ICSs in determining cancer treatment.</w:t>
      </w:r>
    </w:p>
    <w:p w14:paraId="4465B257" w14:textId="50B37982" w:rsidR="00E40F5F" w:rsidRPr="00865A1C" w:rsidRDefault="00E40F5F" w:rsidP="00E87AAA">
      <w:pPr>
        <w:pStyle w:val="Body"/>
      </w:pPr>
      <w:r w:rsidRPr="00865A1C">
        <w:t>Figures 12.</w:t>
      </w:r>
      <w:r w:rsidR="00FA5553" w:rsidRPr="00865A1C">
        <w:t>1.</w:t>
      </w:r>
      <w:r w:rsidR="004B44A9" w:rsidRPr="00865A1C">
        <w:t>1</w:t>
      </w:r>
      <w:r w:rsidRPr="00865A1C">
        <w:t xml:space="preserve"> to 12</w:t>
      </w:r>
      <w:r w:rsidR="00FA5553" w:rsidRPr="00865A1C">
        <w:t>.1</w:t>
      </w:r>
      <w:r w:rsidRPr="00865A1C">
        <w:t>.</w:t>
      </w:r>
      <w:r w:rsidR="004B44A9" w:rsidRPr="00865A1C">
        <w:t>4</w:t>
      </w:r>
      <w:r w:rsidRPr="00865A1C">
        <w:t xml:space="preserve"> show the median time to treatment initiation from diagnosis for the top four tumour streams </w:t>
      </w:r>
      <w:r w:rsidR="007A17B2" w:rsidRPr="00865A1C">
        <w:t xml:space="preserve">that </w:t>
      </w:r>
      <w:r w:rsidRPr="00865A1C">
        <w:t>recorded the highest number of cases varied from no change (</w:t>
      </w:r>
      <w:r w:rsidR="00865A1C" w:rsidRPr="00865A1C">
        <w:t xml:space="preserve">median time </w:t>
      </w:r>
      <w:r w:rsidRPr="00865A1C">
        <w:t>20 days) between 2014 and 201</w:t>
      </w:r>
      <w:r w:rsidR="00623303" w:rsidRPr="00865A1C">
        <w:t>9</w:t>
      </w:r>
      <w:r w:rsidR="00C1515D">
        <w:t xml:space="preserve"> (Tables 12.1.4b and d, Appendix 2)</w:t>
      </w:r>
      <w:r w:rsidRPr="00865A1C">
        <w:t xml:space="preserve"> </w:t>
      </w:r>
      <w:r w:rsidR="00C1515D">
        <w:t xml:space="preserve">decreasing slightly </w:t>
      </w:r>
      <w:r w:rsidR="000472EE">
        <w:t>t</w:t>
      </w:r>
      <w:r w:rsidR="00C1515D">
        <w:t xml:space="preserve">o a median time of 19 days in 2021 </w:t>
      </w:r>
      <w:r w:rsidRPr="00865A1C">
        <w:t xml:space="preserve">for </w:t>
      </w:r>
      <w:r w:rsidR="00865A1C" w:rsidRPr="00865A1C">
        <w:t>haematological cancer (Figure 12.1.4) to more significant increases for genitourinary cancer (28 days in 2014 rising to 39 days in 20</w:t>
      </w:r>
      <w:r w:rsidR="00550D9D">
        <w:t>21</w:t>
      </w:r>
      <w:r w:rsidR="00865A1C" w:rsidRPr="00865A1C">
        <w:t>) (Figure 12.1.3).</w:t>
      </w:r>
      <w:r w:rsidR="00865A1C">
        <w:t xml:space="preserve"> </w:t>
      </w:r>
      <w:r w:rsidRPr="00865A1C">
        <w:t xml:space="preserve">The median time to treatment initiation from diagnosis for colorectal and </w:t>
      </w:r>
      <w:r w:rsidR="00865A1C" w:rsidRPr="00865A1C">
        <w:t xml:space="preserve">breast cancer </w:t>
      </w:r>
      <w:r w:rsidRPr="00865A1C">
        <w:t xml:space="preserve">was </w:t>
      </w:r>
      <w:r w:rsidR="00FD7A10" w:rsidRPr="00865A1C">
        <w:t>20 days (2014)</w:t>
      </w:r>
      <w:r w:rsidR="007A17B2" w:rsidRPr="00865A1C">
        <w:t>,</w:t>
      </w:r>
      <w:r w:rsidR="00FD7A10" w:rsidRPr="00865A1C">
        <w:t xml:space="preserve"> rising to 2</w:t>
      </w:r>
      <w:r w:rsidR="00865A1C" w:rsidRPr="00865A1C">
        <w:t>4</w:t>
      </w:r>
      <w:r w:rsidR="00FD7A10" w:rsidRPr="00865A1C">
        <w:t xml:space="preserve"> days in 20</w:t>
      </w:r>
      <w:r w:rsidR="00DE51D4">
        <w:t>21</w:t>
      </w:r>
      <w:r w:rsidR="00FD7A10" w:rsidRPr="00865A1C">
        <w:t xml:space="preserve"> and 20 days (2014) and </w:t>
      </w:r>
      <w:r w:rsidR="00865A1C" w:rsidRPr="00865A1C">
        <w:t>2</w:t>
      </w:r>
      <w:r w:rsidR="00DE51D4">
        <w:t>6</w:t>
      </w:r>
      <w:r w:rsidR="00FD7A10" w:rsidRPr="00865A1C">
        <w:t xml:space="preserve"> days in 20</w:t>
      </w:r>
      <w:r w:rsidR="00DE51D4">
        <w:t>21</w:t>
      </w:r>
      <w:r w:rsidR="00FD7A10" w:rsidRPr="00865A1C">
        <w:t>, respectively.</w:t>
      </w:r>
    </w:p>
    <w:p w14:paraId="00D88F4F" w14:textId="5F3102E1" w:rsidR="00E40F5F" w:rsidRPr="00A12F2D" w:rsidRDefault="007C4C4B" w:rsidP="00E87AAA">
      <w:pPr>
        <w:pStyle w:val="Body"/>
      </w:pPr>
      <w:r w:rsidRPr="00865A1C">
        <w:t xml:space="preserve">No </w:t>
      </w:r>
      <w:r w:rsidR="00564058" w:rsidRPr="00865A1C">
        <w:t xml:space="preserve">specific </w:t>
      </w:r>
      <w:r w:rsidRPr="00865A1C">
        <w:t xml:space="preserve">target has been set for this </w:t>
      </w:r>
      <w:r w:rsidR="004038BE" w:rsidRPr="00865A1C">
        <w:t>measure</w:t>
      </w:r>
      <w:r w:rsidR="00131E58">
        <w:t>,</w:t>
      </w:r>
      <w:r w:rsidR="00564058" w:rsidRPr="00865A1C">
        <w:t xml:space="preserve"> rather the intent </w:t>
      </w:r>
      <w:r w:rsidR="00163D8F" w:rsidRPr="00865A1C">
        <w:t xml:space="preserve">here </w:t>
      </w:r>
      <w:r w:rsidR="00564058" w:rsidRPr="00865A1C">
        <w:t>is to align with the targeted approach set out in the Victorian optimal pathway for people with c</w:t>
      </w:r>
      <w:r w:rsidR="00A751CE" w:rsidRPr="00865A1C">
        <w:t>ancer</w:t>
      </w:r>
      <w:r w:rsidR="002204EE">
        <w:t>;</w:t>
      </w:r>
      <w:r w:rsidR="00163D8F" w:rsidRPr="00865A1C">
        <w:rPr>
          <w:rStyle w:val="FootnoteReference"/>
          <w:rFonts w:cs="Arial"/>
        </w:rPr>
        <w:footnoteReference w:id="157"/>
      </w:r>
      <w:r w:rsidRPr="00865A1C">
        <w:t xml:space="preserve"> </w:t>
      </w:r>
      <w:r w:rsidR="00163D8F" w:rsidRPr="00865A1C">
        <w:t>therefore</w:t>
      </w:r>
      <w:r w:rsidR="00A5376B" w:rsidRPr="00865A1C">
        <w:t>,</w:t>
      </w:r>
      <w:r w:rsidRPr="00865A1C">
        <w:t xml:space="preserve"> </w:t>
      </w:r>
      <w:r w:rsidR="00F22B25" w:rsidRPr="00865A1C">
        <w:t>care should be taken when interpreting the results of this measure due to limitations outlined in the footnote below.</w:t>
      </w:r>
      <w:r w:rsidR="00A751CE" w:rsidRPr="00865A1C">
        <w:rPr>
          <w:rStyle w:val="FootnoteReference"/>
          <w:rFonts w:cs="Arial"/>
        </w:rPr>
        <w:footnoteReference w:id="158"/>
      </w:r>
      <w:r w:rsidR="002204EE">
        <w:t xml:space="preserve"> </w:t>
      </w:r>
      <w:r w:rsidR="00A601D7" w:rsidRPr="00865A1C">
        <w:t xml:space="preserve">Nevertheless </w:t>
      </w:r>
      <w:r w:rsidR="00D23141" w:rsidRPr="00865A1C">
        <w:t>greater efforts are needed to prevent treatment delays for patients with cancer</w:t>
      </w:r>
      <w:r w:rsidR="00131E58">
        <w:t>,</w:t>
      </w:r>
      <w:r w:rsidR="00D23141" w:rsidRPr="00865A1C">
        <w:t xml:space="preserve"> particularly </w:t>
      </w:r>
      <w:r w:rsidR="00131E58">
        <w:t>because</w:t>
      </w:r>
      <w:r w:rsidR="00D23141" w:rsidRPr="00865A1C">
        <w:t xml:space="preserve"> </w:t>
      </w:r>
      <w:r w:rsidR="00A601D7" w:rsidRPr="00865A1C">
        <w:t xml:space="preserve">longer delays between diagnosis and initial treatment have been linked </w:t>
      </w:r>
      <w:r w:rsidR="00D23141" w:rsidRPr="00865A1C">
        <w:t>with</w:t>
      </w:r>
      <w:r w:rsidR="00A601D7" w:rsidRPr="00865A1C">
        <w:t xml:space="preserve"> worsened overall survival for stages 1 and 2 of some cancer</w:t>
      </w:r>
      <w:r w:rsidR="00D23141" w:rsidRPr="00865A1C">
        <w:t>s</w:t>
      </w:r>
      <w:r w:rsidR="00A601D7" w:rsidRPr="00865A1C">
        <w:t xml:space="preserve"> including breast</w:t>
      </w:r>
      <w:r w:rsidR="00D23141" w:rsidRPr="00865A1C">
        <w:rPr>
          <w:shd w:val="clear" w:color="auto" w:fill="FFFFFF"/>
        </w:rPr>
        <w:t xml:space="preserve">, lung, renal and pancreatic cancers, and stage </w:t>
      </w:r>
      <w:r w:rsidR="00131E58">
        <w:rPr>
          <w:shd w:val="clear" w:color="auto" w:fill="FFFFFF"/>
        </w:rPr>
        <w:t>2</w:t>
      </w:r>
      <w:r w:rsidR="00D23141" w:rsidRPr="00865A1C">
        <w:rPr>
          <w:shd w:val="clear" w:color="auto" w:fill="FFFFFF"/>
        </w:rPr>
        <w:t xml:space="preserve"> colorectal cancer</w:t>
      </w:r>
      <w:r w:rsidR="00D23141" w:rsidRPr="00865A1C">
        <w:t>.</w:t>
      </w:r>
      <w:r w:rsidR="00D23141" w:rsidRPr="00865A1C">
        <w:rPr>
          <w:rStyle w:val="FootnoteReference"/>
          <w:rFonts w:cs="Arial"/>
        </w:rPr>
        <w:footnoteReference w:id="159"/>
      </w:r>
      <w:r w:rsidR="00E40F5F">
        <w:br w:type="page"/>
      </w:r>
    </w:p>
    <w:p w14:paraId="6B3C7980" w14:textId="55C4FADB" w:rsidR="00DF376C" w:rsidRPr="001262B0" w:rsidRDefault="00DF376C" w:rsidP="00A451D4">
      <w:pPr>
        <w:pStyle w:val="Heading3"/>
        <w:rPr>
          <w:b/>
          <w:bCs w:val="0"/>
        </w:rPr>
      </w:pPr>
      <w:bookmarkStart w:id="791" w:name="_Measure_12.2_–"/>
      <w:bookmarkStart w:id="792" w:name="_Toc19008125"/>
      <w:bookmarkEnd w:id="791"/>
      <w:r w:rsidRPr="001262B0">
        <w:rPr>
          <w:b/>
          <w:bCs w:val="0"/>
        </w:rPr>
        <w:lastRenderedPageBreak/>
        <w:t>Measure 12.2 – Proportion of patients receiving PET prior to primary treatment where appropriate</w:t>
      </w:r>
      <w:bookmarkEnd w:id="792"/>
    </w:p>
    <w:p w14:paraId="0A0E1120" w14:textId="77777777" w:rsidR="001162EB" w:rsidRPr="001162EB" w:rsidRDefault="001162EB" w:rsidP="00E87AAA">
      <w:pPr>
        <w:pStyle w:val="Body"/>
      </w:pPr>
      <w:r>
        <w:t>This measure will be reported in a future report. Refer to Appendix 1.</w:t>
      </w:r>
    </w:p>
    <w:p w14:paraId="58B3A236" w14:textId="77777777" w:rsidR="00DF376C" w:rsidRPr="001262B0" w:rsidRDefault="00DF376C" w:rsidP="00A451D4">
      <w:pPr>
        <w:pStyle w:val="Heading3"/>
        <w:rPr>
          <w:b/>
          <w:bCs w:val="0"/>
        </w:rPr>
      </w:pPr>
      <w:bookmarkStart w:id="793" w:name="_Measure_12.3_–"/>
      <w:bookmarkStart w:id="794" w:name="_Toc19008126"/>
      <w:bookmarkEnd w:id="793"/>
      <w:r w:rsidRPr="001262B0">
        <w:rPr>
          <w:b/>
          <w:bCs w:val="0"/>
        </w:rPr>
        <w:t>Measure 12.3 –</w:t>
      </w:r>
      <w:r w:rsidR="009102AF" w:rsidRPr="001262B0">
        <w:rPr>
          <w:b/>
          <w:bCs w:val="0"/>
        </w:rPr>
        <w:t xml:space="preserve"> Proportion of patients receiving</w:t>
      </w:r>
      <w:r w:rsidR="00FD52A4" w:rsidRPr="001262B0">
        <w:rPr>
          <w:b/>
          <w:bCs w:val="0"/>
        </w:rPr>
        <w:t xml:space="preserve"> molecular diagnostics prior to primary treatment where appropriate</w:t>
      </w:r>
      <w:bookmarkEnd w:id="794"/>
    </w:p>
    <w:p w14:paraId="7235F507" w14:textId="4ED58A1E" w:rsidR="002D0EEF" w:rsidRPr="001A2A05" w:rsidRDefault="001162EB" w:rsidP="00E87AAA">
      <w:pPr>
        <w:pStyle w:val="Body"/>
      </w:pPr>
      <w:r>
        <w:t>This measure will be reported in a future report. Refer to Appendix 1.</w:t>
      </w:r>
      <w:r w:rsidR="002D0EEF">
        <w:rPr>
          <w:highlight w:val="green"/>
        </w:rPr>
        <w:br w:type="page"/>
      </w:r>
    </w:p>
    <w:p w14:paraId="7A0F71E1" w14:textId="341EA994" w:rsidR="0044729A" w:rsidRPr="001262B0" w:rsidRDefault="00DF376C" w:rsidP="00A451D4">
      <w:pPr>
        <w:pStyle w:val="Heading3"/>
        <w:rPr>
          <w:b/>
          <w:bCs w:val="0"/>
          <w:highlight w:val="green"/>
          <w:lang w:eastAsia="en-AU"/>
        </w:rPr>
      </w:pPr>
      <w:bookmarkStart w:id="795" w:name="_Measure_12.4_–"/>
      <w:bookmarkStart w:id="796" w:name="_Toc19008127"/>
      <w:bookmarkEnd w:id="795"/>
      <w:r w:rsidRPr="001262B0">
        <w:rPr>
          <w:b/>
          <w:bCs w:val="0"/>
          <w:lang w:eastAsia="en-AU"/>
        </w:rPr>
        <w:lastRenderedPageBreak/>
        <w:t>Measure 12.4 –</w:t>
      </w:r>
      <w:r w:rsidR="009102AF" w:rsidRPr="001262B0">
        <w:rPr>
          <w:b/>
          <w:bCs w:val="0"/>
          <w:lang w:eastAsia="en-AU"/>
        </w:rPr>
        <w:t xml:space="preserve"> Proportion of patients </w:t>
      </w:r>
      <w:r w:rsidR="00E25847" w:rsidRPr="001262B0">
        <w:rPr>
          <w:b/>
          <w:bCs w:val="0"/>
        </w:rPr>
        <w:t>with non-metastatic lung, breast, rectal and oesophageal cancers receiving radical radiotherapy as part of their primary treatment</w:t>
      </w:r>
      <w:bookmarkEnd w:id="796"/>
      <w:r w:rsidR="00E25847" w:rsidRPr="001262B0">
        <w:rPr>
          <w:b/>
          <w:bCs w:val="0"/>
          <w:highlight w:val="green"/>
          <w:lang w:eastAsia="en-AU"/>
        </w:rPr>
        <w:t xml:space="preserve"> </w:t>
      </w:r>
    </w:p>
    <w:p w14:paraId="574F30F1" w14:textId="029FDE85" w:rsidR="001C3A98" w:rsidRPr="00CD1209" w:rsidRDefault="00572ECB" w:rsidP="00867A76">
      <w:pPr>
        <w:pStyle w:val="Figurecaption"/>
        <w:rPr>
          <w:sz w:val="20"/>
          <w:lang w:eastAsia="en-AU"/>
        </w:rPr>
      </w:pPr>
      <w:bookmarkStart w:id="797" w:name="_Toc19008128"/>
      <w:bookmarkStart w:id="798" w:name="_Toc19008345"/>
      <w:bookmarkStart w:id="799" w:name="_Toc19008492"/>
      <w:bookmarkStart w:id="800" w:name="_Toc19008639"/>
      <w:bookmarkStart w:id="801" w:name="_Toc132553069"/>
      <w:bookmarkStart w:id="802" w:name="_Toc140827681"/>
      <w:r w:rsidRPr="00CD1209">
        <w:rPr>
          <w:sz w:val="20"/>
          <w:lang w:eastAsia="en-AU"/>
        </w:rPr>
        <w:t>Figure</w:t>
      </w:r>
      <w:r w:rsidR="007819A0" w:rsidRPr="00CD1209">
        <w:rPr>
          <w:sz w:val="20"/>
          <w:lang w:eastAsia="en-AU"/>
        </w:rPr>
        <w:t xml:space="preserve"> 12.4</w:t>
      </w:r>
      <w:r w:rsidR="003B391F" w:rsidRPr="00CD1209">
        <w:rPr>
          <w:sz w:val="20"/>
        </w:rPr>
        <w:t>:</w:t>
      </w:r>
      <w:r w:rsidR="007819A0" w:rsidRPr="00CD1209">
        <w:rPr>
          <w:sz w:val="20"/>
          <w:lang w:eastAsia="en-AU"/>
        </w:rPr>
        <w:t xml:space="preserve"> </w:t>
      </w:r>
      <w:r w:rsidR="006F5E2F" w:rsidRPr="00CD1209">
        <w:rPr>
          <w:sz w:val="20"/>
        </w:rPr>
        <w:t>Proportion of patients with non-metastatic lung cancer receiving radical radiotherapy as part of their primary treatment</w:t>
      </w:r>
      <w:r w:rsidR="00611CE2" w:rsidRPr="00CD1209">
        <w:rPr>
          <w:sz w:val="20"/>
        </w:rPr>
        <w:t>,</w:t>
      </w:r>
      <w:r w:rsidR="006F5E2F" w:rsidRPr="00CD1209">
        <w:rPr>
          <w:sz w:val="20"/>
        </w:rPr>
        <w:t xml:space="preserve"> </w:t>
      </w:r>
      <w:r w:rsidR="006F5E2F" w:rsidRPr="00CD1209">
        <w:rPr>
          <w:sz w:val="20"/>
          <w:lang w:eastAsia="en-AU"/>
        </w:rPr>
        <w:t xml:space="preserve">by age, sex, </w:t>
      </w:r>
      <w:r w:rsidR="00D3516B" w:rsidRPr="00CD1209">
        <w:rPr>
          <w:sz w:val="20"/>
          <w:lang w:eastAsia="en-AU"/>
        </w:rPr>
        <w:t>I</w:t>
      </w:r>
      <w:r w:rsidR="006F5E2F" w:rsidRPr="00CD1209">
        <w:rPr>
          <w:sz w:val="20"/>
          <w:lang w:eastAsia="en-AU"/>
        </w:rPr>
        <w:t>ndigenous status</w:t>
      </w:r>
      <w:r w:rsidR="00EE148C" w:rsidRPr="00CD1209">
        <w:rPr>
          <w:sz w:val="20"/>
          <w:lang w:eastAsia="en-AU"/>
        </w:rPr>
        <w:t>,</w:t>
      </w:r>
      <w:r w:rsidR="006F5E2F" w:rsidRPr="00CD1209">
        <w:rPr>
          <w:sz w:val="20"/>
          <w:lang w:eastAsia="en-AU"/>
        </w:rPr>
        <w:t xml:space="preserve"> language spoken at home, </w:t>
      </w:r>
      <w:r w:rsidR="00EC6317" w:rsidRPr="00CD1209">
        <w:rPr>
          <w:sz w:val="20"/>
          <w:lang w:eastAsia="en-AU"/>
        </w:rPr>
        <w:t xml:space="preserve">remoteness area, </w:t>
      </w:r>
      <w:r w:rsidR="002677DD" w:rsidRPr="00CD1209">
        <w:rPr>
          <w:sz w:val="20"/>
          <w:lang w:eastAsia="en-AU"/>
        </w:rPr>
        <w:t>SES</w:t>
      </w:r>
      <w:r w:rsidR="00EC6317" w:rsidRPr="00CD1209">
        <w:rPr>
          <w:sz w:val="20"/>
          <w:lang w:eastAsia="en-AU"/>
        </w:rPr>
        <w:t xml:space="preserve"> and ICS, </w:t>
      </w:r>
      <w:r w:rsidR="006F5E2F" w:rsidRPr="00CD1209">
        <w:rPr>
          <w:sz w:val="20"/>
          <w:lang w:eastAsia="en-AU"/>
        </w:rPr>
        <w:t>201</w:t>
      </w:r>
      <w:r w:rsidR="006C22E8" w:rsidRPr="00CD1209">
        <w:rPr>
          <w:sz w:val="20"/>
          <w:lang w:eastAsia="en-AU"/>
        </w:rPr>
        <w:t xml:space="preserve">4, </w:t>
      </w:r>
      <w:r w:rsidR="006F5E2F" w:rsidRPr="00CD1209">
        <w:rPr>
          <w:sz w:val="20"/>
          <w:lang w:eastAsia="en-AU"/>
        </w:rPr>
        <w:t>2016</w:t>
      </w:r>
      <w:bookmarkEnd w:id="797"/>
      <w:bookmarkEnd w:id="798"/>
      <w:bookmarkEnd w:id="799"/>
      <w:bookmarkEnd w:id="800"/>
      <w:r w:rsidR="006C22E8" w:rsidRPr="00CD1209">
        <w:rPr>
          <w:sz w:val="20"/>
          <w:lang w:eastAsia="en-AU"/>
        </w:rPr>
        <w:t xml:space="preserve"> and 20</w:t>
      </w:r>
      <w:r w:rsidR="000F1CF2" w:rsidRPr="00CD1209">
        <w:rPr>
          <w:sz w:val="20"/>
          <w:lang w:eastAsia="en-AU"/>
        </w:rPr>
        <w:t>2</w:t>
      </w:r>
      <w:r w:rsidR="00312469" w:rsidRPr="00CD1209">
        <w:rPr>
          <w:sz w:val="20"/>
          <w:lang w:eastAsia="en-AU"/>
        </w:rPr>
        <w:t>0</w:t>
      </w:r>
      <w:bookmarkEnd w:id="801"/>
      <w:bookmarkEnd w:id="802"/>
    </w:p>
    <w:p w14:paraId="5526682A" w14:textId="1A525D24" w:rsidR="000011CD" w:rsidRPr="000011CD" w:rsidRDefault="000011CD" w:rsidP="00E87AAA">
      <w:pPr>
        <w:pStyle w:val="Body"/>
      </w:pPr>
      <w:r>
        <w:rPr>
          <w:noProof/>
        </w:rPr>
        <w:drawing>
          <wp:inline distT="0" distB="0" distL="0" distR="0" wp14:anchorId="64CBDEC8" wp14:editId="79656F71">
            <wp:extent cx="6016625" cy="4970145"/>
            <wp:effectExtent l="0" t="0" r="3175" b="1905"/>
            <wp:docPr id="301" name="Picture 301" descr="This figure shows a data summary of 'Measure 12.4 – Proportion of patients with non-metastatic lung, breast, rectal and oesophageal cancers receiving radical radiotherapy as part of their primary treatment'. Specially this figure focuses on lung cancer via subgroups namely age. sex, Indigenous status, language spoken at home, remoteness area, socioeconomic status and Integrated Cancer Service  for the study period 2014, 2016 and 2020. The data set is available under 'Measure 12.4 – Proportion of patients with non–metastatic lung, breast, rectal and oesophageal cancers receiving radical radiotherapy as part of their primary treatment'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This figure shows a data summary of 'Measure 12.4 – Proportion of patients with non-metastatic lung, breast, rectal and oesophageal cancers receiving radical radiotherapy as part of their primary treatment'. Specially this figure focuses on lung cancer via subgroups namely age. sex, Indigenous status, language spoken at home, remoteness area, socioeconomic status and Integrated Cancer Service  for the study period 2014, 2016 and 2020. The data set is available under 'Measure 12.4 – Proportion of patients with non–metastatic lung, breast, rectal and oesophageal cancers receiving radical radiotherapy as part of their primary treatment' in a separate volume, the Victorian cancer plan monitoring and evaluation framework: baseline report: Appendix 2: Datasets available on Cancer care &lt;https://www.health.vic.gov.au/health-strategies/cancer-care&gt;."/>
                    <pic:cNvPicPr/>
                  </pic:nvPicPr>
                  <pic:blipFill>
                    <a:blip r:embed="rId127"/>
                    <a:stretch>
                      <a:fillRect/>
                    </a:stretch>
                  </pic:blipFill>
                  <pic:spPr>
                    <a:xfrm>
                      <a:off x="0" y="0"/>
                      <a:ext cx="6016625" cy="4970145"/>
                    </a:xfrm>
                    <a:prstGeom prst="rect">
                      <a:avLst/>
                    </a:prstGeom>
                  </pic:spPr>
                </pic:pic>
              </a:graphicData>
            </a:graphic>
          </wp:inline>
        </w:drawing>
      </w:r>
    </w:p>
    <w:p w14:paraId="4F2FCB8D" w14:textId="52F43963" w:rsidR="00572ECB" w:rsidRPr="00CD1209" w:rsidRDefault="00B912F7" w:rsidP="006D2096">
      <w:pPr>
        <w:pStyle w:val="Tablefigurenote"/>
        <w:rPr>
          <w:b/>
          <w:i/>
          <w:iCs/>
          <w:sz w:val="18"/>
          <w:szCs w:val="18"/>
          <w:lang w:eastAsia="en-AU"/>
        </w:rPr>
      </w:pPr>
      <w:r w:rsidRPr="00CD1209">
        <w:rPr>
          <w:i/>
          <w:iCs/>
          <w:sz w:val="18"/>
          <w:szCs w:val="18"/>
        </w:rPr>
        <w:t>Appendix 2 provides the dataset.</w:t>
      </w:r>
      <w:r w:rsidR="00073A3B" w:rsidRPr="00CD1209">
        <w:rPr>
          <w:b/>
          <w:i/>
          <w:iCs/>
          <w:noProof/>
          <w:sz w:val="18"/>
          <w:szCs w:val="18"/>
          <w:lang w:eastAsia="en-AU"/>
        </w:rPr>
        <mc:AlternateContent>
          <mc:Choice Requires="wps">
            <w:drawing>
              <wp:anchor distT="45720" distB="45720" distL="114300" distR="114300" simplePos="0" relativeHeight="251959296" behindDoc="0" locked="0" layoutInCell="1" allowOverlap="1" wp14:anchorId="4410BD60" wp14:editId="0376BF7D">
                <wp:simplePos x="0" y="0"/>
                <wp:positionH relativeFrom="column">
                  <wp:posOffset>3212465</wp:posOffset>
                </wp:positionH>
                <wp:positionV relativeFrom="paragraph">
                  <wp:posOffset>7606665</wp:posOffset>
                </wp:positionV>
                <wp:extent cx="1295400" cy="1404620"/>
                <wp:effectExtent l="0" t="0" r="0" b="127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404620"/>
                        </a:xfrm>
                        <a:prstGeom prst="rect">
                          <a:avLst/>
                        </a:prstGeom>
                        <a:solidFill>
                          <a:srgbClr val="FFFFFF"/>
                        </a:solidFill>
                        <a:ln w="9525">
                          <a:noFill/>
                          <a:miter lim="800000"/>
                          <a:headEnd/>
                          <a:tailEnd/>
                        </a:ln>
                      </wps:spPr>
                      <wps:txbx>
                        <w:txbxContent>
                          <w:p w14:paraId="3B6D11D9" w14:textId="4F5A9724" w:rsidR="0072736E" w:rsidRPr="00125F5A" w:rsidRDefault="0072736E" w:rsidP="00125F5A">
                            <w:pPr>
                              <w:jc w:val="center"/>
                              <w:rPr>
                                <w:rFonts w:ascii="Arial" w:hAnsi="Arial" w:cs="Arial"/>
                                <w:b/>
                              </w:rPr>
                            </w:pPr>
                            <w:r w:rsidRPr="00125F5A">
                              <w:rPr>
                                <w:rFonts w:ascii="Arial" w:hAnsi="Arial" w:cs="Arial"/>
                                <w:b/>
                              </w:rPr>
                              <w:t>Percentage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10BD60" id="_x0000_s1042" type="#_x0000_t202" style="position:absolute;margin-left:252.95pt;margin-top:598.95pt;width:102pt;height:110.6pt;z-index:251959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" stroked="f">
                <v:textbox style="mso-fit-shape-to-text:t">
                  <w:txbxContent>
                    <w:p w14:paraId="3B6D11D9" w14:textId="4F5A9724" w:rsidR="0072736E" w:rsidRPr="00125F5A" w:rsidRDefault="0072736E" w:rsidP="00125F5A">
                      <w:pPr>
                        <w:jc w:val="center"/>
                        <w:rPr>
                          <w:rFonts w:ascii="Arial" w:hAnsi="Arial" w:cs="Arial"/>
                          <w:b/>
                        </w:rPr>
                      </w:pPr>
                      <w:r w:rsidRPr="00125F5A">
                        <w:rPr>
                          <w:rFonts w:ascii="Arial" w:hAnsi="Arial" w:cs="Arial"/>
                          <w:b/>
                        </w:rPr>
                        <w:t>Percentage (%)</w:t>
                      </w:r>
                    </w:p>
                  </w:txbxContent>
                </v:textbox>
              </v:shape>
            </w:pict>
          </mc:Fallback>
        </mc:AlternateContent>
      </w:r>
      <w:r w:rsidR="00572ECB" w:rsidRPr="00CD1209">
        <w:rPr>
          <w:b/>
          <w:i/>
          <w:iCs/>
          <w:sz w:val="18"/>
          <w:szCs w:val="18"/>
        </w:rPr>
        <w:br w:type="page"/>
      </w:r>
    </w:p>
    <w:p w14:paraId="1B79394B" w14:textId="0C0CC548" w:rsidR="00E84B09" w:rsidRPr="00CD1209" w:rsidRDefault="00D41E50" w:rsidP="00867A76">
      <w:pPr>
        <w:pStyle w:val="Figurecaption"/>
        <w:rPr>
          <w:sz w:val="20"/>
          <w:lang w:eastAsia="en-AU"/>
        </w:rPr>
      </w:pPr>
      <w:bookmarkStart w:id="803" w:name="_Toc19008129"/>
      <w:bookmarkStart w:id="804" w:name="_Toc19008346"/>
      <w:bookmarkStart w:id="805" w:name="_Toc19008493"/>
      <w:bookmarkStart w:id="806" w:name="_Toc19008640"/>
      <w:bookmarkStart w:id="807" w:name="_Toc132553070"/>
      <w:bookmarkStart w:id="808" w:name="_Toc140827682"/>
      <w:r w:rsidRPr="00CD1209">
        <w:rPr>
          <w:sz w:val="20"/>
          <w:lang w:eastAsia="en-AU"/>
        </w:rPr>
        <w:lastRenderedPageBreak/>
        <w:t>Figure</w:t>
      </w:r>
      <w:r w:rsidR="00E84B09" w:rsidRPr="00CD1209">
        <w:rPr>
          <w:sz w:val="20"/>
          <w:lang w:eastAsia="en-AU"/>
        </w:rPr>
        <w:t xml:space="preserve"> 12.4.1</w:t>
      </w:r>
      <w:r w:rsidR="003B391F" w:rsidRPr="00CD1209">
        <w:rPr>
          <w:sz w:val="20"/>
        </w:rPr>
        <w:t>:</w:t>
      </w:r>
      <w:r w:rsidR="00E84B09" w:rsidRPr="00CD1209">
        <w:rPr>
          <w:sz w:val="20"/>
          <w:lang w:eastAsia="en-AU"/>
        </w:rPr>
        <w:t xml:space="preserve"> </w:t>
      </w:r>
      <w:r w:rsidR="00E84B09" w:rsidRPr="00CD1209">
        <w:rPr>
          <w:sz w:val="20"/>
        </w:rPr>
        <w:t>Proportion of patients with non-metastatic breast cancer receiving radical radiotherapy as part of their primary treatment</w:t>
      </w:r>
      <w:r w:rsidR="00EE148C" w:rsidRPr="00CD1209">
        <w:rPr>
          <w:sz w:val="20"/>
        </w:rPr>
        <w:t>,</w:t>
      </w:r>
      <w:r w:rsidR="00E84B09" w:rsidRPr="00CD1209">
        <w:rPr>
          <w:sz w:val="20"/>
        </w:rPr>
        <w:t xml:space="preserve"> </w:t>
      </w:r>
      <w:r w:rsidR="00E84B09" w:rsidRPr="00CD1209">
        <w:rPr>
          <w:sz w:val="20"/>
          <w:lang w:eastAsia="en-AU"/>
        </w:rPr>
        <w:t xml:space="preserve">by age, sex, </w:t>
      </w:r>
      <w:r w:rsidR="00D3516B" w:rsidRPr="00CD1209">
        <w:rPr>
          <w:sz w:val="20"/>
          <w:lang w:eastAsia="en-AU"/>
        </w:rPr>
        <w:t>I</w:t>
      </w:r>
      <w:r w:rsidR="00E84B09" w:rsidRPr="00CD1209">
        <w:rPr>
          <w:sz w:val="20"/>
          <w:lang w:eastAsia="en-AU"/>
        </w:rPr>
        <w:t>ndigenous status</w:t>
      </w:r>
      <w:r w:rsidR="00EE148C" w:rsidRPr="00CD1209">
        <w:rPr>
          <w:sz w:val="20"/>
          <w:lang w:eastAsia="en-AU"/>
        </w:rPr>
        <w:t>,</w:t>
      </w:r>
      <w:r w:rsidR="00E84B09" w:rsidRPr="00CD1209">
        <w:rPr>
          <w:sz w:val="20"/>
          <w:lang w:eastAsia="en-AU"/>
        </w:rPr>
        <w:t xml:space="preserve"> language spoken at home, </w:t>
      </w:r>
      <w:r w:rsidR="00EC6317" w:rsidRPr="00CD1209">
        <w:rPr>
          <w:sz w:val="20"/>
          <w:lang w:eastAsia="en-AU"/>
        </w:rPr>
        <w:t xml:space="preserve">remoteness area, </w:t>
      </w:r>
      <w:r w:rsidR="002677DD" w:rsidRPr="00CD1209">
        <w:rPr>
          <w:sz w:val="20"/>
          <w:lang w:eastAsia="en-AU"/>
        </w:rPr>
        <w:t>SES</w:t>
      </w:r>
      <w:r w:rsidR="00EC6317" w:rsidRPr="00CD1209">
        <w:rPr>
          <w:sz w:val="20"/>
          <w:lang w:eastAsia="en-AU"/>
        </w:rPr>
        <w:t xml:space="preserve"> and ICS, </w:t>
      </w:r>
      <w:r w:rsidR="00E84B09" w:rsidRPr="00CD1209">
        <w:rPr>
          <w:sz w:val="20"/>
          <w:lang w:eastAsia="en-AU"/>
        </w:rPr>
        <w:t>2014</w:t>
      </w:r>
      <w:r w:rsidR="006C22E8" w:rsidRPr="00CD1209">
        <w:rPr>
          <w:sz w:val="20"/>
          <w:lang w:eastAsia="en-AU"/>
        </w:rPr>
        <w:t xml:space="preserve">, </w:t>
      </w:r>
      <w:r w:rsidR="00E84B09" w:rsidRPr="00CD1209">
        <w:rPr>
          <w:sz w:val="20"/>
          <w:lang w:eastAsia="en-AU"/>
        </w:rPr>
        <w:t>2016</w:t>
      </w:r>
      <w:bookmarkEnd w:id="803"/>
      <w:bookmarkEnd w:id="804"/>
      <w:bookmarkEnd w:id="805"/>
      <w:bookmarkEnd w:id="806"/>
      <w:r w:rsidR="006C22E8" w:rsidRPr="00CD1209">
        <w:rPr>
          <w:sz w:val="20"/>
          <w:lang w:eastAsia="en-AU"/>
        </w:rPr>
        <w:t xml:space="preserve"> and 20</w:t>
      </w:r>
      <w:r w:rsidR="000F1CF2" w:rsidRPr="00CD1209">
        <w:rPr>
          <w:sz w:val="20"/>
          <w:lang w:eastAsia="en-AU"/>
        </w:rPr>
        <w:t>2</w:t>
      </w:r>
      <w:r w:rsidR="00312469" w:rsidRPr="00CD1209">
        <w:rPr>
          <w:sz w:val="20"/>
          <w:lang w:eastAsia="en-AU"/>
        </w:rPr>
        <w:t>0</w:t>
      </w:r>
      <w:bookmarkEnd w:id="807"/>
      <w:bookmarkEnd w:id="808"/>
    </w:p>
    <w:p w14:paraId="350081E7" w14:textId="3E6D396C" w:rsidR="000011CD" w:rsidRPr="000011CD" w:rsidRDefault="000011CD" w:rsidP="00E87AAA">
      <w:pPr>
        <w:pStyle w:val="Body"/>
      </w:pPr>
      <w:r>
        <w:rPr>
          <w:noProof/>
        </w:rPr>
        <w:drawing>
          <wp:inline distT="0" distB="0" distL="0" distR="0" wp14:anchorId="7F40BAEC" wp14:editId="7A39D849">
            <wp:extent cx="6016625" cy="4970145"/>
            <wp:effectExtent l="0" t="0" r="3175" b="1905"/>
            <wp:docPr id="305" name="Picture 305" descr="This figure shows a data summary of 'Measure 12.4 – Proportion of patients with non-metastatic lung, breast, rectal and oesophageal cancers receiving radical radiotherapy as part of their primary treatment'. Specially this figure focuses on breast cancer via subgroups namely age. sex, Indigenous status, language spoken at home, remoteness area, socioeconomic status and Integrated Cancer Service  for the study period 2014, 2016 and 2020. The data set is available under 'Measure 12.4 – Proportion of patients with non–metastatic lung, breast, rectal and oesophageal cancers receiving radical radiotherapy as part of their primary treatment'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This figure shows a data summary of 'Measure 12.4 – Proportion of patients with non-metastatic lung, breast, rectal and oesophageal cancers receiving radical radiotherapy as part of their primary treatment'. Specially this figure focuses on breast cancer via subgroups namely age. sex, Indigenous status, language spoken at home, remoteness area, socioeconomic status and Integrated Cancer Service  for the study period 2014, 2016 and 2020. The data set is available under 'Measure 12.4 – Proportion of patients with non–metastatic lung, breast, rectal and oesophageal cancers receiving radical radiotherapy as part of their primary treatment' in a separate volume, the Victorian cancer plan monitoring and evaluation framework: baseline report: Appendix 2: Datasets available on Cancer care &lt;https://www.health.vic.gov.au/health-strategies/cancer-care&gt;."/>
                    <pic:cNvPicPr/>
                  </pic:nvPicPr>
                  <pic:blipFill>
                    <a:blip r:embed="rId128"/>
                    <a:stretch>
                      <a:fillRect/>
                    </a:stretch>
                  </pic:blipFill>
                  <pic:spPr>
                    <a:xfrm>
                      <a:off x="0" y="0"/>
                      <a:ext cx="6016625" cy="4970145"/>
                    </a:xfrm>
                    <a:prstGeom prst="rect">
                      <a:avLst/>
                    </a:prstGeom>
                  </pic:spPr>
                </pic:pic>
              </a:graphicData>
            </a:graphic>
          </wp:inline>
        </w:drawing>
      </w:r>
    </w:p>
    <w:p w14:paraId="5BE348BC" w14:textId="3E1D434C" w:rsidR="00B27CE0" w:rsidRPr="00CD1209" w:rsidRDefault="00F710DB" w:rsidP="006D2096">
      <w:pPr>
        <w:pStyle w:val="Tablefigurenote"/>
        <w:rPr>
          <w:b/>
          <w:i/>
          <w:iCs/>
          <w:sz w:val="18"/>
          <w:szCs w:val="18"/>
          <w:lang w:eastAsia="en-AU"/>
        </w:rPr>
      </w:pPr>
      <w:r w:rsidRPr="00CD1209">
        <w:rPr>
          <w:i/>
          <w:iCs/>
          <w:sz w:val="18"/>
          <w:szCs w:val="18"/>
        </w:rPr>
        <w:t>Appendix 2 provides the dataset.</w:t>
      </w:r>
      <w:r w:rsidR="00B27CE0" w:rsidRPr="00CD1209">
        <w:rPr>
          <w:b/>
          <w:i/>
          <w:iCs/>
          <w:sz w:val="18"/>
          <w:szCs w:val="18"/>
        </w:rPr>
        <w:br w:type="page"/>
      </w:r>
    </w:p>
    <w:p w14:paraId="1C8ECFE9" w14:textId="76F8E31C" w:rsidR="00E84B09" w:rsidRPr="00CD1209" w:rsidRDefault="00384275" w:rsidP="00867A76">
      <w:pPr>
        <w:pStyle w:val="Figurecaption"/>
        <w:rPr>
          <w:sz w:val="20"/>
          <w:lang w:eastAsia="en-AU"/>
        </w:rPr>
      </w:pPr>
      <w:bookmarkStart w:id="809" w:name="_Toc19008130"/>
      <w:bookmarkStart w:id="810" w:name="_Toc19008347"/>
      <w:bookmarkStart w:id="811" w:name="_Toc19008494"/>
      <w:bookmarkStart w:id="812" w:name="_Toc19008641"/>
      <w:bookmarkStart w:id="813" w:name="_Toc132553071"/>
      <w:bookmarkStart w:id="814" w:name="_Toc140827683"/>
      <w:r w:rsidRPr="00CD1209">
        <w:rPr>
          <w:sz w:val="20"/>
          <w:lang w:eastAsia="en-AU"/>
        </w:rPr>
        <w:lastRenderedPageBreak/>
        <w:t>Figure</w:t>
      </w:r>
      <w:r w:rsidR="00E84B09" w:rsidRPr="00CD1209">
        <w:rPr>
          <w:sz w:val="20"/>
          <w:lang w:eastAsia="en-AU"/>
        </w:rPr>
        <w:t xml:space="preserve"> 12.4.2</w:t>
      </w:r>
      <w:r w:rsidR="003B391F" w:rsidRPr="00CD1209">
        <w:rPr>
          <w:sz w:val="20"/>
        </w:rPr>
        <w:t>:</w:t>
      </w:r>
      <w:r w:rsidR="00E84B09" w:rsidRPr="00CD1209">
        <w:rPr>
          <w:sz w:val="20"/>
          <w:lang w:eastAsia="en-AU"/>
        </w:rPr>
        <w:t xml:space="preserve"> </w:t>
      </w:r>
      <w:r w:rsidR="00E84B09" w:rsidRPr="00CD1209">
        <w:rPr>
          <w:sz w:val="20"/>
        </w:rPr>
        <w:t>Proportion of patients with non-metastatic colorectal cancer receiving radical radiotherapy as part of their primary treatment</w:t>
      </w:r>
      <w:r w:rsidR="00611CE2" w:rsidRPr="00CD1209">
        <w:rPr>
          <w:sz w:val="20"/>
        </w:rPr>
        <w:t>,</w:t>
      </w:r>
      <w:r w:rsidR="00E84B09" w:rsidRPr="00CD1209">
        <w:rPr>
          <w:sz w:val="20"/>
        </w:rPr>
        <w:t xml:space="preserve"> </w:t>
      </w:r>
      <w:r w:rsidR="00E84B09" w:rsidRPr="00CD1209">
        <w:rPr>
          <w:sz w:val="20"/>
          <w:lang w:eastAsia="en-AU"/>
        </w:rPr>
        <w:t xml:space="preserve">by age, sex, </w:t>
      </w:r>
      <w:r w:rsidR="00D3516B" w:rsidRPr="00CD1209">
        <w:rPr>
          <w:sz w:val="20"/>
          <w:lang w:eastAsia="en-AU"/>
        </w:rPr>
        <w:t>I</w:t>
      </w:r>
      <w:r w:rsidR="00E84B09" w:rsidRPr="00CD1209">
        <w:rPr>
          <w:sz w:val="20"/>
          <w:lang w:eastAsia="en-AU"/>
        </w:rPr>
        <w:t>ndigenous status, language spoken at home</w:t>
      </w:r>
      <w:r w:rsidR="00EC6317" w:rsidRPr="00CD1209">
        <w:rPr>
          <w:sz w:val="20"/>
          <w:lang w:eastAsia="en-AU"/>
        </w:rPr>
        <w:t xml:space="preserve">, remoteness area, </w:t>
      </w:r>
      <w:r w:rsidR="002677DD" w:rsidRPr="00CD1209">
        <w:rPr>
          <w:sz w:val="20"/>
          <w:lang w:eastAsia="en-AU"/>
        </w:rPr>
        <w:t>SES</w:t>
      </w:r>
      <w:r w:rsidR="00EC6317" w:rsidRPr="00CD1209">
        <w:rPr>
          <w:sz w:val="20"/>
          <w:lang w:eastAsia="en-AU"/>
        </w:rPr>
        <w:t xml:space="preserve"> and ICS,</w:t>
      </w:r>
      <w:r w:rsidR="00E84B09" w:rsidRPr="00CD1209">
        <w:rPr>
          <w:sz w:val="20"/>
          <w:lang w:eastAsia="en-AU"/>
        </w:rPr>
        <w:t xml:space="preserve"> 2014</w:t>
      </w:r>
      <w:r w:rsidR="006C22E8" w:rsidRPr="00CD1209">
        <w:rPr>
          <w:sz w:val="20"/>
          <w:lang w:eastAsia="en-AU"/>
        </w:rPr>
        <w:t xml:space="preserve">, </w:t>
      </w:r>
      <w:r w:rsidR="00E84B09" w:rsidRPr="00CD1209">
        <w:rPr>
          <w:sz w:val="20"/>
          <w:lang w:eastAsia="en-AU"/>
        </w:rPr>
        <w:t>2016</w:t>
      </w:r>
      <w:bookmarkEnd w:id="809"/>
      <w:bookmarkEnd w:id="810"/>
      <w:bookmarkEnd w:id="811"/>
      <w:bookmarkEnd w:id="812"/>
      <w:r w:rsidR="006C22E8" w:rsidRPr="00CD1209">
        <w:rPr>
          <w:sz w:val="20"/>
          <w:lang w:eastAsia="en-AU"/>
        </w:rPr>
        <w:t xml:space="preserve"> and 20</w:t>
      </w:r>
      <w:r w:rsidR="000F1CF2" w:rsidRPr="00CD1209">
        <w:rPr>
          <w:sz w:val="20"/>
          <w:lang w:eastAsia="en-AU"/>
        </w:rPr>
        <w:t>2</w:t>
      </w:r>
      <w:r w:rsidR="00312469" w:rsidRPr="00CD1209">
        <w:rPr>
          <w:sz w:val="20"/>
          <w:lang w:eastAsia="en-AU"/>
        </w:rPr>
        <w:t>0</w:t>
      </w:r>
      <w:bookmarkEnd w:id="813"/>
      <w:bookmarkEnd w:id="814"/>
    </w:p>
    <w:p w14:paraId="0F761A91" w14:textId="4EACA024" w:rsidR="000011CD" w:rsidRPr="000011CD" w:rsidRDefault="000011CD" w:rsidP="00E87AAA">
      <w:pPr>
        <w:pStyle w:val="Body"/>
      </w:pPr>
      <w:r>
        <w:rPr>
          <w:noProof/>
        </w:rPr>
        <w:drawing>
          <wp:inline distT="0" distB="0" distL="0" distR="0" wp14:anchorId="4F885C4B" wp14:editId="5869E4E7">
            <wp:extent cx="6016625" cy="4970145"/>
            <wp:effectExtent l="0" t="0" r="3175" b="1905"/>
            <wp:docPr id="306" name="Picture 306" descr="This figure shows a data summary of 'Measure 12.4 – Proportion of patients with non-metastatic lung, breast, rectal and oesophageal cancers receiving radical radiotherapy as part of their primary treatment'. Specially this figure focuses on colorectal cancer via subgroups namely age. sex, Indigenous status, language spoken at home, remoteness area, socioeconomic status and Integrated Cancer Service  for the study period 2014, 2016 and 2020. The data set is available under 'Measure 12.4 – Proportion of patients with non–metastatic lung, breast, rectal and oesophageal cancers receiving radical radiotherapy as part of their primary treatment'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This figure shows a data summary of 'Measure 12.4 – Proportion of patients with non-metastatic lung, breast, rectal and oesophageal cancers receiving radical radiotherapy as part of their primary treatment'. Specially this figure focuses on colorectal cancer via subgroups namely age. sex, Indigenous status, language spoken at home, remoteness area, socioeconomic status and Integrated Cancer Service  for the study period 2014, 2016 and 2020. The data set is available under 'Measure 12.4 – Proportion of patients with non–metastatic lung, breast, rectal and oesophageal cancers receiving radical radiotherapy as part of their primary treatment' in a separate volume, the Victorian cancer plan monitoring and evaluation framework: baseline report: Appendix 2: Datasets available on Cancer care &lt;https://www.health.vic.gov.au/health-strategies/cancer-care&gt;."/>
                    <pic:cNvPicPr/>
                  </pic:nvPicPr>
                  <pic:blipFill>
                    <a:blip r:embed="rId129"/>
                    <a:stretch>
                      <a:fillRect/>
                    </a:stretch>
                  </pic:blipFill>
                  <pic:spPr>
                    <a:xfrm>
                      <a:off x="0" y="0"/>
                      <a:ext cx="6016625" cy="4970145"/>
                    </a:xfrm>
                    <a:prstGeom prst="rect">
                      <a:avLst/>
                    </a:prstGeom>
                  </pic:spPr>
                </pic:pic>
              </a:graphicData>
            </a:graphic>
          </wp:inline>
        </w:drawing>
      </w:r>
    </w:p>
    <w:p w14:paraId="14C8F74D" w14:textId="03AB968D" w:rsidR="00BE3A51" w:rsidRPr="00CD1209" w:rsidRDefault="00F710DB" w:rsidP="006D2096">
      <w:pPr>
        <w:pStyle w:val="Tablefigurenote"/>
        <w:rPr>
          <w:b/>
          <w:i/>
          <w:iCs/>
          <w:sz w:val="18"/>
          <w:szCs w:val="18"/>
          <w:lang w:eastAsia="en-AU"/>
        </w:rPr>
      </w:pPr>
      <w:r w:rsidRPr="00CD1209">
        <w:rPr>
          <w:i/>
          <w:iCs/>
          <w:sz w:val="18"/>
          <w:szCs w:val="18"/>
        </w:rPr>
        <w:t>Appendix 2 provides the dataset.</w:t>
      </w:r>
      <w:r w:rsidR="00B91E44" w:rsidRPr="00CD1209">
        <w:rPr>
          <w:b/>
          <w:i/>
          <w:iCs/>
          <w:noProof/>
          <w:sz w:val="18"/>
          <w:szCs w:val="18"/>
        </w:rPr>
        <mc:AlternateContent>
          <mc:Choice Requires="wps">
            <w:drawing>
              <wp:anchor distT="45720" distB="45720" distL="114300" distR="114300" simplePos="0" relativeHeight="251961344" behindDoc="0" locked="0" layoutInCell="1" allowOverlap="1" wp14:anchorId="7C6F989D" wp14:editId="358564EB">
                <wp:simplePos x="0" y="0"/>
                <wp:positionH relativeFrom="column">
                  <wp:posOffset>2961146</wp:posOffset>
                </wp:positionH>
                <wp:positionV relativeFrom="paragraph">
                  <wp:posOffset>8823536</wp:posOffset>
                </wp:positionV>
                <wp:extent cx="1133475" cy="1404620"/>
                <wp:effectExtent l="0" t="0" r="9525" b="0"/>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404620"/>
                        </a:xfrm>
                        <a:prstGeom prst="rect">
                          <a:avLst/>
                        </a:prstGeom>
                        <a:solidFill>
                          <a:srgbClr val="FFFFFF"/>
                        </a:solidFill>
                        <a:ln w="9525">
                          <a:noFill/>
                          <a:miter lim="800000"/>
                          <a:headEnd/>
                          <a:tailEnd/>
                        </a:ln>
                      </wps:spPr>
                      <wps:txbx>
                        <w:txbxContent>
                          <w:p w14:paraId="27B31B67" w14:textId="110E0B3F" w:rsidR="0072736E" w:rsidRPr="00EF5876" w:rsidRDefault="0072736E">
                            <w:pPr>
                              <w:rPr>
                                <w:rFonts w:ascii="Arial" w:hAnsi="Arial" w:cs="Arial"/>
                                <w:b/>
                                <w:sz w:val="18"/>
                                <w:szCs w:val="18"/>
                              </w:rPr>
                            </w:pPr>
                            <w:r w:rsidRPr="00EF5876">
                              <w:rPr>
                                <w:rFonts w:ascii="Arial" w:hAnsi="Arial" w:cs="Arial"/>
                                <w:b/>
                                <w:sz w:val="18"/>
                                <w:szCs w:val="18"/>
                              </w:rPr>
                              <w:t>Percentage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6F989D" id="_x0000_s1043" type="#_x0000_t202" style="position:absolute;margin-left:233.15pt;margin-top:694.75pt;width:89.25pt;height:110.6pt;z-index:251961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" stroked="f">
                <v:textbox style="mso-fit-shape-to-text:t">
                  <w:txbxContent>
                    <w:p w14:paraId="27B31B67" w14:textId="110E0B3F" w:rsidR="0072736E" w:rsidRPr="00EF5876" w:rsidRDefault="0072736E">
                      <w:pPr>
                        <w:rPr>
                          <w:rFonts w:ascii="Arial" w:hAnsi="Arial" w:cs="Arial"/>
                          <w:b/>
                          <w:sz w:val="18"/>
                          <w:szCs w:val="18"/>
                        </w:rPr>
                      </w:pPr>
                      <w:r w:rsidRPr="00EF5876">
                        <w:rPr>
                          <w:rFonts w:ascii="Arial" w:hAnsi="Arial" w:cs="Arial"/>
                          <w:b/>
                          <w:sz w:val="18"/>
                          <w:szCs w:val="18"/>
                        </w:rPr>
                        <w:t>Percentage (%)</w:t>
                      </w:r>
                    </w:p>
                  </w:txbxContent>
                </v:textbox>
              </v:shape>
            </w:pict>
          </mc:Fallback>
        </mc:AlternateContent>
      </w:r>
      <w:r w:rsidR="00BE3A51" w:rsidRPr="00CD1209">
        <w:rPr>
          <w:b/>
          <w:i/>
          <w:iCs/>
          <w:sz w:val="18"/>
          <w:szCs w:val="18"/>
        </w:rPr>
        <w:br w:type="page"/>
      </w:r>
    </w:p>
    <w:p w14:paraId="66D87B81" w14:textId="5DE38191" w:rsidR="00E84B09" w:rsidRPr="000C52C7" w:rsidRDefault="00965A7D" w:rsidP="00867A76">
      <w:pPr>
        <w:pStyle w:val="Figurecaption"/>
        <w:rPr>
          <w:sz w:val="20"/>
          <w:lang w:eastAsia="en-AU"/>
        </w:rPr>
      </w:pPr>
      <w:bookmarkStart w:id="815" w:name="_Toc19008131"/>
      <w:bookmarkStart w:id="816" w:name="_Toc19008348"/>
      <w:bookmarkStart w:id="817" w:name="_Toc19008495"/>
      <w:bookmarkStart w:id="818" w:name="_Toc19008642"/>
      <w:bookmarkStart w:id="819" w:name="_Toc132553072"/>
      <w:bookmarkStart w:id="820" w:name="_Toc140827684"/>
      <w:r w:rsidRPr="000C52C7">
        <w:rPr>
          <w:sz w:val="20"/>
          <w:lang w:eastAsia="en-AU"/>
        </w:rPr>
        <w:lastRenderedPageBreak/>
        <w:t>Figure</w:t>
      </w:r>
      <w:r w:rsidR="00E84B09" w:rsidRPr="000C52C7">
        <w:rPr>
          <w:sz w:val="20"/>
          <w:lang w:eastAsia="en-AU"/>
        </w:rPr>
        <w:t xml:space="preserve"> 12.4.3</w:t>
      </w:r>
      <w:r w:rsidR="003B391F" w:rsidRPr="000C52C7">
        <w:rPr>
          <w:sz w:val="20"/>
        </w:rPr>
        <w:t>:</w:t>
      </w:r>
      <w:r w:rsidR="00E84B09" w:rsidRPr="000C52C7">
        <w:rPr>
          <w:sz w:val="20"/>
          <w:lang w:eastAsia="en-AU"/>
        </w:rPr>
        <w:t xml:space="preserve"> </w:t>
      </w:r>
      <w:r w:rsidR="00E84B09" w:rsidRPr="000C52C7">
        <w:rPr>
          <w:sz w:val="20"/>
        </w:rPr>
        <w:t>Proportion of patients with non-metastatic oesophageal cancer receiving radical radiotherapy as part of their primary treatment</w:t>
      </w:r>
      <w:r w:rsidR="00611CE2" w:rsidRPr="000C52C7">
        <w:rPr>
          <w:sz w:val="20"/>
        </w:rPr>
        <w:t>,</w:t>
      </w:r>
      <w:r w:rsidR="00E84B09" w:rsidRPr="000C52C7">
        <w:rPr>
          <w:sz w:val="20"/>
        </w:rPr>
        <w:t xml:space="preserve"> </w:t>
      </w:r>
      <w:r w:rsidR="00E84B09" w:rsidRPr="000C52C7">
        <w:rPr>
          <w:sz w:val="20"/>
          <w:lang w:eastAsia="en-AU"/>
        </w:rPr>
        <w:t xml:space="preserve">by age, sex, </w:t>
      </w:r>
      <w:r w:rsidR="00D3516B" w:rsidRPr="000C52C7">
        <w:rPr>
          <w:sz w:val="20"/>
          <w:lang w:eastAsia="en-AU"/>
        </w:rPr>
        <w:t>I</w:t>
      </w:r>
      <w:r w:rsidR="00E84B09" w:rsidRPr="000C52C7">
        <w:rPr>
          <w:sz w:val="20"/>
          <w:lang w:eastAsia="en-AU"/>
        </w:rPr>
        <w:t xml:space="preserve">ndigenous status, language spoken at home, </w:t>
      </w:r>
      <w:r w:rsidR="00EC6317" w:rsidRPr="000C52C7">
        <w:rPr>
          <w:sz w:val="20"/>
          <w:lang w:eastAsia="en-AU"/>
        </w:rPr>
        <w:t xml:space="preserve">remoteness area, </w:t>
      </w:r>
      <w:r w:rsidR="002677DD" w:rsidRPr="000C52C7">
        <w:rPr>
          <w:sz w:val="20"/>
          <w:lang w:eastAsia="en-AU"/>
        </w:rPr>
        <w:t>SES</w:t>
      </w:r>
      <w:r w:rsidR="00EC6317" w:rsidRPr="000C52C7">
        <w:rPr>
          <w:sz w:val="20"/>
          <w:lang w:eastAsia="en-AU"/>
        </w:rPr>
        <w:t xml:space="preserve"> and ICS, </w:t>
      </w:r>
      <w:r w:rsidR="00E84B09" w:rsidRPr="000C52C7">
        <w:rPr>
          <w:sz w:val="20"/>
          <w:lang w:eastAsia="en-AU"/>
        </w:rPr>
        <w:t>2014</w:t>
      </w:r>
      <w:r w:rsidR="006C22E8" w:rsidRPr="000C52C7">
        <w:rPr>
          <w:sz w:val="20"/>
          <w:lang w:eastAsia="en-AU"/>
        </w:rPr>
        <w:t xml:space="preserve">, </w:t>
      </w:r>
      <w:r w:rsidR="00E84B09" w:rsidRPr="000C52C7">
        <w:rPr>
          <w:sz w:val="20"/>
          <w:lang w:eastAsia="en-AU"/>
        </w:rPr>
        <w:t>2016</w:t>
      </w:r>
      <w:bookmarkEnd w:id="815"/>
      <w:bookmarkEnd w:id="816"/>
      <w:bookmarkEnd w:id="817"/>
      <w:bookmarkEnd w:id="818"/>
      <w:r w:rsidR="006C22E8" w:rsidRPr="000C52C7">
        <w:rPr>
          <w:sz w:val="20"/>
          <w:lang w:eastAsia="en-AU"/>
        </w:rPr>
        <w:t xml:space="preserve"> and 20</w:t>
      </w:r>
      <w:r w:rsidR="000F1CF2" w:rsidRPr="000C52C7">
        <w:rPr>
          <w:sz w:val="20"/>
          <w:lang w:eastAsia="en-AU"/>
        </w:rPr>
        <w:t>2</w:t>
      </w:r>
      <w:r w:rsidR="00312469" w:rsidRPr="000C52C7">
        <w:rPr>
          <w:sz w:val="20"/>
          <w:lang w:eastAsia="en-AU"/>
        </w:rPr>
        <w:t>0</w:t>
      </w:r>
      <w:bookmarkEnd w:id="819"/>
      <w:bookmarkEnd w:id="820"/>
    </w:p>
    <w:p w14:paraId="4AC5D786" w14:textId="08EBF470" w:rsidR="000011CD" w:rsidRPr="000011CD" w:rsidRDefault="000011CD" w:rsidP="00E87AAA">
      <w:pPr>
        <w:pStyle w:val="Body"/>
      </w:pPr>
      <w:r>
        <w:rPr>
          <w:noProof/>
        </w:rPr>
        <w:drawing>
          <wp:inline distT="0" distB="0" distL="0" distR="0" wp14:anchorId="5F0D294E" wp14:editId="203C2F6E">
            <wp:extent cx="6016625" cy="4970145"/>
            <wp:effectExtent l="0" t="0" r="3175" b="1905"/>
            <wp:docPr id="311" name="Picture 311" descr="This figure shows a data summary of 'Measure 12.4 – Proportion of patients with non-metastatic lung, breast, rectal and oesophageal cancers receiving radical radiotherapy as part of their primary treatment'. Specially this figure focuses on oesophageal cancer via subgroups namely age. sex, Indigenous status, language spoken at home, remoteness area, socioeconomic status and Integrated Cancer Service  for the study period 2014, 2016 and 2020. The data set is available under 'Measure 12.4 – Proportion of patients with non–metastatic lung, breast, rectal and oesophageal cancers receiving radical radiotherapy as part of their primary treatment'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This figure shows a data summary of 'Measure 12.4 – Proportion of patients with non-metastatic lung, breast, rectal and oesophageal cancers receiving radical radiotherapy as part of their primary treatment'. Specially this figure focuses on oesophageal cancer via subgroups namely age. sex, Indigenous status, language spoken at home, remoteness area, socioeconomic status and Integrated Cancer Service  for the study period 2014, 2016 and 2020. The data set is available under 'Measure 12.4 – Proportion of patients with non–metastatic lung, breast, rectal and oesophageal cancers receiving radical radiotherapy as part of their primary treatment' in a separate volume, the Victorian cancer plan monitoring and evaluation framework: baseline report: Appendix 2: Datasets available on Cancer care &lt;https://www.health.vic.gov.au/health-strategies/cancer-care&gt;."/>
                    <pic:cNvPicPr/>
                  </pic:nvPicPr>
                  <pic:blipFill>
                    <a:blip r:embed="rId130"/>
                    <a:stretch>
                      <a:fillRect/>
                    </a:stretch>
                  </pic:blipFill>
                  <pic:spPr>
                    <a:xfrm>
                      <a:off x="0" y="0"/>
                      <a:ext cx="6016625" cy="4970145"/>
                    </a:xfrm>
                    <a:prstGeom prst="rect">
                      <a:avLst/>
                    </a:prstGeom>
                  </pic:spPr>
                </pic:pic>
              </a:graphicData>
            </a:graphic>
          </wp:inline>
        </w:drawing>
      </w:r>
    </w:p>
    <w:p w14:paraId="6F301734" w14:textId="22F726EB" w:rsidR="00F710DB" w:rsidRPr="000C52C7" w:rsidRDefault="00F710DB" w:rsidP="006D2096">
      <w:pPr>
        <w:pStyle w:val="Tablefigurenote"/>
        <w:rPr>
          <w:b/>
          <w:i/>
          <w:iCs/>
          <w:sz w:val="18"/>
          <w:szCs w:val="18"/>
          <w:lang w:eastAsia="en-AU"/>
        </w:rPr>
      </w:pPr>
      <w:r w:rsidRPr="000C52C7">
        <w:rPr>
          <w:i/>
          <w:iCs/>
          <w:sz w:val="18"/>
          <w:szCs w:val="18"/>
        </w:rPr>
        <w:t>Appendix 2 provides the dataset.</w:t>
      </w:r>
    </w:p>
    <w:p w14:paraId="22D153CF" w14:textId="211E3918" w:rsidR="00907FA8" w:rsidRPr="002204EE" w:rsidRDefault="00907FA8" w:rsidP="007C7F00">
      <w:pPr>
        <w:pStyle w:val="Heading4"/>
      </w:pPr>
      <w:r w:rsidRPr="002204EE">
        <w:t>Measure assessment</w:t>
      </w:r>
    </w:p>
    <w:p w14:paraId="238241BC" w14:textId="190A9E3E" w:rsidR="00EA3932" w:rsidRPr="002204EE" w:rsidRDefault="00907FA8" w:rsidP="00606436">
      <w:pPr>
        <w:pStyle w:val="Body"/>
      </w:pPr>
      <w:r w:rsidRPr="002204EE">
        <w:t xml:space="preserve">Traffic light rating: </w:t>
      </w:r>
      <w:r w:rsidR="002204EE" w:rsidRPr="00D207B2">
        <w:rPr>
          <w:b/>
          <w:color w:val="007B4B"/>
        </w:rPr>
        <w:t>Green</w:t>
      </w:r>
      <w:r w:rsidR="002204EE" w:rsidRPr="002204EE">
        <w:t xml:space="preserve"> (satisfactory result)</w:t>
      </w:r>
    </w:p>
    <w:p w14:paraId="494C6FBB" w14:textId="7B2603F4" w:rsidR="00907FA8" w:rsidRPr="002204EE" w:rsidRDefault="00907FA8" w:rsidP="00606436">
      <w:pPr>
        <w:pStyle w:val="Body"/>
        <w:rPr>
          <w:b/>
        </w:rPr>
      </w:pPr>
      <w:r w:rsidRPr="002204EE">
        <w:t xml:space="preserve">Overall trend: </w:t>
      </w:r>
      <w:r w:rsidR="002204EE" w:rsidRPr="002204EE">
        <w:t>Moving in the right direction</w:t>
      </w:r>
    </w:p>
    <w:p w14:paraId="60F75B80" w14:textId="1F4155D5" w:rsidR="00B11082" w:rsidRPr="00A159C4" w:rsidRDefault="00907FA8" w:rsidP="00606436">
      <w:pPr>
        <w:pStyle w:val="Body"/>
        <w:rPr>
          <w:lang w:val="en-GB"/>
        </w:rPr>
      </w:pPr>
      <w:r w:rsidRPr="00C4405A">
        <w:t xml:space="preserve">Commentary: </w:t>
      </w:r>
      <w:r w:rsidR="000420D4" w:rsidRPr="00C4405A">
        <w:t>Radical r</w:t>
      </w:r>
      <w:r w:rsidRPr="00C4405A">
        <w:t xml:space="preserve">adiotherapy, also known as </w:t>
      </w:r>
      <w:r w:rsidRPr="00C4405A">
        <w:rPr>
          <w:lang w:val="en-GB"/>
        </w:rPr>
        <w:t>r</w:t>
      </w:r>
      <w:r w:rsidR="00D76046" w:rsidRPr="00C4405A">
        <w:rPr>
          <w:lang w:val="en-GB"/>
        </w:rPr>
        <w:t xml:space="preserve">adiation therapy, is one of the main treatments for </w:t>
      </w:r>
      <w:r w:rsidR="00525189" w:rsidRPr="00C4405A">
        <w:rPr>
          <w:lang w:val="en-GB"/>
        </w:rPr>
        <w:t xml:space="preserve">many </w:t>
      </w:r>
      <w:r w:rsidR="00D76046" w:rsidRPr="00C4405A">
        <w:rPr>
          <w:lang w:val="en-GB"/>
        </w:rPr>
        <w:t>cancer</w:t>
      </w:r>
      <w:r w:rsidR="00525189" w:rsidRPr="00C4405A">
        <w:rPr>
          <w:lang w:val="en-GB"/>
        </w:rPr>
        <w:t>s</w:t>
      </w:r>
      <w:r w:rsidRPr="00C4405A">
        <w:rPr>
          <w:lang w:val="en-GB"/>
        </w:rPr>
        <w:t>.</w:t>
      </w:r>
      <w:r w:rsidR="00952FC7" w:rsidRPr="00C4405A">
        <w:rPr>
          <w:lang w:val="en-GB"/>
        </w:rPr>
        <w:t xml:space="preserve"> </w:t>
      </w:r>
      <w:r w:rsidR="00D85EE0" w:rsidRPr="00C4405A">
        <w:rPr>
          <w:lang w:val="en-GB"/>
        </w:rPr>
        <w:t>It is also an area of health in which new technologies are emerging rapidly.</w:t>
      </w:r>
      <w:r w:rsidR="00952FC7" w:rsidRPr="00C4405A">
        <w:rPr>
          <w:lang w:val="en-GB"/>
        </w:rPr>
        <w:t xml:space="preserve"> </w:t>
      </w:r>
      <w:r w:rsidR="00B11082" w:rsidRPr="00C4405A">
        <w:rPr>
          <w:lang w:val="en-GB"/>
        </w:rPr>
        <w:t xml:space="preserve">This measure focuses on </w:t>
      </w:r>
      <w:r w:rsidR="001027F4" w:rsidRPr="00C4405A">
        <w:rPr>
          <w:lang w:val="en-GB"/>
        </w:rPr>
        <w:t xml:space="preserve">the proportion of </w:t>
      </w:r>
      <w:r w:rsidR="00B11082" w:rsidRPr="00C4405A">
        <w:rPr>
          <w:lang w:val="en-GB"/>
        </w:rPr>
        <w:t>patients with</w:t>
      </w:r>
      <w:r w:rsidR="001027F4" w:rsidRPr="00C4405A">
        <w:rPr>
          <w:lang w:val="en-GB"/>
        </w:rPr>
        <w:t xml:space="preserve"> non-metastatic lung, breast, colorectal and/or oesophageal cancer who receive radiotherapy as part of their treatment.</w:t>
      </w:r>
      <w:r w:rsidR="00C4405A" w:rsidRPr="00C4405A">
        <w:rPr>
          <w:lang w:val="en-GB"/>
        </w:rPr>
        <w:t xml:space="preserve"> </w:t>
      </w:r>
      <w:r w:rsidR="000F46BB" w:rsidRPr="00C4405A">
        <w:rPr>
          <w:lang w:val="en-GB"/>
        </w:rPr>
        <w:t xml:space="preserve">Of the four tumour streams, </w:t>
      </w:r>
      <w:r w:rsidR="00C4405A" w:rsidRPr="00C4405A">
        <w:rPr>
          <w:lang w:val="en-GB"/>
        </w:rPr>
        <w:t xml:space="preserve">female </w:t>
      </w:r>
      <w:r w:rsidR="000F46BB" w:rsidRPr="00C4405A">
        <w:rPr>
          <w:lang w:val="en-GB"/>
        </w:rPr>
        <w:t xml:space="preserve">breast cancer recorded the highest proportion of patients receiving </w:t>
      </w:r>
      <w:r w:rsidR="000420D4" w:rsidRPr="00C4405A">
        <w:rPr>
          <w:lang w:val="en-GB"/>
        </w:rPr>
        <w:t>radiotherapy</w:t>
      </w:r>
      <w:r w:rsidR="000F46BB" w:rsidRPr="00C4405A">
        <w:rPr>
          <w:lang w:val="en-GB"/>
        </w:rPr>
        <w:t xml:space="preserve"> at 6</w:t>
      </w:r>
      <w:r w:rsidR="00DE690D">
        <w:rPr>
          <w:lang w:val="en-GB"/>
        </w:rPr>
        <w:t>2.9</w:t>
      </w:r>
      <w:r w:rsidR="0054537F">
        <w:rPr>
          <w:lang w:val="en-GB"/>
        </w:rPr>
        <w:t>%</w:t>
      </w:r>
      <w:r w:rsidR="000F46BB" w:rsidRPr="00C4405A">
        <w:rPr>
          <w:lang w:val="en-GB"/>
        </w:rPr>
        <w:t xml:space="preserve"> in 2014 </w:t>
      </w:r>
      <w:r w:rsidR="000F46BB" w:rsidRPr="00A159C4">
        <w:rPr>
          <w:lang w:val="en-GB"/>
        </w:rPr>
        <w:t>rising to 6</w:t>
      </w:r>
      <w:r w:rsidR="008C3761">
        <w:rPr>
          <w:lang w:val="en-GB"/>
        </w:rPr>
        <w:t>5</w:t>
      </w:r>
      <w:r w:rsidR="000F46BB" w:rsidRPr="00A159C4">
        <w:rPr>
          <w:lang w:val="en-GB"/>
        </w:rPr>
        <w:t>.</w:t>
      </w:r>
      <w:r w:rsidR="008C3761">
        <w:rPr>
          <w:lang w:val="en-GB"/>
        </w:rPr>
        <w:t>6</w:t>
      </w:r>
      <w:r w:rsidR="0054537F">
        <w:rPr>
          <w:lang w:val="en-GB"/>
        </w:rPr>
        <w:t>%</w:t>
      </w:r>
      <w:r w:rsidR="000F46BB" w:rsidRPr="00A159C4">
        <w:rPr>
          <w:lang w:val="en-GB"/>
        </w:rPr>
        <w:t xml:space="preserve"> in 20</w:t>
      </w:r>
      <w:r w:rsidR="008C3761">
        <w:rPr>
          <w:lang w:val="en-GB"/>
        </w:rPr>
        <w:t>2</w:t>
      </w:r>
      <w:r w:rsidR="00D520A7">
        <w:rPr>
          <w:lang w:val="en-GB"/>
        </w:rPr>
        <w:t>0</w:t>
      </w:r>
      <w:r w:rsidR="000F46BB" w:rsidRPr="00A159C4">
        <w:rPr>
          <w:lang w:val="en-GB"/>
        </w:rPr>
        <w:t>.</w:t>
      </w:r>
      <w:r w:rsidR="00952FC7" w:rsidRPr="00A159C4">
        <w:rPr>
          <w:lang w:val="en-GB"/>
        </w:rPr>
        <w:t xml:space="preserve"> </w:t>
      </w:r>
      <w:r w:rsidR="000F46BB" w:rsidRPr="00A159C4">
        <w:rPr>
          <w:lang w:val="en-GB"/>
        </w:rPr>
        <w:t xml:space="preserve">By comparison </w:t>
      </w:r>
      <w:r w:rsidR="00A159C4" w:rsidRPr="00A159C4">
        <w:rPr>
          <w:lang w:val="en-GB"/>
        </w:rPr>
        <w:t>oesophageal cancer recorded the next highest proportion of 32.</w:t>
      </w:r>
      <w:r w:rsidR="008C3761">
        <w:rPr>
          <w:lang w:val="en-GB"/>
        </w:rPr>
        <w:t>2</w:t>
      </w:r>
      <w:r w:rsidR="0054537F">
        <w:rPr>
          <w:lang w:val="en-GB"/>
        </w:rPr>
        <w:t>%</w:t>
      </w:r>
      <w:r w:rsidR="00A159C4" w:rsidRPr="00A159C4">
        <w:rPr>
          <w:lang w:val="en-GB"/>
        </w:rPr>
        <w:t xml:space="preserve"> in 2014 rising to 47.</w:t>
      </w:r>
      <w:r w:rsidR="008C3761">
        <w:rPr>
          <w:lang w:val="en-GB"/>
        </w:rPr>
        <w:t>8</w:t>
      </w:r>
      <w:r w:rsidR="0054537F">
        <w:rPr>
          <w:lang w:val="en-GB"/>
        </w:rPr>
        <w:t>%</w:t>
      </w:r>
      <w:r w:rsidR="00A159C4" w:rsidRPr="00A159C4">
        <w:rPr>
          <w:lang w:val="en-GB"/>
        </w:rPr>
        <w:t xml:space="preserve"> in 20</w:t>
      </w:r>
      <w:r w:rsidR="008C3761">
        <w:rPr>
          <w:lang w:val="en-GB"/>
        </w:rPr>
        <w:t>2</w:t>
      </w:r>
      <w:r w:rsidR="00D520A7">
        <w:rPr>
          <w:lang w:val="en-GB"/>
        </w:rPr>
        <w:t>0</w:t>
      </w:r>
      <w:r w:rsidR="00A159C4" w:rsidRPr="00A159C4">
        <w:rPr>
          <w:lang w:val="en-GB"/>
        </w:rPr>
        <w:t xml:space="preserve">. </w:t>
      </w:r>
      <w:r w:rsidR="000F46BB" w:rsidRPr="00A159C4">
        <w:rPr>
          <w:lang w:val="en-GB"/>
        </w:rPr>
        <w:t xml:space="preserve">This was followed by </w:t>
      </w:r>
      <w:r w:rsidR="00A159C4" w:rsidRPr="00A159C4">
        <w:rPr>
          <w:lang w:val="en-GB"/>
        </w:rPr>
        <w:t>colorectal</w:t>
      </w:r>
      <w:r w:rsidR="00CB1DE5" w:rsidRPr="00A159C4">
        <w:rPr>
          <w:lang w:val="en-GB"/>
        </w:rPr>
        <w:t xml:space="preserve"> cancer (</w:t>
      </w:r>
      <w:r w:rsidR="00A159C4" w:rsidRPr="00A159C4">
        <w:rPr>
          <w:lang w:val="en-GB"/>
        </w:rPr>
        <w:t>36.</w:t>
      </w:r>
      <w:r w:rsidR="008C3761">
        <w:rPr>
          <w:lang w:val="en-GB"/>
        </w:rPr>
        <w:t>6</w:t>
      </w:r>
      <w:r w:rsidR="0054537F">
        <w:rPr>
          <w:lang w:val="en-GB"/>
        </w:rPr>
        <w:t>%</w:t>
      </w:r>
      <w:r w:rsidR="00A159C4" w:rsidRPr="00A159C4">
        <w:rPr>
          <w:lang w:val="en-GB"/>
        </w:rPr>
        <w:t xml:space="preserve"> in 2014 and 3</w:t>
      </w:r>
      <w:r w:rsidR="008C3761">
        <w:rPr>
          <w:lang w:val="en-GB"/>
        </w:rPr>
        <w:t>8</w:t>
      </w:r>
      <w:r w:rsidR="00A159C4" w:rsidRPr="00A159C4">
        <w:rPr>
          <w:lang w:val="en-GB"/>
        </w:rPr>
        <w:t>.</w:t>
      </w:r>
      <w:r w:rsidR="008C3761">
        <w:rPr>
          <w:lang w:val="en-GB"/>
        </w:rPr>
        <w:t>2</w:t>
      </w:r>
      <w:r w:rsidR="0054537F">
        <w:rPr>
          <w:lang w:val="en-GB"/>
        </w:rPr>
        <w:t>%</w:t>
      </w:r>
      <w:r w:rsidR="00A159C4" w:rsidRPr="00A159C4">
        <w:rPr>
          <w:lang w:val="en-GB"/>
        </w:rPr>
        <w:t xml:space="preserve"> in 20</w:t>
      </w:r>
      <w:r w:rsidR="008C3761">
        <w:rPr>
          <w:lang w:val="en-GB"/>
        </w:rPr>
        <w:t>21</w:t>
      </w:r>
      <w:r w:rsidR="00CB1DE5" w:rsidRPr="00A159C4">
        <w:rPr>
          <w:lang w:val="en-GB"/>
        </w:rPr>
        <w:t>) and lung cancer (</w:t>
      </w:r>
      <w:r w:rsidR="00A159C4" w:rsidRPr="00A159C4">
        <w:rPr>
          <w:lang w:val="en-GB"/>
        </w:rPr>
        <w:t>19</w:t>
      </w:r>
      <w:r w:rsidR="00A4119B" w:rsidRPr="00A159C4">
        <w:rPr>
          <w:lang w:val="en-GB"/>
        </w:rPr>
        <w:t>.</w:t>
      </w:r>
      <w:r w:rsidR="008C3761">
        <w:rPr>
          <w:lang w:val="en-GB"/>
        </w:rPr>
        <w:t>4</w:t>
      </w:r>
      <w:r w:rsidR="0054537F">
        <w:rPr>
          <w:lang w:val="en-GB"/>
        </w:rPr>
        <w:t>%</w:t>
      </w:r>
      <w:r w:rsidR="00CB1DE5" w:rsidRPr="00A159C4">
        <w:rPr>
          <w:lang w:val="en-GB"/>
        </w:rPr>
        <w:t xml:space="preserve"> in 2014 and 2</w:t>
      </w:r>
      <w:r w:rsidR="008C3761">
        <w:rPr>
          <w:lang w:val="en-GB"/>
        </w:rPr>
        <w:t>4</w:t>
      </w:r>
      <w:r w:rsidR="00CB1DE5" w:rsidRPr="00A159C4">
        <w:rPr>
          <w:lang w:val="en-GB"/>
        </w:rPr>
        <w:t>.</w:t>
      </w:r>
      <w:r w:rsidR="008C3761">
        <w:rPr>
          <w:lang w:val="en-GB"/>
        </w:rPr>
        <w:t>8</w:t>
      </w:r>
      <w:r w:rsidR="00CB1DE5" w:rsidRPr="00A159C4">
        <w:rPr>
          <w:lang w:val="en-GB"/>
        </w:rPr>
        <w:t xml:space="preserve"> </w:t>
      </w:r>
      <w:r w:rsidR="00E83F50" w:rsidRPr="00A159C4">
        <w:rPr>
          <w:lang w:val="en-GB"/>
        </w:rPr>
        <w:t>per and</w:t>
      </w:r>
      <w:r w:rsidR="00611CE2" w:rsidRPr="00A159C4">
        <w:rPr>
          <w:lang w:val="en-GB"/>
        </w:rPr>
        <w:t xml:space="preserve"> </w:t>
      </w:r>
      <w:r w:rsidR="00CB1DE5" w:rsidRPr="00A159C4">
        <w:rPr>
          <w:lang w:val="en-GB"/>
        </w:rPr>
        <w:t>cent in 20</w:t>
      </w:r>
      <w:r w:rsidR="008C3761">
        <w:rPr>
          <w:lang w:val="en-GB"/>
        </w:rPr>
        <w:t>2</w:t>
      </w:r>
      <w:r w:rsidR="00D520A7">
        <w:rPr>
          <w:lang w:val="en-GB"/>
        </w:rPr>
        <w:t>0</w:t>
      </w:r>
      <w:r w:rsidR="00611CE2" w:rsidRPr="00A159C4">
        <w:rPr>
          <w:lang w:val="en-GB"/>
        </w:rPr>
        <w:t>)</w:t>
      </w:r>
      <w:r w:rsidR="00CB1DE5" w:rsidRPr="00A159C4">
        <w:rPr>
          <w:lang w:val="en-GB"/>
        </w:rPr>
        <w:t xml:space="preserve"> (Figures 12.4, 12.4.1, 12.4.2 and 12.4.3).</w:t>
      </w:r>
    </w:p>
    <w:p w14:paraId="09B1D47F" w14:textId="6158FBD4" w:rsidR="00F710DB" w:rsidRPr="00A159C4" w:rsidRDefault="00B11082" w:rsidP="00606436">
      <w:pPr>
        <w:pStyle w:val="Body"/>
        <w:rPr>
          <w:lang w:val="en-GB"/>
        </w:rPr>
      </w:pPr>
      <w:r w:rsidRPr="00A159C4">
        <w:rPr>
          <w:lang w:val="en-GB"/>
        </w:rPr>
        <w:lastRenderedPageBreak/>
        <w:t>No target has been set for this measure</w:t>
      </w:r>
      <w:r w:rsidR="00B40166" w:rsidRPr="00A159C4">
        <w:rPr>
          <w:lang w:val="en-GB"/>
        </w:rPr>
        <w:t>;</w:t>
      </w:r>
      <w:r w:rsidR="000F46BB" w:rsidRPr="00A159C4">
        <w:rPr>
          <w:lang w:val="en-GB"/>
        </w:rPr>
        <w:t xml:space="preserve"> however</w:t>
      </w:r>
      <w:r w:rsidR="00B40166" w:rsidRPr="00A159C4">
        <w:rPr>
          <w:lang w:val="en-GB"/>
        </w:rPr>
        <w:t>,</w:t>
      </w:r>
      <w:r w:rsidR="000F46BB" w:rsidRPr="00A159C4">
        <w:rPr>
          <w:lang w:val="en-GB"/>
        </w:rPr>
        <w:t xml:space="preserve"> as the population of Victoria ages, </w:t>
      </w:r>
      <w:r w:rsidR="009F5037" w:rsidRPr="00A159C4">
        <w:rPr>
          <w:lang w:val="en-GB"/>
        </w:rPr>
        <w:t xml:space="preserve">coupled with </w:t>
      </w:r>
      <w:r w:rsidR="001626B2">
        <w:rPr>
          <w:lang w:val="en-GB"/>
        </w:rPr>
        <w:t xml:space="preserve">a </w:t>
      </w:r>
      <w:r w:rsidR="009F5037" w:rsidRPr="00A159C4">
        <w:rPr>
          <w:lang w:val="en-GB"/>
        </w:rPr>
        <w:t>projected increase in cancer incidence (including age and gender profiles</w:t>
      </w:r>
      <w:r w:rsidR="00501D26" w:rsidRPr="00A159C4">
        <w:rPr>
          <w:rStyle w:val="FootnoteReference"/>
          <w:rFonts w:cs="Arial"/>
          <w:lang w:val="en-GB"/>
        </w:rPr>
        <w:footnoteReference w:id="160"/>
      </w:r>
      <w:r w:rsidR="009F5037" w:rsidRPr="00A159C4">
        <w:rPr>
          <w:lang w:val="en-GB"/>
        </w:rPr>
        <w:t>)</w:t>
      </w:r>
      <w:r w:rsidR="00A31199" w:rsidRPr="00A159C4">
        <w:rPr>
          <w:lang w:val="en-GB"/>
        </w:rPr>
        <w:t xml:space="preserve"> </w:t>
      </w:r>
      <w:r w:rsidR="00F243FA" w:rsidRPr="00A159C4">
        <w:rPr>
          <w:lang w:val="en-GB"/>
        </w:rPr>
        <w:t xml:space="preserve">this </w:t>
      </w:r>
      <w:r w:rsidR="00A31199" w:rsidRPr="00A159C4">
        <w:rPr>
          <w:lang w:val="en-GB"/>
        </w:rPr>
        <w:t xml:space="preserve">will likely see an increase in treatment volume as it relates to radical radiotherapy. </w:t>
      </w:r>
      <w:r w:rsidR="005A52C6" w:rsidRPr="00A159C4">
        <w:t xml:space="preserve">Figures </w:t>
      </w:r>
      <w:r w:rsidR="005A52C6" w:rsidRPr="00A159C4">
        <w:rPr>
          <w:lang w:val="en-GB"/>
        </w:rPr>
        <w:t>12.4, 12.4.1, 12.4.2 and 12.4.3 show that the proportion of patients receiving radical radiotherapy treatment varies across ICS.</w:t>
      </w:r>
      <w:r w:rsidR="00066963" w:rsidRPr="00A159C4">
        <w:rPr>
          <w:lang w:val="en-GB"/>
        </w:rPr>
        <w:t xml:space="preserve"> A</w:t>
      </w:r>
      <w:r w:rsidR="005A52C6" w:rsidRPr="00A159C4">
        <w:rPr>
          <w:lang w:val="en-GB"/>
        </w:rPr>
        <w:t xml:space="preserve"> </w:t>
      </w:r>
      <w:r w:rsidR="00066963" w:rsidRPr="00A159C4">
        <w:rPr>
          <w:lang w:val="en-GB"/>
        </w:rPr>
        <w:t>h</w:t>
      </w:r>
      <w:r w:rsidR="005A52C6" w:rsidRPr="00A159C4">
        <w:rPr>
          <w:lang w:val="en-GB"/>
        </w:rPr>
        <w:t xml:space="preserve">igher </w:t>
      </w:r>
      <w:r w:rsidR="0013544F" w:rsidRPr="00A159C4">
        <w:rPr>
          <w:lang w:val="en-GB"/>
        </w:rPr>
        <w:t xml:space="preserve">proportion of patients receiving </w:t>
      </w:r>
      <w:r w:rsidR="005A52C6" w:rsidRPr="00A159C4">
        <w:rPr>
          <w:lang w:val="en-GB"/>
        </w:rPr>
        <w:t xml:space="preserve">radical radiotherapy </w:t>
      </w:r>
      <w:r w:rsidR="0013544F" w:rsidRPr="00A159C4">
        <w:rPr>
          <w:lang w:val="en-GB"/>
        </w:rPr>
        <w:t>as part of their primary treatment</w:t>
      </w:r>
      <w:r w:rsidR="005A52C6" w:rsidRPr="00A159C4">
        <w:rPr>
          <w:lang w:val="en-GB"/>
        </w:rPr>
        <w:t xml:space="preserve"> were reported for urban patients</w:t>
      </w:r>
      <w:r w:rsidR="008C547E">
        <w:rPr>
          <w:lang w:val="en-GB"/>
        </w:rPr>
        <w:t>.</w:t>
      </w:r>
      <w:r w:rsidR="005A52C6" w:rsidRPr="00A159C4">
        <w:rPr>
          <w:lang w:val="en-GB"/>
        </w:rPr>
        <w:t xml:space="preserve"> </w:t>
      </w:r>
      <w:r w:rsidR="008C547E">
        <w:rPr>
          <w:lang w:val="en-GB"/>
        </w:rPr>
        <w:t>H</w:t>
      </w:r>
      <w:r w:rsidR="006C4A2D" w:rsidRPr="00A159C4">
        <w:rPr>
          <w:lang w:val="en-GB"/>
        </w:rPr>
        <w:t>owever</w:t>
      </w:r>
      <w:r w:rsidR="008C547E">
        <w:rPr>
          <w:lang w:val="en-GB"/>
        </w:rPr>
        <w:t>,</w:t>
      </w:r>
      <w:r w:rsidR="006C4A2D" w:rsidRPr="00A159C4">
        <w:rPr>
          <w:lang w:val="en-GB"/>
        </w:rPr>
        <w:t xml:space="preserve"> </w:t>
      </w:r>
      <w:r w:rsidR="0013544F" w:rsidRPr="00A159C4">
        <w:rPr>
          <w:lang w:val="en-GB"/>
        </w:rPr>
        <w:t>proportion</w:t>
      </w:r>
      <w:r w:rsidR="006C4A2D" w:rsidRPr="00A159C4">
        <w:rPr>
          <w:lang w:val="en-GB"/>
        </w:rPr>
        <w:t xml:space="preserve">s for inner and outer regional/remote areas showed a steady increase </w:t>
      </w:r>
      <w:r w:rsidR="006C4A2D" w:rsidRPr="00A159C4">
        <w:t>between 2014 and 20</w:t>
      </w:r>
      <w:r w:rsidR="008C3761">
        <w:t>2</w:t>
      </w:r>
      <w:r w:rsidR="00D520A7">
        <w:t>0</w:t>
      </w:r>
      <w:r w:rsidR="006C4A2D" w:rsidRPr="00A159C4">
        <w:t xml:space="preserve"> over all four tumour streams – an indication that radiotherapy services </w:t>
      </w:r>
      <w:r w:rsidR="00534B19" w:rsidRPr="00A159C4">
        <w:t>(Albury Wodonga Regional Cancer Centre and South</w:t>
      </w:r>
      <w:r w:rsidR="001626B2">
        <w:t xml:space="preserve"> </w:t>
      </w:r>
      <w:r w:rsidR="00534B19" w:rsidRPr="00A159C4">
        <w:t>West Regional Cancer Centre) established in 2015 has</w:t>
      </w:r>
      <w:r w:rsidR="00EA7B01" w:rsidRPr="00A159C4">
        <w:t xml:space="preserve"> improved</w:t>
      </w:r>
      <w:r w:rsidR="006C4A2D" w:rsidRPr="00A159C4">
        <w:t xml:space="preserve"> access to this service </w:t>
      </w:r>
      <w:r w:rsidR="00534B19" w:rsidRPr="00A159C4">
        <w:t xml:space="preserve">for rural patients. </w:t>
      </w:r>
      <w:r w:rsidR="00EE30C3" w:rsidRPr="00A159C4">
        <w:t>Of note</w:t>
      </w:r>
      <w:r w:rsidR="00D3516B" w:rsidRPr="00A159C4">
        <w:t>,</w:t>
      </w:r>
      <w:r w:rsidR="00EE30C3" w:rsidRPr="00A159C4">
        <w:t xml:space="preserve"> too</w:t>
      </w:r>
      <w:r w:rsidR="00D3516B" w:rsidRPr="00A159C4">
        <w:t>,</w:t>
      </w:r>
      <w:r w:rsidR="00EE30C3" w:rsidRPr="00A159C4">
        <w:t xml:space="preserve"> Figures </w:t>
      </w:r>
      <w:r w:rsidR="00EE30C3" w:rsidRPr="00A159C4">
        <w:rPr>
          <w:lang w:val="en-GB"/>
        </w:rPr>
        <w:t xml:space="preserve">12.4, 12.4.1, 12.4.2 and 12.4.3 </w:t>
      </w:r>
      <w:r w:rsidR="00D3516B" w:rsidRPr="00A159C4">
        <w:rPr>
          <w:lang w:val="en-GB"/>
        </w:rPr>
        <w:t xml:space="preserve">show an </w:t>
      </w:r>
      <w:r w:rsidR="00EE30C3" w:rsidRPr="00A159C4">
        <w:rPr>
          <w:lang w:val="en-GB"/>
        </w:rPr>
        <w:t>increase in</w:t>
      </w:r>
      <w:r w:rsidR="00EE30C3" w:rsidRPr="00A159C4">
        <w:t xml:space="preserve"> the proportion of cultural</w:t>
      </w:r>
      <w:r w:rsidR="00545ACE" w:rsidRPr="00A159C4">
        <w:t>ly</w:t>
      </w:r>
      <w:r w:rsidR="00EE30C3" w:rsidRPr="00A159C4">
        <w:t xml:space="preserve"> diverse cancer patients who do not speak English as a first language receiving radical radiotherapy</w:t>
      </w:r>
      <w:r w:rsidR="00295EA8" w:rsidRPr="00A159C4">
        <w:t xml:space="preserve"> </w:t>
      </w:r>
      <w:r w:rsidR="004F7120" w:rsidRPr="00A159C4">
        <w:t xml:space="preserve">as part of their primary treatment </w:t>
      </w:r>
      <w:r w:rsidR="00295EA8" w:rsidRPr="00A159C4">
        <w:t>between 2014 and 20</w:t>
      </w:r>
      <w:r w:rsidR="008C3761">
        <w:t>2</w:t>
      </w:r>
      <w:r w:rsidR="00D520A7">
        <w:t>0</w:t>
      </w:r>
      <w:r w:rsidR="00295EA8" w:rsidRPr="00A159C4">
        <w:t>.</w:t>
      </w:r>
      <w:r w:rsidR="00952FC7" w:rsidRPr="00A159C4">
        <w:t xml:space="preserve"> </w:t>
      </w:r>
      <w:r w:rsidR="00F710DB" w:rsidRPr="00A159C4">
        <w:rPr>
          <w:lang w:val="en-GB"/>
        </w:rPr>
        <w:t xml:space="preserve">Data as it relates to Aboriginal Victorians should be interpreted with caution for all </w:t>
      </w:r>
      <w:r w:rsidR="00F710DB" w:rsidRPr="00A159C4">
        <w:t xml:space="preserve">four tumour streams because of the very low numbers of cases reported (refer to </w:t>
      </w:r>
      <w:r w:rsidR="00A159C4" w:rsidRPr="00A159C4">
        <w:t xml:space="preserve">Tables 12.4, 12.4.1, 12.4.2 and 12.4.3; </w:t>
      </w:r>
      <w:r w:rsidR="00F710DB" w:rsidRPr="00A159C4">
        <w:t xml:space="preserve">Appendix </w:t>
      </w:r>
      <w:r w:rsidR="00CD2303" w:rsidRPr="00A159C4">
        <w:t>2)</w:t>
      </w:r>
      <w:r w:rsidR="001302A3">
        <w:t>.</w:t>
      </w:r>
    </w:p>
    <w:p w14:paraId="4E4DB7F8" w14:textId="4A0D7534" w:rsidR="002D0EEF" w:rsidRPr="00A31199" w:rsidRDefault="002D0EEF" w:rsidP="00606436">
      <w:pPr>
        <w:pStyle w:val="Body"/>
        <w:rPr>
          <w:lang w:val="en-GB"/>
        </w:rPr>
      </w:pPr>
      <w:r w:rsidRPr="00A159C4">
        <w:br w:type="page"/>
      </w:r>
    </w:p>
    <w:p w14:paraId="56E0E328" w14:textId="77777777" w:rsidR="00E2792D" w:rsidRDefault="00E2792D" w:rsidP="00A451D4">
      <w:pPr>
        <w:pStyle w:val="Heading3"/>
        <w:sectPr w:rsidR="00E2792D" w:rsidSect="00F2771C">
          <w:type w:val="continuous"/>
          <w:pgSz w:w="11906" w:h="16838"/>
          <w:pgMar w:top="1411" w:right="1310" w:bottom="1138" w:left="1276" w:header="454" w:footer="510" w:gutter="0"/>
          <w:cols w:space="720"/>
          <w:docGrid w:linePitch="360"/>
        </w:sectPr>
      </w:pPr>
      <w:bookmarkStart w:id="821" w:name="_Toc19008132"/>
    </w:p>
    <w:p w14:paraId="079C32DC" w14:textId="77777777" w:rsidR="00DE690D" w:rsidRPr="001262B0" w:rsidRDefault="00DE690D" w:rsidP="00DE690D">
      <w:pPr>
        <w:pStyle w:val="Heading3"/>
        <w:rPr>
          <w:b/>
          <w:bCs w:val="0"/>
        </w:rPr>
      </w:pPr>
      <w:bookmarkStart w:id="822" w:name="_Toc19008138"/>
      <w:bookmarkEnd w:id="821"/>
      <w:r w:rsidRPr="001262B0">
        <w:rPr>
          <w:b/>
          <w:bCs w:val="0"/>
        </w:rPr>
        <w:lastRenderedPageBreak/>
        <w:t xml:space="preserve">Measure 12.5 – Proportion of patients receiving systemic anti-cancer therapy within recommended timelines </w:t>
      </w:r>
    </w:p>
    <w:p w14:paraId="0E57E942" w14:textId="77777777" w:rsidR="00DE690D" w:rsidRPr="000C52C7" w:rsidRDefault="00DE690D" w:rsidP="00DE690D">
      <w:pPr>
        <w:pStyle w:val="Figurecaption"/>
        <w:rPr>
          <w:sz w:val="20"/>
        </w:rPr>
      </w:pPr>
      <w:bookmarkStart w:id="823" w:name="_Toc19008133"/>
      <w:bookmarkStart w:id="824" w:name="_Toc19008349"/>
      <w:bookmarkStart w:id="825" w:name="_Toc19008496"/>
      <w:bookmarkStart w:id="826" w:name="_Toc19008643"/>
      <w:bookmarkStart w:id="827" w:name="_Toc132553073"/>
      <w:bookmarkStart w:id="828" w:name="_Toc140827685"/>
      <w:r w:rsidRPr="000C52C7">
        <w:rPr>
          <w:sz w:val="20"/>
        </w:rPr>
        <w:t>Figure 12.5: Proportion of patients (overall) receiving systemic anti-cancer therapy within recommended timelines, by age (A), sex (B), Indigenous status (C), language spoken at home (D), remoteness area (E), SES (F) and ICS (G), Victoria, 2014–20</w:t>
      </w:r>
      <w:bookmarkEnd w:id="823"/>
      <w:bookmarkEnd w:id="824"/>
      <w:bookmarkEnd w:id="825"/>
      <w:bookmarkEnd w:id="826"/>
      <w:r w:rsidRPr="000C52C7">
        <w:rPr>
          <w:sz w:val="20"/>
        </w:rPr>
        <w:t>21</w:t>
      </w:r>
      <w:bookmarkEnd w:id="827"/>
      <w:bookmarkEnd w:id="828"/>
    </w:p>
    <w:p w14:paraId="5D9C3974" w14:textId="77777777" w:rsidR="00DE690D" w:rsidRDefault="00DE690D" w:rsidP="00DE690D">
      <w:pPr>
        <w:pStyle w:val="DHHSbody"/>
      </w:pPr>
      <w:r>
        <w:rPr>
          <w:noProof/>
        </w:rPr>
        <w:drawing>
          <wp:inline distT="0" distB="0" distL="0" distR="0" wp14:anchorId="402F3202" wp14:editId="6D9E55A9">
            <wp:extent cx="6280093" cy="4419600"/>
            <wp:effectExtent l="0" t="0" r="6985" b="0"/>
            <wp:docPr id="77" name="Picture 77" descr="This figure shows a data summary of 'Measure 12.5 – Proportion of patients receiving systemic anti-cancer therapy within recommended timelines and where appropriate'. Specially this figure focuses on the proportion of patients (overall) receiving systemic anti-cancer therapy within recommended timelines, by age, sex, Indigenous status and language of country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his figure shows a data summary of 'Measure 12.5 – Proportion of patients receiving systemic anti-cancer therapy within recommended timelines and where appropriate'. Specially this figure focuses on the proportion of patients (overall) receiving systemic anti-cancer therapy within recommended timelines, by age, sex, Indigenous status and language of country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pic:cNvPicPr/>
                  </pic:nvPicPr>
                  <pic:blipFill>
                    <a:blip r:embed="rId131"/>
                    <a:stretch>
                      <a:fillRect/>
                    </a:stretch>
                  </pic:blipFill>
                  <pic:spPr>
                    <a:xfrm>
                      <a:off x="0" y="0"/>
                      <a:ext cx="6287697" cy="4424951"/>
                    </a:xfrm>
                    <a:prstGeom prst="rect">
                      <a:avLst/>
                    </a:prstGeom>
                  </pic:spPr>
                </pic:pic>
              </a:graphicData>
            </a:graphic>
          </wp:inline>
        </w:drawing>
      </w:r>
    </w:p>
    <w:p w14:paraId="4D5504FC" w14:textId="77777777" w:rsidR="00DE690D" w:rsidRPr="008C5E38" w:rsidRDefault="00DE690D" w:rsidP="00DE690D">
      <w:pPr>
        <w:pStyle w:val="DHHSbody"/>
      </w:pPr>
      <w:r>
        <w:rPr>
          <w:noProof/>
        </w:rPr>
        <w:lastRenderedPageBreak/>
        <w:drawing>
          <wp:inline distT="0" distB="0" distL="0" distR="0" wp14:anchorId="6E49138D" wp14:editId="047FFC71">
            <wp:extent cx="5896610" cy="4149725"/>
            <wp:effectExtent l="0" t="0" r="8890" b="3175"/>
            <wp:docPr id="78" name="Picture 78" descr="This figure shows a data summary of 'Measure 12.5 – Proportion of patients receiving systemic anti-cancer therapy within recommended timelines and where appropriate'. Specially this figure focuses on the proportion of patients (overall) receiving systemic anti-cancer therapy within recommended timelines, by remoteness area, socio-economic status and Integrated Cancer Service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his figure shows a data summary of 'Measure 12.5 – Proportion of patients receiving systemic anti-cancer therapy within recommended timelines and where appropriate'. Specially this figure focuses on the proportion of patients (overall) receiving systemic anti-cancer therapy within recommended timelines, by remoteness area, socio-economic status and Integrated Cancer Service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pic:cNvPicPr/>
                  </pic:nvPicPr>
                  <pic:blipFill>
                    <a:blip r:embed="rId132"/>
                    <a:stretch>
                      <a:fillRect/>
                    </a:stretch>
                  </pic:blipFill>
                  <pic:spPr>
                    <a:xfrm>
                      <a:off x="0" y="0"/>
                      <a:ext cx="5896610" cy="4149725"/>
                    </a:xfrm>
                    <a:prstGeom prst="rect">
                      <a:avLst/>
                    </a:prstGeom>
                  </pic:spPr>
                </pic:pic>
              </a:graphicData>
            </a:graphic>
          </wp:inline>
        </w:drawing>
      </w:r>
    </w:p>
    <w:p w14:paraId="51AD1C53" w14:textId="77777777" w:rsidR="00DE690D" w:rsidRDefault="00DE690D" w:rsidP="00DE690D">
      <w:pPr>
        <w:pStyle w:val="Body"/>
      </w:pPr>
    </w:p>
    <w:p w14:paraId="792481C0" w14:textId="77777777" w:rsidR="00DE690D" w:rsidRPr="000C52C7" w:rsidRDefault="00DE690D" w:rsidP="00DE690D">
      <w:pPr>
        <w:pStyle w:val="Body"/>
        <w:rPr>
          <w:i/>
          <w:iCs/>
          <w:sz w:val="18"/>
          <w:szCs w:val="18"/>
        </w:rPr>
      </w:pPr>
      <w:r w:rsidRPr="000C52C7">
        <w:rPr>
          <w:i/>
          <w:iCs/>
          <w:sz w:val="18"/>
          <w:szCs w:val="18"/>
        </w:rPr>
        <w:t xml:space="preserve">Notes: </w:t>
      </w:r>
    </w:p>
    <w:p w14:paraId="0892AEA5" w14:textId="77777777" w:rsidR="00DE690D" w:rsidRPr="000C52C7" w:rsidRDefault="00DE690D" w:rsidP="00DE690D">
      <w:pPr>
        <w:pStyle w:val="Body"/>
        <w:rPr>
          <w:i/>
          <w:iCs/>
          <w:sz w:val="18"/>
          <w:szCs w:val="18"/>
        </w:rPr>
      </w:pPr>
      <w:r w:rsidRPr="000C52C7">
        <w:rPr>
          <w:i/>
          <w:iCs/>
          <w:sz w:val="18"/>
          <w:szCs w:val="18"/>
          <w:lang w:eastAsia="en-AU"/>
        </w:rPr>
        <w:t>The department’s Guidelines for timely initiation of chemotherapy:</w:t>
      </w:r>
      <w:r w:rsidRPr="000C52C7">
        <w:rPr>
          <w:i/>
          <w:iCs/>
          <w:sz w:val="18"/>
          <w:szCs w:val="18"/>
        </w:rPr>
        <w:t xml:space="preserve"> a proposed framework for access to medical oncology and haematology cancer clinics and chemotherapy services in Victoria (2015) describe the optimal timelines for treatment of colorectal, lung, breast and ovarian cancers in Victoria.</w:t>
      </w:r>
    </w:p>
    <w:p w14:paraId="7E42A836" w14:textId="77777777" w:rsidR="00DE690D" w:rsidRPr="000C52C7" w:rsidRDefault="00DE690D" w:rsidP="00DE690D">
      <w:pPr>
        <w:pStyle w:val="Body"/>
        <w:rPr>
          <w:i/>
          <w:iCs/>
          <w:sz w:val="18"/>
          <w:szCs w:val="18"/>
          <w:lang w:eastAsia="en-AU"/>
        </w:rPr>
      </w:pPr>
      <w:r w:rsidRPr="000C52C7">
        <w:rPr>
          <w:i/>
          <w:iCs/>
          <w:sz w:val="18"/>
          <w:szCs w:val="18"/>
        </w:rPr>
        <w:t>Victorians with cancer who live in HRICS may receive treatment in New South Wales (Albury) hospitals, which is not captured in the VAED. Therefore, variables in this report that are derived using the VAED (comorbidity count, distant metastases, surgery and chemotherapy) are likely to be underestimated for Victorians living in HRICS.</w:t>
      </w:r>
      <w:r w:rsidRPr="000C52C7">
        <w:rPr>
          <w:i/>
          <w:iCs/>
          <w:sz w:val="18"/>
          <w:szCs w:val="18"/>
          <w:lang w:eastAsia="en-AU"/>
        </w:rPr>
        <w:t xml:space="preserve"> </w:t>
      </w:r>
      <w:r w:rsidRPr="000C52C7">
        <w:rPr>
          <w:i/>
          <w:iCs/>
          <w:sz w:val="18"/>
          <w:szCs w:val="18"/>
        </w:rPr>
        <w:t>Appendix 2 provides the dataset.</w:t>
      </w:r>
    </w:p>
    <w:p w14:paraId="5E3C0944" w14:textId="77777777" w:rsidR="00DE690D" w:rsidRPr="000C52C7" w:rsidRDefault="00DE690D" w:rsidP="00DE690D">
      <w:pPr>
        <w:pStyle w:val="Figurecaption"/>
        <w:rPr>
          <w:sz w:val="20"/>
        </w:rPr>
      </w:pPr>
      <w:bookmarkStart w:id="829" w:name="_Toc19008134"/>
      <w:bookmarkStart w:id="830" w:name="_Toc19008350"/>
      <w:bookmarkStart w:id="831" w:name="_Toc19008497"/>
      <w:bookmarkStart w:id="832" w:name="_Toc19008644"/>
      <w:bookmarkStart w:id="833" w:name="_Toc132553074"/>
      <w:bookmarkStart w:id="834" w:name="_Toc140827686"/>
      <w:r w:rsidRPr="000C52C7">
        <w:rPr>
          <w:sz w:val="20"/>
        </w:rPr>
        <w:lastRenderedPageBreak/>
        <w:t>Figure 12.5.1: Proportion of lung cancer patients receiving systemic anti-cancer therapy within recommended timelines, by age (A), sex (B), Indigenous status (C), language spoken at home (D), remoteness area (E), SES (F) and ICS (G), Victoria, 2014–20</w:t>
      </w:r>
      <w:bookmarkEnd w:id="829"/>
      <w:bookmarkEnd w:id="830"/>
      <w:bookmarkEnd w:id="831"/>
      <w:bookmarkEnd w:id="832"/>
      <w:r w:rsidRPr="000C52C7">
        <w:rPr>
          <w:sz w:val="20"/>
        </w:rPr>
        <w:t>21</w:t>
      </w:r>
      <w:bookmarkEnd w:id="833"/>
      <w:bookmarkEnd w:id="834"/>
    </w:p>
    <w:p w14:paraId="403C540A" w14:textId="77777777" w:rsidR="00DE690D" w:rsidRDefault="00DE690D" w:rsidP="00DE690D">
      <w:pPr>
        <w:pStyle w:val="DHHSbody"/>
      </w:pPr>
      <w:r>
        <w:rPr>
          <w:noProof/>
        </w:rPr>
        <w:drawing>
          <wp:inline distT="0" distB="0" distL="0" distR="0" wp14:anchorId="3D042409" wp14:editId="62E754D2">
            <wp:extent cx="5710990" cy="4019095"/>
            <wp:effectExtent l="0" t="0" r="4445" b="635"/>
            <wp:docPr id="80" name="Picture 80" descr="This figure shows a data summary of 'Measure 12.5 – Proportion of patients receiving systemic anti-cancer therapy within recommended timelines and where appropriate'. Specially this figure focuses on the proportion of patients (lung) receiving systemic anti-cancer therapy within recommended timelines, by age, sex, Indigenous status and language of country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his figure shows a data summary of 'Measure 12.5 – Proportion of patients receiving systemic anti-cancer therapy within recommended timelines and where appropriate'. Specially this figure focuses on the proportion of patients (lung) receiving systemic anti-cancer therapy within recommended timelines, by age, sex, Indigenous status and language of country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pic:cNvPicPr/>
                  </pic:nvPicPr>
                  <pic:blipFill>
                    <a:blip r:embed="rId133"/>
                    <a:stretch>
                      <a:fillRect/>
                    </a:stretch>
                  </pic:blipFill>
                  <pic:spPr>
                    <a:xfrm>
                      <a:off x="0" y="0"/>
                      <a:ext cx="5715108" cy="4021993"/>
                    </a:xfrm>
                    <a:prstGeom prst="rect">
                      <a:avLst/>
                    </a:prstGeom>
                  </pic:spPr>
                </pic:pic>
              </a:graphicData>
            </a:graphic>
          </wp:inline>
        </w:drawing>
      </w:r>
    </w:p>
    <w:p w14:paraId="6570D168" w14:textId="77777777" w:rsidR="00DE690D" w:rsidRPr="008C5E38" w:rsidRDefault="00DE690D" w:rsidP="00DE690D">
      <w:pPr>
        <w:pStyle w:val="DHHSbody"/>
      </w:pPr>
      <w:r>
        <w:rPr>
          <w:noProof/>
        </w:rPr>
        <w:drawing>
          <wp:inline distT="0" distB="0" distL="0" distR="0" wp14:anchorId="5FADD72D" wp14:editId="2B24BFDA">
            <wp:extent cx="5719011" cy="4024740"/>
            <wp:effectExtent l="0" t="0" r="0" b="0"/>
            <wp:docPr id="90" name="Picture 90" descr="This figure shows a data summary of 'Measure 12.5 – Proportion of patients receiving systemic anti-cancer therapy within recommended timelines and where appropriate'. Specially this figure focuses on the proportion of patients (lung) receiving systemic anti-cancer therapy within recommended timelines, by remoteness area, socio-economic status and Integrated Cancer Service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This figure shows a data summary of 'Measure 12.5 – Proportion of patients receiving systemic anti-cancer therapy within recommended timelines and where appropriate'. Specially this figure focuses on the proportion of patients (lung) receiving systemic anti-cancer therapy within recommended timelines, by remoteness area, socio-economic status and Integrated Cancer Service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pic:cNvPicPr/>
                  </pic:nvPicPr>
                  <pic:blipFill>
                    <a:blip r:embed="rId134"/>
                    <a:stretch>
                      <a:fillRect/>
                    </a:stretch>
                  </pic:blipFill>
                  <pic:spPr>
                    <a:xfrm>
                      <a:off x="0" y="0"/>
                      <a:ext cx="5730032" cy="4032496"/>
                    </a:xfrm>
                    <a:prstGeom prst="rect">
                      <a:avLst/>
                    </a:prstGeom>
                  </pic:spPr>
                </pic:pic>
              </a:graphicData>
            </a:graphic>
          </wp:inline>
        </w:drawing>
      </w:r>
    </w:p>
    <w:p w14:paraId="341E7174" w14:textId="77777777" w:rsidR="00DE690D" w:rsidRDefault="00DE690D" w:rsidP="00DE690D">
      <w:pPr>
        <w:pStyle w:val="Body"/>
      </w:pPr>
    </w:p>
    <w:p w14:paraId="0EF32D7C" w14:textId="77777777" w:rsidR="00DE690D" w:rsidRDefault="00DE690D" w:rsidP="00DE690D">
      <w:pPr>
        <w:pStyle w:val="Body"/>
      </w:pPr>
    </w:p>
    <w:p w14:paraId="2224A652" w14:textId="77777777" w:rsidR="00DE690D" w:rsidRPr="000C52C7" w:rsidRDefault="00DE690D" w:rsidP="00DE690D">
      <w:pPr>
        <w:pStyle w:val="Tablefigurenote"/>
        <w:rPr>
          <w:i/>
          <w:iCs/>
          <w:sz w:val="18"/>
          <w:szCs w:val="18"/>
        </w:rPr>
      </w:pPr>
      <w:r w:rsidRPr="000C52C7">
        <w:rPr>
          <w:i/>
          <w:iCs/>
          <w:sz w:val="18"/>
          <w:szCs w:val="18"/>
        </w:rPr>
        <w:t>Note: Victorians with cancer who live in HRICS may receive treatment in New South Wales (Albury) hospitals, which is not captured in the VAED. Therefore, variables in this report that are derived using the VAED (comorbidity count, distant metastases, surgery and chemotherapy) are likely to be underestimated for Victorians living in HRICS.</w:t>
      </w:r>
    </w:p>
    <w:p w14:paraId="730D5B12" w14:textId="77777777" w:rsidR="00DE690D" w:rsidRPr="000C52C7" w:rsidRDefault="00DE690D" w:rsidP="00DE690D">
      <w:pPr>
        <w:pStyle w:val="Tablefigurenote"/>
        <w:rPr>
          <w:i/>
          <w:iCs/>
          <w:lang w:eastAsia="en-AU"/>
        </w:rPr>
      </w:pPr>
      <w:r w:rsidRPr="000C52C7">
        <w:rPr>
          <w:i/>
          <w:iCs/>
          <w:sz w:val="18"/>
          <w:szCs w:val="18"/>
        </w:rPr>
        <w:t>Appendix 2 provides the dataset.</w:t>
      </w:r>
      <w:bookmarkStart w:id="835" w:name="_Toc19008135"/>
      <w:bookmarkStart w:id="836" w:name="_Toc19008351"/>
      <w:bookmarkStart w:id="837" w:name="_Toc19008498"/>
      <w:bookmarkStart w:id="838" w:name="_Toc19008645"/>
    </w:p>
    <w:p w14:paraId="626BC616" w14:textId="77777777" w:rsidR="00DE690D" w:rsidRPr="000C52C7" w:rsidRDefault="00DE690D" w:rsidP="00DE690D">
      <w:pPr>
        <w:pStyle w:val="Figurecaption"/>
        <w:rPr>
          <w:sz w:val="20"/>
        </w:rPr>
      </w:pPr>
      <w:bookmarkStart w:id="839" w:name="_Toc132553075"/>
      <w:bookmarkStart w:id="840" w:name="_Toc140827687"/>
      <w:bookmarkEnd w:id="835"/>
      <w:bookmarkEnd w:id="836"/>
      <w:bookmarkEnd w:id="837"/>
      <w:bookmarkEnd w:id="838"/>
      <w:r w:rsidRPr="000C52C7">
        <w:rPr>
          <w:sz w:val="20"/>
        </w:rPr>
        <w:t>Figure 12.5.2: Proportion of breast cancer patients receiving systemic anti-cancer therapy within recommended timelines, by age (A), sex (B), Indigenous status (C), language spoken at home (D), remoteness area (E), SES (F) and ICS (G), Victoria, 2014–2021</w:t>
      </w:r>
      <w:bookmarkEnd w:id="839"/>
      <w:bookmarkEnd w:id="840"/>
    </w:p>
    <w:p w14:paraId="5B9B2045" w14:textId="77777777" w:rsidR="00DE690D" w:rsidRDefault="00DE690D" w:rsidP="00DE690D">
      <w:pPr>
        <w:pStyle w:val="DHHSbody"/>
      </w:pPr>
      <w:r>
        <w:rPr>
          <w:noProof/>
        </w:rPr>
        <w:drawing>
          <wp:inline distT="0" distB="0" distL="0" distR="0" wp14:anchorId="3BE0D441" wp14:editId="3B3B9516">
            <wp:extent cx="5896610" cy="4149725"/>
            <wp:effectExtent l="0" t="0" r="8890" b="3175"/>
            <wp:docPr id="91" name="Picture 91" descr="This figure shows a data summary of 'Measure 12.5 – Proportion of patients receiving systemic anti-cancer therapy within recommended timelines and where appropriate'. Specially this figure focuses on the proportion of patients (breast) receiving systemic anti-cancer therapy within recommended timelines, by age, sex, Indigenous status and language of country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his figure shows a data summary of 'Measure 12.5 – Proportion of patients receiving systemic anti-cancer therapy within recommended timelines and where appropriate'. Specially this figure focuses on the proportion of patients (breast) receiving systemic anti-cancer therapy within recommended timelines, by age, sex, Indigenous status and language of country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pic:cNvPicPr/>
                  </pic:nvPicPr>
                  <pic:blipFill>
                    <a:blip r:embed="rId135"/>
                    <a:stretch>
                      <a:fillRect/>
                    </a:stretch>
                  </pic:blipFill>
                  <pic:spPr>
                    <a:xfrm>
                      <a:off x="0" y="0"/>
                      <a:ext cx="5896610" cy="4149725"/>
                    </a:xfrm>
                    <a:prstGeom prst="rect">
                      <a:avLst/>
                    </a:prstGeom>
                  </pic:spPr>
                </pic:pic>
              </a:graphicData>
            </a:graphic>
          </wp:inline>
        </w:drawing>
      </w:r>
    </w:p>
    <w:p w14:paraId="6931CE95" w14:textId="77777777" w:rsidR="00DE690D" w:rsidRPr="00F720EE" w:rsidRDefault="00DE690D" w:rsidP="00DE690D">
      <w:pPr>
        <w:pStyle w:val="DHHSbody"/>
      </w:pPr>
      <w:r>
        <w:rPr>
          <w:noProof/>
        </w:rPr>
        <w:lastRenderedPageBreak/>
        <w:drawing>
          <wp:inline distT="0" distB="0" distL="0" distR="0" wp14:anchorId="77D32DCD" wp14:editId="7B91163E">
            <wp:extent cx="5896610" cy="4149725"/>
            <wp:effectExtent l="0" t="0" r="8890" b="3175"/>
            <wp:docPr id="194" name="Picture 194" descr="This figure shows a data summary of 'Measure 12.5 – Proportion of patients receiving systemic anti-cancer therapy within recommended timelines and where appropriate'. Specially this figure focuses on the proportion of patients (breast) receiving systemic anti-cancer therapy within recommended timelines, by remoteness area, socio-economic status and Integrated Cancer Service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This figure shows a data summary of 'Measure 12.5 – Proportion of patients receiving systemic anti-cancer therapy within recommended timelines and where appropriate'. Specially this figure focuses on the proportion of patients (breast) receiving systemic anti-cancer therapy within recommended timelines, by remoteness area, socio-economic status and Integrated Cancer Service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pic:cNvPicPr/>
                  </pic:nvPicPr>
                  <pic:blipFill>
                    <a:blip r:embed="rId136"/>
                    <a:stretch>
                      <a:fillRect/>
                    </a:stretch>
                  </pic:blipFill>
                  <pic:spPr>
                    <a:xfrm>
                      <a:off x="0" y="0"/>
                      <a:ext cx="5896610" cy="4149725"/>
                    </a:xfrm>
                    <a:prstGeom prst="rect">
                      <a:avLst/>
                    </a:prstGeom>
                  </pic:spPr>
                </pic:pic>
              </a:graphicData>
            </a:graphic>
          </wp:inline>
        </w:drawing>
      </w:r>
    </w:p>
    <w:p w14:paraId="36CF09F7" w14:textId="77777777" w:rsidR="00DE690D" w:rsidRDefault="00DE690D" w:rsidP="00DE690D">
      <w:pPr>
        <w:pStyle w:val="Body"/>
      </w:pPr>
    </w:p>
    <w:p w14:paraId="3FBE086B" w14:textId="77777777" w:rsidR="00DE690D" w:rsidRPr="000C52C7" w:rsidRDefault="00DE690D" w:rsidP="00DE690D">
      <w:pPr>
        <w:pStyle w:val="Tablefigurenote"/>
        <w:rPr>
          <w:i/>
          <w:iCs/>
          <w:sz w:val="18"/>
          <w:szCs w:val="18"/>
        </w:rPr>
      </w:pPr>
      <w:bookmarkStart w:id="841" w:name="_Toc19008136"/>
      <w:bookmarkStart w:id="842" w:name="_Toc19008352"/>
      <w:bookmarkStart w:id="843" w:name="_Toc19008499"/>
      <w:bookmarkStart w:id="844" w:name="_Toc19008646"/>
      <w:r w:rsidRPr="000C52C7">
        <w:rPr>
          <w:i/>
          <w:iCs/>
          <w:sz w:val="18"/>
          <w:szCs w:val="18"/>
        </w:rPr>
        <w:t>Note: Victorians with cancer who live in HRICS may receive treatment in New South Wales (Albury) hospitals, which is not captured in the VAED. Therefore, variables in this report that are derived using the VAED (comorbidity count, distant metastases, surgery and chemotherapy) are likely to be underestimated for Victorians living in HRICS.</w:t>
      </w:r>
    </w:p>
    <w:p w14:paraId="7855D9D8" w14:textId="77777777" w:rsidR="00DE690D" w:rsidRPr="000C52C7" w:rsidRDefault="00DE690D" w:rsidP="00DE690D">
      <w:pPr>
        <w:pStyle w:val="Tablefigurenote"/>
        <w:rPr>
          <w:i/>
          <w:iCs/>
          <w:sz w:val="18"/>
          <w:szCs w:val="18"/>
        </w:rPr>
      </w:pPr>
      <w:r w:rsidRPr="000C52C7">
        <w:rPr>
          <w:i/>
          <w:iCs/>
          <w:sz w:val="18"/>
          <w:szCs w:val="18"/>
        </w:rPr>
        <w:t>Appendix 2 provides the dataset.</w:t>
      </w:r>
    </w:p>
    <w:p w14:paraId="10931FAB" w14:textId="77777777" w:rsidR="00DE690D" w:rsidRPr="000C52C7" w:rsidRDefault="00DE690D" w:rsidP="00DE690D">
      <w:pPr>
        <w:pStyle w:val="Figurecaption"/>
        <w:rPr>
          <w:sz w:val="20"/>
        </w:rPr>
      </w:pPr>
      <w:bookmarkStart w:id="845" w:name="_Toc132553076"/>
      <w:bookmarkStart w:id="846" w:name="_Toc140827688"/>
      <w:r w:rsidRPr="000C52C7">
        <w:rPr>
          <w:sz w:val="20"/>
        </w:rPr>
        <w:lastRenderedPageBreak/>
        <w:t>Figure 12.5.3: Proportion of colorectal cancer patients receiving systemic anti-cancer therapy within recommended timelines, by age (A), sex (B), Indigenous status (C), language spoken at home (D), remoteness area (E), SES (F) and ICS (G), Victoria, 2014–20</w:t>
      </w:r>
      <w:bookmarkEnd w:id="841"/>
      <w:bookmarkEnd w:id="842"/>
      <w:bookmarkEnd w:id="843"/>
      <w:bookmarkEnd w:id="844"/>
      <w:r w:rsidRPr="000C52C7">
        <w:rPr>
          <w:sz w:val="20"/>
        </w:rPr>
        <w:t>21</w:t>
      </w:r>
      <w:bookmarkEnd w:id="845"/>
      <w:bookmarkEnd w:id="846"/>
    </w:p>
    <w:p w14:paraId="7732A1AF" w14:textId="77777777" w:rsidR="00DE690D" w:rsidRDefault="00DE690D" w:rsidP="00DE690D">
      <w:pPr>
        <w:pStyle w:val="DHHSbody"/>
      </w:pPr>
      <w:r>
        <w:rPr>
          <w:noProof/>
        </w:rPr>
        <w:drawing>
          <wp:inline distT="0" distB="0" distL="0" distR="0" wp14:anchorId="080F43A2" wp14:editId="4CA2621C">
            <wp:extent cx="5896610" cy="4149725"/>
            <wp:effectExtent l="0" t="0" r="8890" b="3175"/>
            <wp:docPr id="195" name="Picture 195" descr="This figure shows a data summary of 'Measure 12.5 – Proportion of patients receiving systemic anti-cancer therapy within recommended timelines and where appropriate'. Specially this figure focuses on the proportion of patients (colorectal) receiving systemic anti-cancer therapy within recommended timelines, by age, sex, Indigenous status and language of country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This figure shows a data summary of 'Measure 12.5 – Proportion of patients receiving systemic anti-cancer therapy within recommended timelines and where appropriate'. Specially this figure focuses on the proportion of patients (colorectal) receiving systemic anti-cancer therapy within recommended timelines, by age, sex, Indigenous status and language of country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pic:cNvPicPr/>
                  </pic:nvPicPr>
                  <pic:blipFill>
                    <a:blip r:embed="rId137"/>
                    <a:stretch>
                      <a:fillRect/>
                    </a:stretch>
                  </pic:blipFill>
                  <pic:spPr>
                    <a:xfrm>
                      <a:off x="0" y="0"/>
                      <a:ext cx="5896610" cy="4149725"/>
                    </a:xfrm>
                    <a:prstGeom prst="rect">
                      <a:avLst/>
                    </a:prstGeom>
                  </pic:spPr>
                </pic:pic>
              </a:graphicData>
            </a:graphic>
          </wp:inline>
        </w:drawing>
      </w:r>
    </w:p>
    <w:p w14:paraId="6C71AA1C" w14:textId="77777777" w:rsidR="00DE690D" w:rsidRPr="00A00853" w:rsidRDefault="00DE690D" w:rsidP="00DE690D">
      <w:pPr>
        <w:pStyle w:val="DHHSbody"/>
      </w:pPr>
      <w:r>
        <w:rPr>
          <w:noProof/>
        </w:rPr>
        <w:drawing>
          <wp:inline distT="0" distB="0" distL="0" distR="0" wp14:anchorId="0C9AB839" wp14:editId="269A1356">
            <wp:extent cx="5896610" cy="4149725"/>
            <wp:effectExtent l="0" t="0" r="8890" b="3175"/>
            <wp:docPr id="202" name="Picture 202" descr="This figure shows a data summary of 'Measure 12.5 – Proportion of patients receiving systemic anti-cancer therapy within recommended timelines and where appropriate'. Specially this figure focuses on the proportion of patients (colorectal) receiving systemic anti-cancer therapy within recommended timelines, by remoteness area, socio-economic status and Integrated Cancer Service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This figure shows a data summary of 'Measure 12.5 – Proportion of patients receiving systemic anti-cancer therapy within recommended timelines and where appropriate'. Specially this figure focuses on the proportion of patients (colorectal) receiving systemic anti-cancer therapy within recommended timelines, by remoteness area, socio-economic status and Integrated Cancer Service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pic:cNvPicPr/>
                  </pic:nvPicPr>
                  <pic:blipFill>
                    <a:blip r:embed="rId138"/>
                    <a:stretch>
                      <a:fillRect/>
                    </a:stretch>
                  </pic:blipFill>
                  <pic:spPr>
                    <a:xfrm>
                      <a:off x="0" y="0"/>
                      <a:ext cx="5896610" cy="4149725"/>
                    </a:xfrm>
                    <a:prstGeom prst="rect">
                      <a:avLst/>
                    </a:prstGeom>
                  </pic:spPr>
                </pic:pic>
              </a:graphicData>
            </a:graphic>
          </wp:inline>
        </w:drawing>
      </w:r>
    </w:p>
    <w:p w14:paraId="5F97F7F8" w14:textId="77777777" w:rsidR="00DE690D" w:rsidRPr="000C52C7" w:rsidRDefault="00DE690D" w:rsidP="00DE690D">
      <w:pPr>
        <w:pStyle w:val="Tablefigurenote"/>
        <w:rPr>
          <w:i/>
          <w:iCs/>
          <w:sz w:val="18"/>
          <w:szCs w:val="18"/>
        </w:rPr>
      </w:pPr>
      <w:r w:rsidRPr="000C52C7">
        <w:rPr>
          <w:i/>
          <w:iCs/>
          <w:sz w:val="18"/>
          <w:szCs w:val="18"/>
        </w:rPr>
        <w:lastRenderedPageBreak/>
        <w:t>Note: Victorians with cancer who live in HRICS may receive treatment in New South Wales (Albury) hospitals, which is not captured in the VAED. Therefore, variables in this report that are derived using the VAED (comorbidity count, distant metastases, surgery and chemotherapy) are likely to be underestimated for Victorians living in HRICS.</w:t>
      </w:r>
    </w:p>
    <w:p w14:paraId="6410D26A" w14:textId="77777777" w:rsidR="00DE690D" w:rsidRPr="000C52C7" w:rsidRDefault="00DE690D" w:rsidP="00DE690D">
      <w:pPr>
        <w:pStyle w:val="Tablefigurenote"/>
        <w:rPr>
          <w:i/>
          <w:iCs/>
          <w:sz w:val="18"/>
          <w:szCs w:val="18"/>
          <w:lang w:eastAsia="en-AU"/>
        </w:rPr>
      </w:pPr>
      <w:r w:rsidRPr="000C52C7">
        <w:rPr>
          <w:i/>
          <w:iCs/>
          <w:sz w:val="18"/>
          <w:szCs w:val="18"/>
        </w:rPr>
        <w:t>Appendix 2 provides the dataset.</w:t>
      </w:r>
    </w:p>
    <w:p w14:paraId="746506DE" w14:textId="77777777" w:rsidR="00DE690D" w:rsidRPr="000C52C7" w:rsidRDefault="00DE690D" w:rsidP="00DE690D">
      <w:pPr>
        <w:pStyle w:val="Figurecaption"/>
        <w:rPr>
          <w:sz w:val="20"/>
        </w:rPr>
      </w:pPr>
      <w:bookmarkStart w:id="847" w:name="_Toc19008137"/>
      <w:bookmarkStart w:id="848" w:name="_Toc19008353"/>
      <w:bookmarkStart w:id="849" w:name="_Toc19008500"/>
      <w:bookmarkStart w:id="850" w:name="_Toc19008647"/>
      <w:bookmarkStart w:id="851" w:name="_Toc132553077"/>
      <w:bookmarkStart w:id="852" w:name="_Toc140827689"/>
      <w:r w:rsidRPr="000C52C7">
        <w:rPr>
          <w:sz w:val="20"/>
        </w:rPr>
        <w:t>Figure 12.5.4: Proportion of ovarian cancer patients receiving systemic anti-cancer therapy within recommended timelines, by age (A), sex (B), Indigenous status (C), language spoken at home (D), remoteness area (E), SES (F) and ICS (G), Victoria, 2014–20</w:t>
      </w:r>
      <w:bookmarkEnd w:id="847"/>
      <w:bookmarkEnd w:id="848"/>
      <w:bookmarkEnd w:id="849"/>
      <w:bookmarkEnd w:id="850"/>
      <w:r w:rsidRPr="000C52C7">
        <w:rPr>
          <w:sz w:val="20"/>
        </w:rPr>
        <w:t>21</w:t>
      </w:r>
      <w:bookmarkEnd w:id="851"/>
      <w:bookmarkEnd w:id="852"/>
    </w:p>
    <w:p w14:paraId="62C57519" w14:textId="77777777" w:rsidR="00DE690D" w:rsidRDefault="00DE690D" w:rsidP="00DE690D">
      <w:pPr>
        <w:pStyle w:val="DHHSbody"/>
      </w:pPr>
      <w:r>
        <w:rPr>
          <w:noProof/>
        </w:rPr>
        <w:drawing>
          <wp:inline distT="0" distB="0" distL="0" distR="0" wp14:anchorId="7FE49FA8" wp14:editId="00CDF2EF">
            <wp:extent cx="5896610" cy="4149725"/>
            <wp:effectExtent l="0" t="0" r="8890" b="3175"/>
            <wp:docPr id="205" name="Picture 205" descr="This figure shows a data summary of 'Measure 12.5 – Proportion of patients receiving systemic anti-cancer therapy within recommended timelines and where appropriate'. Specially this figure focuses on the proportion of patients (ovarian) receiving systemic anti-cancer therapy within recommended timelines, by age, language of country and remoteness area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This figure shows a data summary of 'Measure 12.5 – Proportion of patients receiving systemic anti-cancer therapy within recommended timelines and where appropriate'. Specially this figure focuses on the proportion of patients (ovarian) receiving systemic anti-cancer therapy within recommended timelines, by age, language of country and remoteness area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pic:cNvPicPr/>
                  </pic:nvPicPr>
                  <pic:blipFill>
                    <a:blip r:embed="rId139"/>
                    <a:stretch>
                      <a:fillRect/>
                    </a:stretch>
                  </pic:blipFill>
                  <pic:spPr>
                    <a:xfrm>
                      <a:off x="0" y="0"/>
                      <a:ext cx="5896610" cy="4149725"/>
                    </a:xfrm>
                    <a:prstGeom prst="rect">
                      <a:avLst/>
                    </a:prstGeom>
                  </pic:spPr>
                </pic:pic>
              </a:graphicData>
            </a:graphic>
          </wp:inline>
        </w:drawing>
      </w:r>
    </w:p>
    <w:p w14:paraId="4C2A2310" w14:textId="77777777" w:rsidR="00DE690D" w:rsidRPr="00085298" w:rsidRDefault="00DE690D" w:rsidP="00DE690D">
      <w:pPr>
        <w:pStyle w:val="DHHSbody"/>
      </w:pPr>
      <w:r>
        <w:rPr>
          <w:noProof/>
        </w:rPr>
        <w:lastRenderedPageBreak/>
        <w:drawing>
          <wp:inline distT="0" distB="0" distL="0" distR="0" wp14:anchorId="77ED7AE3" wp14:editId="6C903BEB">
            <wp:extent cx="5896610" cy="4149725"/>
            <wp:effectExtent l="0" t="0" r="8890" b="3175"/>
            <wp:docPr id="254" name="Picture 254" descr="This figure shows a data summary of 'Measure 12.5 – Proportion of patients receiving systemic anti-cancer therapy within recommended timelines and where appropriate'. Specially this figure focuses on the proportion of patients (ovarian) receiving systemic anti-cancer therapy within recommended timelines, by socio-economic status and Integrated Cancer Service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This figure shows a data summary of 'Measure 12.5 – Proportion of patients receiving systemic anti-cancer therapy within recommended timelines and where appropriate'. Specially this figure focuses on the proportion of patients (ovarian) receiving systemic anti-cancer therapy within recommended timelines, by socio-economic status and Integrated Cancer Service for the study period 2014-2021.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health.vic.gov.au/health-strategies/cancer-care&gt;."/>
                    <pic:cNvPicPr/>
                  </pic:nvPicPr>
                  <pic:blipFill>
                    <a:blip r:embed="rId140"/>
                    <a:stretch>
                      <a:fillRect/>
                    </a:stretch>
                  </pic:blipFill>
                  <pic:spPr>
                    <a:xfrm>
                      <a:off x="0" y="0"/>
                      <a:ext cx="5896610" cy="4149725"/>
                    </a:xfrm>
                    <a:prstGeom prst="rect">
                      <a:avLst/>
                    </a:prstGeom>
                  </pic:spPr>
                </pic:pic>
              </a:graphicData>
            </a:graphic>
          </wp:inline>
        </w:drawing>
      </w:r>
    </w:p>
    <w:p w14:paraId="078FF4A2" w14:textId="77777777" w:rsidR="00DE690D" w:rsidRPr="000C52C7" w:rsidRDefault="00DE690D" w:rsidP="00DE690D">
      <w:pPr>
        <w:pStyle w:val="Tablefigurenote"/>
        <w:rPr>
          <w:i/>
          <w:iCs/>
          <w:sz w:val="18"/>
          <w:szCs w:val="18"/>
        </w:rPr>
      </w:pPr>
      <w:r w:rsidRPr="000C52C7">
        <w:rPr>
          <w:i/>
          <w:iCs/>
          <w:sz w:val="18"/>
          <w:szCs w:val="18"/>
        </w:rPr>
        <w:t>Note: Victorians with cancer who live in HRICS may receive treatment in New South Wales (Albury) hospitals, which is not captured in the VAED. Therefore, variables in this report that are derived using the VAED (comorbidity count, distant metastases, surgery and chemotherapy) are likely to be underestimated for Victorians living in HRICS.</w:t>
      </w:r>
    </w:p>
    <w:p w14:paraId="38A899D5" w14:textId="77777777" w:rsidR="00DE690D" w:rsidRPr="000C52C7" w:rsidRDefault="00DE690D" w:rsidP="00DE690D">
      <w:pPr>
        <w:pStyle w:val="Tablefigurenote"/>
        <w:rPr>
          <w:i/>
          <w:iCs/>
          <w:sz w:val="18"/>
          <w:szCs w:val="18"/>
        </w:rPr>
      </w:pPr>
      <w:r w:rsidRPr="000C52C7">
        <w:rPr>
          <w:i/>
          <w:iCs/>
          <w:sz w:val="18"/>
          <w:szCs w:val="18"/>
        </w:rPr>
        <w:t>Gaps in the data denote that no one was treated for ovarian cancer at that ICS for a particular year. For example, in 2018 (surgery first) LMICS and in 2014 (chemo first) HRICS.</w:t>
      </w:r>
    </w:p>
    <w:p w14:paraId="372255F3" w14:textId="77777777" w:rsidR="00DE690D" w:rsidRPr="000C52C7" w:rsidRDefault="00DE690D" w:rsidP="00DE690D">
      <w:pPr>
        <w:pStyle w:val="Tablefigurenote"/>
        <w:rPr>
          <w:i/>
          <w:iCs/>
          <w:sz w:val="18"/>
          <w:szCs w:val="18"/>
          <w:lang w:eastAsia="en-AU"/>
        </w:rPr>
      </w:pPr>
      <w:r w:rsidRPr="000C52C7">
        <w:rPr>
          <w:i/>
          <w:iCs/>
          <w:sz w:val="18"/>
          <w:szCs w:val="18"/>
        </w:rPr>
        <w:t>Appendix 2 provides the dataset.</w:t>
      </w:r>
    </w:p>
    <w:p w14:paraId="3B480F63" w14:textId="77777777" w:rsidR="00DE690D" w:rsidRPr="00671C7A" w:rsidRDefault="00DE690D" w:rsidP="00DE690D">
      <w:pPr>
        <w:pStyle w:val="Heading4"/>
        <w:rPr>
          <w:lang w:eastAsia="en-AU"/>
        </w:rPr>
      </w:pPr>
      <w:r>
        <w:rPr>
          <w:lang w:eastAsia="en-AU"/>
        </w:rPr>
        <w:t xml:space="preserve">Measure </w:t>
      </w:r>
      <w:r w:rsidRPr="00606436">
        <w:t>assessment</w:t>
      </w:r>
    </w:p>
    <w:p w14:paraId="56832713" w14:textId="77777777" w:rsidR="00DE690D" w:rsidRPr="00940E89" w:rsidRDefault="00DE690D" w:rsidP="00DE690D">
      <w:pPr>
        <w:pStyle w:val="Body"/>
        <w:rPr>
          <w:color w:val="C5511A"/>
        </w:rPr>
      </w:pPr>
      <w:r w:rsidRPr="001175A7">
        <w:t>Traffic light rating:</w:t>
      </w:r>
      <w:r w:rsidRPr="00B504AD">
        <w:rPr>
          <w:color w:val="AF272F"/>
        </w:rPr>
        <w:t xml:space="preserve"> </w:t>
      </w:r>
      <w:r w:rsidRPr="00B504AD">
        <w:rPr>
          <w:b/>
          <w:color w:val="AF272F"/>
        </w:rPr>
        <w:t xml:space="preserve">Red </w:t>
      </w:r>
      <w:r w:rsidRPr="00B77EBF">
        <w:t>(result is of concern)</w:t>
      </w:r>
    </w:p>
    <w:p w14:paraId="007EE324" w14:textId="77777777" w:rsidR="00DE690D" w:rsidRPr="00365E4B" w:rsidRDefault="00DE690D" w:rsidP="00DE690D">
      <w:pPr>
        <w:pStyle w:val="Body"/>
        <w:rPr>
          <w:szCs w:val="21"/>
        </w:rPr>
      </w:pPr>
      <w:r w:rsidRPr="007F3FF8">
        <w:t xml:space="preserve">Overall trend: </w:t>
      </w:r>
      <w:r>
        <w:t>Not moving in the right direction (s</w:t>
      </w:r>
      <w:r w:rsidRPr="007F3FF8">
        <w:t>tatic</w:t>
      </w:r>
      <w:r>
        <w:t>/</w:t>
      </w:r>
      <w:r w:rsidRPr="007F3FF8">
        <w:t>unchanging</w:t>
      </w:r>
      <w:r>
        <w:t xml:space="preserve">) </w:t>
      </w:r>
      <w:r w:rsidRPr="00365E4B">
        <w:rPr>
          <w:szCs w:val="21"/>
        </w:rPr>
        <w:t xml:space="preserve">but impacts of the COVID pandemic </w:t>
      </w:r>
      <w:r>
        <w:rPr>
          <w:szCs w:val="21"/>
        </w:rPr>
        <w:t xml:space="preserve">on </w:t>
      </w:r>
      <w:r w:rsidRPr="00365E4B">
        <w:rPr>
          <w:szCs w:val="21"/>
        </w:rPr>
        <w:t>patients receiving systemic anti-cancer therapy within recommended timelines is uncertain</w:t>
      </w:r>
    </w:p>
    <w:p w14:paraId="1EDC8A63" w14:textId="77777777" w:rsidR="00DE690D" w:rsidRDefault="00DE690D" w:rsidP="00DE690D">
      <w:pPr>
        <w:pStyle w:val="Body"/>
      </w:pPr>
      <w:r w:rsidRPr="002F4F8A">
        <w:t>Commentary: For the purpose of this measure, SACTs include chemotherapy, targeted drugs and immunotherapy. The data presented here provides an overview of key systemic therapies (excluding oral therapies) for colorectal, lung, breast and ovarian cancers only because the evidence for timelines for delivering chemotherapy is stronger for these cancers.</w:t>
      </w:r>
    </w:p>
    <w:p w14:paraId="0DB5B530" w14:textId="4ACCC744" w:rsidR="00DE690D" w:rsidRPr="00211930" w:rsidRDefault="00DE690D" w:rsidP="00DE690D">
      <w:pPr>
        <w:pStyle w:val="Body"/>
        <w:rPr>
          <w:highlight w:val="yellow"/>
          <w:lang w:val="en"/>
        </w:rPr>
      </w:pPr>
      <w:r w:rsidRPr="002F4F8A">
        <w:rPr>
          <w:lang w:val="en"/>
        </w:rPr>
        <w:t>In Victoria during the period 2014–20</w:t>
      </w:r>
      <w:r>
        <w:rPr>
          <w:lang w:val="en"/>
        </w:rPr>
        <w:t>21</w:t>
      </w:r>
      <w:r w:rsidRPr="002F4F8A">
        <w:rPr>
          <w:lang w:val="en"/>
        </w:rPr>
        <w:t xml:space="preserve"> the proportion of people receiving SACTs within the recommended timeline overall </w:t>
      </w:r>
      <w:r>
        <w:rPr>
          <w:lang w:val="en"/>
        </w:rPr>
        <w:t>increased slightly</w:t>
      </w:r>
      <w:r w:rsidRPr="002F4F8A">
        <w:rPr>
          <w:lang w:val="en"/>
        </w:rPr>
        <w:t xml:space="preserve"> (41.8</w:t>
      </w:r>
      <w:r w:rsidR="0054537F">
        <w:rPr>
          <w:lang w:val="en"/>
        </w:rPr>
        <w:t>%</w:t>
      </w:r>
      <w:r w:rsidRPr="002F4F8A">
        <w:rPr>
          <w:lang w:val="en"/>
        </w:rPr>
        <w:t xml:space="preserve"> in 2014; 4</w:t>
      </w:r>
      <w:r>
        <w:rPr>
          <w:lang w:val="en"/>
        </w:rPr>
        <w:t>3</w:t>
      </w:r>
      <w:r w:rsidRPr="002F4F8A">
        <w:rPr>
          <w:lang w:val="en"/>
        </w:rPr>
        <w:t>.</w:t>
      </w:r>
      <w:r>
        <w:rPr>
          <w:lang w:val="en"/>
        </w:rPr>
        <w:t>3</w:t>
      </w:r>
      <w:r w:rsidR="0054537F">
        <w:rPr>
          <w:lang w:val="en"/>
        </w:rPr>
        <w:t>%</w:t>
      </w:r>
      <w:r w:rsidRPr="002F4F8A">
        <w:rPr>
          <w:lang w:val="en"/>
        </w:rPr>
        <w:t xml:space="preserve"> in 20</w:t>
      </w:r>
      <w:r>
        <w:rPr>
          <w:lang w:val="en"/>
        </w:rPr>
        <w:t xml:space="preserve">21; </w:t>
      </w:r>
      <w:r w:rsidRPr="002F4F8A">
        <w:rPr>
          <w:lang w:val="en"/>
        </w:rPr>
        <w:t>Tables 12.5a and b, Appen</w:t>
      </w:r>
      <w:r w:rsidRPr="005A2A7D">
        <w:rPr>
          <w:lang w:val="en"/>
        </w:rPr>
        <w:t xml:space="preserve">dix 2) but was higher for those aged 69 years or </w:t>
      </w:r>
      <w:r>
        <w:rPr>
          <w:lang w:val="en"/>
        </w:rPr>
        <w:t>younger</w:t>
      </w:r>
      <w:r w:rsidRPr="005A2A7D">
        <w:rPr>
          <w:lang w:val="en"/>
        </w:rPr>
        <w:t xml:space="preserve"> and for males (Figures 12.5 (A) and (B)). This trend was reversed for those patients receiving surgery first, who were more likely to be 60 years or older. However, there was a much greater proportion of males compared with females who received surgery first, but this pattern changed for female patients for whom the proportion was higher than males who received chemotherapy first. Figure 12.5 (C) shows a disparity in timeliness across all three categories between those Aboriginal Victorians and non-Aboriginal Victorians, with the proportion decreasing significantly in 2016, although caution should be applied when interpreting these results due to the low numbers reported for Aboriginal Victorians </w:t>
      </w:r>
      <w:r w:rsidRPr="005A2A7D">
        <w:rPr>
          <w:lang w:val="en"/>
        </w:rPr>
        <w:lastRenderedPageBreak/>
        <w:t>(Tables 12.5a and b, Appendix 2). On the other hand, language spoken at home showed little variation between the three categories over the three reporting years (Figure 12.5 (D)).</w:t>
      </w:r>
    </w:p>
    <w:p w14:paraId="0EF49A6A" w14:textId="3FCF5141" w:rsidR="00DE690D" w:rsidRPr="00211930" w:rsidRDefault="00DE690D" w:rsidP="00DE690D">
      <w:pPr>
        <w:pStyle w:val="Body"/>
        <w:rPr>
          <w:highlight w:val="yellow"/>
          <w:lang w:val="en"/>
        </w:rPr>
      </w:pPr>
      <w:r w:rsidRPr="005A2A7D">
        <w:rPr>
          <w:lang w:val="en"/>
        </w:rPr>
        <w:t xml:space="preserve">Comparison of patterns of SACT use for all three categories </w:t>
      </w:r>
      <w:r w:rsidRPr="00E87AAA">
        <w:rPr>
          <w:rStyle w:val="BodyChar"/>
        </w:rPr>
        <w:t>across SES showed</w:t>
      </w:r>
      <w:r w:rsidRPr="005A2A7D">
        <w:rPr>
          <w:lang w:val="en"/>
        </w:rPr>
        <w:t xml:space="preserve"> that patients living in the lowest </w:t>
      </w:r>
      <w:r>
        <w:rPr>
          <w:lang w:val="en"/>
        </w:rPr>
        <w:t>quintile</w:t>
      </w:r>
      <w:r w:rsidRPr="005A2A7D">
        <w:rPr>
          <w:lang w:val="en"/>
        </w:rPr>
        <w:t xml:space="preserve"> areas (SES 1) were less likely to receive SACT within the recommended timelines during the period 2014–20</w:t>
      </w:r>
      <w:r>
        <w:rPr>
          <w:lang w:val="en"/>
        </w:rPr>
        <w:t>21</w:t>
      </w:r>
      <w:r w:rsidRPr="005A2A7D">
        <w:rPr>
          <w:lang w:val="en"/>
        </w:rPr>
        <w:t xml:space="preserve"> (Figure 12.5 (F)). A comparison by remoteness showed that most patients who received these therapies within the recommended timelines overall were living in major cities (Figure 12.5 (E)</w:t>
      </w:r>
      <w:r w:rsidRPr="009F02A9">
        <w:rPr>
          <w:lang w:val="en"/>
        </w:rPr>
        <w:t>). The proportion of people living in these areas who used all these therapies each year increased slightly from 44.2</w:t>
      </w:r>
      <w:r w:rsidR="0054537F">
        <w:rPr>
          <w:lang w:val="en"/>
        </w:rPr>
        <w:t>%</w:t>
      </w:r>
      <w:r w:rsidRPr="009F02A9">
        <w:rPr>
          <w:lang w:val="en"/>
        </w:rPr>
        <w:t xml:space="preserve"> in 2014 to 4</w:t>
      </w:r>
      <w:r>
        <w:rPr>
          <w:lang w:val="en"/>
        </w:rPr>
        <w:t>6</w:t>
      </w:r>
      <w:r w:rsidRPr="009F02A9">
        <w:rPr>
          <w:lang w:val="en"/>
        </w:rPr>
        <w:t>.</w:t>
      </w:r>
      <w:r>
        <w:rPr>
          <w:lang w:val="en"/>
        </w:rPr>
        <w:t>1</w:t>
      </w:r>
      <w:r w:rsidR="0054537F">
        <w:rPr>
          <w:lang w:val="en"/>
        </w:rPr>
        <w:t>%</w:t>
      </w:r>
      <w:r w:rsidRPr="009F02A9">
        <w:rPr>
          <w:lang w:val="en"/>
        </w:rPr>
        <w:t xml:space="preserve"> in 20</w:t>
      </w:r>
      <w:r>
        <w:rPr>
          <w:lang w:val="en"/>
        </w:rPr>
        <w:t>21</w:t>
      </w:r>
      <w:r w:rsidRPr="009F02A9">
        <w:rPr>
          <w:lang w:val="en"/>
        </w:rPr>
        <w:t>. This trend was also reflected in regions of Victoria when compared between ICS</w:t>
      </w:r>
      <w:r>
        <w:rPr>
          <w:lang w:val="en"/>
        </w:rPr>
        <w:t>.</w:t>
      </w:r>
      <w:r w:rsidRPr="009F02A9">
        <w:rPr>
          <w:lang w:val="en"/>
        </w:rPr>
        <w:t xml:space="preserve"> </w:t>
      </w:r>
      <w:r>
        <w:rPr>
          <w:lang w:val="en"/>
        </w:rPr>
        <w:t>M</w:t>
      </w:r>
      <w:r w:rsidRPr="009F02A9">
        <w:rPr>
          <w:lang w:val="en"/>
        </w:rPr>
        <w:t>etropolitan ICSs, namely NEMICS, SMICS and WCMICS, had a higher proportion of patients receiving SACTs across the three categories compared with regional/rural counterparts except for BSWRICS</w:t>
      </w:r>
      <w:r>
        <w:rPr>
          <w:lang w:val="en"/>
        </w:rPr>
        <w:t>,</w:t>
      </w:r>
      <w:r w:rsidRPr="009F02A9">
        <w:rPr>
          <w:lang w:val="en"/>
        </w:rPr>
        <w:t xml:space="preserve"> which has seen an increase in its population in recent times resulting in more specialist services for major specialist service such as cancer. This may reflect the spatial distribution of SACTs, which are likely to be concentrated in urban areas, particularly where there are tertiary centres that specialise in all types of cancer treatments including SACTs </w:t>
      </w:r>
      <w:r>
        <w:rPr>
          <w:lang w:val="en"/>
        </w:rPr>
        <w:t xml:space="preserve">(and offer clinical trials) </w:t>
      </w:r>
      <w:r w:rsidRPr="009F02A9">
        <w:rPr>
          <w:lang w:val="en"/>
        </w:rPr>
        <w:t>compared with smaller centres that provide a narrower range of services to rural and remote communities.</w:t>
      </w:r>
    </w:p>
    <w:p w14:paraId="58D49788" w14:textId="77777777" w:rsidR="00DE690D" w:rsidRPr="005A2A7D" w:rsidRDefault="00DE690D" w:rsidP="00DE690D">
      <w:pPr>
        <w:pStyle w:val="Body"/>
        <w:rPr>
          <w:lang w:val="en"/>
        </w:rPr>
      </w:pPr>
      <w:r w:rsidRPr="005A2A7D">
        <w:rPr>
          <w:lang w:val="en"/>
        </w:rPr>
        <w:t>Figures 12.5.1, 12.5.2, 12.5.3 and 12.5.4 show similarities with Figure 12.5 as they relate to the different variables.</w:t>
      </w:r>
    </w:p>
    <w:p w14:paraId="6EC61562" w14:textId="77777777" w:rsidR="00DE690D" w:rsidRPr="00B324F2" w:rsidRDefault="00DE690D" w:rsidP="00DE690D">
      <w:pPr>
        <w:pStyle w:val="Body"/>
      </w:pPr>
      <w:r w:rsidRPr="005A2A7D">
        <w:t xml:space="preserve">No target has been set for this measure; however, it does continue to highlight the importance of cancer patients receiving SACT within recommended timelines to ensure improved overall survival </w:t>
      </w:r>
      <w:r w:rsidRPr="005A2A7D">
        <w:rPr>
          <w:lang w:val="en"/>
        </w:rPr>
        <w:t>in the metastatic setting</w:t>
      </w:r>
      <w:r w:rsidRPr="005A2A7D">
        <w:t>.</w:t>
      </w:r>
      <w:bookmarkStart w:id="853" w:name="_Measure_12.6_–"/>
      <w:bookmarkEnd w:id="853"/>
      <w:r>
        <w:br w:type="page"/>
      </w:r>
    </w:p>
    <w:p w14:paraId="72472C1E" w14:textId="22ACD512" w:rsidR="004802D4" w:rsidRPr="009A2AFA" w:rsidRDefault="00DF376C" w:rsidP="00A451D4">
      <w:pPr>
        <w:pStyle w:val="Heading3"/>
        <w:rPr>
          <w:b/>
          <w:bCs w:val="0"/>
        </w:rPr>
      </w:pPr>
      <w:r w:rsidRPr="009A2AFA">
        <w:rPr>
          <w:b/>
          <w:bCs w:val="0"/>
        </w:rPr>
        <w:lastRenderedPageBreak/>
        <w:t>Measure 12.6 –</w:t>
      </w:r>
      <w:r w:rsidR="00FD52A4" w:rsidRPr="009A2AFA">
        <w:rPr>
          <w:b/>
          <w:bCs w:val="0"/>
        </w:rPr>
        <w:t xml:space="preserve"> Proportion of</w:t>
      </w:r>
      <w:r w:rsidR="00082EB2" w:rsidRPr="009A2AFA">
        <w:rPr>
          <w:b/>
          <w:bCs w:val="0"/>
        </w:rPr>
        <w:t xml:space="preserve"> cancer</w:t>
      </w:r>
      <w:r w:rsidR="00091548" w:rsidRPr="009A2AFA">
        <w:rPr>
          <w:b/>
          <w:bCs w:val="0"/>
        </w:rPr>
        <w:t>-</w:t>
      </w:r>
      <w:r w:rsidR="00082EB2" w:rsidRPr="009A2AFA">
        <w:rPr>
          <w:b/>
          <w:bCs w:val="0"/>
        </w:rPr>
        <w:t>related pan</w:t>
      </w:r>
      <w:r w:rsidR="00A015E8" w:rsidRPr="009A2AFA">
        <w:rPr>
          <w:b/>
          <w:bCs w:val="0"/>
        </w:rPr>
        <w:t>c</w:t>
      </w:r>
      <w:r w:rsidR="00082EB2" w:rsidRPr="009A2AFA">
        <w:rPr>
          <w:b/>
          <w:bCs w:val="0"/>
        </w:rPr>
        <w:t xml:space="preserve">reatectomies and oesophagectomies </w:t>
      </w:r>
      <w:r w:rsidR="00B52802" w:rsidRPr="009A2AFA">
        <w:rPr>
          <w:b/>
          <w:bCs w:val="0"/>
        </w:rPr>
        <w:t>taking place at appropriate volume facilities</w:t>
      </w:r>
      <w:bookmarkEnd w:id="822"/>
    </w:p>
    <w:p w14:paraId="700DCA07" w14:textId="244F9C4C" w:rsidR="009870A5" w:rsidRPr="000C52C7" w:rsidRDefault="00836AAF" w:rsidP="00867A76">
      <w:pPr>
        <w:pStyle w:val="Figurecaption"/>
        <w:rPr>
          <w:sz w:val="20"/>
        </w:rPr>
      </w:pPr>
      <w:bookmarkStart w:id="854" w:name="_Toc19008139"/>
      <w:bookmarkStart w:id="855" w:name="_Toc19008354"/>
      <w:bookmarkStart w:id="856" w:name="_Toc19008501"/>
      <w:bookmarkStart w:id="857" w:name="_Toc19008648"/>
      <w:bookmarkStart w:id="858" w:name="_Toc132553078"/>
      <w:bookmarkStart w:id="859" w:name="_Toc140827690"/>
      <w:r w:rsidRPr="000C52C7">
        <w:rPr>
          <w:sz w:val="20"/>
        </w:rPr>
        <w:t>Figure</w:t>
      </w:r>
      <w:r w:rsidR="006D128C" w:rsidRPr="000C52C7">
        <w:rPr>
          <w:sz w:val="20"/>
        </w:rPr>
        <w:t xml:space="preserve"> 12.6</w:t>
      </w:r>
      <w:r w:rsidR="003B391F" w:rsidRPr="000C52C7">
        <w:rPr>
          <w:sz w:val="20"/>
        </w:rPr>
        <w:t>:</w:t>
      </w:r>
      <w:r w:rsidR="006D128C" w:rsidRPr="000C52C7">
        <w:rPr>
          <w:sz w:val="20"/>
        </w:rPr>
        <w:t xml:space="preserve"> </w:t>
      </w:r>
      <w:r w:rsidR="006252CF" w:rsidRPr="000C52C7">
        <w:rPr>
          <w:sz w:val="20"/>
        </w:rPr>
        <w:t xml:space="preserve">Proportion </w:t>
      </w:r>
      <w:r w:rsidR="004802D4" w:rsidRPr="000C52C7">
        <w:rPr>
          <w:sz w:val="20"/>
        </w:rPr>
        <w:t xml:space="preserve">and number </w:t>
      </w:r>
      <w:r w:rsidR="006252CF" w:rsidRPr="000C52C7">
        <w:rPr>
          <w:sz w:val="20"/>
        </w:rPr>
        <w:t xml:space="preserve">of </w:t>
      </w:r>
      <w:r w:rsidR="00A015E8" w:rsidRPr="000C52C7">
        <w:rPr>
          <w:sz w:val="20"/>
        </w:rPr>
        <w:t>cancer</w:t>
      </w:r>
      <w:r w:rsidR="00091548" w:rsidRPr="000C52C7">
        <w:rPr>
          <w:sz w:val="20"/>
        </w:rPr>
        <w:t>-</w:t>
      </w:r>
      <w:r w:rsidR="00A015E8" w:rsidRPr="000C52C7">
        <w:rPr>
          <w:sz w:val="20"/>
        </w:rPr>
        <w:t xml:space="preserve">related oesophagectomies and </w:t>
      </w:r>
      <w:r w:rsidR="00F6152F" w:rsidRPr="000C52C7">
        <w:rPr>
          <w:sz w:val="20"/>
        </w:rPr>
        <w:t xml:space="preserve">pancreatectomies </w:t>
      </w:r>
      <w:r w:rsidR="005B7BBA" w:rsidRPr="000C52C7">
        <w:rPr>
          <w:sz w:val="20"/>
        </w:rPr>
        <w:t>taking place at appropriate volume</w:t>
      </w:r>
      <w:r w:rsidR="00330FBF" w:rsidRPr="000C52C7">
        <w:rPr>
          <w:sz w:val="20"/>
        </w:rPr>
        <w:t xml:space="preserve"> (facilities)</w:t>
      </w:r>
      <w:r w:rsidR="00917023" w:rsidRPr="000C52C7">
        <w:rPr>
          <w:sz w:val="20"/>
        </w:rPr>
        <w:t>,</w:t>
      </w:r>
      <w:r w:rsidR="005B7BBA" w:rsidRPr="000C52C7">
        <w:rPr>
          <w:sz w:val="20"/>
        </w:rPr>
        <w:t xml:space="preserve"> by </w:t>
      </w:r>
      <w:r w:rsidRPr="000C52C7">
        <w:rPr>
          <w:sz w:val="20"/>
        </w:rPr>
        <w:t>year</w:t>
      </w:r>
      <w:r w:rsidR="005B7BBA" w:rsidRPr="000C52C7">
        <w:rPr>
          <w:sz w:val="20"/>
        </w:rPr>
        <w:t>, 20</w:t>
      </w:r>
      <w:r w:rsidR="00367A5A" w:rsidRPr="000C52C7">
        <w:rPr>
          <w:sz w:val="20"/>
        </w:rPr>
        <w:t>13–</w:t>
      </w:r>
      <w:r w:rsidR="005B7BBA" w:rsidRPr="000C52C7">
        <w:rPr>
          <w:sz w:val="20"/>
        </w:rPr>
        <w:t>14</w:t>
      </w:r>
      <w:r w:rsidR="00367A5A" w:rsidRPr="000C52C7">
        <w:rPr>
          <w:sz w:val="20"/>
        </w:rPr>
        <w:t xml:space="preserve"> to </w:t>
      </w:r>
      <w:r w:rsidR="005B7BBA" w:rsidRPr="000C52C7">
        <w:rPr>
          <w:sz w:val="20"/>
        </w:rPr>
        <w:t>20</w:t>
      </w:r>
      <w:bookmarkEnd w:id="854"/>
      <w:bookmarkEnd w:id="855"/>
      <w:bookmarkEnd w:id="856"/>
      <w:bookmarkEnd w:id="857"/>
      <w:r w:rsidR="00367A5A" w:rsidRPr="000C52C7">
        <w:rPr>
          <w:sz w:val="20"/>
        </w:rPr>
        <w:t>21–</w:t>
      </w:r>
      <w:r w:rsidR="000D3734" w:rsidRPr="000C52C7">
        <w:rPr>
          <w:sz w:val="20"/>
        </w:rPr>
        <w:t>22</w:t>
      </w:r>
      <w:bookmarkEnd w:id="858"/>
      <w:bookmarkEnd w:id="859"/>
    </w:p>
    <w:p w14:paraId="5D33362A" w14:textId="318D7F5F" w:rsidR="000D3734" w:rsidRPr="000D3734" w:rsidRDefault="000D3734" w:rsidP="00E87AAA">
      <w:pPr>
        <w:pStyle w:val="Body"/>
      </w:pPr>
      <w:r>
        <w:rPr>
          <w:noProof/>
        </w:rPr>
        <w:drawing>
          <wp:inline distT="0" distB="0" distL="0" distR="0" wp14:anchorId="1C5C3515" wp14:editId="5219467D">
            <wp:extent cx="5731510" cy="5153890"/>
            <wp:effectExtent l="0" t="0" r="2540" b="8890"/>
            <wp:docPr id="5" name="Picture 5" descr="This figure presents data under the 'Measure 12.6 – Proportion of cancer-related pancreatectomies and oesophagectomies taking place at appropriate volume facilities'.  &#10;The data for this figure for the study period 2013-14 to 2021-22  is available in this section - refer to Table 1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his figure presents data under the 'Measure 12.6 – Proportion of cancer-related pancreatectomies and oesophagectomies taking place at appropriate volume facilities'.  &#10;The data for this figure for the study period 2013-14 to 2021-22  is available in this section - refer to Table 12.6.&#10;"/>
                    <pic:cNvPicPr/>
                  </pic:nvPicPr>
                  <pic:blipFill>
                    <a:blip r:embed="rId141"/>
                    <a:stretch>
                      <a:fillRect/>
                    </a:stretch>
                  </pic:blipFill>
                  <pic:spPr>
                    <a:xfrm>
                      <a:off x="0" y="0"/>
                      <a:ext cx="5742241" cy="5163539"/>
                    </a:xfrm>
                    <a:prstGeom prst="rect">
                      <a:avLst/>
                    </a:prstGeom>
                  </pic:spPr>
                </pic:pic>
              </a:graphicData>
            </a:graphic>
          </wp:inline>
        </w:drawing>
      </w:r>
    </w:p>
    <w:p w14:paraId="3834A3ED" w14:textId="418B3F59" w:rsidR="00A25771" w:rsidRDefault="00A25771" w:rsidP="00606436">
      <w:pPr>
        <w:pStyle w:val="Body"/>
      </w:pPr>
      <w:bookmarkStart w:id="860" w:name="_Toc18908741"/>
      <w:r>
        <w:br w:type="page"/>
      </w:r>
    </w:p>
    <w:p w14:paraId="681D278E" w14:textId="44ACA207" w:rsidR="00E928F9" w:rsidRPr="000C52C7" w:rsidRDefault="00E928F9" w:rsidP="00E928F9">
      <w:pPr>
        <w:pStyle w:val="Tablecaption"/>
        <w:rPr>
          <w:sz w:val="20"/>
        </w:rPr>
      </w:pPr>
      <w:bookmarkStart w:id="861" w:name="_Toc132491540"/>
      <w:bookmarkStart w:id="862" w:name="_Toc140834930"/>
      <w:r w:rsidRPr="000C52C7">
        <w:rPr>
          <w:sz w:val="20"/>
        </w:rPr>
        <w:lastRenderedPageBreak/>
        <w:t>Table 12.6</w:t>
      </w:r>
      <w:r w:rsidR="00D13361" w:rsidRPr="000C52C7">
        <w:rPr>
          <w:sz w:val="20"/>
        </w:rPr>
        <w:t>:</w:t>
      </w:r>
      <w:r w:rsidRPr="000C52C7">
        <w:rPr>
          <w:sz w:val="20"/>
        </w:rPr>
        <w:t xml:space="preserve"> Proportion and number of cancer-related oesophagectomies and pancreatectomies taking place at appropriate volume facilities, by year</w:t>
      </w:r>
      <w:r w:rsidR="0081521D" w:rsidRPr="000C52C7">
        <w:rPr>
          <w:sz w:val="20"/>
        </w:rPr>
        <w:t xml:space="preserve"> from</w:t>
      </w:r>
      <w:r w:rsidRPr="000C52C7">
        <w:rPr>
          <w:sz w:val="20"/>
        </w:rPr>
        <w:t xml:space="preserve"> 201</w:t>
      </w:r>
      <w:r w:rsidR="0081521D" w:rsidRPr="000C52C7">
        <w:rPr>
          <w:sz w:val="20"/>
        </w:rPr>
        <w:t>3</w:t>
      </w:r>
      <w:r w:rsidRPr="000C52C7">
        <w:rPr>
          <w:sz w:val="20"/>
        </w:rPr>
        <w:t>–1</w:t>
      </w:r>
      <w:bookmarkEnd w:id="860"/>
      <w:r w:rsidR="0081521D" w:rsidRPr="000C52C7">
        <w:rPr>
          <w:sz w:val="20"/>
        </w:rPr>
        <w:t>4 to 20</w:t>
      </w:r>
      <w:r w:rsidR="000D3734" w:rsidRPr="000C52C7">
        <w:rPr>
          <w:sz w:val="20"/>
        </w:rPr>
        <w:t>21</w:t>
      </w:r>
      <w:r w:rsidR="0081521D" w:rsidRPr="000C52C7">
        <w:rPr>
          <w:sz w:val="20"/>
        </w:rPr>
        <w:t>–</w:t>
      </w:r>
      <w:r w:rsidR="000D3734" w:rsidRPr="000C52C7">
        <w:rPr>
          <w:sz w:val="20"/>
        </w:rPr>
        <w:t>22</w:t>
      </w:r>
      <w:bookmarkEnd w:id="861"/>
      <w:bookmarkEnd w:id="862"/>
    </w:p>
    <w:tbl>
      <w:tblPr>
        <w:tblStyle w:val="TableGrid"/>
        <w:tblW w:w="11199" w:type="dxa"/>
        <w:tblInd w:w="-851"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shd w:val="clear" w:color="auto" w:fill="EDCDCF"/>
        <w:tblLook w:val="04A0" w:firstRow="1" w:lastRow="0" w:firstColumn="1" w:lastColumn="0" w:noHBand="0" w:noVBand="1"/>
      </w:tblPr>
      <w:tblGrid>
        <w:gridCol w:w="1338"/>
        <w:gridCol w:w="1110"/>
        <w:gridCol w:w="1097"/>
        <w:gridCol w:w="1134"/>
        <w:gridCol w:w="1110"/>
        <w:gridCol w:w="1110"/>
        <w:gridCol w:w="1040"/>
        <w:gridCol w:w="1149"/>
        <w:gridCol w:w="1044"/>
        <w:gridCol w:w="1067"/>
      </w:tblGrid>
      <w:tr w:rsidR="000D3734" w:rsidRPr="00072CD1" w14:paraId="19BC2A27" w14:textId="4950336A" w:rsidTr="00072CD1">
        <w:trPr>
          <w:trHeight w:val="256"/>
        </w:trPr>
        <w:tc>
          <w:tcPr>
            <w:tcW w:w="1338" w:type="dxa"/>
            <w:shd w:val="clear" w:color="auto" w:fill="EDCDCF"/>
          </w:tcPr>
          <w:p w14:paraId="3D5AD626" w14:textId="34027EBA" w:rsidR="000D3734" w:rsidRPr="00072CD1" w:rsidRDefault="000D3734" w:rsidP="0081521D">
            <w:pPr>
              <w:pStyle w:val="Tablecolhead"/>
              <w:rPr>
                <w:sz w:val="11"/>
                <w:szCs w:val="11"/>
              </w:rPr>
            </w:pPr>
            <w:r w:rsidRPr="00072CD1">
              <w:rPr>
                <w:sz w:val="11"/>
                <w:szCs w:val="11"/>
              </w:rPr>
              <w:t>Number of surgeries [n] (%)</w:t>
            </w:r>
          </w:p>
        </w:tc>
        <w:tc>
          <w:tcPr>
            <w:tcW w:w="1110" w:type="dxa"/>
            <w:shd w:val="clear" w:color="auto" w:fill="EDCDCF"/>
          </w:tcPr>
          <w:p w14:paraId="60D63D34" w14:textId="3D19C5F1" w:rsidR="000D3734" w:rsidRPr="00072CD1" w:rsidRDefault="000D3734" w:rsidP="0081521D">
            <w:pPr>
              <w:pStyle w:val="Tablecolhead"/>
              <w:rPr>
                <w:sz w:val="11"/>
                <w:szCs w:val="11"/>
              </w:rPr>
            </w:pPr>
            <w:r w:rsidRPr="00072CD1">
              <w:rPr>
                <w:sz w:val="11"/>
                <w:szCs w:val="11"/>
              </w:rPr>
              <w:t>2013–14</w:t>
            </w:r>
          </w:p>
        </w:tc>
        <w:tc>
          <w:tcPr>
            <w:tcW w:w="1097" w:type="dxa"/>
            <w:shd w:val="clear" w:color="auto" w:fill="EDCDCF"/>
          </w:tcPr>
          <w:p w14:paraId="15F6E616" w14:textId="00C9D175" w:rsidR="000D3734" w:rsidRPr="00072CD1" w:rsidRDefault="000D3734" w:rsidP="0081521D">
            <w:pPr>
              <w:pStyle w:val="Tablecolhead"/>
              <w:rPr>
                <w:sz w:val="11"/>
                <w:szCs w:val="11"/>
              </w:rPr>
            </w:pPr>
            <w:r w:rsidRPr="00072CD1">
              <w:rPr>
                <w:sz w:val="11"/>
                <w:szCs w:val="11"/>
              </w:rPr>
              <w:t>2014–15</w:t>
            </w:r>
          </w:p>
        </w:tc>
        <w:tc>
          <w:tcPr>
            <w:tcW w:w="1134" w:type="dxa"/>
            <w:shd w:val="clear" w:color="auto" w:fill="EDCDCF"/>
          </w:tcPr>
          <w:p w14:paraId="3BE58693" w14:textId="7617129A" w:rsidR="000D3734" w:rsidRPr="00072CD1" w:rsidRDefault="000D3734" w:rsidP="0081521D">
            <w:pPr>
              <w:pStyle w:val="Tablecolhead"/>
              <w:rPr>
                <w:sz w:val="11"/>
                <w:szCs w:val="11"/>
              </w:rPr>
            </w:pPr>
            <w:r w:rsidRPr="00072CD1">
              <w:rPr>
                <w:sz w:val="11"/>
                <w:szCs w:val="11"/>
              </w:rPr>
              <w:t>2015–16</w:t>
            </w:r>
          </w:p>
        </w:tc>
        <w:tc>
          <w:tcPr>
            <w:tcW w:w="1110" w:type="dxa"/>
            <w:shd w:val="clear" w:color="auto" w:fill="EDCDCF"/>
          </w:tcPr>
          <w:p w14:paraId="6D182333" w14:textId="7BAC7D61" w:rsidR="000D3734" w:rsidRPr="00072CD1" w:rsidRDefault="000D3734" w:rsidP="0081521D">
            <w:pPr>
              <w:pStyle w:val="Tablecolhead"/>
              <w:rPr>
                <w:sz w:val="11"/>
                <w:szCs w:val="11"/>
              </w:rPr>
            </w:pPr>
            <w:r w:rsidRPr="00072CD1">
              <w:rPr>
                <w:sz w:val="11"/>
                <w:szCs w:val="11"/>
              </w:rPr>
              <w:t>2016–17</w:t>
            </w:r>
          </w:p>
        </w:tc>
        <w:tc>
          <w:tcPr>
            <w:tcW w:w="1110" w:type="dxa"/>
            <w:shd w:val="clear" w:color="auto" w:fill="EDCDCF"/>
          </w:tcPr>
          <w:p w14:paraId="64997DFC" w14:textId="4EA8B279" w:rsidR="000D3734" w:rsidRPr="00072CD1" w:rsidRDefault="000D3734" w:rsidP="0081521D">
            <w:pPr>
              <w:pStyle w:val="Tablecolhead"/>
              <w:rPr>
                <w:sz w:val="11"/>
                <w:szCs w:val="11"/>
              </w:rPr>
            </w:pPr>
            <w:r w:rsidRPr="00072CD1">
              <w:rPr>
                <w:sz w:val="11"/>
                <w:szCs w:val="11"/>
              </w:rPr>
              <w:t>2017–18</w:t>
            </w:r>
          </w:p>
        </w:tc>
        <w:tc>
          <w:tcPr>
            <w:tcW w:w="1040" w:type="dxa"/>
            <w:shd w:val="clear" w:color="auto" w:fill="EDCDCF"/>
          </w:tcPr>
          <w:p w14:paraId="10A75057" w14:textId="5DC7E6E0" w:rsidR="000D3734" w:rsidRPr="00072CD1" w:rsidRDefault="000D3734" w:rsidP="0081521D">
            <w:pPr>
              <w:pStyle w:val="Tablecolhead"/>
              <w:rPr>
                <w:sz w:val="11"/>
                <w:szCs w:val="11"/>
              </w:rPr>
            </w:pPr>
            <w:r w:rsidRPr="00072CD1">
              <w:rPr>
                <w:sz w:val="11"/>
                <w:szCs w:val="11"/>
              </w:rPr>
              <w:t>2018–19</w:t>
            </w:r>
          </w:p>
        </w:tc>
        <w:tc>
          <w:tcPr>
            <w:tcW w:w="1149" w:type="dxa"/>
            <w:shd w:val="clear" w:color="auto" w:fill="EDCDCF"/>
          </w:tcPr>
          <w:p w14:paraId="1B1B8B02" w14:textId="2B9C1816" w:rsidR="000D3734" w:rsidRPr="00072CD1" w:rsidRDefault="000D3734" w:rsidP="0081521D">
            <w:pPr>
              <w:pStyle w:val="Tablecolhead"/>
              <w:rPr>
                <w:sz w:val="11"/>
                <w:szCs w:val="11"/>
              </w:rPr>
            </w:pPr>
            <w:r w:rsidRPr="00072CD1">
              <w:rPr>
                <w:sz w:val="11"/>
                <w:szCs w:val="11"/>
              </w:rPr>
              <w:t>2019–20</w:t>
            </w:r>
          </w:p>
        </w:tc>
        <w:tc>
          <w:tcPr>
            <w:tcW w:w="1044" w:type="dxa"/>
            <w:shd w:val="clear" w:color="auto" w:fill="EDCDCF"/>
          </w:tcPr>
          <w:p w14:paraId="5A348EBE" w14:textId="6E3CBBE4" w:rsidR="000D3734" w:rsidRPr="00072CD1" w:rsidRDefault="000D3734" w:rsidP="0081521D">
            <w:pPr>
              <w:pStyle w:val="Tablecolhead"/>
              <w:rPr>
                <w:sz w:val="11"/>
                <w:szCs w:val="11"/>
              </w:rPr>
            </w:pPr>
            <w:r w:rsidRPr="00072CD1">
              <w:rPr>
                <w:sz w:val="11"/>
                <w:szCs w:val="11"/>
              </w:rPr>
              <w:t>2020–21</w:t>
            </w:r>
          </w:p>
        </w:tc>
        <w:tc>
          <w:tcPr>
            <w:tcW w:w="1067" w:type="dxa"/>
            <w:shd w:val="clear" w:color="auto" w:fill="EDCDCF"/>
          </w:tcPr>
          <w:p w14:paraId="24D15854" w14:textId="2BA7DCFD" w:rsidR="000D3734" w:rsidRPr="00072CD1" w:rsidRDefault="000D3734" w:rsidP="0081521D">
            <w:pPr>
              <w:pStyle w:val="Tablecolhead"/>
              <w:rPr>
                <w:sz w:val="11"/>
                <w:szCs w:val="11"/>
              </w:rPr>
            </w:pPr>
            <w:r w:rsidRPr="00072CD1">
              <w:rPr>
                <w:sz w:val="11"/>
                <w:szCs w:val="11"/>
              </w:rPr>
              <w:t>2021–22</w:t>
            </w:r>
          </w:p>
        </w:tc>
      </w:tr>
      <w:tr w:rsidR="00EB489A" w:rsidRPr="00072CD1" w14:paraId="06876A38" w14:textId="0E365ACC" w:rsidTr="00072CD1">
        <w:trPr>
          <w:trHeight w:val="208"/>
        </w:trPr>
        <w:tc>
          <w:tcPr>
            <w:tcW w:w="1338" w:type="dxa"/>
            <w:shd w:val="clear" w:color="auto" w:fill="auto"/>
          </w:tcPr>
          <w:p w14:paraId="62A9EC5D" w14:textId="36244037" w:rsidR="00EB489A" w:rsidRPr="00072CD1" w:rsidRDefault="00EB489A" w:rsidP="00EB489A">
            <w:pPr>
              <w:pStyle w:val="Tabletext"/>
              <w:rPr>
                <w:sz w:val="11"/>
                <w:szCs w:val="11"/>
              </w:rPr>
            </w:pPr>
            <w:r w:rsidRPr="00072CD1">
              <w:rPr>
                <w:sz w:val="11"/>
                <w:szCs w:val="11"/>
              </w:rPr>
              <w:t>Pancreatic (</w:t>
            </w:r>
            <w:r w:rsidR="00367A5A">
              <w:rPr>
                <w:sz w:val="11"/>
                <w:szCs w:val="11"/>
              </w:rPr>
              <w:t>a</w:t>
            </w:r>
            <w:r w:rsidRPr="00072CD1">
              <w:rPr>
                <w:sz w:val="11"/>
                <w:szCs w:val="11"/>
              </w:rPr>
              <w:t>ll)</w:t>
            </w:r>
          </w:p>
        </w:tc>
        <w:tc>
          <w:tcPr>
            <w:tcW w:w="1110" w:type="dxa"/>
            <w:shd w:val="clear" w:color="auto" w:fill="auto"/>
          </w:tcPr>
          <w:p w14:paraId="2BDD8F97" w14:textId="62D83474" w:rsidR="00EB489A" w:rsidRPr="00072CD1" w:rsidRDefault="00EB489A" w:rsidP="00EB489A">
            <w:pPr>
              <w:pStyle w:val="Tabletext"/>
              <w:rPr>
                <w:sz w:val="11"/>
                <w:szCs w:val="11"/>
              </w:rPr>
            </w:pPr>
            <w:r w:rsidRPr="00072CD1">
              <w:rPr>
                <w:bCs/>
                <w:sz w:val="11"/>
                <w:szCs w:val="11"/>
              </w:rPr>
              <w:t>[253/276] (91.7)</w:t>
            </w:r>
          </w:p>
        </w:tc>
        <w:tc>
          <w:tcPr>
            <w:tcW w:w="1097" w:type="dxa"/>
            <w:shd w:val="clear" w:color="auto" w:fill="auto"/>
          </w:tcPr>
          <w:p w14:paraId="6DDA6B98" w14:textId="1B614286" w:rsidR="00EB489A" w:rsidRPr="00072CD1" w:rsidRDefault="00EB489A" w:rsidP="00EB489A">
            <w:pPr>
              <w:pStyle w:val="Tabletext"/>
              <w:rPr>
                <w:sz w:val="11"/>
                <w:szCs w:val="11"/>
              </w:rPr>
            </w:pPr>
            <w:r w:rsidRPr="00072CD1">
              <w:rPr>
                <w:bCs/>
                <w:sz w:val="11"/>
                <w:szCs w:val="11"/>
              </w:rPr>
              <w:t>[273/304] (89.8)</w:t>
            </w:r>
          </w:p>
        </w:tc>
        <w:tc>
          <w:tcPr>
            <w:tcW w:w="1134" w:type="dxa"/>
            <w:shd w:val="clear" w:color="auto" w:fill="auto"/>
          </w:tcPr>
          <w:p w14:paraId="6F5E9AF4" w14:textId="7D41D63C" w:rsidR="00EB489A" w:rsidRPr="00072CD1" w:rsidRDefault="00EB489A" w:rsidP="00EB489A">
            <w:pPr>
              <w:pStyle w:val="Tabletext"/>
              <w:rPr>
                <w:sz w:val="11"/>
                <w:szCs w:val="11"/>
              </w:rPr>
            </w:pPr>
            <w:r w:rsidRPr="00072CD1">
              <w:rPr>
                <w:bCs/>
                <w:sz w:val="11"/>
                <w:szCs w:val="11"/>
              </w:rPr>
              <w:t>[281/313] (89.8)</w:t>
            </w:r>
          </w:p>
        </w:tc>
        <w:tc>
          <w:tcPr>
            <w:tcW w:w="1110" w:type="dxa"/>
          </w:tcPr>
          <w:p w14:paraId="17BF92C9" w14:textId="61C4A78B" w:rsidR="00EB489A" w:rsidRPr="00072CD1" w:rsidRDefault="00EB489A" w:rsidP="00EB489A">
            <w:pPr>
              <w:pStyle w:val="Tabletext"/>
              <w:rPr>
                <w:bCs/>
                <w:sz w:val="11"/>
                <w:szCs w:val="11"/>
              </w:rPr>
            </w:pPr>
            <w:r w:rsidRPr="00072CD1">
              <w:rPr>
                <w:bCs/>
                <w:sz w:val="11"/>
                <w:szCs w:val="11"/>
              </w:rPr>
              <w:t>[320/347] (92.2)</w:t>
            </w:r>
          </w:p>
        </w:tc>
        <w:tc>
          <w:tcPr>
            <w:tcW w:w="1110" w:type="dxa"/>
          </w:tcPr>
          <w:p w14:paraId="1378B488" w14:textId="3E103407" w:rsidR="00EB489A" w:rsidRPr="00072CD1" w:rsidRDefault="00EB489A" w:rsidP="00EB489A">
            <w:pPr>
              <w:pStyle w:val="Tabletext"/>
              <w:rPr>
                <w:bCs/>
                <w:sz w:val="11"/>
                <w:szCs w:val="11"/>
              </w:rPr>
            </w:pPr>
            <w:r w:rsidRPr="00072CD1">
              <w:rPr>
                <w:bCs/>
                <w:sz w:val="11"/>
                <w:szCs w:val="11"/>
              </w:rPr>
              <w:t>[376/400] (94.0)</w:t>
            </w:r>
          </w:p>
        </w:tc>
        <w:tc>
          <w:tcPr>
            <w:tcW w:w="1040" w:type="dxa"/>
          </w:tcPr>
          <w:p w14:paraId="0D2AC438" w14:textId="0EA8BF60" w:rsidR="00EB489A" w:rsidRPr="00072CD1" w:rsidRDefault="00EB489A" w:rsidP="00EB489A">
            <w:pPr>
              <w:pStyle w:val="Tabletext"/>
              <w:rPr>
                <w:bCs/>
                <w:sz w:val="11"/>
                <w:szCs w:val="11"/>
              </w:rPr>
            </w:pPr>
            <w:r w:rsidRPr="00072CD1">
              <w:rPr>
                <w:bCs/>
                <w:sz w:val="11"/>
                <w:szCs w:val="11"/>
              </w:rPr>
              <w:t>[366/394] (92.9)</w:t>
            </w:r>
          </w:p>
        </w:tc>
        <w:tc>
          <w:tcPr>
            <w:tcW w:w="1149" w:type="dxa"/>
            <w:vAlign w:val="bottom"/>
          </w:tcPr>
          <w:p w14:paraId="3276C3C2" w14:textId="7AC26D49" w:rsidR="00EB489A" w:rsidRPr="00072CD1" w:rsidRDefault="00EB489A" w:rsidP="00EB489A">
            <w:pPr>
              <w:pStyle w:val="Tabletext"/>
              <w:rPr>
                <w:rFonts w:cs="Arial"/>
                <w:bCs/>
                <w:sz w:val="11"/>
                <w:szCs w:val="11"/>
              </w:rPr>
            </w:pPr>
            <w:r w:rsidRPr="00072CD1">
              <w:rPr>
                <w:rFonts w:cs="Arial"/>
                <w:color w:val="000000"/>
                <w:sz w:val="11"/>
                <w:szCs w:val="11"/>
              </w:rPr>
              <w:t>[397/415] (95.7)</w:t>
            </w:r>
          </w:p>
        </w:tc>
        <w:tc>
          <w:tcPr>
            <w:tcW w:w="1044" w:type="dxa"/>
            <w:vAlign w:val="bottom"/>
          </w:tcPr>
          <w:p w14:paraId="2D25BB94" w14:textId="24196AB6" w:rsidR="00EB489A" w:rsidRPr="00072CD1" w:rsidRDefault="00EB489A" w:rsidP="00EB489A">
            <w:pPr>
              <w:pStyle w:val="Tabletext"/>
              <w:rPr>
                <w:rFonts w:cs="Arial"/>
                <w:bCs/>
                <w:sz w:val="11"/>
                <w:szCs w:val="11"/>
              </w:rPr>
            </w:pPr>
            <w:r w:rsidRPr="00072CD1">
              <w:rPr>
                <w:rFonts w:cs="Arial"/>
                <w:color w:val="000000"/>
                <w:sz w:val="11"/>
                <w:szCs w:val="11"/>
              </w:rPr>
              <w:t>[449/456] (98.5)</w:t>
            </w:r>
          </w:p>
        </w:tc>
        <w:tc>
          <w:tcPr>
            <w:tcW w:w="1067" w:type="dxa"/>
            <w:vAlign w:val="bottom"/>
          </w:tcPr>
          <w:p w14:paraId="5645F423" w14:textId="2458E63A" w:rsidR="00EB489A" w:rsidRPr="00072CD1" w:rsidRDefault="00EB489A" w:rsidP="00EB489A">
            <w:pPr>
              <w:pStyle w:val="Tabletext"/>
              <w:rPr>
                <w:rFonts w:cs="Arial"/>
                <w:bCs/>
                <w:sz w:val="11"/>
                <w:szCs w:val="11"/>
              </w:rPr>
            </w:pPr>
            <w:r w:rsidRPr="00072CD1">
              <w:rPr>
                <w:rFonts w:cs="Arial"/>
                <w:color w:val="000000"/>
                <w:sz w:val="11"/>
                <w:szCs w:val="11"/>
              </w:rPr>
              <w:t>[391/410] (95.4)</w:t>
            </w:r>
          </w:p>
        </w:tc>
      </w:tr>
      <w:tr w:rsidR="00EB489A" w:rsidRPr="00072CD1" w14:paraId="46375148" w14:textId="54B3CD1D" w:rsidTr="00072CD1">
        <w:trPr>
          <w:trHeight w:val="228"/>
        </w:trPr>
        <w:tc>
          <w:tcPr>
            <w:tcW w:w="1338" w:type="dxa"/>
            <w:tcBorders>
              <w:bottom w:val="single" w:sz="4" w:space="0" w:color="C00000"/>
            </w:tcBorders>
            <w:shd w:val="clear" w:color="auto" w:fill="auto"/>
          </w:tcPr>
          <w:p w14:paraId="1402A057" w14:textId="5A851F09" w:rsidR="00EB489A" w:rsidRPr="00072CD1" w:rsidRDefault="00EB489A" w:rsidP="00EB489A">
            <w:pPr>
              <w:pStyle w:val="Tabletext"/>
              <w:rPr>
                <w:sz w:val="11"/>
                <w:szCs w:val="11"/>
              </w:rPr>
            </w:pPr>
            <w:r w:rsidRPr="00072CD1">
              <w:rPr>
                <w:sz w:val="11"/>
                <w:szCs w:val="11"/>
              </w:rPr>
              <w:t>Oesophageal (</w:t>
            </w:r>
            <w:r w:rsidR="00367A5A">
              <w:rPr>
                <w:sz w:val="11"/>
                <w:szCs w:val="11"/>
              </w:rPr>
              <w:t>a</w:t>
            </w:r>
            <w:r w:rsidRPr="00072CD1">
              <w:rPr>
                <w:sz w:val="11"/>
                <w:szCs w:val="11"/>
              </w:rPr>
              <w:t>ll)</w:t>
            </w:r>
          </w:p>
        </w:tc>
        <w:tc>
          <w:tcPr>
            <w:tcW w:w="1110" w:type="dxa"/>
            <w:tcBorders>
              <w:bottom w:val="single" w:sz="4" w:space="0" w:color="C00000"/>
            </w:tcBorders>
            <w:shd w:val="clear" w:color="auto" w:fill="auto"/>
          </w:tcPr>
          <w:p w14:paraId="43CDF3B6" w14:textId="3499DB74" w:rsidR="00EB489A" w:rsidRPr="00072CD1" w:rsidRDefault="00EB489A" w:rsidP="00EB489A">
            <w:pPr>
              <w:pStyle w:val="Tabletext"/>
              <w:rPr>
                <w:sz w:val="11"/>
                <w:szCs w:val="11"/>
              </w:rPr>
            </w:pPr>
            <w:r w:rsidRPr="00072CD1">
              <w:rPr>
                <w:bCs/>
                <w:sz w:val="11"/>
                <w:szCs w:val="11"/>
              </w:rPr>
              <w:t>[180/240] (75</w:t>
            </w:r>
            <w:r w:rsidR="00AF65C1" w:rsidRPr="00072CD1">
              <w:rPr>
                <w:bCs/>
                <w:sz w:val="11"/>
                <w:szCs w:val="11"/>
              </w:rPr>
              <w:t>.0</w:t>
            </w:r>
            <w:r w:rsidRPr="00072CD1">
              <w:rPr>
                <w:bCs/>
                <w:sz w:val="11"/>
                <w:szCs w:val="11"/>
              </w:rPr>
              <w:t>)</w:t>
            </w:r>
          </w:p>
        </w:tc>
        <w:tc>
          <w:tcPr>
            <w:tcW w:w="1097" w:type="dxa"/>
            <w:tcBorders>
              <w:bottom w:val="single" w:sz="4" w:space="0" w:color="C00000"/>
            </w:tcBorders>
            <w:shd w:val="clear" w:color="auto" w:fill="auto"/>
          </w:tcPr>
          <w:p w14:paraId="4F0B593E" w14:textId="0B575FC1" w:rsidR="00EB489A" w:rsidRPr="00072CD1" w:rsidRDefault="00EB489A" w:rsidP="00EB489A">
            <w:pPr>
              <w:pStyle w:val="Tabletext"/>
              <w:rPr>
                <w:sz w:val="11"/>
                <w:szCs w:val="11"/>
              </w:rPr>
            </w:pPr>
            <w:r w:rsidRPr="00072CD1">
              <w:rPr>
                <w:bCs/>
                <w:sz w:val="11"/>
                <w:szCs w:val="11"/>
              </w:rPr>
              <w:t>[188/265] (70.9)</w:t>
            </w:r>
          </w:p>
        </w:tc>
        <w:tc>
          <w:tcPr>
            <w:tcW w:w="1134" w:type="dxa"/>
            <w:tcBorders>
              <w:bottom w:val="single" w:sz="4" w:space="0" w:color="C00000"/>
            </w:tcBorders>
            <w:shd w:val="clear" w:color="auto" w:fill="auto"/>
          </w:tcPr>
          <w:p w14:paraId="016B8E59" w14:textId="5402D2A1" w:rsidR="00EB489A" w:rsidRPr="00072CD1" w:rsidRDefault="00EB489A" w:rsidP="00EB489A">
            <w:pPr>
              <w:pStyle w:val="Tabletext"/>
              <w:rPr>
                <w:sz w:val="11"/>
                <w:szCs w:val="11"/>
              </w:rPr>
            </w:pPr>
            <w:r w:rsidRPr="00072CD1">
              <w:rPr>
                <w:bCs/>
                <w:sz w:val="11"/>
                <w:szCs w:val="11"/>
              </w:rPr>
              <w:t>[211/275] (76.7)</w:t>
            </w:r>
          </w:p>
        </w:tc>
        <w:tc>
          <w:tcPr>
            <w:tcW w:w="1110" w:type="dxa"/>
            <w:tcBorders>
              <w:bottom w:val="single" w:sz="4" w:space="0" w:color="C00000"/>
            </w:tcBorders>
          </w:tcPr>
          <w:p w14:paraId="5904CF2D" w14:textId="418986BD" w:rsidR="00EB489A" w:rsidRPr="00072CD1" w:rsidRDefault="00EB489A" w:rsidP="00EB489A">
            <w:pPr>
              <w:pStyle w:val="Tabletext"/>
              <w:rPr>
                <w:bCs/>
                <w:sz w:val="11"/>
                <w:szCs w:val="11"/>
              </w:rPr>
            </w:pPr>
            <w:r w:rsidRPr="00072CD1">
              <w:rPr>
                <w:bCs/>
                <w:sz w:val="11"/>
                <w:szCs w:val="11"/>
              </w:rPr>
              <w:t>[202/281] (71.9)</w:t>
            </w:r>
          </w:p>
        </w:tc>
        <w:tc>
          <w:tcPr>
            <w:tcW w:w="1110" w:type="dxa"/>
            <w:tcBorders>
              <w:bottom w:val="single" w:sz="4" w:space="0" w:color="C00000"/>
            </w:tcBorders>
          </w:tcPr>
          <w:p w14:paraId="14A8A730" w14:textId="0B61C9DB" w:rsidR="00EB489A" w:rsidRPr="00072CD1" w:rsidRDefault="00EB489A" w:rsidP="00EB489A">
            <w:pPr>
              <w:pStyle w:val="Tabletext"/>
              <w:rPr>
                <w:bCs/>
                <w:sz w:val="11"/>
                <w:szCs w:val="11"/>
              </w:rPr>
            </w:pPr>
            <w:r w:rsidRPr="00072CD1">
              <w:rPr>
                <w:bCs/>
                <w:sz w:val="11"/>
                <w:szCs w:val="11"/>
              </w:rPr>
              <w:t>[223/288] (77.4)</w:t>
            </w:r>
          </w:p>
        </w:tc>
        <w:tc>
          <w:tcPr>
            <w:tcW w:w="1040" w:type="dxa"/>
            <w:tcBorders>
              <w:bottom w:val="single" w:sz="4" w:space="0" w:color="C00000"/>
            </w:tcBorders>
          </w:tcPr>
          <w:p w14:paraId="3B9565C9" w14:textId="77405AD1" w:rsidR="00EB489A" w:rsidRPr="00072CD1" w:rsidRDefault="00EB489A" w:rsidP="00EB489A">
            <w:pPr>
              <w:pStyle w:val="Tabletext"/>
              <w:rPr>
                <w:bCs/>
                <w:sz w:val="11"/>
                <w:szCs w:val="11"/>
              </w:rPr>
            </w:pPr>
            <w:r w:rsidRPr="00072CD1">
              <w:rPr>
                <w:bCs/>
                <w:sz w:val="11"/>
                <w:szCs w:val="11"/>
              </w:rPr>
              <w:t>[224/281] (79.7)</w:t>
            </w:r>
          </w:p>
        </w:tc>
        <w:tc>
          <w:tcPr>
            <w:tcW w:w="1149" w:type="dxa"/>
            <w:tcBorders>
              <w:bottom w:val="single" w:sz="4" w:space="0" w:color="C00000"/>
            </w:tcBorders>
            <w:vAlign w:val="bottom"/>
          </w:tcPr>
          <w:p w14:paraId="7BF3B335" w14:textId="67B1A9FD" w:rsidR="00EB489A" w:rsidRPr="00072CD1" w:rsidRDefault="00EB489A" w:rsidP="00EB489A">
            <w:pPr>
              <w:pStyle w:val="Tabletext"/>
              <w:rPr>
                <w:rFonts w:cs="Arial"/>
                <w:bCs/>
                <w:sz w:val="11"/>
                <w:szCs w:val="11"/>
              </w:rPr>
            </w:pPr>
            <w:r w:rsidRPr="00072CD1">
              <w:rPr>
                <w:rFonts w:cs="Arial"/>
                <w:color w:val="000000"/>
                <w:sz w:val="11"/>
                <w:szCs w:val="11"/>
              </w:rPr>
              <w:t>[227/280] (81.1)</w:t>
            </w:r>
          </w:p>
        </w:tc>
        <w:tc>
          <w:tcPr>
            <w:tcW w:w="1044" w:type="dxa"/>
            <w:tcBorders>
              <w:bottom w:val="single" w:sz="4" w:space="0" w:color="C00000"/>
            </w:tcBorders>
            <w:vAlign w:val="bottom"/>
          </w:tcPr>
          <w:p w14:paraId="7C90AA3C" w14:textId="20D5FF15" w:rsidR="00EB489A" w:rsidRPr="00072CD1" w:rsidRDefault="00EB489A" w:rsidP="00EB489A">
            <w:pPr>
              <w:pStyle w:val="Tabletext"/>
              <w:rPr>
                <w:rFonts w:cs="Arial"/>
                <w:bCs/>
                <w:sz w:val="11"/>
                <w:szCs w:val="11"/>
              </w:rPr>
            </w:pPr>
            <w:r w:rsidRPr="00072CD1">
              <w:rPr>
                <w:rFonts w:cs="Arial"/>
                <w:color w:val="000000"/>
                <w:sz w:val="11"/>
                <w:szCs w:val="11"/>
              </w:rPr>
              <w:t>[228/285] (80.0)</w:t>
            </w:r>
          </w:p>
        </w:tc>
        <w:tc>
          <w:tcPr>
            <w:tcW w:w="1067" w:type="dxa"/>
            <w:tcBorders>
              <w:bottom w:val="single" w:sz="4" w:space="0" w:color="C00000"/>
            </w:tcBorders>
            <w:vAlign w:val="bottom"/>
          </w:tcPr>
          <w:p w14:paraId="10D0A8AE" w14:textId="7BBE38A1" w:rsidR="00EB489A" w:rsidRPr="00072CD1" w:rsidRDefault="00EB489A" w:rsidP="00EB489A">
            <w:pPr>
              <w:pStyle w:val="Tabletext"/>
              <w:rPr>
                <w:rFonts w:cs="Arial"/>
                <w:bCs/>
                <w:sz w:val="11"/>
                <w:szCs w:val="11"/>
              </w:rPr>
            </w:pPr>
            <w:r w:rsidRPr="00072CD1">
              <w:rPr>
                <w:rFonts w:cs="Arial"/>
                <w:color w:val="000000"/>
                <w:sz w:val="11"/>
                <w:szCs w:val="11"/>
              </w:rPr>
              <w:t>[201/256] (78.5)</w:t>
            </w:r>
          </w:p>
        </w:tc>
      </w:tr>
      <w:tr w:rsidR="00F64541" w:rsidRPr="00072CD1" w14:paraId="0C18F1D7" w14:textId="2FE3D834" w:rsidTr="00072CD1">
        <w:trPr>
          <w:trHeight w:val="228"/>
        </w:trPr>
        <w:tc>
          <w:tcPr>
            <w:tcW w:w="1338" w:type="dxa"/>
            <w:tcBorders>
              <w:top w:val="single" w:sz="4" w:space="0" w:color="C00000"/>
              <w:bottom w:val="single" w:sz="4" w:space="0" w:color="C00000"/>
            </w:tcBorders>
            <w:shd w:val="clear" w:color="auto" w:fill="auto"/>
          </w:tcPr>
          <w:p w14:paraId="05B0FE35" w14:textId="1148242D" w:rsidR="00F64541" w:rsidRPr="00072CD1" w:rsidRDefault="00F64541" w:rsidP="00F64541">
            <w:pPr>
              <w:pStyle w:val="Tabletext"/>
              <w:rPr>
                <w:sz w:val="11"/>
                <w:szCs w:val="11"/>
              </w:rPr>
            </w:pPr>
            <w:r w:rsidRPr="00072CD1">
              <w:rPr>
                <w:sz w:val="11"/>
                <w:szCs w:val="11"/>
              </w:rPr>
              <w:t>Pancreatic (</w:t>
            </w:r>
            <w:r w:rsidR="00367A5A">
              <w:rPr>
                <w:sz w:val="11"/>
                <w:szCs w:val="11"/>
              </w:rPr>
              <w:t>p</w:t>
            </w:r>
            <w:r w:rsidRPr="00072CD1">
              <w:rPr>
                <w:sz w:val="11"/>
                <w:szCs w:val="11"/>
              </w:rPr>
              <w:t>ublic)</w:t>
            </w:r>
          </w:p>
        </w:tc>
        <w:tc>
          <w:tcPr>
            <w:tcW w:w="1110" w:type="dxa"/>
            <w:tcBorders>
              <w:top w:val="single" w:sz="4" w:space="0" w:color="C00000"/>
              <w:bottom w:val="single" w:sz="4" w:space="0" w:color="C00000"/>
            </w:tcBorders>
            <w:shd w:val="clear" w:color="auto" w:fill="auto"/>
            <w:vAlign w:val="bottom"/>
          </w:tcPr>
          <w:p w14:paraId="7214E5DB" w14:textId="74A6B96F" w:rsidR="00F64541" w:rsidRPr="00072CD1" w:rsidRDefault="00F64541" w:rsidP="00F64541">
            <w:pPr>
              <w:pStyle w:val="Tabletext"/>
              <w:rPr>
                <w:rFonts w:cs="Arial"/>
                <w:bCs/>
                <w:sz w:val="11"/>
                <w:szCs w:val="11"/>
              </w:rPr>
            </w:pPr>
            <w:r w:rsidRPr="00072CD1">
              <w:rPr>
                <w:rFonts w:cs="Arial"/>
                <w:color w:val="000000"/>
                <w:sz w:val="11"/>
                <w:szCs w:val="11"/>
              </w:rPr>
              <w:t>[154/165] (93.3)</w:t>
            </w:r>
          </w:p>
        </w:tc>
        <w:tc>
          <w:tcPr>
            <w:tcW w:w="1097" w:type="dxa"/>
            <w:tcBorders>
              <w:top w:val="single" w:sz="4" w:space="0" w:color="C00000"/>
              <w:bottom w:val="single" w:sz="4" w:space="0" w:color="C00000"/>
            </w:tcBorders>
            <w:shd w:val="clear" w:color="auto" w:fill="auto"/>
            <w:vAlign w:val="bottom"/>
          </w:tcPr>
          <w:p w14:paraId="26C30203" w14:textId="3B24D85A" w:rsidR="00F64541" w:rsidRPr="00072CD1" w:rsidRDefault="00F64541" w:rsidP="00F64541">
            <w:pPr>
              <w:pStyle w:val="Tabletext"/>
              <w:rPr>
                <w:rFonts w:cs="Arial"/>
                <w:bCs/>
                <w:sz w:val="11"/>
                <w:szCs w:val="11"/>
              </w:rPr>
            </w:pPr>
            <w:r w:rsidRPr="00072CD1">
              <w:rPr>
                <w:rFonts w:cs="Arial"/>
                <w:color w:val="000000"/>
                <w:sz w:val="11"/>
                <w:szCs w:val="11"/>
              </w:rPr>
              <w:t>[155/165] (93.9)</w:t>
            </w:r>
          </w:p>
        </w:tc>
        <w:tc>
          <w:tcPr>
            <w:tcW w:w="1134" w:type="dxa"/>
            <w:tcBorders>
              <w:top w:val="single" w:sz="4" w:space="0" w:color="C00000"/>
              <w:bottom w:val="single" w:sz="4" w:space="0" w:color="C00000"/>
            </w:tcBorders>
            <w:shd w:val="clear" w:color="auto" w:fill="auto"/>
            <w:vAlign w:val="bottom"/>
          </w:tcPr>
          <w:p w14:paraId="223105E2" w14:textId="0F8CC672" w:rsidR="00F64541" w:rsidRPr="00072CD1" w:rsidRDefault="00F64541" w:rsidP="00F64541">
            <w:pPr>
              <w:pStyle w:val="Tabletext"/>
              <w:rPr>
                <w:rFonts w:cs="Arial"/>
                <w:bCs/>
                <w:sz w:val="11"/>
                <w:szCs w:val="11"/>
              </w:rPr>
            </w:pPr>
            <w:r w:rsidRPr="00072CD1">
              <w:rPr>
                <w:rFonts w:cs="Arial"/>
                <w:color w:val="000000"/>
                <w:sz w:val="11"/>
                <w:szCs w:val="11"/>
              </w:rPr>
              <w:t>[155/164] (94.5)</w:t>
            </w:r>
          </w:p>
        </w:tc>
        <w:tc>
          <w:tcPr>
            <w:tcW w:w="1110" w:type="dxa"/>
            <w:tcBorders>
              <w:top w:val="single" w:sz="4" w:space="0" w:color="C00000"/>
              <w:bottom w:val="single" w:sz="4" w:space="0" w:color="C00000"/>
            </w:tcBorders>
            <w:vAlign w:val="bottom"/>
          </w:tcPr>
          <w:p w14:paraId="4DBB6BF1" w14:textId="26A5BD69" w:rsidR="00F64541" w:rsidRPr="00072CD1" w:rsidRDefault="00F64541" w:rsidP="00F64541">
            <w:pPr>
              <w:pStyle w:val="Tabletext"/>
              <w:rPr>
                <w:rFonts w:cs="Arial"/>
                <w:bCs/>
                <w:sz w:val="11"/>
                <w:szCs w:val="11"/>
              </w:rPr>
            </w:pPr>
            <w:r w:rsidRPr="00072CD1">
              <w:rPr>
                <w:rFonts w:cs="Arial"/>
                <w:color w:val="000000"/>
                <w:sz w:val="11"/>
                <w:szCs w:val="11"/>
              </w:rPr>
              <w:t>[186/194] (95.9)</w:t>
            </w:r>
          </w:p>
        </w:tc>
        <w:tc>
          <w:tcPr>
            <w:tcW w:w="1110" w:type="dxa"/>
            <w:tcBorders>
              <w:top w:val="single" w:sz="4" w:space="0" w:color="C00000"/>
              <w:bottom w:val="single" w:sz="4" w:space="0" w:color="C00000"/>
            </w:tcBorders>
            <w:vAlign w:val="bottom"/>
          </w:tcPr>
          <w:p w14:paraId="2A28E946" w14:textId="3F602F40" w:rsidR="00F64541" w:rsidRPr="00072CD1" w:rsidRDefault="00F64541" w:rsidP="00F64541">
            <w:pPr>
              <w:pStyle w:val="Tabletext"/>
              <w:rPr>
                <w:rFonts w:cs="Arial"/>
                <w:bCs/>
                <w:sz w:val="11"/>
                <w:szCs w:val="11"/>
              </w:rPr>
            </w:pPr>
            <w:r w:rsidRPr="00072CD1">
              <w:rPr>
                <w:rFonts w:cs="Arial"/>
                <w:color w:val="000000"/>
                <w:sz w:val="11"/>
                <w:szCs w:val="11"/>
              </w:rPr>
              <w:t>[223/229] (97.4)</w:t>
            </w:r>
          </w:p>
        </w:tc>
        <w:tc>
          <w:tcPr>
            <w:tcW w:w="1040" w:type="dxa"/>
            <w:tcBorders>
              <w:top w:val="single" w:sz="4" w:space="0" w:color="C00000"/>
              <w:bottom w:val="single" w:sz="4" w:space="0" w:color="C00000"/>
            </w:tcBorders>
            <w:vAlign w:val="bottom"/>
          </w:tcPr>
          <w:p w14:paraId="4823FDDB" w14:textId="4BA5B5D2" w:rsidR="00F64541" w:rsidRPr="00072CD1" w:rsidRDefault="00F64541" w:rsidP="00F64541">
            <w:pPr>
              <w:pStyle w:val="Tabletext"/>
              <w:rPr>
                <w:rFonts w:cs="Arial"/>
                <w:color w:val="000000"/>
                <w:sz w:val="11"/>
                <w:szCs w:val="11"/>
              </w:rPr>
            </w:pPr>
            <w:r w:rsidRPr="00072CD1">
              <w:rPr>
                <w:rFonts w:cs="Arial"/>
                <w:color w:val="000000"/>
                <w:sz w:val="11"/>
                <w:szCs w:val="11"/>
              </w:rPr>
              <w:t>[213/220] (96.8)</w:t>
            </w:r>
          </w:p>
        </w:tc>
        <w:tc>
          <w:tcPr>
            <w:tcW w:w="1149" w:type="dxa"/>
            <w:tcBorders>
              <w:top w:val="single" w:sz="4" w:space="0" w:color="C00000"/>
              <w:bottom w:val="single" w:sz="4" w:space="0" w:color="C00000"/>
            </w:tcBorders>
            <w:vAlign w:val="bottom"/>
          </w:tcPr>
          <w:p w14:paraId="5766192E" w14:textId="1B272FB2" w:rsidR="00F64541" w:rsidRPr="00072CD1" w:rsidRDefault="00F64541" w:rsidP="00F64541">
            <w:pPr>
              <w:pStyle w:val="Tabletext"/>
              <w:rPr>
                <w:rFonts w:cs="Arial"/>
                <w:color w:val="000000"/>
                <w:sz w:val="11"/>
                <w:szCs w:val="11"/>
              </w:rPr>
            </w:pPr>
            <w:r w:rsidRPr="00072CD1">
              <w:rPr>
                <w:rFonts w:cs="Arial"/>
                <w:color w:val="000000"/>
                <w:sz w:val="11"/>
                <w:szCs w:val="11"/>
              </w:rPr>
              <w:t>226/233 (97.0)</w:t>
            </w:r>
          </w:p>
        </w:tc>
        <w:tc>
          <w:tcPr>
            <w:tcW w:w="1044" w:type="dxa"/>
            <w:tcBorders>
              <w:top w:val="single" w:sz="4" w:space="0" w:color="C00000"/>
              <w:bottom w:val="single" w:sz="4" w:space="0" w:color="C00000"/>
            </w:tcBorders>
            <w:vAlign w:val="bottom"/>
          </w:tcPr>
          <w:p w14:paraId="2800844C" w14:textId="24CE72F2" w:rsidR="00F64541" w:rsidRPr="00072CD1" w:rsidRDefault="00F64541" w:rsidP="00F64541">
            <w:pPr>
              <w:pStyle w:val="Tabletext"/>
              <w:rPr>
                <w:rFonts w:cs="Arial"/>
                <w:color w:val="000000"/>
                <w:sz w:val="11"/>
                <w:szCs w:val="11"/>
              </w:rPr>
            </w:pPr>
            <w:r w:rsidRPr="00072CD1">
              <w:rPr>
                <w:rFonts w:cs="Arial"/>
                <w:color w:val="000000"/>
                <w:sz w:val="11"/>
                <w:szCs w:val="11"/>
              </w:rPr>
              <w:t>234/237 (98.7)</w:t>
            </w:r>
          </w:p>
        </w:tc>
        <w:tc>
          <w:tcPr>
            <w:tcW w:w="1067" w:type="dxa"/>
            <w:tcBorders>
              <w:top w:val="single" w:sz="4" w:space="0" w:color="C00000"/>
              <w:bottom w:val="single" w:sz="4" w:space="0" w:color="C00000"/>
            </w:tcBorders>
            <w:vAlign w:val="bottom"/>
          </w:tcPr>
          <w:p w14:paraId="52EA172F" w14:textId="214C4E6C" w:rsidR="00F64541" w:rsidRPr="00072CD1" w:rsidRDefault="00F64541" w:rsidP="00F64541">
            <w:pPr>
              <w:pStyle w:val="Tabletext"/>
              <w:rPr>
                <w:rFonts w:cs="Arial"/>
                <w:color w:val="000000"/>
                <w:sz w:val="11"/>
                <w:szCs w:val="11"/>
              </w:rPr>
            </w:pPr>
            <w:r w:rsidRPr="00072CD1">
              <w:rPr>
                <w:rFonts w:cs="Arial"/>
                <w:color w:val="000000"/>
                <w:sz w:val="11"/>
                <w:szCs w:val="11"/>
              </w:rPr>
              <w:t>207/216 (95.8)</w:t>
            </w:r>
          </w:p>
        </w:tc>
      </w:tr>
      <w:tr w:rsidR="00AF65C1" w:rsidRPr="00072CD1" w14:paraId="0C86DD7A" w14:textId="79884D2C" w:rsidTr="00072CD1">
        <w:trPr>
          <w:trHeight w:val="228"/>
        </w:trPr>
        <w:tc>
          <w:tcPr>
            <w:tcW w:w="1338" w:type="dxa"/>
            <w:tcBorders>
              <w:top w:val="single" w:sz="4" w:space="0" w:color="C00000"/>
              <w:bottom w:val="single" w:sz="4" w:space="0" w:color="C00000"/>
            </w:tcBorders>
            <w:shd w:val="clear" w:color="auto" w:fill="auto"/>
          </w:tcPr>
          <w:p w14:paraId="5137C106" w14:textId="76D217F3" w:rsidR="00AF65C1" w:rsidRPr="00072CD1" w:rsidRDefault="00AF65C1" w:rsidP="00AF65C1">
            <w:pPr>
              <w:pStyle w:val="Tabletext"/>
              <w:rPr>
                <w:sz w:val="11"/>
                <w:szCs w:val="11"/>
              </w:rPr>
            </w:pPr>
            <w:r w:rsidRPr="00072CD1">
              <w:rPr>
                <w:sz w:val="11"/>
                <w:szCs w:val="11"/>
              </w:rPr>
              <w:t>Oesophageal (</w:t>
            </w:r>
            <w:r w:rsidR="00367A5A">
              <w:rPr>
                <w:sz w:val="11"/>
                <w:szCs w:val="11"/>
              </w:rPr>
              <w:t>p</w:t>
            </w:r>
            <w:r w:rsidRPr="00072CD1">
              <w:rPr>
                <w:sz w:val="11"/>
                <w:szCs w:val="11"/>
              </w:rPr>
              <w:t>ublic)</w:t>
            </w:r>
          </w:p>
        </w:tc>
        <w:tc>
          <w:tcPr>
            <w:tcW w:w="1110" w:type="dxa"/>
            <w:tcBorders>
              <w:top w:val="single" w:sz="4" w:space="0" w:color="C00000"/>
              <w:bottom w:val="single" w:sz="4" w:space="0" w:color="C00000"/>
            </w:tcBorders>
            <w:shd w:val="clear" w:color="auto" w:fill="auto"/>
            <w:vAlign w:val="bottom"/>
          </w:tcPr>
          <w:p w14:paraId="62F4E123" w14:textId="13084B36" w:rsidR="00AF65C1" w:rsidRPr="00072CD1" w:rsidRDefault="00AF65C1" w:rsidP="00AF65C1">
            <w:pPr>
              <w:pStyle w:val="Tabletext"/>
              <w:rPr>
                <w:rFonts w:cs="Arial"/>
                <w:bCs/>
                <w:sz w:val="11"/>
                <w:szCs w:val="11"/>
              </w:rPr>
            </w:pPr>
            <w:r w:rsidRPr="00072CD1">
              <w:rPr>
                <w:rFonts w:cs="Arial"/>
                <w:color w:val="000000"/>
                <w:sz w:val="11"/>
                <w:szCs w:val="11"/>
              </w:rPr>
              <w:t>[113/137] (82.5)</w:t>
            </w:r>
          </w:p>
        </w:tc>
        <w:tc>
          <w:tcPr>
            <w:tcW w:w="1097" w:type="dxa"/>
            <w:tcBorders>
              <w:top w:val="single" w:sz="4" w:space="0" w:color="C00000"/>
              <w:bottom w:val="single" w:sz="4" w:space="0" w:color="C00000"/>
            </w:tcBorders>
            <w:shd w:val="clear" w:color="auto" w:fill="auto"/>
            <w:vAlign w:val="bottom"/>
          </w:tcPr>
          <w:p w14:paraId="676DF360" w14:textId="45777675" w:rsidR="00AF65C1" w:rsidRPr="00072CD1" w:rsidRDefault="00AF65C1" w:rsidP="00AF65C1">
            <w:pPr>
              <w:pStyle w:val="Tabletext"/>
              <w:rPr>
                <w:rFonts w:cs="Arial"/>
                <w:bCs/>
                <w:sz w:val="11"/>
                <w:szCs w:val="11"/>
              </w:rPr>
            </w:pPr>
            <w:r w:rsidRPr="00072CD1">
              <w:rPr>
                <w:rFonts w:cs="Arial"/>
                <w:color w:val="000000"/>
                <w:sz w:val="11"/>
                <w:szCs w:val="11"/>
              </w:rPr>
              <w:t>[126/159] (79.3)</w:t>
            </w:r>
          </w:p>
        </w:tc>
        <w:tc>
          <w:tcPr>
            <w:tcW w:w="1134" w:type="dxa"/>
            <w:tcBorders>
              <w:top w:val="single" w:sz="4" w:space="0" w:color="C00000"/>
              <w:bottom w:val="single" w:sz="4" w:space="0" w:color="C00000"/>
            </w:tcBorders>
            <w:shd w:val="clear" w:color="auto" w:fill="auto"/>
            <w:vAlign w:val="bottom"/>
          </w:tcPr>
          <w:p w14:paraId="001E86CA" w14:textId="65B75652" w:rsidR="00AF65C1" w:rsidRPr="00072CD1" w:rsidRDefault="00AF65C1" w:rsidP="00AF65C1">
            <w:pPr>
              <w:pStyle w:val="Tabletext"/>
              <w:rPr>
                <w:rFonts w:cs="Arial"/>
                <w:bCs/>
                <w:sz w:val="11"/>
                <w:szCs w:val="11"/>
              </w:rPr>
            </w:pPr>
            <w:r w:rsidRPr="00072CD1">
              <w:rPr>
                <w:rFonts w:cs="Arial"/>
                <w:color w:val="000000"/>
                <w:sz w:val="11"/>
                <w:szCs w:val="11"/>
              </w:rPr>
              <w:t>[158/178] (88.8)</w:t>
            </w:r>
          </w:p>
        </w:tc>
        <w:tc>
          <w:tcPr>
            <w:tcW w:w="1110" w:type="dxa"/>
            <w:tcBorders>
              <w:top w:val="single" w:sz="4" w:space="0" w:color="C00000"/>
              <w:bottom w:val="single" w:sz="4" w:space="0" w:color="C00000"/>
            </w:tcBorders>
            <w:vAlign w:val="bottom"/>
          </w:tcPr>
          <w:p w14:paraId="2E25AFDA" w14:textId="70F7990C" w:rsidR="00AF65C1" w:rsidRPr="00072CD1" w:rsidRDefault="00AF65C1" w:rsidP="00AF65C1">
            <w:pPr>
              <w:pStyle w:val="Tabletext"/>
              <w:rPr>
                <w:rFonts w:cs="Arial"/>
                <w:bCs/>
                <w:sz w:val="11"/>
                <w:szCs w:val="11"/>
              </w:rPr>
            </w:pPr>
            <w:r w:rsidRPr="00072CD1">
              <w:rPr>
                <w:rFonts w:cs="Arial"/>
                <w:color w:val="000000"/>
                <w:sz w:val="11"/>
                <w:szCs w:val="11"/>
              </w:rPr>
              <w:t>[139/183] (76.0)</w:t>
            </w:r>
          </w:p>
        </w:tc>
        <w:tc>
          <w:tcPr>
            <w:tcW w:w="1110" w:type="dxa"/>
            <w:tcBorders>
              <w:top w:val="single" w:sz="4" w:space="0" w:color="C00000"/>
              <w:bottom w:val="single" w:sz="4" w:space="0" w:color="C00000"/>
            </w:tcBorders>
            <w:vAlign w:val="bottom"/>
          </w:tcPr>
          <w:p w14:paraId="76D80813" w14:textId="7FFAD1C2" w:rsidR="00AF65C1" w:rsidRPr="00072CD1" w:rsidRDefault="00AF65C1" w:rsidP="00AF65C1">
            <w:pPr>
              <w:pStyle w:val="Tabletext"/>
              <w:rPr>
                <w:rFonts w:cs="Arial"/>
                <w:bCs/>
                <w:sz w:val="11"/>
                <w:szCs w:val="11"/>
              </w:rPr>
            </w:pPr>
            <w:r w:rsidRPr="00072CD1">
              <w:rPr>
                <w:rFonts w:cs="Arial"/>
                <w:color w:val="000000"/>
                <w:sz w:val="11"/>
                <w:szCs w:val="11"/>
              </w:rPr>
              <w:t>[175/201] (87.1)</w:t>
            </w:r>
          </w:p>
        </w:tc>
        <w:tc>
          <w:tcPr>
            <w:tcW w:w="1040" w:type="dxa"/>
            <w:tcBorders>
              <w:top w:val="single" w:sz="4" w:space="0" w:color="C00000"/>
              <w:bottom w:val="single" w:sz="4" w:space="0" w:color="C00000"/>
            </w:tcBorders>
            <w:vAlign w:val="bottom"/>
          </w:tcPr>
          <w:p w14:paraId="393174F9" w14:textId="0BFECF44" w:rsidR="00AF65C1" w:rsidRPr="00072CD1" w:rsidRDefault="00AF65C1" w:rsidP="00AF65C1">
            <w:pPr>
              <w:pStyle w:val="Tabletext"/>
              <w:rPr>
                <w:rFonts w:cs="Arial"/>
                <w:color w:val="000000"/>
                <w:sz w:val="11"/>
                <w:szCs w:val="11"/>
              </w:rPr>
            </w:pPr>
            <w:r w:rsidRPr="00072CD1">
              <w:rPr>
                <w:rFonts w:cs="Arial"/>
                <w:color w:val="000000"/>
                <w:sz w:val="11"/>
                <w:szCs w:val="11"/>
              </w:rPr>
              <w:t>[</w:t>
            </w:r>
            <w:r w:rsidR="00F64541" w:rsidRPr="00072CD1">
              <w:rPr>
                <w:rFonts w:cs="Arial"/>
                <w:color w:val="000000"/>
                <w:sz w:val="11"/>
                <w:szCs w:val="11"/>
              </w:rPr>
              <w:t>179</w:t>
            </w:r>
            <w:r w:rsidRPr="00072CD1">
              <w:rPr>
                <w:rFonts w:cs="Arial"/>
                <w:color w:val="000000"/>
                <w:sz w:val="11"/>
                <w:szCs w:val="11"/>
              </w:rPr>
              <w:t>/208] (86.1)</w:t>
            </w:r>
          </w:p>
        </w:tc>
        <w:tc>
          <w:tcPr>
            <w:tcW w:w="1149" w:type="dxa"/>
            <w:tcBorders>
              <w:top w:val="single" w:sz="4" w:space="0" w:color="C00000"/>
              <w:bottom w:val="single" w:sz="4" w:space="0" w:color="C00000"/>
            </w:tcBorders>
            <w:vAlign w:val="bottom"/>
          </w:tcPr>
          <w:p w14:paraId="0662B6ED" w14:textId="10971B6D" w:rsidR="00AF65C1" w:rsidRPr="00072CD1" w:rsidRDefault="00AF65C1" w:rsidP="00AF65C1">
            <w:pPr>
              <w:pStyle w:val="Tabletext"/>
              <w:rPr>
                <w:rFonts w:cs="Arial"/>
                <w:color w:val="000000"/>
                <w:sz w:val="11"/>
                <w:szCs w:val="11"/>
              </w:rPr>
            </w:pPr>
            <w:r w:rsidRPr="00072CD1">
              <w:rPr>
                <w:rFonts w:cs="Arial"/>
                <w:color w:val="000000"/>
                <w:sz w:val="11"/>
                <w:szCs w:val="11"/>
              </w:rPr>
              <w:t>[180/192] (93.8)</w:t>
            </w:r>
          </w:p>
        </w:tc>
        <w:tc>
          <w:tcPr>
            <w:tcW w:w="1044" w:type="dxa"/>
            <w:tcBorders>
              <w:top w:val="single" w:sz="4" w:space="0" w:color="C00000"/>
              <w:bottom w:val="single" w:sz="4" w:space="0" w:color="C00000"/>
            </w:tcBorders>
            <w:vAlign w:val="bottom"/>
          </w:tcPr>
          <w:p w14:paraId="51D2FA94" w14:textId="3D598E7A" w:rsidR="00AF65C1" w:rsidRPr="00072CD1" w:rsidRDefault="00AF65C1" w:rsidP="00AF65C1">
            <w:pPr>
              <w:pStyle w:val="Tabletext"/>
              <w:rPr>
                <w:rFonts w:cs="Arial"/>
                <w:color w:val="000000"/>
                <w:sz w:val="11"/>
                <w:szCs w:val="11"/>
              </w:rPr>
            </w:pPr>
            <w:r w:rsidRPr="00072CD1">
              <w:rPr>
                <w:rFonts w:cs="Arial"/>
                <w:color w:val="000000"/>
                <w:sz w:val="11"/>
                <w:szCs w:val="11"/>
              </w:rPr>
              <w:t>[177/188] (94.2)</w:t>
            </w:r>
          </w:p>
        </w:tc>
        <w:tc>
          <w:tcPr>
            <w:tcW w:w="1067" w:type="dxa"/>
            <w:tcBorders>
              <w:top w:val="single" w:sz="4" w:space="0" w:color="C00000"/>
              <w:bottom w:val="single" w:sz="4" w:space="0" w:color="C00000"/>
            </w:tcBorders>
            <w:vAlign w:val="bottom"/>
          </w:tcPr>
          <w:p w14:paraId="7D058EC9" w14:textId="3B4D0C0E" w:rsidR="00AF65C1" w:rsidRPr="00072CD1" w:rsidRDefault="00AF65C1" w:rsidP="00AF65C1">
            <w:pPr>
              <w:pStyle w:val="Tabletext"/>
              <w:rPr>
                <w:rFonts w:cs="Arial"/>
                <w:color w:val="000000"/>
                <w:sz w:val="11"/>
                <w:szCs w:val="11"/>
              </w:rPr>
            </w:pPr>
            <w:r w:rsidRPr="00072CD1">
              <w:rPr>
                <w:rFonts w:cs="Arial"/>
                <w:color w:val="000000"/>
                <w:sz w:val="11"/>
                <w:szCs w:val="11"/>
              </w:rPr>
              <w:t>[160/185] (86.5)</w:t>
            </w:r>
          </w:p>
        </w:tc>
      </w:tr>
      <w:tr w:rsidR="00F64541" w:rsidRPr="00072CD1" w14:paraId="6BAB7DC7" w14:textId="5943B452" w:rsidTr="00072CD1">
        <w:trPr>
          <w:trHeight w:val="228"/>
        </w:trPr>
        <w:tc>
          <w:tcPr>
            <w:tcW w:w="1338" w:type="dxa"/>
            <w:tcBorders>
              <w:top w:val="single" w:sz="4" w:space="0" w:color="C00000"/>
              <w:bottom w:val="single" w:sz="4" w:space="0" w:color="C00000"/>
            </w:tcBorders>
            <w:shd w:val="clear" w:color="auto" w:fill="auto"/>
          </w:tcPr>
          <w:p w14:paraId="6570EFB1" w14:textId="4075594C" w:rsidR="00F64541" w:rsidRPr="00072CD1" w:rsidRDefault="00F64541" w:rsidP="00F64541">
            <w:pPr>
              <w:pStyle w:val="Tabletext"/>
              <w:rPr>
                <w:sz w:val="11"/>
                <w:szCs w:val="11"/>
              </w:rPr>
            </w:pPr>
            <w:r w:rsidRPr="00072CD1">
              <w:rPr>
                <w:sz w:val="11"/>
                <w:szCs w:val="11"/>
              </w:rPr>
              <w:t>Pancreatic (</w:t>
            </w:r>
            <w:r w:rsidR="00367A5A">
              <w:rPr>
                <w:sz w:val="11"/>
                <w:szCs w:val="11"/>
              </w:rPr>
              <w:t>p</w:t>
            </w:r>
            <w:r w:rsidRPr="00072CD1">
              <w:rPr>
                <w:sz w:val="11"/>
                <w:szCs w:val="11"/>
              </w:rPr>
              <w:t>rivate)</w:t>
            </w:r>
          </w:p>
        </w:tc>
        <w:tc>
          <w:tcPr>
            <w:tcW w:w="1110" w:type="dxa"/>
            <w:tcBorders>
              <w:top w:val="single" w:sz="4" w:space="0" w:color="C00000"/>
              <w:bottom w:val="single" w:sz="4" w:space="0" w:color="C00000"/>
            </w:tcBorders>
            <w:shd w:val="clear" w:color="auto" w:fill="auto"/>
            <w:vAlign w:val="bottom"/>
          </w:tcPr>
          <w:p w14:paraId="38A83982" w14:textId="1FB69D2E" w:rsidR="00F64541" w:rsidRPr="00072CD1" w:rsidRDefault="00F64541" w:rsidP="00F64541">
            <w:pPr>
              <w:pStyle w:val="Tabletext"/>
              <w:rPr>
                <w:rFonts w:cs="Arial"/>
                <w:bCs/>
                <w:sz w:val="11"/>
                <w:szCs w:val="11"/>
              </w:rPr>
            </w:pPr>
            <w:r w:rsidRPr="00072CD1">
              <w:rPr>
                <w:rFonts w:cs="Arial"/>
                <w:color w:val="000000"/>
                <w:sz w:val="11"/>
                <w:szCs w:val="11"/>
              </w:rPr>
              <w:t>[99/111] (89.2)</w:t>
            </w:r>
          </w:p>
        </w:tc>
        <w:tc>
          <w:tcPr>
            <w:tcW w:w="1097" w:type="dxa"/>
            <w:tcBorders>
              <w:top w:val="single" w:sz="4" w:space="0" w:color="C00000"/>
              <w:bottom w:val="single" w:sz="4" w:space="0" w:color="C00000"/>
            </w:tcBorders>
            <w:shd w:val="clear" w:color="auto" w:fill="auto"/>
            <w:vAlign w:val="bottom"/>
          </w:tcPr>
          <w:p w14:paraId="28B312C2" w14:textId="3BB8B9C4" w:rsidR="00F64541" w:rsidRPr="00072CD1" w:rsidRDefault="00F64541" w:rsidP="00F64541">
            <w:pPr>
              <w:pStyle w:val="Tabletext"/>
              <w:rPr>
                <w:rFonts w:cs="Arial"/>
                <w:bCs/>
                <w:sz w:val="11"/>
                <w:szCs w:val="11"/>
              </w:rPr>
            </w:pPr>
            <w:r w:rsidRPr="00072CD1">
              <w:rPr>
                <w:rFonts w:cs="Arial"/>
                <w:color w:val="000000"/>
                <w:sz w:val="11"/>
                <w:szCs w:val="11"/>
              </w:rPr>
              <w:t>[118/139] (84.9)</w:t>
            </w:r>
          </w:p>
        </w:tc>
        <w:tc>
          <w:tcPr>
            <w:tcW w:w="1134" w:type="dxa"/>
            <w:tcBorders>
              <w:top w:val="single" w:sz="4" w:space="0" w:color="C00000"/>
              <w:bottom w:val="single" w:sz="4" w:space="0" w:color="C00000"/>
            </w:tcBorders>
            <w:shd w:val="clear" w:color="auto" w:fill="auto"/>
            <w:vAlign w:val="bottom"/>
          </w:tcPr>
          <w:p w14:paraId="78E370D8" w14:textId="38BB55B1" w:rsidR="00F64541" w:rsidRPr="00072CD1" w:rsidRDefault="00F64541" w:rsidP="00F64541">
            <w:pPr>
              <w:pStyle w:val="Tabletext"/>
              <w:rPr>
                <w:rFonts w:cs="Arial"/>
                <w:bCs/>
                <w:sz w:val="11"/>
                <w:szCs w:val="11"/>
              </w:rPr>
            </w:pPr>
            <w:r w:rsidRPr="00072CD1">
              <w:rPr>
                <w:rFonts w:cs="Arial"/>
                <w:color w:val="000000"/>
                <w:sz w:val="11"/>
                <w:szCs w:val="11"/>
              </w:rPr>
              <w:t>[126/149] (84.6)</w:t>
            </w:r>
          </w:p>
        </w:tc>
        <w:tc>
          <w:tcPr>
            <w:tcW w:w="1110" w:type="dxa"/>
            <w:tcBorders>
              <w:top w:val="single" w:sz="4" w:space="0" w:color="C00000"/>
              <w:bottom w:val="single" w:sz="4" w:space="0" w:color="C00000"/>
            </w:tcBorders>
            <w:vAlign w:val="bottom"/>
          </w:tcPr>
          <w:p w14:paraId="486CFC8A" w14:textId="05D337B4" w:rsidR="00F64541" w:rsidRPr="00072CD1" w:rsidRDefault="00F64541" w:rsidP="00F64541">
            <w:pPr>
              <w:pStyle w:val="Tabletext"/>
              <w:rPr>
                <w:rFonts w:cs="Arial"/>
                <w:bCs/>
                <w:sz w:val="11"/>
                <w:szCs w:val="11"/>
              </w:rPr>
            </w:pPr>
            <w:r w:rsidRPr="00072CD1">
              <w:rPr>
                <w:rFonts w:cs="Arial"/>
                <w:color w:val="000000"/>
                <w:sz w:val="11"/>
                <w:szCs w:val="11"/>
              </w:rPr>
              <w:t>[134/153] (87.6)</w:t>
            </w:r>
          </w:p>
        </w:tc>
        <w:tc>
          <w:tcPr>
            <w:tcW w:w="1110" w:type="dxa"/>
            <w:tcBorders>
              <w:top w:val="single" w:sz="4" w:space="0" w:color="C00000"/>
              <w:bottom w:val="single" w:sz="4" w:space="0" w:color="C00000"/>
            </w:tcBorders>
            <w:vAlign w:val="bottom"/>
          </w:tcPr>
          <w:p w14:paraId="18210D88" w14:textId="130CA40C" w:rsidR="00F64541" w:rsidRPr="00072CD1" w:rsidRDefault="00F64541" w:rsidP="00F64541">
            <w:pPr>
              <w:pStyle w:val="Tabletext"/>
              <w:rPr>
                <w:rFonts w:cs="Arial"/>
                <w:bCs/>
                <w:sz w:val="11"/>
                <w:szCs w:val="11"/>
              </w:rPr>
            </w:pPr>
            <w:r w:rsidRPr="00072CD1">
              <w:rPr>
                <w:rFonts w:cs="Arial"/>
                <w:color w:val="000000"/>
                <w:sz w:val="11"/>
                <w:szCs w:val="11"/>
              </w:rPr>
              <w:t>[153/171] (89.5)</w:t>
            </w:r>
          </w:p>
        </w:tc>
        <w:tc>
          <w:tcPr>
            <w:tcW w:w="1040" w:type="dxa"/>
            <w:tcBorders>
              <w:top w:val="single" w:sz="4" w:space="0" w:color="C00000"/>
              <w:bottom w:val="single" w:sz="4" w:space="0" w:color="C00000"/>
            </w:tcBorders>
            <w:vAlign w:val="bottom"/>
          </w:tcPr>
          <w:p w14:paraId="61F1EEB7" w14:textId="66FE27EA" w:rsidR="00F64541" w:rsidRPr="00072CD1" w:rsidRDefault="00F64541" w:rsidP="00F64541">
            <w:pPr>
              <w:pStyle w:val="Tabletext"/>
              <w:rPr>
                <w:rFonts w:cs="Arial"/>
                <w:color w:val="000000"/>
                <w:sz w:val="11"/>
                <w:szCs w:val="11"/>
              </w:rPr>
            </w:pPr>
            <w:r w:rsidRPr="00072CD1">
              <w:rPr>
                <w:rFonts w:cs="Arial"/>
                <w:color w:val="000000"/>
                <w:sz w:val="11"/>
                <w:szCs w:val="11"/>
              </w:rPr>
              <w:t>[153/174] (87.9)</w:t>
            </w:r>
          </w:p>
        </w:tc>
        <w:tc>
          <w:tcPr>
            <w:tcW w:w="1149" w:type="dxa"/>
            <w:tcBorders>
              <w:top w:val="single" w:sz="4" w:space="0" w:color="C00000"/>
              <w:bottom w:val="single" w:sz="4" w:space="0" w:color="C00000"/>
            </w:tcBorders>
            <w:vAlign w:val="bottom"/>
          </w:tcPr>
          <w:p w14:paraId="4EE9D103" w14:textId="60944058" w:rsidR="00F64541" w:rsidRPr="00072CD1" w:rsidRDefault="00F64541" w:rsidP="00F64541">
            <w:pPr>
              <w:pStyle w:val="Tabletext"/>
              <w:rPr>
                <w:rFonts w:cs="Arial"/>
                <w:color w:val="000000"/>
                <w:sz w:val="11"/>
                <w:szCs w:val="11"/>
              </w:rPr>
            </w:pPr>
            <w:r w:rsidRPr="00072CD1">
              <w:rPr>
                <w:rFonts w:cs="Arial"/>
                <w:color w:val="000000"/>
                <w:sz w:val="11"/>
                <w:szCs w:val="11"/>
              </w:rPr>
              <w:t>[171/182] (93.96)</w:t>
            </w:r>
          </w:p>
        </w:tc>
        <w:tc>
          <w:tcPr>
            <w:tcW w:w="1044" w:type="dxa"/>
            <w:tcBorders>
              <w:top w:val="single" w:sz="4" w:space="0" w:color="C00000"/>
              <w:bottom w:val="single" w:sz="4" w:space="0" w:color="C00000"/>
            </w:tcBorders>
            <w:vAlign w:val="bottom"/>
          </w:tcPr>
          <w:p w14:paraId="31ACBAA5" w14:textId="32756695" w:rsidR="00F64541" w:rsidRPr="00072CD1" w:rsidRDefault="00F64541" w:rsidP="00F64541">
            <w:pPr>
              <w:pStyle w:val="Tabletext"/>
              <w:rPr>
                <w:rFonts w:cs="Arial"/>
                <w:color w:val="000000"/>
                <w:sz w:val="11"/>
                <w:szCs w:val="11"/>
              </w:rPr>
            </w:pPr>
            <w:r w:rsidRPr="00072CD1">
              <w:rPr>
                <w:rFonts w:cs="Arial"/>
                <w:color w:val="000000"/>
                <w:sz w:val="11"/>
                <w:szCs w:val="11"/>
              </w:rPr>
              <w:t>[215/219] (98.2)</w:t>
            </w:r>
          </w:p>
        </w:tc>
        <w:tc>
          <w:tcPr>
            <w:tcW w:w="1067" w:type="dxa"/>
            <w:tcBorders>
              <w:top w:val="single" w:sz="4" w:space="0" w:color="C00000"/>
              <w:bottom w:val="single" w:sz="4" w:space="0" w:color="C00000"/>
            </w:tcBorders>
            <w:vAlign w:val="bottom"/>
          </w:tcPr>
          <w:p w14:paraId="15699F02" w14:textId="5CED2A35" w:rsidR="00F64541" w:rsidRPr="00072CD1" w:rsidRDefault="00F64541" w:rsidP="00F64541">
            <w:pPr>
              <w:pStyle w:val="Tabletext"/>
              <w:rPr>
                <w:rFonts w:cs="Arial"/>
                <w:color w:val="000000"/>
                <w:sz w:val="11"/>
                <w:szCs w:val="11"/>
              </w:rPr>
            </w:pPr>
            <w:r w:rsidRPr="00072CD1">
              <w:rPr>
                <w:rFonts w:cs="Arial"/>
                <w:color w:val="000000"/>
                <w:sz w:val="11"/>
                <w:szCs w:val="11"/>
              </w:rPr>
              <w:t>[184/194] (94.9)</w:t>
            </w:r>
          </w:p>
        </w:tc>
      </w:tr>
      <w:tr w:rsidR="00AF65C1" w:rsidRPr="00072CD1" w14:paraId="45FA59E6" w14:textId="1005D4D0" w:rsidTr="00072CD1">
        <w:trPr>
          <w:trHeight w:val="228"/>
        </w:trPr>
        <w:tc>
          <w:tcPr>
            <w:tcW w:w="1338" w:type="dxa"/>
            <w:tcBorders>
              <w:top w:val="single" w:sz="4" w:space="0" w:color="C00000"/>
              <w:bottom w:val="single" w:sz="4" w:space="0" w:color="C00000"/>
            </w:tcBorders>
            <w:shd w:val="clear" w:color="auto" w:fill="auto"/>
          </w:tcPr>
          <w:p w14:paraId="527A2C6A" w14:textId="675D0B84" w:rsidR="00AF65C1" w:rsidRPr="00072CD1" w:rsidRDefault="00AF65C1" w:rsidP="00AF65C1">
            <w:pPr>
              <w:pStyle w:val="Tabletext"/>
              <w:rPr>
                <w:bCs/>
                <w:sz w:val="11"/>
                <w:szCs w:val="11"/>
              </w:rPr>
            </w:pPr>
            <w:r w:rsidRPr="00072CD1">
              <w:rPr>
                <w:sz w:val="11"/>
                <w:szCs w:val="11"/>
              </w:rPr>
              <w:t xml:space="preserve">Oesophageal </w:t>
            </w:r>
            <w:r w:rsidR="003F1F99">
              <w:rPr>
                <w:sz w:val="11"/>
                <w:szCs w:val="11"/>
              </w:rPr>
              <w:t>(private)</w:t>
            </w:r>
          </w:p>
        </w:tc>
        <w:tc>
          <w:tcPr>
            <w:tcW w:w="1110" w:type="dxa"/>
            <w:tcBorders>
              <w:top w:val="single" w:sz="4" w:space="0" w:color="C00000"/>
              <w:bottom w:val="single" w:sz="4" w:space="0" w:color="C00000"/>
            </w:tcBorders>
            <w:shd w:val="clear" w:color="auto" w:fill="auto"/>
            <w:vAlign w:val="bottom"/>
          </w:tcPr>
          <w:p w14:paraId="3406B174" w14:textId="3FF36D81" w:rsidR="00AF65C1" w:rsidRPr="00072CD1" w:rsidRDefault="00AF65C1" w:rsidP="00AF65C1">
            <w:pPr>
              <w:pStyle w:val="Tabletext"/>
              <w:rPr>
                <w:rFonts w:cs="Arial"/>
                <w:bCs/>
                <w:sz w:val="11"/>
                <w:szCs w:val="11"/>
              </w:rPr>
            </w:pPr>
            <w:r w:rsidRPr="00072CD1">
              <w:rPr>
                <w:rFonts w:cs="Arial"/>
                <w:color w:val="000000"/>
                <w:sz w:val="11"/>
                <w:szCs w:val="11"/>
              </w:rPr>
              <w:t>[67/103] (65.1)</w:t>
            </w:r>
          </w:p>
        </w:tc>
        <w:tc>
          <w:tcPr>
            <w:tcW w:w="1097" w:type="dxa"/>
            <w:tcBorders>
              <w:top w:val="single" w:sz="4" w:space="0" w:color="C00000"/>
              <w:bottom w:val="single" w:sz="4" w:space="0" w:color="C00000"/>
            </w:tcBorders>
            <w:shd w:val="clear" w:color="auto" w:fill="auto"/>
            <w:vAlign w:val="bottom"/>
          </w:tcPr>
          <w:p w14:paraId="7FD28BE6" w14:textId="00D9D600" w:rsidR="00AF65C1" w:rsidRPr="00072CD1" w:rsidRDefault="00AF65C1" w:rsidP="00AF65C1">
            <w:pPr>
              <w:pStyle w:val="Tabletext"/>
              <w:rPr>
                <w:rFonts w:cs="Arial"/>
                <w:bCs/>
                <w:sz w:val="11"/>
                <w:szCs w:val="11"/>
              </w:rPr>
            </w:pPr>
            <w:r w:rsidRPr="00072CD1">
              <w:rPr>
                <w:rFonts w:cs="Arial"/>
                <w:color w:val="000000"/>
                <w:sz w:val="11"/>
                <w:szCs w:val="11"/>
              </w:rPr>
              <w:t>[62/106] (58.5)</w:t>
            </w:r>
          </w:p>
        </w:tc>
        <w:tc>
          <w:tcPr>
            <w:tcW w:w="1134" w:type="dxa"/>
            <w:tcBorders>
              <w:top w:val="single" w:sz="4" w:space="0" w:color="C00000"/>
              <w:bottom w:val="single" w:sz="4" w:space="0" w:color="C00000"/>
            </w:tcBorders>
            <w:shd w:val="clear" w:color="auto" w:fill="auto"/>
            <w:vAlign w:val="bottom"/>
          </w:tcPr>
          <w:p w14:paraId="4B4DF1D0" w14:textId="2B308E8F" w:rsidR="00AF65C1" w:rsidRPr="00072CD1" w:rsidRDefault="00AF65C1" w:rsidP="00AF65C1">
            <w:pPr>
              <w:pStyle w:val="Tabletext"/>
              <w:rPr>
                <w:rFonts w:cs="Arial"/>
                <w:bCs/>
                <w:sz w:val="11"/>
                <w:szCs w:val="11"/>
              </w:rPr>
            </w:pPr>
            <w:r w:rsidRPr="00072CD1">
              <w:rPr>
                <w:rFonts w:cs="Arial"/>
                <w:color w:val="000000"/>
                <w:sz w:val="11"/>
                <w:szCs w:val="11"/>
              </w:rPr>
              <w:t>[53/97] (54.6)</w:t>
            </w:r>
          </w:p>
        </w:tc>
        <w:tc>
          <w:tcPr>
            <w:tcW w:w="1110" w:type="dxa"/>
            <w:tcBorders>
              <w:top w:val="single" w:sz="4" w:space="0" w:color="C00000"/>
              <w:bottom w:val="single" w:sz="4" w:space="0" w:color="C00000"/>
            </w:tcBorders>
            <w:vAlign w:val="bottom"/>
          </w:tcPr>
          <w:p w14:paraId="08428AC3" w14:textId="72B880C2" w:rsidR="00AF65C1" w:rsidRPr="00072CD1" w:rsidRDefault="00AF65C1" w:rsidP="00AF65C1">
            <w:pPr>
              <w:pStyle w:val="Tabletext"/>
              <w:rPr>
                <w:rFonts w:cs="Arial"/>
                <w:bCs/>
                <w:sz w:val="11"/>
                <w:szCs w:val="11"/>
              </w:rPr>
            </w:pPr>
            <w:r w:rsidRPr="00072CD1">
              <w:rPr>
                <w:rFonts w:cs="Arial"/>
                <w:color w:val="000000"/>
                <w:sz w:val="11"/>
                <w:szCs w:val="11"/>
              </w:rPr>
              <w:t>[63/98] (64.3)</w:t>
            </w:r>
          </w:p>
        </w:tc>
        <w:tc>
          <w:tcPr>
            <w:tcW w:w="1110" w:type="dxa"/>
            <w:tcBorders>
              <w:top w:val="single" w:sz="4" w:space="0" w:color="C00000"/>
              <w:bottom w:val="single" w:sz="4" w:space="0" w:color="C00000"/>
            </w:tcBorders>
            <w:vAlign w:val="bottom"/>
          </w:tcPr>
          <w:p w14:paraId="7BD21847" w14:textId="3AA54E45" w:rsidR="00AF65C1" w:rsidRPr="00072CD1" w:rsidRDefault="00AF65C1" w:rsidP="00AF65C1">
            <w:pPr>
              <w:pStyle w:val="Tabletext"/>
              <w:rPr>
                <w:rFonts w:cs="Arial"/>
                <w:bCs/>
                <w:sz w:val="11"/>
                <w:szCs w:val="11"/>
              </w:rPr>
            </w:pPr>
            <w:r w:rsidRPr="00072CD1">
              <w:rPr>
                <w:rFonts w:cs="Arial"/>
                <w:color w:val="000000"/>
                <w:sz w:val="11"/>
                <w:szCs w:val="11"/>
              </w:rPr>
              <w:t>[48/87] (55.2)</w:t>
            </w:r>
          </w:p>
        </w:tc>
        <w:tc>
          <w:tcPr>
            <w:tcW w:w="1040" w:type="dxa"/>
            <w:tcBorders>
              <w:top w:val="single" w:sz="4" w:space="0" w:color="C00000"/>
              <w:bottom w:val="single" w:sz="4" w:space="0" w:color="C00000"/>
            </w:tcBorders>
            <w:vAlign w:val="bottom"/>
          </w:tcPr>
          <w:p w14:paraId="0B354B88" w14:textId="0D84CC7B" w:rsidR="00AF65C1" w:rsidRPr="00072CD1" w:rsidRDefault="00AF65C1" w:rsidP="00AF65C1">
            <w:pPr>
              <w:pStyle w:val="Tabletext"/>
              <w:rPr>
                <w:rFonts w:cs="Arial"/>
                <w:bCs/>
                <w:sz w:val="11"/>
                <w:szCs w:val="11"/>
              </w:rPr>
            </w:pPr>
            <w:r w:rsidRPr="00072CD1">
              <w:rPr>
                <w:rFonts w:cs="Arial"/>
                <w:color w:val="000000"/>
                <w:sz w:val="11"/>
                <w:szCs w:val="11"/>
              </w:rPr>
              <w:t>[45/73] (61.6)</w:t>
            </w:r>
          </w:p>
        </w:tc>
        <w:tc>
          <w:tcPr>
            <w:tcW w:w="1149" w:type="dxa"/>
            <w:tcBorders>
              <w:top w:val="single" w:sz="4" w:space="0" w:color="C00000"/>
              <w:bottom w:val="single" w:sz="4" w:space="0" w:color="C00000"/>
            </w:tcBorders>
            <w:vAlign w:val="bottom"/>
          </w:tcPr>
          <w:p w14:paraId="6B89E887" w14:textId="6AA5032B" w:rsidR="00AF65C1" w:rsidRPr="00072CD1" w:rsidRDefault="00AF65C1" w:rsidP="00AF65C1">
            <w:pPr>
              <w:pStyle w:val="Tabletext"/>
              <w:rPr>
                <w:rFonts w:cs="Arial"/>
                <w:color w:val="000000"/>
                <w:sz w:val="11"/>
                <w:szCs w:val="11"/>
              </w:rPr>
            </w:pPr>
            <w:r w:rsidRPr="00072CD1">
              <w:rPr>
                <w:rFonts w:cs="Arial"/>
                <w:color w:val="000000"/>
                <w:sz w:val="11"/>
                <w:szCs w:val="11"/>
              </w:rPr>
              <w:t>[47/88] (53.4)</w:t>
            </w:r>
          </w:p>
        </w:tc>
        <w:tc>
          <w:tcPr>
            <w:tcW w:w="1044" w:type="dxa"/>
            <w:tcBorders>
              <w:top w:val="single" w:sz="4" w:space="0" w:color="C00000"/>
              <w:bottom w:val="single" w:sz="4" w:space="0" w:color="C00000"/>
            </w:tcBorders>
            <w:vAlign w:val="bottom"/>
          </w:tcPr>
          <w:p w14:paraId="55FDED90" w14:textId="312EB1C3" w:rsidR="00AF65C1" w:rsidRPr="00072CD1" w:rsidRDefault="00AF65C1" w:rsidP="00AF65C1">
            <w:pPr>
              <w:pStyle w:val="Tabletext"/>
              <w:rPr>
                <w:rFonts w:cs="Arial"/>
                <w:color w:val="000000"/>
                <w:sz w:val="11"/>
                <w:szCs w:val="11"/>
              </w:rPr>
            </w:pPr>
            <w:r w:rsidRPr="00072CD1">
              <w:rPr>
                <w:rFonts w:cs="Arial"/>
                <w:color w:val="000000"/>
                <w:sz w:val="11"/>
                <w:szCs w:val="11"/>
              </w:rPr>
              <w:t>[51/97] (52.6)</w:t>
            </w:r>
          </w:p>
        </w:tc>
        <w:tc>
          <w:tcPr>
            <w:tcW w:w="1067" w:type="dxa"/>
            <w:tcBorders>
              <w:top w:val="single" w:sz="4" w:space="0" w:color="C00000"/>
              <w:bottom w:val="single" w:sz="4" w:space="0" w:color="C00000"/>
            </w:tcBorders>
            <w:vAlign w:val="bottom"/>
          </w:tcPr>
          <w:p w14:paraId="4AC1F52C" w14:textId="7D7AD223" w:rsidR="00AF65C1" w:rsidRPr="00072CD1" w:rsidRDefault="00AF65C1" w:rsidP="00AF65C1">
            <w:pPr>
              <w:pStyle w:val="Tabletext"/>
              <w:rPr>
                <w:rFonts w:cs="Arial"/>
                <w:color w:val="000000"/>
                <w:sz w:val="11"/>
                <w:szCs w:val="11"/>
              </w:rPr>
            </w:pPr>
            <w:r w:rsidRPr="00072CD1">
              <w:rPr>
                <w:rFonts w:cs="Arial"/>
                <w:color w:val="000000"/>
                <w:sz w:val="11"/>
                <w:szCs w:val="11"/>
              </w:rPr>
              <w:t>[41/71] (57.8)</w:t>
            </w:r>
          </w:p>
        </w:tc>
      </w:tr>
      <w:tr w:rsidR="00072CD1" w:rsidRPr="00072CD1" w14:paraId="00F999D6" w14:textId="0DE76903" w:rsidTr="003B391F">
        <w:trPr>
          <w:trHeight w:val="208"/>
        </w:trPr>
        <w:tc>
          <w:tcPr>
            <w:tcW w:w="11199" w:type="dxa"/>
            <w:gridSpan w:val="10"/>
            <w:tcBorders>
              <w:top w:val="single" w:sz="4" w:space="0" w:color="C00000"/>
            </w:tcBorders>
            <w:shd w:val="clear" w:color="auto" w:fill="EDCDCF"/>
          </w:tcPr>
          <w:p w14:paraId="01B44B45" w14:textId="6417DB74" w:rsidR="00072CD1" w:rsidRPr="00072CD1" w:rsidRDefault="00072CD1" w:rsidP="0081521D">
            <w:pPr>
              <w:pStyle w:val="Tablecolhead"/>
              <w:rPr>
                <w:sz w:val="11"/>
                <w:szCs w:val="11"/>
              </w:rPr>
            </w:pPr>
            <w:r w:rsidRPr="00072CD1">
              <w:rPr>
                <w:sz w:val="11"/>
                <w:szCs w:val="11"/>
              </w:rPr>
              <w:t>Number of hospitals [n] (%)</w:t>
            </w:r>
          </w:p>
        </w:tc>
      </w:tr>
      <w:tr w:rsidR="0062681D" w:rsidRPr="00072CD1" w14:paraId="0D3A1B5F" w14:textId="7CB84BDD" w:rsidTr="00072CD1">
        <w:trPr>
          <w:trHeight w:val="208"/>
        </w:trPr>
        <w:tc>
          <w:tcPr>
            <w:tcW w:w="1338" w:type="dxa"/>
            <w:shd w:val="clear" w:color="auto" w:fill="auto"/>
          </w:tcPr>
          <w:p w14:paraId="028F6A55" w14:textId="2EEA37A5" w:rsidR="0062681D" w:rsidRPr="00072CD1" w:rsidRDefault="0062681D" w:rsidP="0062681D">
            <w:pPr>
              <w:pStyle w:val="Tabletext"/>
              <w:rPr>
                <w:sz w:val="11"/>
                <w:szCs w:val="11"/>
              </w:rPr>
            </w:pPr>
            <w:r w:rsidRPr="00072CD1">
              <w:rPr>
                <w:sz w:val="11"/>
                <w:szCs w:val="11"/>
              </w:rPr>
              <w:t>Pancreatic (</w:t>
            </w:r>
            <w:r w:rsidR="00367A5A">
              <w:rPr>
                <w:sz w:val="11"/>
                <w:szCs w:val="11"/>
              </w:rPr>
              <w:t>a</w:t>
            </w:r>
            <w:r w:rsidRPr="00072CD1">
              <w:rPr>
                <w:sz w:val="11"/>
                <w:szCs w:val="11"/>
              </w:rPr>
              <w:t>ll)</w:t>
            </w:r>
          </w:p>
        </w:tc>
        <w:tc>
          <w:tcPr>
            <w:tcW w:w="1110" w:type="dxa"/>
            <w:shd w:val="clear" w:color="auto" w:fill="auto"/>
          </w:tcPr>
          <w:p w14:paraId="52EEEC36" w14:textId="659941F1" w:rsidR="0062681D" w:rsidRPr="00072CD1" w:rsidRDefault="0062681D" w:rsidP="0062681D">
            <w:pPr>
              <w:pStyle w:val="Tabletext"/>
              <w:rPr>
                <w:sz w:val="11"/>
                <w:szCs w:val="11"/>
              </w:rPr>
            </w:pPr>
            <w:r w:rsidRPr="00072CD1">
              <w:rPr>
                <w:bCs/>
                <w:sz w:val="11"/>
                <w:szCs w:val="11"/>
              </w:rPr>
              <w:t>[16/33] (48)</w:t>
            </w:r>
          </w:p>
        </w:tc>
        <w:tc>
          <w:tcPr>
            <w:tcW w:w="1097" w:type="dxa"/>
            <w:shd w:val="clear" w:color="auto" w:fill="auto"/>
          </w:tcPr>
          <w:p w14:paraId="32E8B4D6" w14:textId="43839F2E" w:rsidR="0062681D" w:rsidRPr="00072CD1" w:rsidRDefault="0062681D" w:rsidP="0062681D">
            <w:pPr>
              <w:pStyle w:val="Tabletext"/>
              <w:rPr>
                <w:sz w:val="11"/>
                <w:szCs w:val="11"/>
              </w:rPr>
            </w:pPr>
            <w:r w:rsidRPr="00072CD1">
              <w:rPr>
                <w:bCs/>
                <w:sz w:val="11"/>
                <w:szCs w:val="11"/>
              </w:rPr>
              <w:t>[16/37] (43)</w:t>
            </w:r>
          </w:p>
        </w:tc>
        <w:tc>
          <w:tcPr>
            <w:tcW w:w="1134" w:type="dxa"/>
            <w:shd w:val="clear" w:color="auto" w:fill="auto"/>
          </w:tcPr>
          <w:p w14:paraId="246E3F79" w14:textId="1B0474F1" w:rsidR="0062681D" w:rsidRPr="00072CD1" w:rsidRDefault="0062681D" w:rsidP="0062681D">
            <w:pPr>
              <w:pStyle w:val="Tabletext"/>
              <w:rPr>
                <w:sz w:val="11"/>
                <w:szCs w:val="11"/>
              </w:rPr>
            </w:pPr>
            <w:r w:rsidRPr="00072CD1">
              <w:rPr>
                <w:bCs/>
                <w:sz w:val="11"/>
                <w:szCs w:val="11"/>
              </w:rPr>
              <w:t>[17/36] (47)</w:t>
            </w:r>
          </w:p>
        </w:tc>
        <w:tc>
          <w:tcPr>
            <w:tcW w:w="1110" w:type="dxa"/>
          </w:tcPr>
          <w:p w14:paraId="18251735" w14:textId="4EAE97DA" w:rsidR="0062681D" w:rsidRPr="00072CD1" w:rsidRDefault="0062681D" w:rsidP="0062681D">
            <w:pPr>
              <w:pStyle w:val="Tabletext"/>
              <w:rPr>
                <w:bCs/>
                <w:sz w:val="11"/>
                <w:szCs w:val="11"/>
              </w:rPr>
            </w:pPr>
            <w:r w:rsidRPr="00072CD1">
              <w:rPr>
                <w:bCs/>
                <w:sz w:val="11"/>
                <w:szCs w:val="11"/>
              </w:rPr>
              <w:t>[18/32] (56)</w:t>
            </w:r>
          </w:p>
        </w:tc>
        <w:tc>
          <w:tcPr>
            <w:tcW w:w="1110" w:type="dxa"/>
          </w:tcPr>
          <w:p w14:paraId="1BA1B2A8" w14:textId="50079A12" w:rsidR="0062681D" w:rsidRPr="00072CD1" w:rsidRDefault="0062681D" w:rsidP="0062681D">
            <w:pPr>
              <w:pStyle w:val="Tabletext"/>
              <w:rPr>
                <w:bCs/>
                <w:sz w:val="11"/>
                <w:szCs w:val="11"/>
              </w:rPr>
            </w:pPr>
            <w:r w:rsidRPr="00072CD1">
              <w:rPr>
                <w:bCs/>
                <w:sz w:val="11"/>
                <w:szCs w:val="11"/>
              </w:rPr>
              <w:t>[19/31] (61)</w:t>
            </w:r>
          </w:p>
        </w:tc>
        <w:tc>
          <w:tcPr>
            <w:tcW w:w="1040" w:type="dxa"/>
          </w:tcPr>
          <w:p w14:paraId="114DF8CA" w14:textId="6D577A9C" w:rsidR="0062681D" w:rsidRPr="00072CD1" w:rsidRDefault="0062681D" w:rsidP="0062681D">
            <w:pPr>
              <w:pStyle w:val="Tabletext"/>
              <w:rPr>
                <w:bCs/>
                <w:sz w:val="11"/>
                <w:szCs w:val="11"/>
              </w:rPr>
            </w:pPr>
            <w:r w:rsidRPr="00072CD1">
              <w:rPr>
                <w:bCs/>
                <w:sz w:val="11"/>
                <w:szCs w:val="11"/>
              </w:rPr>
              <w:t>[19/31] (61)</w:t>
            </w:r>
          </w:p>
        </w:tc>
        <w:tc>
          <w:tcPr>
            <w:tcW w:w="1149" w:type="dxa"/>
            <w:vAlign w:val="bottom"/>
          </w:tcPr>
          <w:p w14:paraId="572AF5D5" w14:textId="6D059E30" w:rsidR="0062681D" w:rsidRPr="00072CD1" w:rsidRDefault="0062681D" w:rsidP="0062681D">
            <w:pPr>
              <w:pStyle w:val="Tabletext"/>
              <w:rPr>
                <w:rFonts w:cs="Arial"/>
                <w:bCs/>
                <w:sz w:val="11"/>
                <w:szCs w:val="11"/>
              </w:rPr>
            </w:pPr>
            <w:r w:rsidRPr="00072CD1">
              <w:rPr>
                <w:rFonts w:cs="Arial"/>
                <w:color w:val="000000"/>
                <w:sz w:val="11"/>
                <w:szCs w:val="11"/>
              </w:rPr>
              <w:t>[19/31] (61)</w:t>
            </w:r>
          </w:p>
        </w:tc>
        <w:tc>
          <w:tcPr>
            <w:tcW w:w="1044" w:type="dxa"/>
            <w:vAlign w:val="bottom"/>
          </w:tcPr>
          <w:p w14:paraId="4447F55A" w14:textId="28375005" w:rsidR="0062681D" w:rsidRPr="00072CD1" w:rsidRDefault="0062681D" w:rsidP="0062681D">
            <w:pPr>
              <w:pStyle w:val="Tabletext"/>
              <w:rPr>
                <w:rFonts w:cs="Arial"/>
                <w:bCs/>
                <w:sz w:val="11"/>
                <w:szCs w:val="11"/>
              </w:rPr>
            </w:pPr>
            <w:r w:rsidRPr="00072CD1">
              <w:rPr>
                <w:rFonts w:cs="Arial"/>
                <w:color w:val="000000"/>
                <w:sz w:val="11"/>
                <w:szCs w:val="11"/>
              </w:rPr>
              <w:t>[20/32] (62)</w:t>
            </w:r>
          </w:p>
        </w:tc>
        <w:tc>
          <w:tcPr>
            <w:tcW w:w="1067" w:type="dxa"/>
            <w:vAlign w:val="bottom"/>
          </w:tcPr>
          <w:p w14:paraId="45434729" w14:textId="11CA8096" w:rsidR="0062681D" w:rsidRPr="00072CD1" w:rsidRDefault="0062681D" w:rsidP="0062681D">
            <w:pPr>
              <w:pStyle w:val="Tabletext"/>
              <w:rPr>
                <w:rFonts w:cs="Arial"/>
                <w:bCs/>
                <w:sz w:val="11"/>
                <w:szCs w:val="11"/>
              </w:rPr>
            </w:pPr>
            <w:r w:rsidRPr="00072CD1">
              <w:rPr>
                <w:rFonts w:cs="Arial"/>
                <w:color w:val="000000"/>
                <w:sz w:val="11"/>
                <w:szCs w:val="11"/>
              </w:rPr>
              <w:t>[20/34] (59)</w:t>
            </w:r>
          </w:p>
        </w:tc>
      </w:tr>
      <w:tr w:rsidR="00F05915" w:rsidRPr="00072CD1" w14:paraId="08BF11C3" w14:textId="410DD3A0" w:rsidTr="00072CD1">
        <w:trPr>
          <w:trHeight w:val="208"/>
        </w:trPr>
        <w:tc>
          <w:tcPr>
            <w:tcW w:w="1338" w:type="dxa"/>
            <w:shd w:val="clear" w:color="auto" w:fill="auto"/>
          </w:tcPr>
          <w:p w14:paraId="2CE5F28B" w14:textId="6699C322" w:rsidR="00F05915" w:rsidRPr="00072CD1" w:rsidRDefault="00F05915" w:rsidP="00F05915">
            <w:pPr>
              <w:pStyle w:val="Tabletext"/>
              <w:rPr>
                <w:sz w:val="11"/>
                <w:szCs w:val="11"/>
              </w:rPr>
            </w:pPr>
            <w:r w:rsidRPr="00072CD1">
              <w:rPr>
                <w:sz w:val="11"/>
                <w:szCs w:val="11"/>
              </w:rPr>
              <w:t>Oesophageal (</w:t>
            </w:r>
            <w:r w:rsidR="00367A5A">
              <w:rPr>
                <w:sz w:val="11"/>
                <w:szCs w:val="11"/>
              </w:rPr>
              <w:t>a</w:t>
            </w:r>
            <w:r w:rsidRPr="00072CD1">
              <w:rPr>
                <w:sz w:val="11"/>
                <w:szCs w:val="11"/>
              </w:rPr>
              <w:t>ll)</w:t>
            </w:r>
          </w:p>
        </w:tc>
        <w:tc>
          <w:tcPr>
            <w:tcW w:w="1110" w:type="dxa"/>
            <w:shd w:val="clear" w:color="auto" w:fill="auto"/>
          </w:tcPr>
          <w:p w14:paraId="0C967F63" w14:textId="1F9364E1" w:rsidR="00F05915" w:rsidRPr="00072CD1" w:rsidRDefault="00F05915" w:rsidP="00F05915">
            <w:pPr>
              <w:pStyle w:val="Tabletext"/>
              <w:rPr>
                <w:sz w:val="11"/>
                <w:szCs w:val="11"/>
              </w:rPr>
            </w:pPr>
            <w:r w:rsidRPr="00072CD1">
              <w:rPr>
                <w:sz w:val="11"/>
                <w:szCs w:val="11"/>
              </w:rPr>
              <w:t>[10/23] (43)</w:t>
            </w:r>
          </w:p>
        </w:tc>
        <w:tc>
          <w:tcPr>
            <w:tcW w:w="1097" w:type="dxa"/>
            <w:shd w:val="clear" w:color="auto" w:fill="auto"/>
          </w:tcPr>
          <w:p w14:paraId="04A1B7FC" w14:textId="71031D99" w:rsidR="00F05915" w:rsidRPr="00072CD1" w:rsidRDefault="00F05915" w:rsidP="00F05915">
            <w:pPr>
              <w:pStyle w:val="Tabletext"/>
              <w:rPr>
                <w:sz w:val="11"/>
                <w:szCs w:val="11"/>
              </w:rPr>
            </w:pPr>
            <w:r w:rsidRPr="00072CD1">
              <w:rPr>
                <w:sz w:val="11"/>
                <w:szCs w:val="11"/>
              </w:rPr>
              <w:t>[10/23] (43)</w:t>
            </w:r>
          </w:p>
        </w:tc>
        <w:tc>
          <w:tcPr>
            <w:tcW w:w="1134" w:type="dxa"/>
            <w:shd w:val="clear" w:color="auto" w:fill="auto"/>
          </w:tcPr>
          <w:p w14:paraId="4B1BE8CE" w14:textId="4944D744" w:rsidR="00F05915" w:rsidRPr="00072CD1" w:rsidRDefault="00F05915" w:rsidP="00F05915">
            <w:pPr>
              <w:pStyle w:val="Tabletext"/>
              <w:rPr>
                <w:sz w:val="11"/>
                <w:szCs w:val="11"/>
              </w:rPr>
            </w:pPr>
            <w:r w:rsidRPr="00072CD1">
              <w:rPr>
                <w:sz w:val="11"/>
                <w:szCs w:val="11"/>
              </w:rPr>
              <w:t>[12/24] (50)</w:t>
            </w:r>
          </w:p>
        </w:tc>
        <w:tc>
          <w:tcPr>
            <w:tcW w:w="1110" w:type="dxa"/>
          </w:tcPr>
          <w:p w14:paraId="064D8A3E" w14:textId="0EA7751F" w:rsidR="00F05915" w:rsidRPr="00072CD1" w:rsidRDefault="00F05915" w:rsidP="00F05915">
            <w:pPr>
              <w:pStyle w:val="Tabletext"/>
              <w:rPr>
                <w:sz w:val="11"/>
                <w:szCs w:val="11"/>
              </w:rPr>
            </w:pPr>
            <w:r w:rsidRPr="00072CD1">
              <w:rPr>
                <w:sz w:val="11"/>
                <w:szCs w:val="11"/>
              </w:rPr>
              <w:t>[10/26] (38)</w:t>
            </w:r>
          </w:p>
        </w:tc>
        <w:tc>
          <w:tcPr>
            <w:tcW w:w="1110" w:type="dxa"/>
          </w:tcPr>
          <w:p w14:paraId="7A500E90" w14:textId="09DD6CE6" w:rsidR="00F05915" w:rsidRPr="00072CD1" w:rsidRDefault="00F05915" w:rsidP="00F05915">
            <w:pPr>
              <w:pStyle w:val="Tabletext"/>
              <w:rPr>
                <w:sz w:val="11"/>
                <w:szCs w:val="11"/>
              </w:rPr>
            </w:pPr>
            <w:r w:rsidRPr="00072CD1">
              <w:rPr>
                <w:sz w:val="11"/>
                <w:szCs w:val="11"/>
              </w:rPr>
              <w:t>[11/25] (44)</w:t>
            </w:r>
          </w:p>
        </w:tc>
        <w:tc>
          <w:tcPr>
            <w:tcW w:w="1040" w:type="dxa"/>
          </w:tcPr>
          <w:p w14:paraId="08683F6B" w14:textId="6B3275C8" w:rsidR="00F05915" w:rsidRPr="00072CD1" w:rsidRDefault="00F05915" w:rsidP="00F05915">
            <w:pPr>
              <w:pStyle w:val="Tabletext"/>
              <w:rPr>
                <w:sz w:val="11"/>
                <w:szCs w:val="11"/>
              </w:rPr>
            </w:pPr>
            <w:r w:rsidRPr="00072CD1">
              <w:rPr>
                <w:sz w:val="11"/>
                <w:szCs w:val="11"/>
              </w:rPr>
              <w:t>[11/23] (32)</w:t>
            </w:r>
          </w:p>
        </w:tc>
        <w:tc>
          <w:tcPr>
            <w:tcW w:w="1149" w:type="dxa"/>
            <w:vAlign w:val="bottom"/>
          </w:tcPr>
          <w:p w14:paraId="120705F5" w14:textId="2B2EDEF1" w:rsidR="00F05915" w:rsidRPr="00072CD1" w:rsidRDefault="00F05915" w:rsidP="00F05915">
            <w:pPr>
              <w:pStyle w:val="Tabletext"/>
              <w:rPr>
                <w:rFonts w:cs="Arial"/>
                <w:sz w:val="11"/>
                <w:szCs w:val="11"/>
              </w:rPr>
            </w:pPr>
            <w:r w:rsidRPr="00072CD1">
              <w:rPr>
                <w:rFonts w:cs="Arial"/>
                <w:color w:val="000000"/>
                <w:sz w:val="11"/>
                <w:szCs w:val="11"/>
              </w:rPr>
              <w:t>[12/24] (50)</w:t>
            </w:r>
          </w:p>
        </w:tc>
        <w:tc>
          <w:tcPr>
            <w:tcW w:w="1044" w:type="dxa"/>
            <w:vAlign w:val="bottom"/>
          </w:tcPr>
          <w:p w14:paraId="658EC0A7" w14:textId="609E80E6" w:rsidR="00F05915" w:rsidRPr="00072CD1" w:rsidRDefault="00F05915" w:rsidP="00F05915">
            <w:pPr>
              <w:pStyle w:val="Tabletext"/>
              <w:rPr>
                <w:rFonts w:cs="Arial"/>
                <w:sz w:val="11"/>
                <w:szCs w:val="11"/>
              </w:rPr>
            </w:pPr>
            <w:r w:rsidRPr="00072CD1">
              <w:rPr>
                <w:rFonts w:cs="Arial"/>
                <w:color w:val="000000"/>
                <w:sz w:val="11"/>
                <w:szCs w:val="11"/>
              </w:rPr>
              <w:t>[12/24] (50)</w:t>
            </w:r>
          </w:p>
        </w:tc>
        <w:tc>
          <w:tcPr>
            <w:tcW w:w="1067" w:type="dxa"/>
            <w:vAlign w:val="bottom"/>
          </w:tcPr>
          <w:p w14:paraId="4A7C71E6" w14:textId="66D3ECDB" w:rsidR="00F05915" w:rsidRPr="00072CD1" w:rsidRDefault="00F05915" w:rsidP="00F05915">
            <w:pPr>
              <w:pStyle w:val="Tabletext"/>
              <w:rPr>
                <w:rFonts w:cs="Arial"/>
                <w:sz w:val="11"/>
                <w:szCs w:val="11"/>
              </w:rPr>
            </w:pPr>
            <w:r w:rsidRPr="00072CD1">
              <w:rPr>
                <w:rFonts w:cs="Arial"/>
                <w:color w:val="000000"/>
                <w:sz w:val="11"/>
                <w:szCs w:val="11"/>
              </w:rPr>
              <w:t>[10/22] (45)</w:t>
            </w:r>
          </w:p>
        </w:tc>
      </w:tr>
      <w:tr w:rsidR="00072CD1" w:rsidRPr="00072CD1" w14:paraId="7B0F8A3F" w14:textId="232A570E" w:rsidTr="00072CD1">
        <w:trPr>
          <w:trHeight w:val="208"/>
        </w:trPr>
        <w:tc>
          <w:tcPr>
            <w:tcW w:w="1338" w:type="dxa"/>
            <w:shd w:val="clear" w:color="auto" w:fill="auto"/>
          </w:tcPr>
          <w:p w14:paraId="06FD7C5E" w14:textId="7DB04DDB" w:rsidR="00072CD1" w:rsidRPr="00072CD1" w:rsidRDefault="00072CD1" w:rsidP="00072CD1">
            <w:pPr>
              <w:pStyle w:val="Tabletext"/>
              <w:rPr>
                <w:sz w:val="11"/>
                <w:szCs w:val="11"/>
              </w:rPr>
            </w:pPr>
            <w:r w:rsidRPr="00072CD1">
              <w:rPr>
                <w:sz w:val="11"/>
                <w:szCs w:val="11"/>
              </w:rPr>
              <w:t>Pancreatic (</w:t>
            </w:r>
            <w:r w:rsidR="00367A5A">
              <w:rPr>
                <w:sz w:val="11"/>
                <w:szCs w:val="11"/>
              </w:rPr>
              <w:t>p</w:t>
            </w:r>
            <w:r w:rsidRPr="00072CD1">
              <w:rPr>
                <w:sz w:val="11"/>
                <w:szCs w:val="11"/>
              </w:rPr>
              <w:t>ublic)</w:t>
            </w:r>
          </w:p>
        </w:tc>
        <w:tc>
          <w:tcPr>
            <w:tcW w:w="1110" w:type="dxa"/>
            <w:shd w:val="clear" w:color="auto" w:fill="auto"/>
            <w:vAlign w:val="bottom"/>
          </w:tcPr>
          <w:p w14:paraId="4598E7C2" w14:textId="650EA38E" w:rsidR="00072CD1" w:rsidRPr="00072CD1" w:rsidRDefault="00072CD1" w:rsidP="00072CD1">
            <w:pPr>
              <w:pStyle w:val="Tabletext"/>
              <w:rPr>
                <w:sz w:val="11"/>
                <w:szCs w:val="11"/>
              </w:rPr>
            </w:pPr>
            <w:r w:rsidRPr="00072CD1">
              <w:rPr>
                <w:rFonts w:cs="Arial"/>
                <w:color w:val="000000"/>
                <w:sz w:val="11"/>
                <w:szCs w:val="11"/>
              </w:rPr>
              <w:t>[9/19] (47)</w:t>
            </w:r>
          </w:p>
        </w:tc>
        <w:tc>
          <w:tcPr>
            <w:tcW w:w="1097" w:type="dxa"/>
            <w:shd w:val="clear" w:color="auto" w:fill="auto"/>
            <w:vAlign w:val="bottom"/>
          </w:tcPr>
          <w:p w14:paraId="15FFCD81" w14:textId="7DA5600C" w:rsidR="00072CD1" w:rsidRPr="00072CD1" w:rsidRDefault="00072CD1" w:rsidP="00072CD1">
            <w:pPr>
              <w:pStyle w:val="Tabletext"/>
              <w:rPr>
                <w:sz w:val="11"/>
                <w:szCs w:val="11"/>
              </w:rPr>
            </w:pPr>
            <w:r w:rsidRPr="00072CD1">
              <w:rPr>
                <w:rFonts w:cs="Arial"/>
                <w:color w:val="000000"/>
                <w:sz w:val="11"/>
                <w:szCs w:val="11"/>
              </w:rPr>
              <w:t>[9/23] (39)</w:t>
            </w:r>
          </w:p>
        </w:tc>
        <w:tc>
          <w:tcPr>
            <w:tcW w:w="1134" w:type="dxa"/>
            <w:shd w:val="clear" w:color="auto" w:fill="auto"/>
            <w:vAlign w:val="bottom"/>
          </w:tcPr>
          <w:p w14:paraId="117B810B" w14:textId="4C629A21" w:rsidR="00072CD1" w:rsidRPr="00072CD1" w:rsidRDefault="00072CD1" w:rsidP="00072CD1">
            <w:pPr>
              <w:pStyle w:val="Tabletext"/>
              <w:rPr>
                <w:sz w:val="11"/>
                <w:szCs w:val="11"/>
              </w:rPr>
            </w:pPr>
            <w:r w:rsidRPr="00072CD1">
              <w:rPr>
                <w:rFonts w:cs="Arial"/>
                <w:color w:val="000000"/>
                <w:sz w:val="11"/>
                <w:szCs w:val="11"/>
              </w:rPr>
              <w:t>[9/22] (41)</w:t>
            </w:r>
          </w:p>
        </w:tc>
        <w:tc>
          <w:tcPr>
            <w:tcW w:w="1110" w:type="dxa"/>
            <w:vAlign w:val="bottom"/>
          </w:tcPr>
          <w:p w14:paraId="4A1238CB" w14:textId="7DBFC1DF" w:rsidR="00072CD1" w:rsidRPr="00072CD1" w:rsidRDefault="00072CD1" w:rsidP="00072CD1">
            <w:pPr>
              <w:pStyle w:val="Tabletext"/>
              <w:rPr>
                <w:sz w:val="11"/>
                <w:szCs w:val="11"/>
              </w:rPr>
            </w:pPr>
            <w:r w:rsidRPr="00072CD1">
              <w:rPr>
                <w:rFonts w:cs="Arial"/>
                <w:color w:val="000000"/>
                <w:sz w:val="11"/>
                <w:szCs w:val="11"/>
              </w:rPr>
              <w:t>[10/18] (56)</w:t>
            </w:r>
          </w:p>
        </w:tc>
        <w:tc>
          <w:tcPr>
            <w:tcW w:w="1110" w:type="dxa"/>
            <w:vAlign w:val="bottom"/>
          </w:tcPr>
          <w:p w14:paraId="3819AD9F" w14:textId="407D78B4" w:rsidR="00072CD1" w:rsidRPr="00072CD1" w:rsidRDefault="00072CD1" w:rsidP="00072CD1">
            <w:pPr>
              <w:pStyle w:val="Tabletext"/>
              <w:rPr>
                <w:sz w:val="11"/>
                <w:szCs w:val="11"/>
              </w:rPr>
            </w:pPr>
            <w:r w:rsidRPr="00072CD1">
              <w:rPr>
                <w:rFonts w:cs="Arial"/>
                <w:color w:val="000000"/>
                <w:sz w:val="11"/>
                <w:szCs w:val="11"/>
              </w:rPr>
              <w:t>[11/17] (65)</w:t>
            </w:r>
          </w:p>
        </w:tc>
        <w:tc>
          <w:tcPr>
            <w:tcW w:w="1040" w:type="dxa"/>
            <w:vAlign w:val="bottom"/>
          </w:tcPr>
          <w:p w14:paraId="4C26797D" w14:textId="652A4226" w:rsidR="00072CD1" w:rsidRPr="00072CD1" w:rsidRDefault="00072CD1" w:rsidP="00072CD1">
            <w:pPr>
              <w:pStyle w:val="Tabletext"/>
              <w:rPr>
                <w:rFonts w:cs="Arial"/>
                <w:sz w:val="11"/>
                <w:szCs w:val="11"/>
              </w:rPr>
            </w:pPr>
            <w:r w:rsidRPr="00072CD1">
              <w:rPr>
                <w:rFonts w:cs="Arial"/>
                <w:color w:val="000000"/>
                <w:sz w:val="11"/>
                <w:szCs w:val="11"/>
              </w:rPr>
              <w:t>[11/16] (69)</w:t>
            </w:r>
          </w:p>
        </w:tc>
        <w:tc>
          <w:tcPr>
            <w:tcW w:w="1149" w:type="dxa"/>
            <w:vAlign w:val="bottom"/>
          </w:tcPr>
          <w:p w14:paraId="667527A6" w14:textId="534DA7C6" w:rsidR="00072CD1" w:rsidRPr="00072CD1" w:rsidRDefault="00072CD1" w:rsidP="00072CD1">
            <w:pPr>
              <w:pStyle w:val="Tabletext"/>
              <w:rPr>
                <w:rFonts w:cs="Arial"/>
                <w:color w:val="000000"/>
                <w:sz w:val="11"/>
                <w:szCs w:val="11"/>
              </w:rPr>
            </w:pPr>
            <w:r w:rsidRPr="00072CD1">
              <w:rPr>
                <w:rFonts w:cs="Arial"/>
                <w:color w:val="000000"/>
                <w:sz w:val="11"/>
                <w:szCs w:val="11"/>
              </w:rPr>
              <w:t>[11/17] (65)</w:t>
            </w:r>
          </w:p>
        </w:tc>
        <w:tc>
          <w:tcPr>
            <w:tcW w:w="1044" w:type="dxa"/>
            <w:vAlign w:val="bottom"/>
          </w:tcPr>
          <w:p w14:paraId="7B24E84C" w14:textId="782D291E" w:rsidR="00072CD1" w:rsidRPr="00072CD1" w:rsidRDefault="00072CD1" w:rsidP="00072CD1">
            <w:pPr>
              <w:pStyle w:val="Tabletext"/>
              <w:rPr>
                <w:rFonts w:cs="Arial"/>
                <w:color w:val="000000"/>
                <w:sz w:val="11"/>
                <w:szCs w:val="11"/>
              </w:rPr>
            </w:pPr>
            <w:r w:rsidRPr="00072CD1">
              <w:rPr>
                <w:rFonts w:cs="Arial"/>
                <w:color w:val="000000"/>
                <w:sz w:val="11"/>
                <w:szCs w:val="11"/>
              </w:rPr>
              <w:t>[11/18] (61)</w:t>
            </w:r>
          </w:p>
        </w:tc>
        <w:tc>
          <w:tcPr>
            <w:tcW w:w="1067" w:type="dxa"/>
            <w:vAlign w:val="bottom"/>
          </w:tcPr>
          <w:p w14:paraId="2A5A670A" w14:textId="1A187FD6" w:rsidR="00072CD1" w:rsidRPr="00072CD1" w:rsidRDefault="00072CD1" w:rsidP="00072CD1">
            <w:pPr>
              <w:pStyle w:val="Tabletext"/>
              <w:rPr>
                <w:rFonts w:cs="Arial"/>
                <w:color w:val="000000"/>
                <w:sz w:val="11"/>
                <w:szCs w:val="11"/>
              </w:rPr>
            </w:pPr>
            <w:r w:rsidRPr="00072CD1">
              <w:rPr>
                <w:rFonts w:cs="Arial"/>
                <w:color w:val="000000"/>
                <w:sz w:val="11"/>
                <w:szCs w:val="11"/>
              </w:rPr>
              <w:t>[11/20] (55)</w:t>
            </w:r>
          </w:p>
        </w:tc>
      </w:tr>
      <w:tr w:rsidR="00F05915" w:rsidRPr="00072CD1" w14:paraId="539E3EE5" w14:textId="692FB1E3" w:rsidTr="00072CD1">
        <w:trPr>
          <w:trHeight w:val="208"/>
        </w:trPr>
        <w:tc>
          <w:tcPr>
            <w:tcW w:w="1338" w:type="dxa"/>
            <w:shd w:val="clear" w:color="auto" w:fill="auto"/>
          </w:tcPr>
          <w:p w14:paraId="6891A48B" w14:textId="1B775037" w:rsidR="00F05915" w:rsidRPr="00072CD1" w:rsidRDefault="00F05915" w:rsidP="00F05915">
            <w:pPr>
              <w:pStyle w:val="Tabletext"/>
              <w:rPr>
                <w:sz w:val="11"/>
                <w:szCs w:val="11"/>
              </w:rPr>
            </w:pPr>
            <w:r w:rsidRPr="00072CD1">
              <w:rPr>
                <w:sz w:val="11"/>
                <w:szCs w:val="11"/>
              </w:rPr>
              <w:t>Oesophageal (</w:t>
            </w:r>
            <w:r w:rsidR="00367A5A">
              <w:rPr>
                <w:sz w:val="11"/>
                <w:szCs w:val="11"/>
              </w:rPr>
              <w:t>p</w:t>
            </w:r>
            <w:r w:rsidRPr="00072CD1">
              <w:rPr>
                <w:sz w:val="11"/>
                <w:szCs w:val="11"/>
              </w:rPr>
              <w:t>ublic)</w:t>
            </w:r>
          </w:p>
        </w:tc>
        <w:tc>
          <w:tcPr>
            <w:tcW w:w="1110" w:type="dxa"/>
            <w:shd w:val="clear" w:color="auto" w:fill="auto"/>
            <w:vAlign w:val="bottom"/>
          </w:tcPr>
          <w:p w14:paraId="3662482E" w14:textId="46025EA7" w:rsidR="00F05915" w:rsidRPr="00072CD1" w:rsidRDefault="00F05915" w:rsidP="00F05915">
            <w:pPr>
              <w:pStyle w:val="Tabletext"/>
              <w:rPr>
                <w:sz w:val="11"/>
                <w:szCs w:val="11"/>
              </w:rPr>
            </w:pPr>
            <w:r w:rsidRPr="00072CD1">
              <w:rPr>
                <w:rFonts w:cs="Arial"/>
                <w:color w:val="000000"/>
                <w:sz w:val="11"/>
                <w:szCs w:val="11"/>
              </w:rPr>
              <w:t>[7/12] (58)</w:t>
            </w:r>
          </w:p>
        </w:tc>
        <w:tc>
          <w:tcPr>
            <w:tcW w:w="1097" w:type="dxa"/>
            <w:shd w:val="clear" w:color="auto" w:fill="auto"/>
            <w:vAlign w:val="bottom"/>
          </w:tcPr>
          <w:p w14:paraId="7377E4D3" w14:textId="7BFA224A" w:rsidR="00F05915" w:rsidRPr="00072CD1" w:rsidRDefault="00F05915" w:rsidP="00F05915">
            <w:pPr>
              <w:pStyle w:val="Tabletext"/>
              <w:rPr>
                <w:sz w:val="11"/>
                <w:szCs w:val="11"/>
              </w:rPr>
            </w:pPr>
            <w:r w:rsidRPr="00072CD1">
              <w:rPr>
                <w:rFonts w:cs="Arial"/>
                <w:color w:val="000000"/>
                <w:sz w:val="11"/>
                <w:szCs w:val="11"/>
              </w:rPr>
              <w:t>[7/12] (58)</w:t>
            </w:r>
          </w:p>
        </w:tc>
        <w:tc>
          <w:tcPr>
            <w:tcW w:w="1134" w:type="dxa"/>
            <w:shd w:val="clear" w:color="auto" w:fill="auto"/>
            <w:vAlign w:val="bottom"/>
          </w:tcPr>
          <w:p w14:paraId="599263DE" w14:textId="6FFA9A30" w:rsidR="00F05915" w:rsidRPr="00072CD1" w:rsidRDefault="00F05915" w:rsidP="00F05915">
            <w:pPr>
              <w:pStyle w:val="Tabletext"/>
              <w:rPr>
                <w:sz w:val="11"/>
                <w:szCs w:val="11"/>
              </w:rPr>
            </w:pPr>
            <w:r w:rsidRPr="00072CD1">
              <w:rPr>
                <w:rFonts w:cs="Arial"/>
                <w:color w:val="000000"/>
                <w:sz w:val="11"/>
                <w:szCs w:val="11"/>
              </w:rPr>
              <w:t>[9/13] (69)</w:t>
            </w:r>
          </w:p>
        </w:tc>
        <w:tc>
          <w:tcPr>
            <w:tcW w:w="1110" w:type="dxa"/>
            <w:vAlign w:val="bottom"/>
          </w:tcPr>
          <w:p w14:paraId="600E272B" w14:textId="43996D15" w:rsidR="00F05915" w:rsidRPr="00072CD1" w:rsidRDefault="00F05915" w:rsidP="00F05915">
            <w:pPr>
              <w:pStyle w:val="Tabletext"/>
              <w:rPr>
                <w:sz w:val="11"/>
                <w:szCs w:val="11"/>
              </w:rPr>
            </w:pPr>
            <w:r w:rsidRPr="00072CD1">
              <w:rPr>
                <w:rFonts w:cs="Arial"/>
                <w:color w:val="000000"/>
                <w:sz w:val="11"/>
                <w:szCs w:val="11"/>
              </w:rPr>
              <w:t>[6/14] (43)</w:t>
            </w:r>
          </w:p>
        </w:tc>
        <w:tc>
          <w:tcPr>
            <w:tcW w:w="1110" w:type="dxa"/>
            <w:vAlign w:val="bottom"/>
          </w:tcPr>
          <w:p w14:paraId="1A018F90" w14:textId="4EC3AB8F" w:rsidR="00F05915" w:rsidRPr="00072CD1" w:rsidRDefault="00F05915" w:rsidP="00F05915">
            <w:pPr>
              <w:pStyle w:val="Tabletext"/>
              <w:rPr>
                <w:sz w:val="11"/>
                <w:szCs w:val="11"/>
              </w:rPr>
            </w:pPr>
            <w:r w:rsidRPr="00072CD1">
              <w:rPr>
                <w:rFonts w:cs="Arial"/>
                <w:color w:val="000000"/>
                <w:sz w:val="11"/>
                <w:szCs w:val="11"/>
              </w:rPr>
              <w:t>[8/13] (62)</w:t>
            </w:r>
          </w:p>
        </w:tc>
        <w:tc>
          <w:tcPr>
            <w:tcW w:w="1040" w:type="dxa"/>
            <w:vAlign w:val="bottom"/>
          </w:tcPr>
          <w:p w14:paraId="48ED5337" w14:textId="4E593143" w:rsidR="00F05915" w:rsidRPr="00072CD1" w:rsidRDefault="00F05915" w:rsidP="00F05915">
            <w:pPr>
              <w:pStyle w:val="Tabletext"/>
              <w:rPr>
                <w:rFonts w:cs="Arial"/>
                <w:sz w:val="11"/>
                <w:szCs w:val="11"/>
              </w:rPr>
            </w:pPr>
            <w:r w:rsidRPr="00072CD1">
              <w:rPr>
                <w:rFonts w:cs="Arial"/>
                <w:color w:val="000000"/>
                <w:sz w:val="11"/>
                <w:szCs w:val="11"/>
              </w:rPr>
              <w:t>[8/13] (62)</w:t>
            </w:r>
          </w:p>
        </w:tc>
        <w:tc>
          <w:tcPr>
            <w:tcW w:w="1149" w:type="dxa"/>
            <w:vAlign w:val="bottom"/>
          </w:tcPr>
          <w:p w14:paraId="1FF7AB41" w14:textId="0505E61A" w:rsidR="00F05915" w:rsidRPr="00072CD1" w:rsidRDefault="00F05915" w:rsidP="00F05915">
            <w:pPr>
              <w:pStyle w:val="Tabletext"/>
              <w:rPr>
                <w:rFonts w:cs="Arial"/>
                <w:color w:val="000000"/>
                <w:sz w:val="11"/>
                <w:szCs w:val="11"/>
              </w:rPr>
            </w:pPr>
            <w:r w:rsidRPr="00072CD1">
              <w:rPr>
                <w:rFonts w:cs="Arial"/>
                <w:color w:val="000000"/>
                <w:sz w:val="11"/>
                <w:szCs w:val="11"/>
              </w:rPr>
              <w:t>[9/13] (69)</w:t>
            </w:r>
          </w:p>
        </w:tc>
        <w:tc>
          <w:tcPr>
            <w:tcW w:w="1044" w:type="dxa"/>
            <w:vAlign w:val="bottom"/>
          </w:tcPr>
          <w:p w14:paraId="169D9786" w14:textId="154EA045" w:rsidR="00F05915" w:rsidRPr="00072CD1" w:rsidRDefault="00F05915" w:rsidP="00F05915">
            <w:pPr>
              <w:pStyle w:val="Tabletext"/>
              <w:rPr>
                <w:rFonts w:cs="Arial"/>
                <w:color w:val="000000"/>
                <w:sz w:val="11"/>
                <w:szCs w:val="11"/>
              </w:rPr>
            </w:pPr>
            <w:r w:rsidRPr="00072CD1">
              <w:rPr>
                <w:rFonts w:cs="Arial"/>
                <w:color w:val="000000"/>
                <w:sz w:val="11"/>
                <w:szCs w:val="11"/>
              </w:rPr>
              <w:t>[9/12] (75)</w:t>
            </w:r>
          </w:p>
        </w:tc>
        <w:tc>
          <w:tcPr>
            <w:tcW w:w="1067" w:type="dxa"/>
            <w:vAlign w:val="bottom"/>
          </w:tcPr>
          <w:p w14:paraId="65C847B3" w14:textId="04672BBF" w:rsidR="00F05915" w:rsidRPr="00072CD1" w:rsidRDefault="00F05915" w:rsidP="00F05915">
            <w:pPr>
              <w:pStyle w:val="Tabletext"/>
              <w:rPr>
                <w:rFonts w:cs="Arial"/>
                <w:color w:val="000000"/>
                <w:sz w:val="11"/>
                <w:szCs w:val="11"/>
              </w:rPr>
            </w:pPr>
            <w:r w:rsidRPr="00072CD1">
              <w:rPr>
                <w:rFonts w:cs="Arial"/>
                <w:color w:val="000000"/>
                <w:sz w:val="11"/>
                <w:szCs w:val="11"/>
              </w:rPr>
              <w:t>[8/11] (73)</w:t>
            </w:r>
          </w:p>
        </w:tc>
      </w:tr>
      <w:tr w:rsidR="00F05915" w:rsidRPr="00072CD1" w14:paraId="4AEEDE46" w14:textId="4F738FFE" w:rsidTr="00072CD1">
        <w:trPr>
          <w:trHeight w:val="208"/>
        </w:trPr>
        <w:tc>
          <w:tcPr>
            <w:tcW w:w="1338" w:type="dxa"/>
            <w:shd w:val="clear" w:color="auto" w:fill="auto"/>
          </w:tcPr>
          <w:p w14:paraId="35E316DB" w14:textId="08A0EBBD" w:rsidR="00F05915" w:rsidRPr="00072CD1" w:rsidRDefault="00F05915" w:rsidP="00F05915">
            <w:pPr>
              <w:pStyle w:val="Tabletext"/>
              <w:rPr>
                <w:sz w:val="11"/>
                <w:szCs w:val="11"/>
              </w:rPr>
            </w:pPr>
            <w:r w:rsidRPr="00072CD1">
              <w:rPr>
                <w:sz w:val="11"/>
                <w:szCs w:val="11"/>
              </w:rPr>
              <w:t>Pancreatic (</w:t>
            </w:r>
            <w:r w:rsidR="00367A5A">
              <w:rPr>
                <w:sz w:val="11"/>
                <w:szCs w:val="11"/>
              </w:rPr>
              <w:t>p</w:t>
            </w:r>
            <w:r w:rsidRPr="00072CD1">
              <w:rPr>
                <w:sz w:val="11"/>
                <w:szCs w:val="11"/>
              </w:rPr>
              <w:t>rivate)</w:t>
            </w:r>
          </w:p>
        </w:tc>
        <w:tc>
          <w:tcPr>
            <w:tcW w:w="1110" w:type="dxa"/>
            <w:shd w:val="clear" w:color="auto" w:fill="auto"/>
            <w:vAlign w:val="bottom"/>
          </w:tcPr>
          <w:p w14:paraId="63F099A9" w14:textId="1E59D8ED" w:rsidR="00F05915" w:rsidRPr="00072CD1" w:rsidRDefault="00F05915" w:rsidP="00F05915">
            <w:pPr>
              <w:pStyle w:val="Tabletext"/>
              <w:rPr>
                <w:sz w:val="11"/>
                <w:szCs w:val="11"/>
              </w:rPr>
            </w:pPr>
            <w:r w:rsidRPr="00072CD1">
              <w:rPr>
                <w:rFonts w:cs="Arial"/>
                <w:color w:val="000000"/>
                <w:sz w:val="11"/>
                <w:szCs w:val="11"/>
              </w:rPr>
              <w:t>[7/14] (50)</w:t>
            </w:r>
          </w:p>
        </w:tc>
        <w:tc>
          <w:tcPr>
            <w:tcW w:w="1097" w:type="dxa"/>
            <w:shd w:val="clear" w:color="auto" w:fill="auto"/>
            <w:vAlign w:val="bottom"/>
          </w:tcPr>
          <w:p w14:paraId="2043DAE3" w14:textId="77E3AD66" w:rsidR="00F05915" w:rsidRPr="00072CD1" w:rsidRDefault="00F05915" w:rsidP="00F05915">
            <w:pPr>
              <w:pStyle w:val="Tabletext"/>
              <w:rPr>
                <w:sz w:val="11"/>
                <w:szCs w:val="11"/>
              </w:rPr>
            </w:pPr>
            <w:r w:rsidRPr="00072CD1">
              <w:rPr>
                <w:rFonts w:cs="Arial"/>
                <w:color w:val="000000"/>
                <w:sz w:val="11"/>
                <w:szCs w:val="11"/>
              </w:rPr>
              <w:t>[7/14] (50)</w:t>
            </w:r>
          </w:p>
        </w:tc>
        <w:tc>
          <w:tcPr>
            <w:tcW w:w="1134" w:type="dxa"/>
            <w:shd w:val="clear" w:color="auto" w:fill="auto"/>
            <w:vAlign w:val="bottom"/>
          </w:tcPr>
          <w:p w14:paraId="6630FEEB" w14:textId="74800FD2" w:rsidR="00F05915" w:rsidRPr="00072CD1" w:rsidRDefault="00F05915" w:rsidP="00F05915">
            <w:pPr>
              <w:pStyle w:val="Tabletext"/>
              <w:rPr>
                <w:sz w:val="11"/>
                <w:szCs w:val="11"/>
              </w:rPr>
            </w:pPr>
            <w:r w:rsidRPr="00072CD1">
              <w:rPr>
                <w:rFonts w:cs="Arial"/>
                <w:color w:val="000000"/>
                <w:sz w:val="11"/>
                <w:szCs w:val="11"/>
              </w:rPr>
              <w:t>[8/14] (57)</w:t>
            </w:r>
          </w:p>
        </w:tc>
        <w:tc>
          <w:tcPr>
            <w:tcW w:w="1110" w:type="dxa"/>
            <w:vAlign w:val="bottom"/>
          </w:tcPr>
          <w:p w14:paraId="00B07004" w14:textId="6FEBEF89" w:rsidR="00F05915" w:rsidRPr="00072CD1" w:rsidRDefault="00F05915" w:rsidP="00F05915">
            <w:pPr>
              <w:pStyle w:val="Tabletext"/>
              <w:rPr>
                <w:sz w:val="11"/>
                <w:szCs w:val="11"/>
              </w:rPr>
            </w:pPr>
            <w:r w:rsidRPr="00072CD1">
              <w:rPr>
                <w:rFonts w:cs="Arial"/>
                <w:color w:val="000000"/>
                <w:sz w:val="11"/>
                <w:szCs w:val="11"/>
              </w:rPr>
              <w:t>[8/14] (57)</w:t>
            </w:r>
          </w:p>
        </w:tc>
        <w:tc>
          <w:tcPr>
            <w:tcW w:w="1110" w:type="dxa"/>
            <w:vAlign w:val="bottom"/>
          </w:tcPr>
          <w:p w14:paraId="0BC5F97C" w14:textId="49514B89" w:rsidR="00F05915" w:rsidRPr="00072CD1" w:rsidRDefault="00F05915" w:rsidP="00F05915">
            <w:pPr>
              <w:pStyle w:val="Tabletext"/>
              <w:rPr>
                <w:sz w:val="11"/>
                <w:szCs w:val="11"/>
              </w:rPr>
            </w:pPr>
            <w:r w:rsidRPr="00072CD1">
              <w:rPr>
                <w:rFonts w:cs="Arial"/>
                <w:color w:val="000000"/>
                <w:sz w:val="11"/>
                <w:szCs w:val="11"/>
              </w:rPr>
              <w:t>[8/14] (57)</w:t>
            </w:r>
          </w:p>
        </w:tc>
        <w:tc>
          <w:tcPr>
            <w:tcW w:w="1040" w:type="dxa"/>
            <w:vAlign w:val="bottom"/>
          </w:tcPr>
          <w:p w14:paraId="4500CE15" w14:textId="4ECBAED8" w:rsidR="00F05915" w:rsidRPr="00072CD1" w:rsidRDefault="00F05915" w:rsidP="00F05915">
            <w:pPr>
              <w:pStyle w:val="Tabletext"/>
              <w:rPr>
                <w:rFonts w:cs="Arial"/>
                <w:sz w:val="11"/>
                <w:szCs w:val="11"/>
              </w:rPr>
            </w:pPr>
            <w:r w:rsidRPr="00072CD1">
              <w:rPr>
                <w:rFonts w:cs="Arial"/>
                <w:color w:val="000000"/>
                <w:sz w:val="11"/>
                <w:szCs w:val="11"/>
              </w:rPr>
              <w:t>[8/15] (53)</w:t>
            </w:r>
          </w:p>
        </w:tc>
        <w:tc>
          <w:tcPr>
            <w:tcW w:w="1149" w:type="dxa"/>
            <w:vAlign w:val="bottom"/>
          </w:tcPr>
          <w:p w14:paraId="51499627" w14:textId="76FF79C5" w:rsidR="00F05915" w:rsidRPr="00072CD1" w:rsidRDefault="00F05915" w:rsidP="00F05915">
            <w:pPr>
              <w:pStyle w:val="Tabletext"/>
              <w:rPr>
                <w:rFonts w:cs="Arial"/>
                <w:color w:val="000000"/>
                <w:sz w:val="11"/>
                <w:szCs w:val="11"/>
              </w:rPr>
            </w:pPr>
            <w:r w:rsidRPr="00072CD1">
              <w:rPr>
                <w:rFonts w:cs="Arial"/>
                <w:color w:val="000000"/>
                <w:sz w:val="11"/>
                <w:szCs w:val="11"/>
              </w:rPr>
              <w:t>[8/14] (57)</w:t>
            </w:r>
          </w:p>
        </w:tc>
        <w:tc>
          <w:tcPr>
            <w:tcW w:w="1044" w:type="dxa"/>
            <w:vAlign w:val="bottom"/>
          </w:tcPr>
          <w:p w14:paraId="1AA4FBE2" w14:textId="41EF6A96" w:rsidR="00F05915" w:rsidRPr="00072CD1" w:rsidRDefault="00F05915" w:rsidP="00F05915">
            <w:pPr>
              <w:pStyle w:val="Tabletext"/>
              <w:rPr>
                <w:rFonts w:cs="Arial"/>
                <w:color w:val="000000"/>
                <w:sz w:val="11"/>
                <w:szCs w:val="11"/>
              </w:rPr>
            </w:pPr>
            <w:r w:rsidRPr="00072CD1">
              <w:rPr>
                <w:rFonts w:cs="Arial"/>
                <w:color w:val="000000"/>
                <w:sz w:val="11"/>
                <w:szCs w:val="11"/>
              </w:rPr>
              <w:t>[9/14] (64)</w:t>
            </w:r>
          </w:p>
        </w:tc>
        <w:tc>
          <w:tcPr>
            <w:tcW w:w="1067" w:type="dxa"/>
            <w:vAlign w:val="bottom"/>
          </w:tcPr>
          <w:p w14:paraId="1F67E7AE" w14:textId="18D8C540" w:rsidR="00F05915" w:rsidRPr="00072CD1" w:rsidRDefault="00F05915" w:rsidP="00F05915">
            <w:pPr>
              <w:pStyle w:val="Tabletext"/>
              <w:rPr>
                <w:rFonts w:cs="Arial"/>
                <w:color w:val="000000"/>
                <w:sz w:val="11"/>
                <w:szCs w:val="11"/>
              </w:rPr>
            </w:pPr>
            <w:r w:rsidRPr="00072CD1">
              <w:rPr>
                <w:rFonts w:cs="Arial"/>
                <w:color w:val="000000"/>
                <w:sz w:val="11"/>
                <w:szCs w:val="11"/>
              </w:rPr>
              <w:t>[9/14] (64)</w:t>
            </w:r>
          </w:p>
        </w:tc>
      </w:tr>
      <w:tr w:rsidR="00F05915" w:rsidRPr="00072CD1" w14:paraId="0ADB8E6C" w14:textId="702FC0F8" w:rsidTr="00072CD1">
        <w:trPr>
          <w:trHeight w:val="208"/>
        </w:trPr>
        <w:tc>
          <w:tcPr>
            <w:tcW w:w="1338" w:type="dxa"/>
            <w:shd w:val="clear" w:color="auto" w:fill="auto"/>
          </w:tcPr>
          <w:p w14:paraId="26E00383" w14:textId="2AC40532" w:rsidR="00F05915" w:rsidRPr="00072CD1" w:rsidRDefault="00F05915" w:rsidP="00F05915">
            <w:pPr>
              <w:pStyle w:val="Tabletext"/>
              <w:rPr>
                <w:sz w:val="11"/>
                <w:szCs w:val="11"/>
              </w:rPr>
            </w:pPr>
            <w:r w:rsidRPr="00072CD1">
              <w:rPr>
                <w:sz w:val="11"/>
                <w:szCs w:val="11"/>
              </w:rPr>
              <w:t xml:space="preserve">Oesophageal </w:t>
            </w:r>
            <w:r w:rsidR="003F1F99">
              <w:rPr>
                <w:sz w:val="11"/>
                <w:szCs w:val="11"/>
              </w:rPr>
              <w:t>(private)</w:t>
            </w:r>
          </w:p>
        </w:tc>
        <w:tc>
          <w:tcPr>
            <w:tcW w:w="1110" w:type="dxa"/>
            <w:shd w:val="clear" w:color="auto" w:fill="auto"/>
          </w:tcPr>
          <w:p w14:paraId="7AF37461" w14:textId="32D2FEC8" w:rsidR="00F05915" w:rsidRPr="00072CD1" w:rsidRDefault="00F05915" w:rsidP="00F05915">
            <w:pPr>
              <w:pStyle w:val="Tabletext"/>
              <w:rPr>
                <w:sz w:val="11"/>
                <w:szCs w:val="11"/>
              </w:rPr>
            </w:pPr>
            <w:r w:rsidRPr="00072CD1">
              <w:rPr>
                <w:bCs/>
                <w:sz w:val="11"/>
                <w:szCs w:val="11"/>
              </w:rPr>
              <w:t>[3/11] (27)</w:t>
            </w:r>
          </w:p>
        </w:tc>
        <w:tc>
          <w:tcPr>
            <w:tcW w:w="1097" w:type="dxa"/>
            <w:shd w:val="clear" w:color="auto" w:fill="auto"/>
          </w:tcPr>
          <w:p w14:paraId="68C4AB7E" w14:textId="09844836" w:rsidR="00F05915" w:rsidRPr="00072CD1" w:rsidRDefault="00F05915" w:rsidP="00F05915">
            <w:pPr>
              <w:pStyle w:val="Tabletext"/>
              <w:rPr>
                <w:sz w:val="11"/>
                <w:szCs w:val="11"/>
              </w:rPr>
            </w:pPr>
            <w:r w:rsidRPr="00072CD1">
              <w:rPr>
                <w:bCs/>
                <w:sz w:val="11"/>
                <w:szCs w:val="11"/>
              </w:rPr>
              <w:t>[3/11] (27)</w:t>
            </w:r>
          </w:p>
        </w:tc>
        <w:tc>
          <w:tcPr>
            <w:tcW w:w="1134" w:type="dxa"/>
            <w:shd w:val="clear" w:color="auto" w:fill="auto"/>
          </w:tcPr>
          <w:p w14:paraId="5BF3DD29" w14:textId="339C2D58" w:rsidR="00F05915" w:rsidRPr="00072CD1" w:rsidRDefault="00F05915" w:rsidP="00F05915">
            <w:pPr>
              <w:pStyle w:val="Tabletext"/>
              <w:rPr>
                <w:sz w:val="11"/>
                <w:szCs w:val="11"/>
              </w:rPr>
            </w:pPr>
            <w:r w:rsidRPr="00072CD1">
              <w:rPr>
                <w:bCs/>
                <w:sz w:val="11"/>
                <w:szCs w:val="11"/>
              </w:rPr>
              <w:t>[3/11] (27)</w:t>
            </w:r>
          </w:p>
        </w:tc>
        <w:tc>
          <w:tcPr>
            <w:tcW w:w="1110" w:type="dxa"/>
          </w:tcPr>
          <w:p w14:paraId="35784650" w14:textId="2954C1D1" w:rsidR="00F05915" w:rsidRPr="00072CD1" w:rsidRDefault="00F05915" w:rsidP="00F05915">
            <w:pPr>
              <w:pStyle w:val="Tabletext"/>
              <w:rPr>
                <w:sz w:val="11"/>
                <w:szCs w:val="11"/>
              </w:rPr>
            </w:pPr>
            <w:r w:rsidRPr="00072CD1">
              <w:rPr>
                <w:bCs/>
                <w:sz w:val="11"/>
                <w:szCs w:val="11"/>
              </w:rPr>
              <w:t>[4/12] (33)</w:t>
            </w:r>
          </w:p>
        </w:tc>
        <w:tc>
          <w:tcPr>
            <w:tcW w:w="1110" w:type="dxa"/>
          </w:tcPr>
          <w:p w14:paraId="622E2B6D" w14:textId="61B2F458" w:rsidR="00F05915" w:rsidRPr="00072CD1" w:rsidRDefault="00F05915" w:rsidP="00F05915">
            <w:pPr>
              <w:pStyle w:val="Tabletext"/>
              <w:rPr>
                <w:sz w:val="11"/>
                <w:szCs w:val="11"/>
              </w:rPr>
            </w:pPr>
            <w:r w:rsidRPr="00072CD1">
              <w:rPr>
                <w:bCs/>
                <w:sz w:val="11"/>
                <w:szCs w:val="11"/>
              </w:rPr>
              <w:t xml:space="preserve">[3/12] (25) </w:t>
            </w:r>
          </w:p>
        </w:tc>
        <w:tc>
          <w:tcPr>
            <w:tcW w:w="1040" w:type="dxa"/>
            <w:vAlign w:val="bottom"/>
          </w:tcPr>
          <w:p w14:paraId="2044CF90" w14:textId="45D39975" w:rsidR="00F05915" w:rsidRPr="00072CD1" w:rsidRDefault="00F05915" w:rsidP="00F05915">
            <w:pPr>
              <w:pStyle w:val="Tabletext"/>
              <w:rPr>
                <w:rFonts w:cs="Arial"/>
                <w:sz w:val="11"/>
                <w:szCs w:val="11"/>
              </w:rPr>
            </w:pPr>
            <w:r w:rsidRPr="00072CD1">
              <w:rPr>
                <w:rFonts w:cs="Arial"/>
                <w:color w:val="000000"/>
                <w:sz w:val="11"/>
                <w:szCs w:val="11"/>
              </w:rPr>
              <w:t>[3/10] (30)</w:t>
            </w:r>
          </w:p>
        </w:tc>
        <w:tc>
          <w:tcPr>
            <w:tcW w:w="1149" w:type="dxa"/>
            <w:vAlign w:val="bottom"/>
          </w:tcPr>
          <w:p w14:paraId="48CB42C2" w14:textId="7EA2C7B0" w:rsidR="00F05915" w:rsidRPr="00072CD1" w:rsidRDefault="00F05915" w:rsidP="00F05915">
            <w:pPr>
              <w:pStyle w:val="Tabletext"/>
              <w:rPr>
                <w:rFonts w:cs="Arial"/>
                <w:bCs/>
                <w:sz w:val="11"/>
                <w:szCs w:val="11"/>
              </w:rPr>
            </w:pPr>
            <w:r w:rsidRPr="00072CD1">
              <w:rPr>
                <w:rFonts w:cs="Arial"/>
                <w:color w:val="000000"/>
                <w:sz w:val="11"/>
                <w:szCs w:val="11"/>
              </w:rPr>
              <w:t>[3/11] (27)</w:t>
            </w:r>
          </w:p>
        </w:tc>
        <w:tc>
          <w:tcPr>
            <w:tcW w:w="1044" w:type="dxa"/>
            <w:vAlign w:val="bottom"/>
          </w:tcPr>
          <w:p w14:paraId="626E9F4E" w14:textId="059D4D15" w:rsidR="00F05915" w:rsidRPr="00072CD1" w:rsidRDefault="00F05915" w:rsidP="00F05915">
            <w:pPr>
              <w:pStyle w:val="Tabletext"/>
              <w:rPr>
                <w:rFonts w:cs="Arial"/>
                <w:bCs/>
                <w:sz w:val="11"/>
                <w:szCs w:val="11"/>
              </w:rPr>
            </w:pPr>
            <w:r w:rsidRPr="00072CD1">
              <w:rPr>
                <w:rFonts w:cs="Arial"/>
                <w:color w:val="000000"/>
                <w:sz w:val="11"/>
                <w:szCs w:val="11"/>
              </w:rPr>
              <w:t>[3/12] (25)</w:t>
            </w:r>
          </w:p>
        </w:tc>
        <w:tc>
          <w:tcPr>
            <w:tcW w:w="1067" w:type="dxa"/>
            <w:vAlign w:val="bottom"/>
          </w:tcPr>
          <w:p w14:paraId="730AE439" w14:textId="206CB660" w:rsidR="00F05915" w:rsidRPr="00072CD1" w:rsidRDefault="00F05915" w:rsidP="00F05915">
            <w:pPr>
              <w:pStyle w:val="Tabletext"/>
              <w:rPr>
                <w:rFonts w:cs="Arial"/>
                <w:bCs/>
                <w:sz w:val="11"/>
                <w:szCs w:val="11"/>
              </w:rPr>
            </w:pPr>
            <w:r w:rsidRPr="00072CD1">
              <w:rPr>
                <w:rFonts w:cs="Arial"/>
                <w:color w:val="000000"/>
                <w:sz w:val="11"/>
                <w:szCs w:val="11"/>
              </w:rPr>
              <w:t>[2/11] (18)</w:t>
            </w:r>
          </w:p>
        </w:tc>
      </w:tr>
    </w:tbl>
    <w:p w14:paraId="5F6E1981" w14:textId="5521E936" w:rsidR="00F969FE" w:rsidRPr="000C52C7" w:rsidRDefault="00381B1F" w:rsidP="00795504">
      <w:pPr>
        <w:pStyle w:val="Tablefigurenote"/>
        <w:rPr>
          <w:i/>
          <w:iCs/>
          <w:sz w:val="18"/>
          <w:szCs w:val="18"/>
        </w:rPr>
      </w:pPr>
      <w:r w:rsidRPr="000C52C7">
        <w:rPr>
          <w:i/>
          <w:iCs/>
          <w:sz w:val="18"/>
          <w:szCs w:val="18"/>
        </w:rPr>
        <w:t xml:space="preserve">Source: </w:t>
      </w:r>
      <w:r w:rsidR="00F969FE" w:rsidRPr="000C52C7">
        <w:rPr>
          <w:i/>
          <w:iCs/>
          <w:sz w:val="18"/>
          <w:szCs w:val="18"/>
        </w:rPr>
        <w:t xml:space="preserve">Surgical data sourced from </w:t>
      </w:r>
      <w:r w:rsidR="00BE4982" w:rsidRPr="000C52C7">
        <w:rPr>
          <w:i/>
          <w:iCs/>
          <w:sz w:val="18"/>
          <w:szCs w:val="18"/>
        </w:rPr>
        <w:t>the Victorian</w:t>
      </w:r>
      <w:r w:rsidRPr="000C52C7">
        <w:rPr>
          <w:i/>
          <w:iCs/>
          <w:sz w:val="18"/>
          <w:szCs w:val="18"/>
        </w:rPr>
        <w:t xml:space="preserve"> Admitted Episodes Dataset (VAED) </w:t>
      </w:r>
    </w:p>
    <w:p w14:paraId="74CF2B4C" w14:textId="08912E96" w:rsidR="006C24CC" w:rsidRPr="000C52C7" w:rsidRDefault="006C24CC" w:rsidP="00795504">
      <w:pPr>
        <w:pStyle w:val="Tablefigurenote"/>
        <w:rPr>
          <w:i/>
          <w:iCs/>
          <w:sz w:val="18"/>
          <w:szCs w:val="18"/>
        </w:rPr>
      </w:pPr>
      <w:r w:rsidRPr="000C52C7">
        <w:rPr>
          <w:i/>
          <w:iCs/>
          <w:sz w:val="18"/>
          <w:szCs w:val="18"/>
        </w:rPr>
        <w:t>Note</w:t>
      </w:r>
      <w:r w:rsidR="00917023" w:rsidRPr="000C52C7">
        <w:rPr>
          <w:i/>
          <w:iCs/>
          <w:sz w:val="18"/>
          <w:szCs w:val="18"/>
        </w:rPr>
        <w:t>s</w:t>
      </w:r>
      <w:r w:rsidRPr="000C52C7">
        <w:rPr>
          <w:i/>
          <w:iCs/>
          <w:sz w:val="18"/>
          <w:szCs w:val="18"/>
        </w:rPr>
        <w:t>:</w:t>
      </w:r>
    </w:p>
    <w:p w14:paraId="00D7620B" w14:textId="7A284541" w:rsidR="00923D85" w:rsidRPr="000C52C7" w:rsidRDefault="006C24CC" w:rsidP="00795504">
      <w:pPr>
        <w:pStyle w:val="Tablefigurenote"/>
        <w:rPr>
          <w:i/>
          <w:iCs/>
          <w:sz w:val="18"/>
          <w:szCs w:val="18"/>
        </w:rPr>
      </w:pPr>
      <w:r w:rsidRPr="000C52C7">
        <w:rPr>
          <w:i/>
          <w:iCs/>
          <w:sz w:val="18"/>
          <w:szCs w:val="18"/>
        </w:rPr>
        <w:t xml:space="preserve">Hospital </w:t>
      </w:r>
      <w:r w:rsidR="005857DA" w:rsidRPr="000C52C7">
        <w:rPr>
          <w:i/>
          <w:iCs/>
          <w:sz w:val="18"/>
          <w:szCs w:val="18"/>
        </w:rPr>
        <w:t xml:space="preserve">surgical </w:t>
      </w:r>
      <w:r w:rsidRPr="000C52C7">
        <w:rPr>
          <w:i/>
          <w:iCs/>
          <w:sz w:val="18"/>
          <w:szCs w:val="18"/>
        </w:rPr>
        <w:t>volumes were calculated using admissions from the</w:t>
      </w:r>
      <w:r w:rsidR="00CA4486" w:rsidRPr="000C52C7">
        <w:rPr>
          <w:i/>
          <w:iCs/>
          <w:sz w:val="18"/>
          <w:szCs w:val="18"/>
        </w:rPr>
        <w:t xml:space="preserve"> </w:t>
      </w:r>
      <w:r w:rsidRPr="000C52C7">
        <w:rPr>
          <w:i/>
          <w:iCs/>
          <w:sz w:val="18"/>
          <w:szCs w:val="18"/>
        </w:rPr>
        <w:t xml:space="preserve">VAED; all </w:t>
      </w:r>
      <w:r w:rsidR="00342BB2" w:rsidRPr="000C52C7">
        <w:rPr>
          <w:i/>
          <w:iCs/>
          <w:sz w:val="18"/>
          <w:szCs w:val="18"/>
        </w:rPr>
        <w:t>oesophagostomies</w:t>
      </w:r>
      <w:r w:rsidRPr="000C52C7">
        <w:rPr>
          <w:i/>
          <w:iCs/>
          <w:sz w:val="18"/>
          <w:szCs w:val="18"/>
        </w:rPr>
        <w:t>/</w:t>
      </w:r>
      <w:r w:rsidR="0004176E" w:rsidRPr="000C52C7">
        <w:rPr>
          <w:i/>
          <w:iCs/>
          <w:sz w:val="18"/>
          <w:szCs w:val="18"/>
        </w:rPr>
        <w:t xml:space="preserve"> </w:t>
      </w:r>
      <w:r w:rsidRPr="000C52C7">
        <w:rPr>
          <w:i/>
          <w:iCs/>
          <w:sz w:val="18"/>
          <w:szCs w:val="18"/>
        </w:rPr>
        <w:t xml:space="preserve">pancreatectomies </w:t>
      </w:r>
      <w:r w:rsidR="002C0F8D" w:rsidRPr="000C52C7">
        <w:rPr>
          <w:i/>
          <w:iCs/>
          <w:sz w:val="18"/>
          <w:szCs w:val="18"/>
        </w:rPr>
        <w:t xml:space="preserve">for cancer and non-cancer patients </w:t>
      </w:r>
      <w:r w:rsidRPr="000C52C7">
        <w:rPr>
          <w:i/>
          <w:iCs/>
          <w:sz w:val="18"/>
          <w:szCs w:val="18"/>
        </w:rPr>
        <w:t>were</w:t>
      </w:r>
      <w:r w:rsidR="002C0F8D" w:rsidRPr="000C52C7">
        <w:rPr>
          <w:i/>
          <w:iCs/>
          <w:sz w:val="18"/>
          <w:szCs w:val="18"/>
        </w:rPr>
        <w:t xml:space="preserve"> included</w:t>
      </w:r>
      <w:r w:rsidRPr="000C52C7">
        <w:rPr>
          <w:i/>
          <w:iCs/>
          <w:sz w:val="18"/>
          <w:szCs w:val="18"/>
        </w:rPr>
        <w:t xml:space="preserve">. Admissions spanned a </w:t>
      </w:r>
      <w:r w:rsidR="002677DD" w:rsidRPr="000C52C7">
        <w:rPr>
          <w:i/>
          <w:iCs/>
          <w:sz w:val="18"/>
          <w:szCs w:val="18"/>
        </w:rPr>
        <w:t>two</w:t>
      </w:r>
      <w:r w:rsidRPr="000C52C7">
        <w:rPr>
          <w:i/>
          <w:iCs/>
          <w:sz w:val="18"/>
          <w:szCs w:val="18"/>
        </w:rPr>
        <w:t>-year interval (</w:t>
      </w:r>
      <w:r w:rsidR="00FE5521" w:rsidRPr="000C52C7">
        <w:rPr>
          <w:i/>
          <w:iCs/>
          <w:sz w:val="18"/>
          <w:szCs w:val="18"/>
        </w:rPr>
        <w:t>for example,</w:t>
      </w:r>
      <w:r w:rsidR="00D657D1" w:rsidRPr="000C52C7">
        <w:rPr>
          <w:i/>
          <w:iCs/>
          <w:sz w:val="18"/>
          <w:szCs w:val="18"/>
        </w:rPr>
        <w:t xml:space="preserve"> </w:t>
      </w:r>
      <w:r w:rsidRPr="000C52C7">
        <w:rPr>
          <w:i/>
          <w:iCs/>
          <w:sz w:val="18"/>
          <w:szCs w:val="18"/>
        </w:rPr>
        <w:t>if the year of interest is 201</w:t>
      </w:r>
      <w:r w:rsidR="00D657D1" w:rsidRPr="000C52C7">
        <w:rPr>
          <w:i/>
          <w:iCs/>
          <w:sz w:val="18"/>
          <w:szCs w:val="18"/>
        </w:rPr>
        <w:t>3</w:t>
      </w:r>
      <w:r w:rsidRPr="000C52C7">
        <w:rPr>
          <w:i/>
          <w:iCs/>
          <w:sz w:val="18"/>
          <w:szCs w:val="18"/>
        </w:rPr>
        <w:t>, surgeries from across 201</w:t>
      </w:r>
      <w:r w:rsidR="00D657D1" w:rsidRPr="000C52C7">
        <w:rPr>
          <w:i/>
          <w:iCs/>
          <w:sz w:val="18"/>
          <w:szCs w:val="18"/>
        </w:rPr>
        <w:t>3</w:t>
      </w:r>
      <w:r w:rsidR="002677DD" w:rsidRPr="000C52C7">
        <w:rPr>
          <w:i/>
          <w:iCs/>
          <w:sz w:val="18"/>
          <w:szCs w:val="18"/>
        </w:rPr>
        <w:t>–</w:t>
      </w:r>
      <w:r w:rsidRPr="000C52C7">
        <w:rPr>
          <w:i/>
          <w:iCs/>
          <w:sz w:val="18"/>
          <w:szCs w:val="18"/>
        </w:rPr>
        <w:t>1</w:t>
      </w:r>
      <w:r w:rsidR="00D657D1" w:rsidRPr="000C52C7">
        <w:rPr>
          <w:i/>
          <w:iCs/>
          <w:sz w:val="18"/>
          <w:szCs w:val="18"/>
        </w:rPr>
        <w:t>4</w:t>
      </w:r>
      <w:r w:rsidRPr="000C52C7">
        <w:rPr>
          <w:i/>
          <w:iCs/>
          <w:sz w:val="18"/>
          <w:szCs w:val="18"/>
        </w:rPr>
        <w:t xml:space="preserve"> </w:t>
      </w:r>
      <w:r w:rsidR="00D657D1" w:rsidRPr="000C52C7">
        <w:rPr>
          <w:i/>
          <w:iCs/>
          <w:sz w:val="18"/>
          <w:szCs w:val="18"/>
        </w:rPr>
        <w:t>have been</w:t>
      </w:r>
      <w:r w:rsidRPr="000C52C7">
        <w:rPr>
          <w:i/>
          <w:iCs/>
          <w:sz w:val="18"/>
          <w:szCs w:val="18"/>
        </w:rPr>
        <w:t xml:space="preserve"> included).</w:t>
      </w:r>
    </w:p>
    <w:p w14:paraId="7CD3CC98" w14:textId="6542C627" w:rsidR="00EA3932" w:rsidRPr="000C52C7" w:rsidRDefault="006C24CC" w:rsidP="00D657D1">
      <w:pPr>
        <w:pStyle w:val="Tablefigurenote"/>
        <w:rPr>
          <w:i/>
          <w:iCs/>
          <w:sz w:val="18"/>
          <w:szCs w:val="18"/>
        </w:rPr>
      </w:pPr>
      <w:r w:rsidRPr="000C52C7">
        <w:rPr>
          <w:i/>
          <w:iCs/>
          <w:sz w:val="18"/>
          <w:szCs w:val="18"/>
        </w:rPr>
        <w:t xml:space="preserve">The proportion for oesophagectomies was calculated by restricting the dataset to those admissions where both an oesophagectomy surgery code was present </w:t>
      </w:r>
      <w:r w:rsidR="00917023" w:rsidRPr="000C52C7">
        <w:rPr>
          <w:b/>
          <w:bCs/>
          <w:i/>
          <w:iCs/>
          <w:sz w:val="18"/>
          <w:szCs w:val="18"/>
        </w:rPr>
        <w:t>and</w:t>
      </w:r>
      <w:r w:rsidR="00917023" w:rsidRPr="000C52C7">
        <w:rPr>
          <w:i/>
          <w:iCs/>
          <w:sz w:val="18"/>
          <w:szCs w:val="18"/>
        </w:rPr>
        <w:t xml:space="preserve"> </w:t>
      </w:r>
      <w:r w:rsidRPr="000C52C7">
        <w:rPr>
          <w:i/>
          <w:iCs/>
          <w:sz w:val="18"/>
          <w:szCs w:val="18"/>
        </w:rPr>
        <w:t>a</w:t>
      </w:r>
      <w:r w:rsidR="00D43881" w:rsidRPr="000C52C7">
        <w:rPr>
          <w:i/>
          <w:iCs/>
          <w:sz w:val="18"/>
          <w:szCs w:val="18"/>
        </w:rPr>
        <w:t>n</w:t>
      </w:r>
      <w:r w:rsidRPr="000C52C7">
        <w:rPr>
          <w:i/>
          <w:iCs/>
          <w:sz w:val="18"/>
          <w:szCs w:val="18"/>
        </w:rPr>
        <w:t xml:space="preserve"> oesophagus/stomach cancer diagnosis code was present.</w:t>
      </w:r>
      <w:r w:rsidR="00F908C6" w:rsidRPr="000C52C7">
        <w:rPr>
          <w:i/>
          <w:iCs/>
          <w:sz w:val="18"/>
          <w:szCs w:val="18"/>
        </w:rPr>
        <w:t xml:space="preserve"> </w:t>
      </w:r>
      <w:r w:rsidRPr="000C52C7">
        <w:rPr>
          <w:i/>
          <w:iCs/>
          <w:sz w:val="18"/>
          <w:szCs w:val="18"/>
        </w:rPr>
        <w:t>Similarly, the proportion for pancreatectomies was calculated by restricting the dataset to those admissions where both a pancreatectomy surgery code was present</w:t>
      </w:r>
      <w:r w:rsidR="00CF636B" w:rsidRPr="000C52C7">
        <w:rPr>
          <w:i/>
          <w:iCs/>
          <w:sz w:val="18"/>
          <w:szCs w:val="18"/>
        </w:rPr>
        <w:t>,</w:t>
      </w:r>
      <w:r w:rsidRPr="000C52C7">
        <w:rPr>
          <w:i/>
          <w:iCs/>
          <w:sz w:val="18"/>
          <w:szCs w:val="18"/>
        </w:rPr>
        <w:t xml:space="preserve"> </w:t>
      </w:r>
      <w:r w:rsidR="00917023" w:rsidRPr="000C52C7">
        <w:rPr>
          <w:b/>
          <w:bCs/>
          <w:i/>
          <w:iCs/>
          <w:sz w:val="18"/>
          <w:szCs w:val="18"/>
        </w:rPr>
        <w:t>and</w:t>
      </w:r>
      <w:r w:rsidR="00917023" w:rsidRPr="000C52C7">
        <w:rPr>
          <w:i/>
          <w:iCs/>
          <w:sz w:val="18"/>
          <w:szCs w:val="18"/>
        </w:rPr>
        <w:t xml:space="preserve"> </w:t>
      </w:r>
      <w:r w:rsidRPr="000C52C7">
        <w:rPr>
          <w:i/>
          <w:iCs/>
          <w:sz w:val="18"/>
          <w:szCs w:val="18"/>
        </w:rPr>
        <w:t>a pancreatic cancer diagnosis code was present in one of the 40 VAED diagnosis codes (C25).</w:t>
      </w:r>
    </w:p>
    <w:p w14:paraId="11F16353" w14:textId="08E964FC" w:rsidR="006D128C" w:rsidRPr="006D128C" w:rsidRDefault="006D128C" w:rsidP="007C7F00">
      <w:pPr>
        <w:pStyle w:val="Heading4"/>
      </w:pPr>
      <w:r>
        <w:t>Measure assessment</w:t>
      </w:r>
    </w:p>
    <w:p w14:paraId="2643A561" w14:textId="17C901E2" w:rsidR="007163EC" w:rsidRDefault="007163EC" w:rsidP="00606436">
      <w:pPr>
        <w:pStyle w:val="Body"/>
      </w:pPr>
      <w:r w:rsidRPr="002204EE">
        <w:t>Traffic light rating</w:t>
      </w:r>
      <w:r w:rsidR="00A25771">
        <w:t>s</w:t>
      </w:r>
      <w:r w:rsidRPr="002204EE">
        <w:t xml:space="preserve">: </w:t>
      </w:r>
      <w:r w:rsidR="00606436">
        <w:tab/>
      </w:r>
      <w:r w:rsidRPr="00D207B2">
        <w:rPr>
          <w:b/>
          <w:color w:val="007B4B"/>
        </w:rPr>
        <w:t>Green</w:t>
      </w:r>
      <w:r w:rsidRPr="002204EE">
        <w:t xml:space="preserve"> (satisfactory result)</w:t>
      </w:r>
      <w:r w:rsidR="00A25771">
        <w:t xml:space="preserve"> for pancreatectomies </w:t>
      </w:r>
    </w:p>
    <w:p w14:paraId="4C3C2F67" w14:textId="332C1337" w:rsidR="00A25771" w:rsidRPr="00A25771" w:rsidRDefault="00A25771" w:rsidP="00606436">
      <w:pPr>
        <w:pStyle w:val="Body"/>
      </w:pPr>
      <w:r>
        <w:rPr>
          <w:color w:val="007B4B"/>
        </w:rPr>
        <w:tab/>
      </w:r>
      <w:r>
        <w:rPr>
          <w:color w:val="007B4B"/>
        </w:rPr>
        <w:tab/>
      </w:r>
      <w:r w:rsidR="006B604E">
        <w:t xml:space="preserve">  </w:t>
      </w:r>
      <w:r w:rsidR="00606436">
        <w:tab/>
      </w:r>
      <w:r w:rsidRPr="003F1F99">
        <w:rPr>
          <w:b/>
          <w:color w:val="C00000"/>
        </w:rPr>
        <w:t>Red</w:t>
      </w:r>
      <w:r w:rsidRPr="003F1F99">
        <w:rPr>
          <w:color w:val="C00000"/>
        </w:rPr>
        <w:t xml:space="preserve"> </w:t>
      </w:r>
      <w:r w:rsidRPr="00E615E8">
        <w:t>(result is of concern)</w:t>
      </w:r>
      <w:r>
        <w:t xml:space="preserve"> for oesophagostomies</w:t>
      </w:r>
    </w:p>
    <w:p w14:paraId="0C2C5042" w14:textId="024AE56F" w:rsidR="007163EC" w:rsidRPr="00A25771" w:rsidRDefault="007163EC" w:rsidP="003F1F99">
      <w:pPr>
        <w:pStyle w:val="Body"/>
        <w:rPr>
          <w:color w:val="AF272F"/>
        </w:rPr>
      </w:pPr>
      <w:r w:rsidRPr="002204EE">
        <w:t>Overall trend: Moving in the right direction</w:t>
      </w:r>
      <w:r w:rsidR="00A25771">
        <w:t xml:space="preserve"> for pancreatectomies; not moving in the right direction for </w:t>
      </w:r>
      <w:r w:rsidR="00A25771" w:rsidRPr="00A25771">
        <w:t>oesophagostomies</w:t>
      </w:r>
      <w:r w:rsidR="00072CD1">
        <w:t>.</w:t>
      </w:r>
    </w:p>
    <w:p w14:paraId="4D9F70E5" w14:textId="347ED3F1" w:rsidR="00A81854" w:rsidRPr="007163EC" w:rsidRDefault="00663A60" w:rsidP="003F1F99">
      <w:pPr>
        <w:pStyle w:val="Body"/>
      </w:pPr>
      <w:r w:rsidRPr="007163EC">
        <w:t xml:space="preserve">Commentary: </w:t>
      </w:r>
      <w:r w:rsidR="008240E7" w:rsidRPr="007163EC">
        <w:t>Surgical procedures performed for pancreatic</w:t>
      </w:r>
      <w:r w:rsidR="00D7675A" w:rsidRPr="007163EC">
        <w:t xml:space="preserve"> and oesophageal cancers are examples of complex surgery. </w:t>
      </w:r>
      <w:r w:rsidR="00CB7EFA" w:rsidRPr="007163EC">
        <w:t xml:space="preserve">Evidence shows that people who </w:t>
      </w:r>
      <w:r w:rsidR="0004176E" w:rsidRPr="007163EC">
        <w:t>need</w:t>
      </w:r>
      <w:r w:rsidR="00CB7EFA" w:rsidRPr="007163EC">
        <w:t xml:space="preserve"> complex su</w:t>
      </w:r>
      <w:r w:rsidR="00184C7F" w:rsidRPr="007163EC">
        <w:t xml:space="preserve">rgery for </w:t>
      </w:r>
      <w:r w:rsidR="00D7675A" w:rsidRPr="007163EC">
        <w:t xml:space="preserve">these types of </w:t>
      </w:r>
      <w:r w:rsidR="00184C7F" w:rsidRPr="007163EC">
        <w:t xml:space="preserve">cancers </w:t>
      </w:r>
      <w:r w:rsidR="00E41B36" w:rsidRPr="007163EC">
        <w:t xml:space="preserve">are better to have this done at a hospital that </w:t>
      </w:r>
      <w:r w:rsidR="000B70A5" w:rsidRPr="007163EC">
        <w:t>performs</w:t>
      </w:r>
      <w:r w:rsidR="00E41B36" w:rsidRPr="007163EC">
        <w:t xml:space="preserve"> these procedures ofte</w:t>
      </w:r>
      <w:r w:rsidR="00815572" w:rsidRPr="007163EC">
        <w:t>n.</w:t>
      </w:r>
      <w:r w:rsidR="00815572" w:rsidRPr="007163EC">
        <w:rPr>
          <w:rStyle w:val="FootnoteReference"/>
          <w:rFonts w:cs="Arial"/>
        </w:rPr>
        <w:footnoteReference w:id="161"/>
      </w:r>
      <w:r w:rsidR="002677DD" w:rsidRPr="007163EC">
        <w:rPr>
          <w:vertAlign w:val="superscript"/>
        </w:rPr>
        <w:t>,</w:t>
      </w:r>
      <w:r w:rsidR="00E802E3" w:rsidRPr="007163EC">
        <w:rPr>
          <w:rStyle w:val="FootnoteReference"/>
          <w:rFonts w:cs="Arial"/>
        </w:rPr>
        <w:footnoteReference w:id="162"/>
      </w:r>
      <w:r w:rsidR="00952FC7" w:rsidRPr="007163EC">
        <w:t xml:space="preserve"> </w:t>
      </w:r>
    </w:p>
    <w:p w14:paraId="32659A91" w14:textId="69CFB0C1" w:rsidR="00955D80" w:rsidRPr="007163EC" w:rsidRDefault="00253965" w:rsidP="003F1F99">
      <w:pPr>
        <w:pStyle w:val="Body"/>
      </w:pPr>
      <w:r w:rsidRPr="007163EC">
        <w:t xml:space="preserve">It is recommended that </w:t>
      </w:r>
      <w:r w:rsidR="008240E7" w:rsidRPr="007163EC">
        <w:t>hospitals treating people with these cancer types should perform a certain number of surgical resections each year.</w:t>
      </w:r>
      <w:r w:rsidR="00952FC7" w:rsidRPr="007163EC">
        <w:t xml:space="preserve"> </w:t>
      </w:r>
      <w:r w:rsidR="0086311C" w:rsidRPr="007163EC">
        <w:t xml:space="preserve">This is known as a ‘minimum suggested annual caseload’. </w:t>
      </w:r>
      <w:r w:rsidR="008240E7" w:rsidRPr="007163EC">
        <w:t xml:space="preserve">For </w:t>
      </w:r>
      <w:r w:rsidR="00F969FE" w:rsidRPr="007163EC">
        <w:t xml:space="preserve">volume, this measure is based on the New South </w:t>
      </w:r>
      <w:r w:rsidR="0086311C" w:rsidRPr="007163EC">
        <w:t>W</w:t>
      </w:r>
      <w:r w:rsidR="00F969FE" w:rsidRPr="007163EC">
        <w:t xml:space="preserve">ales </w:t>
      </w:r>
      <w:r w:rsidR="0086311C" w:rsidRPr="007163EC">
        <w:t>performance indicator for cancer surgeries</w:t>
      </w:r>
      <w:r w:rsidR="000B6357" w:rsidRPr="007163EC">
        <w:t>,</w:t>
      </w:r>
      <w:r w:rsidR="0086311C" w:rsidRPr="007163EC">
        <w:t xml:space="preserve"> which recommends the minimum suggested annual surgical caseload for a specialist centre </w:t>
      </w:r>
      <w:r w:rsidR="0004176E">
        <w:t>a</w:t>
      </w:r>
      <w:r w:rsidR="0086311C" w:rsidRPr="007163EC">
        <w:t>s six procedures per year.</w:t>
      </w:r>
      <w:r w:rsidR="00726696" w:rsidRPr="007163EC">
        <w:rPr>
          <w:rStyle w:val="FootnoteReference"/>
          <w:rFonts w:cs="Arial"/>
        </w:rPr>
        <w:footnoteReference w:id="163"/>
      </w:r>
      <w:r w:rsidR="0086311C" w:rsidRPr="007163EC">
        <w:t xml:space="preserve"> </w:t>
      </w:r>
    </w:p>
    <w:p w14:paraId="25C61A71" w14:textId="56EBF667" w:rsidR="006E57BC" w:rsidRPr="00DB1109" w:rsidRDefault="003A39E5" w:rsidP="003F1F99">
      <w:pPr>
        <w:pStyle w:val="Body"/>
      </w:pPr>
      <w:r w:rsidRPr="00BF0DFF">
        <w:lastRenderedPageBreak/>
        <w:t xml:space="preserve">Figure </w:t>
      </w:r>
      <w:r w:rsidR="008B0EEC" w:rsidRPr="00BF0DFF">
        <w:t>12.6</w:t>
      </w:r>
      <w:r w:rsidRPr="00BF0DFF">
        <w:t xml:space="preserve"> show</w:t>
      </w:r>
      <w:r w:rsidR="008B0EEC" w:rsidRPr="00BF0DFF">
        <w:t>s</w:t>
      </w:r>
      <w:r w:rsidRPr="00BF0DFF">
        <w:t xml:space="preserve"> the </w:t>
      </w:r>
      <w:r w:rsidRPr="00DB1109">
        <w:t xml:space="preserve">proportion of resections for </w:t>
      </w:r>
      <w:r w:rsidR="008B0EEC" w:rsidRPr="00DB1109">
        <w:t>oesophageal and pancreatic cancers in Victorian</w:t>
      </w:r>
      <w:r w:rsidR="00C56B07" w:rsidRPr="00DB1109">
        <w:t xml:space="preserve"> </w:t>
      </w:r>
      <w:r w:rsidR="008B0EEC" w:rsidRPr="00DB1109">
        <w:t>hospitals (public and private) that performed these surgeries</w:t>
      </w:r>
      <w:r w:rsidR="0046018A" w:rsidRPr="00DB1109">
        <w:t xml:space="preserve"> across the state</w:t>
      </w:r>
      <w:r w:rsidR="00FA3F41" w:rsidRPr="00DB1109">
        <w:t xml:space="preserve"> above the minimum suggested annual caseloads.</w:t>
      </w:r>
      <w:r w:rsidR="00952FC7" w:rsidRPr="00DB1109">
        <w:t xml:space="preserve"> </w:t>
      </w:r>
      <w:r w:rsidR="00FA3F41" w:rsidRPr="00DB1109">
        <w:t xml:space="preserve">It also shows the number of hospitals that performed these surgeries </w:t>
      </w:r>
      <w:r w:rsidR="004B52F9" w:rsidRPr="00DB1109">
        <w:t>between 201</w:t>
      </w:r>
      <w:r w:rsidR="00D657D1" w:rsidRPr="00DB1109">
        <w:t>3</w:t>
      </w:r>
      <w:r w:rsidR="00DB1109" w:rsidRPr="00DB1109">
        <w:t>–14</w:t>
      </w:r>
      <w:r w:rsidR="004B52F9" w:rsidRPr="00DB1109">
        <w:t xml:space="preserve"> and </w:t>
      </w:r>
      <w:r w:rsidR="00DB1109">
        <w:t>20</w:t>
      </w:r>
      <w:r w:rsidR="00072CD1">
        <w:t>21</w:t>
      </w:r>
      <w:r w:rsidR="00DB1109" w:rsidRPr="00DB1109">
        <w:t>–</w:t>
      </w:r>
      <w:r w:rsidR="00072CD1">
        <w:t>22</w:t>
      </w:r>
      <w:r w:rsidR="000B6357" w:rsidRPr="00DB1109">
        <w:t>,</w:t>
      </w:r>
      <w:r w:rsidR="00724030" w:rsidRPr="00DB1109">
        <w:t xml:space="preserve"> with more pancreatic than oesophagectomy procedures reported</w:t>
      </w:r>
      <w:r w:rsidR="00A14197" w:rsidRPr="00DB1109">
        <w:t xml:space="preserve"> (Table 12.6).</w:t>
      </w:r>
      <w:r w:rsidR="006E57BC" w:rsidRPr="00DB1109">
        <w:t xml:space="preserve"> </w:t>
      </w:r>
      <w:r w:rsidR="00DB1109">
        <w:t xml:space="preserve">Table 12.6 also shows that between </w:t>
      </w:r>
      <w:r w:rsidR="00DB1109" w:rsidRPr="00DB1109">
        <w:t xml:space="preserve">2013–14 and </w:t>
      </w:r>
      <w:r w:rsidR="00DB1109">
        <w:t>20</w:t>
      </w:r>
      <w:r w:rsidR="0062681D">
        <w:t>21</w:t>
      </w:r>
      <w:r w:rsidR="00DB1109" w:rsidRPr="00DB1109">
        <w:t>–</w:t>
      </w:r>
      <w:r w:rsidR="0062681D">
        <w:t>22</w:t>
      </w:r>
      <w:r w:rsidR="00DB1109">
        <w:t xml:space="preserve"> there was also a greater proportion of </w:t>
      </w:r>
      <w:r w:rsidR="00DB1109" w:rsidRPr="00DB1109">
        <w:t xml:space="preserve">pancreatic </w:t>
      </w:r>
      <w:r w:rsidR="00DB1109">
        <w:t>and</w:t>
      </w:r>
      <w:r w:rsidR="00DB1109" w:rsidRPr="00DB1109">
        <w:t xml:space="preserve"> oesophagectomy procedures</w:t>
      </w:r>
      <w:r w:rsidR="00DB1109">
        <w:t xml:space="preserve"> undertaken in public compared </w:t>
      </w:r>
      <w:r w:rsidR="00D31B3C" w:rsidRPr="00D31B3C">
        <w:t xml:space="preserve">with </w:t>
      </w:r>
      <w:r w:rsidR="00DB1109">
        <w:t>private hospitals.</w:t>
      </w:r>
    </w:p>
    <w:p w14:paraId="2C35D15E" w14:textId="01828B18" w:rsidR="006D128C" w:rsidRPr="00DB1109" w:rsidRDefault="00584F62" w:rsidP="003F1F99">
      <w:pPr>
        <w:pStyle w:val="Body"/>
      </w:pPr>
      <w:r w:rsidRPr="00DB1109">
        <w:t>No target has been set for this measure</w:t>
      </w:r>
      <w:r w:rsidR="00A5376B" w:rsidRPr="00DB1109">
        <w:t>;</w:t>
      </w:r>
      <w:r w:rsidRPr="00DB1109">
        <w:t xml:space="preserve"> however, </w:t>
      </w:r>
      <w:r w:rsidR="00010817" w:rsidRPr="00DB1109">
        <w:t xml:space="preserve">a </w:t>
      </w:r>
      <w:r w:rsidR="00BF0DFF" w:rsidRPr="00DB1109">
        <w:t xml:space="preserve">2016 </w:t>
      </w:r>
      <w:r w:rsidR="00010817" w:rsidRPr="00DB1109">
        <w:t xml:space="preserve">review of </w:t>
      </w:r>
      <w:r w:rsidR="00BF0DFF" w:rsidRPr="00DB1109">
        <w:t xml:space="preserve">Victoria’s hospital safety and quality assurance pointed to </w:t>
      </w:r>
      <w:r w:rsidR="00486169" w:rsidRPr="00DB1109">
        <w:t xml:space="preserve">a need to consolidate </w:t>
      </w:r>
      <w:r w:rsidR="00010817" w:rsidRPr="00DB1109">
        <w:t xml:space="preserve">hospital </w:t>
      </w:r>
      <w:r w:rsidR="00486169" w:rsidRPr="00DB1109">
        <w:t>services</w:t>
      </w:r>
      <w:r w:rsidR="00367A5A">
        <w:t>,</w:t>
      </w:r>
      <w:r w:rsidR="00010817" w:rsidRPr="00DB1109">
        <w:t xml:space="preserve"> </w:t>
      </w:r>
      <w:r w:rsidR="00BF0DFF" w:rsidRPr="00DB1109">
        <w:t xml:space="preserve">which implicitly included </w:t>
      </w:r>
      <w:r w:rsidR="00010817" w:rsidRPr="00DB1109">
        <w:t>those that require specialist staff to perform complex surgery</w:t>
      </w:r>
      <w:r w:rsidR="00486169" w:rsidRPr="00DB1109">
        <w:t>.</w:t>
      </w:r>
      <w:r w:rsidR="00486169" w:rsidRPr="00DB1109">
        <w:rPr>
          <w:rStyle w:val="FootnoteReference"/>
          <w:rFonts w:cs="Arial"/>
        </w:rPr>
        <w:footnoteReference w:id="164"/>
      </w:r>
      <w:r w:rsidR="006D128C" w:rsidRPr="00DB1109">
        <w:br w:type="page"/>
      </w:r>
    </w:p>
    <w:p w14:paraId="7C0A0E33" w14:textId="2AEB9EBF" w:rsidR="00DF376C" w:rsidRPr="008D753F" w:rsidRDefault="00DF376C" w:rsidP="00A451D4">
      <w:pPr>
        <w:pStyle w:val="Heading3"/>
        <w:rPr>
          <w:b/>
          <w:bCs w:val="0"/>
        </w:rPr>
      </w:pPr>
      <w:bookmarkStart w:id="863" w:name="_Measure_12.7_–"/>
      <w:bookmarkStart w:id="864" w:name="_Toc19008140"/>
      <w:bookmarkEnd w:id="863"/>
      <w:r w:rsidRPr="008D753F">
        <w:rPr>
          <w:b/>
          <w:bCs w:val="0"/>
        </w:rPr>
        <w:lastRenderedPageBreak/>
        <w:t>Measure 12.7 –</w:t>
      </w:r>
      <w:r w:rsidR="00FD52A4" w:rsidRPr="008D753F">
        <w:rPr>
          <w:b/>
          <w:bCs w:val="0"/>
        </w:rPr>
        <w:t xml:space="preserve"> Proportion of patients</w:t>
      </w:r>
      <w:r w:rsidR="00B52802" w:rsidRPr="008D753F">
        <w:rPr>
          <w:b/>
          <w:bCs w:val="0"/>
        </w:rPr>
        <w:t xml:space="preserve"> aged less than 40 years referred to fertility preservation treatment as part of their primary treatment</w:t>
      </w:r>
      <w:bookmarkEnd w:id="864"/>
    </w:p>
    <w:p w14:paraId="6FC2E842" w14:textId="3B7E7A0E" w:rsidR="00845304" w:rsidRPr="001A2A05" w:rsidRDefault="001162EB" w:rsidP="00E87AAA">
      <w:pPr>
        <w:pStyle w:val="Body"/>
      </w:pPr>
      <w:r>
        <w:t>This measure will be reported in a future report. Refer to Appendix 1.</w:t>
      </w:r>
      <w:bookmarkStart w:id="865" w:name="_Hlk536692103"/>
      <w:r w:rsidR="00845304">
        <w:br w:type="page"/>
      </w:r>
    </w:p>
    <w:p w14:paraId="40EE4FB4" w14:textId="0A00A178" w:rsidR="00DF376C" w:rsidRPr="008D753F" w:rsidRDefault="00DF376C" w:rsidP="00A451D4">
      <w:pPr>
        <w:pStyle w:val="Heading3"/>
        <w:rPr>
          <w:b/>
          <w:bCs w:val="0"/>
        </w:rPr>
      </w:pPr>
      <w:bookmarkStart w:id="866" w:name="_Measure_12.8_–"/>
      <w:bookmarkStart w:id="867" w:name="_Toc19008141"/>
      <w:bookmarkStart w:id="868" w:name="_Hlk130287585"/>
      <w:bookmarkEnd w:id="866"/>
      <w:r w:rsidRPr="008D753F">
        <w:rPr>
          <w:b/>
          <w:bCs w:val="0"/>
        </w:rPr>
        <w:lastRenderedPageBreak/>
        <w:t>Measure 12.8 –</w:t>
      </w:r>
      <w:r w:rsidR="00FD52A4" w:rsidRPr="008D753F">
        <w:rPr>
          <w:b/>
          <w:bCs w:val="0"/>
        </w:rPr>
        <w:t xml:space="preserve"> Proportion of admitted</w:t>
      </w:r>
      <w:r w:rsidR="004F5795" w:rsidRPr="008D753F">
        <w:rPr>
          <w:b/>
          <w:bCs w:val="0"/>
        </w:rPr>
        <w:t xml:space="preserve"> cancer </w:t>
      </w:r>
      <w:r w:rsidR="0016552D" w:rsidRPr="008D753F">
        <w:rPr>
          <w:b/>
          <w:bCs w:val="0"/>
        </w:rPr>
        <w:t xml:space="preserve">separations </w:t>
      </w:r>
      <w:r w:rsidR="0093018F" w:rsidRPr="008D753F">
        <w:rPr>
          <w:b/>
          <w:bCs w:val="0"/>
        </w:rPr>
        <w:t xml:space="preserve">with a </w:t>
      </w:r>
      <w:r w:rsidR="002677DD" w:rsidRPr="008D753F">
        <w:rPr>
          <w:b/>
          <w:bCs w:val="0"/>
        </w:rPr>
        <w:t>l</w:t>
      </w:r>
      <w:r w:rsidR="00330FBF" w:rsidRPr="008D753F">
        <w:rPr>
          <w:b/>
          <w:bCs w:val="0"/>
        </w:rPr>
        <w:t>ength of stay (</w:t>
      </w:r>
      <w:r w:rsidR="0093018F" w:rsidRPr="008D753F">
        <w:rPr>
          <w:b/>
          <w:bCs w:val="0"/>
        </w:rPr>
        <w:t>LOS</w:t>
      </w:r>
      <w:r w:rsidR="00330FBF" w:rsidRPr="008D753F">
        <w:rPr>
          <w:b/>
          <w:bCs w:val="0"/>
        </w:rPr>
        <w:t>)</w:t>
      </w:r>
      <w:r w:rsidR="0093018F" w:rsidRPr="008D753F">
        <w:rPr>
          <w:b/>
          <w:bCs w:val="0"/>
        </w:rPr>
        <w:t xml:space="preserve"> &gt; 1 </w:t>
      </w:r>
      <w:r w:rsidR="001004A4">
        <w:rPr>
          <w:b/>
          <w:bCs w:val="0"/>
        </w:rPr>
        <w:t xml:space="preserve">day </w:t>
      </w:r>
      <w:r w:rsidR="0093018F" w:rsidRPr="008D753F">
        <w:rPr>
          <w:b/>
          <w:bCs w:val="0"/>
        </w:rPr>
        <w:t>who have been coded as having malnutrition</w:t>
      </w:r>
      <w:bookmarkEnd w:id="867"/>
    </w:p>
    <w:p w14:paraId="1E6BE9F5" w14:textId="09F30A0F" w:rsidR="006D7D0C" w:rsidRDefault="006D7D0C" w:rsidP="00867A76">
      <w:pPr>
        <w:pStyle w:val="Figurecaption"/>
        <w:rPr>
          <w:sz w:val="20"/>
        </w:rPr>
      </w:pPr>
      <w:bookmarkStart w:id="869" w:name="_Toc19008142"/>
      <w:bookmarkStart w:id="870" w:name="_Toc19008355"/>
      <w:bookmarkStart w:id="871" w:name="_Toc19008502"/>
      <w:bookmarkStart w:id="872" w:name="_Toc19008649"/>
      <w:bookmarkStart w:id="873" w:name="_Toc132553079"/>
      <w:bookmarkStart w:id="874" w:name="_Toc140827691"/>
      <w:r w:rsidRPr="00E56301">
        <w:rPr>
          <w:sz w:val="20"/>
        </w:rPr>
        <w:t>Figure 12.8</w:t>
      </w:r>
      <w:r w:rsidR="003B391F" w:rsidRPr="00E56301">
        <w:rPr>
          <w:sz w:val="20"/>
        </w:rPr>
        <w:t>:</w:t>
      </w:r>
      <w:r w:rsidRPr="00E56301">
        <w:rPr>
          <w:sz w:val="20"/>
        </w:rPr>
        <w:t xml:space="preserve"> Proportion of admitted cancer separations with a LOS &gt; 1 </w:t>
      </w:r>
      <w:r w:rsidR="001004A4">
        <w:rPr>
          <w:sz w:val="20"/>
        </w:rPr>
        <w:t xml:space="preserve">day </w:t>
      </w:r>
      <w:r w:rsidRPr="00E56301">
        <w:rPr>
          <w:sz w:val="20"/>
        </w:rPr>
        <w:t>who have been coded as having malnutrition</w:t>
      </w:r>
      <w:r w:rsidR="000B6357" w:rsidRPr="00E56301">
        <w:rPr>
          <w:sz w:val="20"/>
        </w:rPr>
        <w:t>,</w:t>
      </w:r>
      <w:r w:rsidRPr="00E56301">
        <w:rPr>
          <w:sz w:val="20"/>
        </w:rPr>
        <w:t xml:space="preserve"> by year, 2012</w:t>
      </w:r>
      <w:r w:rsidR="002677DD" w:rsidRPr="00E56301">
        <w:rPr>
          <w:sz w:val="20"/>
        </w:rPr>
        <w:t>–</w:t>
      </w:r>
      <w:r w:rsidRPr="00E56301">
        <w:rPr>
          <w:sz w:val="20"/>
        </w:rPr>
        <w:t>20</w:t>
      </w:r>
      <w:bookmarkEnd w:id="869"/>
      <w:bookmarkEnd w:id="870"/>
      <w:bookmarkEnd w:id="871"/>
      <w:bookmarkEnd w:id="872"/>
      <w:r w:rsidR="009C0E06" w:rsidRPr="00E56301">
        <w:rPr>
          <w:sz w:val="20"/>
        </w:rPr>
        <w:t>2</w:t>
      </w:r>
      <w:r w:rsidR="00CC09EA" w:rsidRPr="00E56301">
        <w:rPr>
          <w:sz w:val="20"/>
        </w:rPr>
        <w:t>2</w:t>
      </w:r>
      <w:bookmarkEnd w:id="873"/>
      <w:bookmarkEnd w:id="874"/>
    </w:p>
    <w:p w14:paraId="6DD5A2C6" w14:textId="1C9E9844" w:rsidR="002914E3" w:rsidRDefault="004F4E89" w:rsidP="004F4E89">
      <w:pPr>
        <w:pStyle w:val="DHHSbody"/>
      </w:pPr>
      <w:r w:rsidRPr="004F4E89">
        <w:rPr>
          <w:noProof/>
        </w:rPr>
        <w:drawing>
          <wp:inline distT="0" distB="0" distL="0" distR="0" wp14:anchorId="725C9B37" wp14:editId="50425AB4">
            <wp:extent cx="5695950" cy="3745408"/>
            <wp:effectExtent l="0" t="0" r="0" b="7620"/>
            <wp:docPr id="1499344201" name="Picture 1499344201" descr="'Measure 12.8 – Proportion of admitted cancer separations with a length of stay (LOS) &gt; 1 who have been coded as having malnutrition' for the study period 2012 to 2022. Data labels are shown on this figur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44201" name="Picture 1499344201" descr="'Measure 12.8 – Proportion of admitted cancer separations with a length of stay (LOS) &gt; 1 who have been coded as having malnutrition' for the study period 2012 to 2022. Data labels are shown on this figure (bar graph)."/>
                    <pic:cNvPicPr/>
                  </pic:nvPicPr>
                  <pic:blipFill>
                    <a:blip r:embed="rId142"/>
                    <a:stretch>
                      <a:fillRect/>
                    </a:stretch>
                  </pic:blipFill>
                  <pic:spPr>
                    <a:xfrm>
                      <a:off x="0" y="0"/>
                      <a:ext cx="5702523" cy="3749730"/>
                    </a:xfrm>
                    <a:prstGeom prst="rect">
                      <a:avLst/>
                    </a:prstGeom>
                  </pic:spPr>
                </pic:pic>
              </a:graphicData>
            </a:graphic>
          </wp:inline>
        </w:drawing>
      </w:r>
    </w:p>
    <w:p w14:paraId="146CA7F4" w14:textId="77777777" w:rsidR="00172E68" w:rsidRPr="00E56301" w:rsidRDefault="00C43386" w:rsidP="004A5899">
      <w:pPr>
        <w:pStyle w:val="Tablefigurenote"/>
        <w:rPr>
          <w:i/>
          <w:iCs/>
          <w:sz w:val="18"/>
          <w:szCs w:val="18"/>
        </w:rPr>
      </w:pPr>
      <w:r w:rsidRPr="00E56301">
        <w:rPr>
          <w:i/>
          <w:iCs/>
          <w:sz w:val="18"/>
          <w:szCs w:val="18"/>
        </w:rPr>
        <w:t xml:space="preserve">Notes: </w:t>
      </w:r>
    </w:p>
    <w:p w14:paraId="6D2A7E9A" w14:textId="0F7A3C8D" w:rsidR="00C43386" w:rsidRPr="00E56301" w:rsidRDefault="00C43386" w:rsidP="004A5899">
      <w:pPr>
        <w:pStyle w:val="Tablefigurenote"/>
        <w:rPr>
          <w:i/>
          <w:iCs/>
          <w:sz w:val="18"/>
          <w:szCs w:val="18"/>
        </w:rPr>
      </w:pPr>
      <w:r w:rsidRPr="00E56301">
        <w:rPr>
          <w:i/>
          <w:iCs/>
          <w:sz w:val="18"/>
          <w:szCs w:val="18"/>
        </w:rPr>
        <w:t>The following ICD10 codes were used for flagging malnutrition:</w:t>
      </w:r>
      <w:r w:rsidR="00172E68" w:rsidRPr="00E56301">
        <w:rPr>
          <w:i/>
          <w:iCs/>
          <w:sz w:val="18"/>
          <w:szCs w:val="18"/>
        </w:rPr>
        <w:t xml:space="preserve"> E43, E440, E441 and E46</w:t>
      </w:r>
      <w:r w:rsidR="00A5376B" w:rsidRPr="00E56301">
        <w:rPr>
          <w:i/>
          <w:iCs/>
          <w:sz w:val="18"/>
          <w:szCs w:val="18"/>
        </w:rPr>
        <w:t>.</w:t>
      </w:r>
    </w:p>
    <w:p w14:paraId="690F11F4" w14:textId="77777777" w:rsidR="00C43386" w:rsidRPr="00E56301" w:rsidRDefault="00C43386" w:rsidP="004A5899">
      <w:pPr>
        <w:pStyle w:val="Tablefigurenote"/>
        <w:rPr>
          <w:i/>
          <w:iCs/>
          <w:sz w:val="18"/>
          <w:szCs w:val="18"/>
        </w:rPr>
      </w:pPr>
      <w:r w:rsidRPr="00E56301">
        <w:rPr>
          <w:i/>
          <w:iCs/>
          <w:sz w:val="18"/>
          <w:szCs w:val="18"/>
        </w:rPr>
        <w:t>Separations were assigned to years based on VAED separation date and not admission date.</w:t>
      </w:r>
    </w:p>
    <w:p w14:paraId="11747CB8" w14:textId="77777777" w:rsidR="00B66B47" w:rsidRPr="00671C7A" w:rsidRDefault="00B66B47" w:rsidP="007C7F00">
      <w:pPr>
        <w:pStyle w:val="Heading4"/>
      </w:pPr>
      <w:r>
        <w:t>Measure assessment</w:t>
      </w:r>
    </w:p>
    <w:p w14:paraId="3CE14788" w14:textId="159937E5" w:rsidR="00B66B47" w:rsidRPr="00E615E8" w:rsidRDefault="00B66B47" w:rsidP="00606436">
      <w:pPr>
        <w:pStyle w:val="Body"/>
      </w:pPr>
      <w:r w:rsidRPr="002914E3">
        <w:t>Traffic light rating:</w:t>
      </w:r>
      <w:r w:rsidRPr="00B504AD">
        <w:rPr>
          <w:color w:val="AF272F"/>
        </w:rPr>
        <w:t xml:space="preserve"> </w:t>
      </w:r>
      <w:r w:rsidR="0085456A" w:rsidRPr="00B504AD">
        <w:rPr>
          <w:b/>
          <w:color w:val="AF272F"/>
        </w:rPr>
        <w:t>Red</w:t>
      </w:r>
      <w:r w:rsidR="00B03BE7" w:rsidRPr="00B504AD">
        <w:rPr>
          <w:color w:val="AF272F"/>
        </w:rPr>
        <w:t xml:space="preserve"> </w:t>
      </w:r>
      <w:r w:rsidR="00B03BE7" w:rsidRPr="00E615E8">
        <w:t>(result is of concern)</w:t>
      </w:r>
    </w:p>
    <w:p w14:paraId="2981F816" w14:textId="3F185288" w:rsidR="00B66B47" w:rsidRPr="00E827C0" w:rsidRDefault="00B66B47" w:rsidP="00606436">
      <w:pPr>
        <w:pStyle w:val="Body"/>
        <w:rPr>
          <w:b/>
        </w:rPr>
      </w:pPr>
      <w:r w:rsidRPr="00AF3DE1">
        <w:t>Overall trend:</w:t>
      </w:r>
      <w:r>
        <w:t xml:space="preserve"> </w:t>
      </w:r>
      <w:r w:rsidR="00AF3DE1">
        <w:t xml:space="preserve">Difficult to assess </w:t>
      </w:r>
      <w:r w:rsidR="00E54DC7">
        <w:t xml:space="preserve">because </w:t>
      </w:r>
      <w:r w:rsidR="00AF3DE1">
        <w:t>the coding may have changed over the years, which may account for some of the increase in malnutrition separations</w:t>
      </w:r>
      <w:r w:rsidR="005857DA">
        <w:t xml:space="preserve"> and less underreporting in recent years</w:t>
      </w:r>
      <w:r w:rsidR="005821C7">
        <w:t>.</w:t>
      </w:r>
    </w:p>
    <w:p w14:paraId="132BBB5C" w14:textId="71A75A1F" w:rsidR="00176EDB" w:rsidRDefault="00B66B47" w:rsidP="003B391F">
      <w:pPr>
        <w:pStyle w:val="Body"/>
        <w:rPr>
          <w:lang w:val="en"/>
        </w:rPr>
      </w:pPr>
      <w:r w:rsidRPr="00E802E3">
        <w:rPr>
          <w:lang w:val="en"/>
        </w:rPr>
        <w:t xml:space="preserve">Commentary: </w:t>
      </w:r>
      <w:r w:rsidR="00D35448" w:rsidRPr="00E802E3">
        <w:t xml:space="preserve">Malnutrition </w:t>
      </w:r>
      <w:r w:rsidR="00E802E3" w:rsidRPr="00E802E3">
        <w:t xml:space="preserve">in cancer patients </w:t>
      </w:r>
      <w:r w:rsidR="00D35448" w:rsidRPr="00E802E3">
        <w:t xml:space="preserve">is associated with poorer outcomes </w:t>
      </w:r>
      <w:r w:rsidR="00E802E3" w:rsidRPr="00E802E3">
        <w:t xml:space="preserve">such as reduced response to treatments </w:t>
      </w:r>
      <w:r w:rsidR="00D35448" w:rsidRPr="00E802E3">
        <w:t>and increased healthcare costs as a result of increased complications, longer</w:t>
      </w:r>
      <w:r w:rsidR="006D7D0C">
        <w:t xml:space="preserve"> </w:t>
      </w:r>
      <w:r w:rsidR="00D35448" w:rsidRPr="00E802E3">
        <w:t>LOS and hospital admissions.</w:t>
      </w:r>
      <w:r w:rsidR="00D35448" w:rsidRPr="00E802E3">
        <w:rPr>
          <w:rStyle w:val="FootnoteReference"/>
          <w:rFonts w:cs="Arial"/>
          <w:lang w:eastAsia="en-AU"/>
        </w:rPr>
        <w:footnoteReference w:id="165"/>
      </w:r>
      <w:r w:rsidR="00D35448" w:rsidRPr="00E802E3">
        <w:t xml:space="preserve"> </w:t>
      </w:r>
      <w:r w:rsidR="00A4534D">
        <w:rPr>
          <w:lang w:val="en"/>
        </w:rPr>
        <w:t>P</w:t>
      </w:r>
      <w:r w:rsidRPr="00E802E3">
        <w:rPr>
          <w:lang w:val="en"/>
        </w:rPr>
        <w:t>reventi</w:t>
      </w:r>
      <w:r w:rsidR="00A4534D">
        <w:rPr>
          <w:lang w:val="en"/>
        </w:rPr>
        <w:t>ng</w:t>
      </w:r>
      <w:r w:rsidRPr="00E802E3">
        <w:rPr>
          <w:lang w:val="en"/>
        </w:rPr>
        <w:t xml:space="preserve"> and manag</w:t>
      </w:r>
      <w:r w:rsidR="00A4534D">
        <w:rPr>
          <w:lang w:val="en"/>
        </w:rPr>
        <w:t>ing</w:t>
      </w:r>
      <w:r w:rsidRPr="00E802E3">
        <w:rPr>
          <w:lang w:val="en"/>
        </w:rPr>
        <w:t xml:space="preserve"> malnutrition is increasingly being recognised as a significant element of cancer care</w:t>
      </w:r>
      <w:r w:rsidR="00A4534D">
        <w:rPr>
          <w:lang w:val="en"/>
        </w:rPr>
        <w:t>,</w:t>
      </w:r>
      <w:r w:rsidR="00935417" w:rsidRPr="00E802E3">
        <w:rPr>
          <w:lang w:val="en"/>
        </w:rPr>
        <w:t xml:space="preserve"> particularly </w:t>
      </w:r>
      <w:r w:rsidR="00A4534D">
        <w:rPr>
          <w:lang w:val="en"/>
        </w:rPr>
        <w:t xml:space="preserve">because </w:t>
      </w:r>
      <w:r w:rsidR="00221080" w:rsidRPr="00E802E3">
        <w:rPr>
          <w:lang w:val="en"/>
        </w:rPr>
        <w:t>malnutrition can occur in all tumour types and in all settings.</w:t>
      </w:r>
      <w:r w:rsidR="004403D8" w:rsidRPr="00E802E3">
        <w:rPr>
          <w:rStyle w:val="FootnoteReference"/>
          <w:rFonts w:cs="Arial"/>
          <w:lang w:val="en"/>
        </w:rPr>
        <w:footnoteReference w:id="166"/>
      </w:r>
      <w:r w:rsidR="00176EDB">
        <w:rPr>
          <w:lang w:val="en"/>
        </w:rPr>
        <w:t xml:space="preserve"> </w:t>
      </w:r>
      <w:r w:rsidR="0046411B">
        <w:rPr>
          <w:lang w:val="en"/>
        </w:rPr>
        <w:t>A</w:t>
      </w:r>
      <w:r w:rsidR="00176EDB">
        <w:rPr>
          <w:lang w:val="en"/>
        </w:rPr>
        <w:t xml:space="preserve"> </w:t>
      </w:r>
      <w:r w:rsidR="0046411B">
        <w:rPr>
          <w:lang w:val="en"/>
        </w:rPr>
        <w:t xml:space="preserve">multi-centre point prevalence </w:t>
      </w:r>
      <w:r w:rsidR="00176EDB">
        <w:rPr>
          <w:lang w:val="en"/>
        </w:rPr>
        <w:t>study</w:t>
      </w:r>
      <w:r w:rsidR="00E04AFC">
        <w:rPr>
          <w:lang w:val="en"/>
        </w:rPr>
        <w:t xml:space="preserve"> undertaken in 2012 and 2014</w:t>
      </w:r>
      <w:r w:rsidR="00176EDB">
        <w:rPr>
          <w:lang w:val="en"/>
        </w:rPr>
        <w:t xml:space="preserve"> </w:t>
      </w:r>
      <w:r w:rsidR="00E54DC7">
        <w:rPr>
          <w:lang w:val="en"/>
        </w:rPr>
        <w:t xml:space="preserve">that </w:t>
      </w:r>
      <w:r w:rsidR="00176EDB">
        <w:rPr>
          <w:lang w:val="en"/>
        </w:rPr>
        <w:t>investigated practices relat</w:t>
      </w:r>
      <w:r w:rsidR="0065615F">
        <w:rPr>
          <w:lang w:val="en"/>
        </w:rPr>
        <w:t>ing</w:t>
      </w:r>
      <w:r w:rsidR="00176EDB">
        <w:rPr>
          <w:lang w:val="en"/>
        </w:rPr>
        <w:t xml:space="preserve"> to malnutrition in Victorian cancer </w:t>
      </w:r>
      <w:r w:rsidR="00176EDB" w:rsidRPr="76BE792E">
        <w:rPr>
          <w:rFonts w:cs="Arial"/>
          <w:lang w:val="en"/>
        </w:rPr>
        <w:t xml:space="preserve">services </w:t>
      </w:r>
      <w:r w:rsidR="0046411B" w:rsidRPr="76BE792E">
        <w:rPr>
          <w:rFonts w:cs="Arial"/>
          <w:lang w:val="en"/>
        </w:rPr>
        <w:t xml:space="preserve">researchers </w:t>
      </w:r>
      <w:r w:rsidR="00176EDB" w:rsidRPr="76BE792E">
        <w:rPr>
          <w:rFonts w:cs="Arial"/>
          <w:lang w:val="en"/>
        </w:rPr>
        <w:t xml:space="preserve">found that overall the prevalence of malnutrition was </w:t>
      </w:r>
      <w:r w:rsidR="0046411B" w:rsidRPr="76BE792E">
        <w:rPr>
          <w:rFonts w:cs="Arial"/>
          <w:lang w:val="en"/>
        </w:rPr>
        <w:t>26</w:t>
      </w:r>
      <w:r w:rsidR="0054537F">
        <w:rPr>
          <w:rFonts w:cs="Arial"/>
          <w:lang w:val="en"/>
        </w:rPr>
        <w:t>%</w:t>
      </w:r>
      <w:r w:rsidR="00176EDB" w:rsidRPr="76BE792E">
        <w:rPr>
          <w:rFonts w:cs="Arial"/>
          <w:lang w:val="en"/>
        </w:rPr>
        <w:t xml:space="preserve"> </w:t>
      </w:r>
      <w:r w:rsidR="00176EDB" w:rsidRPr="76BE792E">
        <w:rPr>
          <w:rFonts w:cs="Arial"/>
        </w:rPr>
        <w:t>(</w:t>
      </w:r>
      <w:r w:rsidR="0046411B" w:rsidRPr="76BE792E">
        <w:rPr>
          <w:rFonts w:cs="Arial"/>
        </w:rPr>
        <w:t>501/1</w:t>
      </w:r>
      <w:r w:rsidR="00472AAB" w:rsidRPr="76BE792E">
        <w:rPr>
          <w:rFonts w:cs="Arial"/>
        </w:rPr>
        <w:t>,</w:t>
      </w:r>
      <w:r w:rsidR="0046411B" w:rsidRPr="76BE792E">
        <w:rPr>
          <w:rFonts w:cs="Arial"/>
        </w:rPr>
        <w:t>903</w:t>
      </w:r>
      <w:r w:rsidR="00176EDB" w:rsidRPr="76BE792E">
        <w:rPr>
          <w:rFonts w:cs="Arial"/>
        </w:rPr>
        <w:t>)</w:t>
      </w:r>
      <w:r w:rsidR="0046411B" w:rsidRPr="76BE792E">
        <w:rPr>
          <w:rFonts w:cs="Arial"/>
        </w:rPr>
        <w:t xml:space="preserve"> in 2014</w:t>
      </w:r>
      <w:r w:rsidR="00176EDB" w:rsidRPr="76BE792E">
        <w:rPr>
          <w:rFonts w:cs="Arial"/>
        </w:rPr>
        <w:t>.</w:t>
      </w:r>
      <w:r w:rsidR="00176EDB" w:rsidRPr="76BE792E">
        <w:rPr>
          <w:rStyle w:val="FootnoteReference"/>
          <w:rFonts w:cs="Arial"/>
          <w:lang w:eastAsia="en-AU"/>
        </w:rPr>
        <w:footnoteReference w:id="167"/>
      </w:r>
      <w:r w:rsidR="00884C95" w:rsidRPr="76BE792E">
        <w:rPr>
          <w:rFonts w:cs="Arial"/>
        </w:rPr>
        <w:t xml:space="preserve"> This figure </w:t>
      </w:r>
      <w:r w:rsidR="00884C95" w:rsidRPr="76BE792E">
        <w:rPr>
          <w:rFonts w:cs="Arial"/>
        </w:rPr>
        <w:lastRenderedPageBreak/>
        <w:t>decreased to 23</w:t>
      </w:r>
      <w:r w:rsidR="0054537F">
        <w:rPr>
          <w:rFonts w:cs="Arial"/>
        </w:rPr>
        <w:t>%</w:t>
      </w:r>
      <w:r w:rsidR="00884C95" w:rsidRPr="76BE792E">
        <w:rPr>
          <w:rFonts w:cs="Arial"/>
        </w:rPr>
        <w:t xml:space="preserve"> in 2016</w:t>
      </w:r>
      <w:r w:rsidR="00030871" w:rsidRPr="76BE792E">
        <w:rPr>
          <w:rFonts w:cs="Arial"/>
        </w:rPr>
        <w:t xml:space="preserve"> (308/1</w:t>
      </w:r>
      <w:r w:rsidR="00472AAB" w:rsidRPr="76BE792E">
        <w:rPr>
          <w:rFonts w:cs="Arial"/>
        </w:rPr>
        <w:t>,</w:t>
      </w:r>
      <w:r w:rsidR="00030871" w:rsidRPr="76BE792E">
        <w:rPr>
          <w:rFonts w:cs="Arial"/>
        </w:rPr>
        <w:t>340)</w:t>
      </w:r>
      <w:r w:rsidR="001A107D" w:rsidRPr="76BE792E">
        <w:rPr>
          <w:rFonts w:cs="Arial"/>
        </w:rPr>
        <w:t xml:space="preserve"> and 15</w:t>
      </w:r>
      <w:r w:rsidR="0054537F">
        <w:rPr>
          <w:rFonts w:cs="Arial"/>
        </w:rPr>
        <w:t>%</w:t>
      </w:r>
      <w:r w:rsidR="001A107D" w:rsidRPr="76BE792E">
        <w:rPr>
          <w:rFonts w:cs="Arial"/>
        </w:rPr>
        <w:t xml:space="preserve"> in 2018 (219/1</w:t>
      </w:r>
      <w:r w:rsidR="00472AAB" w:rsidRPr="76BE792E">
        <w:rPr>
          <w:rFonts w:cs="Arial"/>
        </w:rPr>
        <w:t>,</w:t>
      </w:r>
      <w:r w:rsidR="001A107D" w:rsidRPr="76BE792E">
        <w:rPr>
          <w:rFonts w:cs="Arial"/>
        </w:rPr>
        <w:t>462)</w:t>
      </w:r>
      <w:r w:rsidR="00030871" w:rsidRPr="76BE792E">
        <w:rPr>
          <w:rFonts w:cs="Arial"/>
        </w:rPr>
        <w:t>.</w:t>
      </w:r>
      <w:r w:rsidR="00030871" w:rsidRPr="76BE792E">
        <w:rPr>
          <w:rStyle w:val="FootnoteReference"/>
          <w:rFonts w:cs="Arial"/>
          <w:lang w:eastAsia="en-AU"/>
        </w:rPr>
        <w:footnoteReference w:id="168"/>
      </w:r>
      <w:r w:rsidR="001A107D" w:rsidRPr="76BE792E">
        <w:rPr>
          <w:rFonts w:cs="Arial"/>
          <w:lang w:val="en"/>
        </w:rPr>
        <w:t xml:space="preserve"> </w:t>
      </w:r>
      <w:r w:rsidR="00F76BC4" w:rsidRPr="76BE792E">
        <w:rPr>
          <w:rFonts w:cs="Arial"/>
          <w:lang w:val="en"/>
        </w:rPr>
        <w:t xml:space="preserve">More recently preliminary statewide findings from </w:t>
      </w:r>
      <w:r w:rsidR="001A107D" w:rsidRPr="76BE792E">
        <w:rPr>
          <w:rFonts w:cs="Arial"/>
          <w:lang w:val="en"/>
        </w:rPr>
        <w:t>the 2022</w:t>
      </w:r>
      <w:r w:rsidR="00F76BC4" w:rsidRPr="76BE792E">
        <w:rPr>
          <w:rFonts w:cs="Arial"/>
          <w:lang w:val="en"/>
        </w:rPr>
        <w:t xml:space="preserve"> </w:t>
      </w:r>
      <w:r w:rsidR="001A107D" w:rsidRPr="76BE792E">
        <w:rPr>
          <w:rFonts w:cs="Arial"/>
          <w:lang w:val="en"/>
        </w:rPr>
        <w:t xml:space="preserve">Victorian </w:t>
      </w:r>
      <w:r w:rsidR="00472AAB" w:rsidRPr="76BE792E">
        <w:rPr>
          <w:rFonts w:cs="Arial"/>
          <w:lang w:val="en"/>
        </w:rPr>
        <w:t>Cancer Malnutrition Point</w:t>
      </w:r>
      <w:r w:rsidR="00472AAB">
        <w:rPr>
          <w:lang w:val="en"/>
        </w:rPr>
        <w:t xml:space="preserve"> Prevalence Study </w:t>
      </w:r>
      <w:r w:rsidR="00F76BC4">
        <w:rPr>
          <w:lang w:val="en"/>
        </w:rPr>
        <w:t>show overall malnutrition prevalence has increased to 32</w:t>
      </w:r>
      <w:r w:rsidR="0054537F">
        <w:rPr>
          <w:lang w:val="en"/>
        </w:rPr>
        <w:t>%</w:t>
      </w:r>
      <w:r w:rsidR="00F76BC4">
        <w:rPr>
          <w:lang w:val="en"/>
        </w:rPr>
        <w:t xml:space="preserve"> (550/1</w:t>
      </w:r>
      <w:r w:rsidR="00472AAB">
        <w:rPr>
          <w:lang w:val="en"/>
        </w:rPr>
        <w:t>,</w:t>
      </w:r>
      <w:r w:rsidR="00F76BC4">
        <w:rPr>
          <w:lang w:val="en"/>
        </w:rPr>
        <w:t>705).</w:t>
      </w:r>
      <w:r w:rsidR="00967894">
        <w:rPr>
          <w:rStyle w:val="FootnoteReference"/>
          <w:rFonts w:cs="Arial"/>
          <w:lang w:val="en"/>
        </w:rPr>
        <w:footnoteReference w:id="169"/>
      </w:r>
    </w:p>
    <w:p w14:paraId="652E5C81" w14:textId="7D8CF12E" w:rsidR="00DF376C" w:rsidRPr="00A451D4" w:rsidRDefault="004C5469" w:rsidP="00E87AAA">
      <w:pPr>
        <w:pStyle w:val="Body"/>
        <w:rPr>
          <w:rStyle w:val="Heading3Char"/>
        </w:rPr>
      </w:pPr>
      <w:r>
        <w:rPr>
          <w:lang w:val="en"/>
        </w:rPr>
        <w:t>Figure 12.8</w:t>
      </w:r>
      <w:r w:rsidR="005A6DBA">
        <w:rPr>
          <w:lang w:val="en"/>
        </w:rPr>
        <w:t xml:space="preserve"> shows that </w:t>
      </w:r>
      <w:r w:rsidR="0085456A">
        <w:rPr>
          <w:lang w:val="en"/>
        </w:rPr>
        <w:t>the proportion of cancer separations with a</w:t>
      </w:r>
      <w:r w:rsidR="0093423C">
        <w:rPr>
          <w:lang w:val="en"/>
        </w:rPr>
        <w:t>n</w:t>
      </w:r>
      <w:r w:rsidR="0085456A">
        <w:rPr>
          <w:lang w:val="en"/>
        </w:rPr>
        <w:t xml:space="preserve"> LOS greater than one day who have been coded as having malnutrition increased by </w:t>
      </w:r>
      <w:r w:rsidR="005C7419">
        <w:rPr>
          <w:lang w:val="en"/>
        </w:rPr>
        <w:t>7</w:t>
      </w:r>
      <w:r w:rsidR="0054537F">
        <w:rPr>
          <w:lang w:val="en"/>
        </w:rPr>
        <w:t>%</w:t>
      </w:r>
      <w:r w:rsidR="0085456A">
        <w:rPr>
          <w:lang w:val="en"/>
        </w:rPr>
        <w:t xml:space="preserve"> between 2012 and 20</w:t>
      </w:r>
      <w:r w:rsidR="004E4201">
        <w:rPr>
          <w:lang w:val="en"/>
        </w:rPr>
        <w:t>2</w:t>
      </w:r>
      <w:r w:rsidR="00CC09EA">
        <w:rPr>
          <w:lang w:val="en"/>
        </w:rPr>
        <w:t>2</w:t>
      </w:r>
      <w:r w:rsidR="0085456A">
        <w:rPr>
          <w:lang w:val="en"/>
        </w:rPr>
        <w:t>.</w:t>
      </w:r>
      <w:r w:rsidR="00952FC7">
        <w:rPr>
          <w:lang w:val="en"/>
        </w:rPr>
        <w:t xml:space="preserve"> </w:t>
      </w:r>
      <w:r w:rsidR="00330AFB">
        <w:rPr>
          <w:lang w:val="en"/>
        </w:rPr>
        <w:t xml:space="preserve">Care should be taken in interpreting this </w:t>
      </w:r>
      <w:r w:rsidR="00F47E10">
        <w:rPr>
          <w:lang w:val="en"/>
        </w:rPr>
        <w:t>increase</w:t>
      </w:r>
      <w:r w:rsidR="00A4534D">
        <w:rPr>
          <w:lang w:val="en"/>
        </w:rPr>
        <w:t>,</w:t>
      </w:r>
      <w:r w:rsidR="00F47E10">
        <w:rPr>
          <w:lang w:val="en"/>
        </w:rPr>
        <w:t xml:space="preserve"> </w:t>
      </w:r>
      <w:r w:rsidR="00330AFB">
        <w:rPr>
          <w:lang w:val="en"/>
        </w:rPr>
        <w:t xml:space="preserve">which </w:t>
      </w:r>
      <w:r w:rsidR="00F47E10">
        <w:rPr>
          <w:lang w:val="en"/>
        </w:rPr>
        <w:t>may</w:t>
      </w:r>
      <w:r w:rsidR="00367FDA">
        <w:rPr>
          <w:lang w:val="en"/>
        </w:rPr>
        <w:t xml:space="preserve"> </w:t>
      </w:r>
      <w:r w:rsidR="00C03E99">
        <w:rPr>
          <w:lang w:val="en"/>
        </w:rPr>
        <w:t>be t</w:t>
      </w:r>
      <w:r w:rsidR="00367FDA">
        <w:rPr>
          <w:lang w:val="en"/>
        </w:rPr>
        <w:t>he result of malnutrition</w:t>
      </w:r>
      <w:r w:rsidR="00330AFB">
        <w:rPr>
          <w:lang w:val="en"/>
        </w:rPr>
        <w:t>,</w:t>
      </w:r>
      <w:r w:rsidR="00367FDA">
        <w:rPr>
          <w:lang w:val="en"/>
        </w:rPr>
        <w:t xml:space="preserve"> although the VAED coding</w:t>
      </w:r>
      <w:r w:rsidR="004370F1">
        <w:rPr>
          <w:lang w:val="en"/>
        </w:rPr>
        <w:t xml:space="preserve"> (which includes malnutrition)</w:t>
      </w:r>
      <w:r w:rsidR="00367FDA">
        <w:rPr>
          <w:lang w:val="en"/>
        </w:rPr>
        <w:t xml:space="preserve"> </w:t>
      </w:r>
      <w:r w:rsidR="004F3764">
        <w:rPr>
          <w:lang w:val="en"/>
        </w:rPr>
        <w:t xml:space="preserve">still </w:t>
      </w:r>
      <w:r w:rsidR="00367FDA">
        <w:rPr>
          <w:lang w:val="en"/>
        </w:rPr>
        <w:t>ha</w:t>
      </w:r>
      <w:r w:rsidR="004370F1">
        <w:rPr>
          <w:lang w:val="en"/>
        </w:rPr>
        <w:t>s</w:t>
      </w:r>
      <w:r w:rsidR="00367FDA">
        <w:rPr>
          <w:lang w:val="en"/>
        </w:rPr>
        <w:t xml:space="preserve"> </w:t>
      </w:r>
      <w:r w:rsidR="008A30BB">
        <w:rPr>
          <w:lang w:val="en"/>
        </w:rPr>
        <w:t>significant</w:t>
      </w:r>
      <w:r w:rsidR="00367FDA">
        <w:rPr>
          <w:lang w:val="en"/>
        </w:rPr>
        <w:t xml:space="preserve"> </w:t>
      </w:r>
      <w:r w:rsidR="0007406C">
        <w:rPr>
          <w:lang w:val="en"/>
        </w:rPr>
        <w:t xml:space="preserve">issues </w:t>
      </w:r>
      <w:r w:rsidR="00367FDA">
        <w:rPr>
          <w:lang w:val="en"/>
        </w:rPr>
        <w:t>with data integrity</w:t>
      </w:r>
      <w:r w:rsidR="00A4534D">
        <w:rPr>
          <w:lang w:val="en"/>
        </w:rPr>
        <w:t>,</w:t>
      </w:r>
      <w:r w:rsidR="00367FDA">
        <w:rPr>
          <w:lang w:val="en"/>
        </w:rPr>
        <w:t xml:space="preserve"> which means that malnutrition is </w:t>
      </w:r>
      <w:r w:rsidR="00B564A8">
        <w:rPr>
          <w:lang w:val="en"/>
        </w:rPr>
        <w:t xml:space="preserve">likely </w:t>
      </w:r>
      <w:r w:rsidR="004F3764">
        <w:rPr>
          <w:lang w:val="en"/>
        </w:rPr>
        <w:t xml:space="preserve">being </w:t>
      </w:r>
      <w:r w:rsidR="00367FDA">
        <w:rPr>
          <w:lang w:val="en"/>
        </w:rPr>
        <w:t xml:space="preserve">underreported in </w:t>
      </w:r>
      <w:r w:rsidR="0015403C">
        <w:rPr>
          <w:lang w:val="en"/>
        </w:rPr>
        <w:t xml:space="preserve">the </w:t>
      </w:r>
      <w:r w:rsidR="00367FDA">
        <w:rPr>
          <w:lang w:val="en"/>
        </w:rPr>
        <w:t>coding</w:t>
      </w:r>
      <w:r w:rsidR="004F3764">
        <w:rPr>
          <w:lang w:val="en"/>
        </w:rPr>
        <w:t>.</w:t>
      </w:r>
      <w:bookmarkStart w:id="875" w:name="_Measure_12.9_–"/>
      <w:bookmarkEnd w:id="865"/>
      <w:bookmarkEnd w:id="868"/>
      <w:bookmarkEnd w:id="875"/>
      <w:r w:rsidR="00711B28">
        <w:rPr>
          <w:lang w:eastAsia="en-AU"/>
        </w:rPr>
        <w:br w:type="page"/>
      </w:r>
      <w:bookmarkStart w:id="876" w:name="_Toc19008143"/>
      <w:r w:rsidR="00DF376C" w:rsidRPr="00BD7890">
        <w:rPr>
          <w:rStyle w:val="Heading3Char"/>
          <w:b/>
          <w:bCs w:val="0"/>
        </w:rPr>
        <w:lastRenderedPageBreak/>
        <w:t>Measure 12.9 –</w:t>
      </w:r>
      <w:r w:rsidR="00FD52A4" w:rsidRPr="00BD7890">
        <w:rPr>
          <w:rStyle w:val="Heading3Char"/>
          <w:b/>
          <w:bCs w:val="0"/>
        </w:rPr>
        <w:t xml:space="preserve"> Proportion of patients</w:t>
      </w:r>
      <w:r w:rsidR="004F5795" w:rsidRPr="00BD7890">
        <w:rPr>
          <w:rStyle w:val="Heading3Char"/>
          <w:b/>
          <w:bCs w:val="0"/>
        </w:rPr>
        <w:t xml:space="preserve"> who reported being involved in the decisions about their care and treatment as much as they wanted to</w:t>
      </w:r>
      <w:bookmarkEnd w:id="876"/>
      <w:r w:rsidR="004F5795" w:rsidRPr="00A451D4">
        <w:rPr>
          <w:rStyle w:val="Heading3Char"/>
        </w:rPr>
        <w:t xml:space="preserve"> </w:t>
      </w:r>
    </w:p>
    <w:p w14:paraId="632EA418" w14:textId="5C722FF6" w:rsidR="002F32FF" w:rsidRDefault="002F32FF" w:rsidP="00867A76">
      <w:pPr>
        <w:pStyle w:val="Figurecaption"/>
        <w:rPr>
          <w:sz w:val="20"/>
        </w:rPr>
      </w:pPr>
      <w:bookmarkStart w:id="877" w:name="_Toc19008144"/>
      <w:bookmarkStart w:id="878" w:name="_Toc19008356"/>
      <w:bookmarkStart w:id="879" w:name="_Toc19008503"/>
      <w:bookmarkStart w:id="880" w:name="_Toc19008650"/>
      <w:bookmarkStart w:id="881" w:name="_Toc132553080"/>
      <w:bookmarkStart w:id="882" w:name="_Toc140827692"/>
      <w:r w:rsidRPr="002919D4">
        <w:rPr>
          <w:sz w:val="20"/>
        </w:rPr>
        <w:t>Figure 12.9</w:t>
      </w:r>
      <w:r w:rsidR="003B391F" w:rsidRPr="002919D4">
        <w:rPr>
          <w:sz w:val="20"/>
        </w:rPr>
        <w:t>:</w:t>
      </w:r>
      <w:r w:rsidR="00645774" w:rsidRPr="002919D4">
        <w:rPr>
          <w:sz w:val="20"/>
        </w:rPr>
        <w:t xml:space="preserve"> Proportion of cancer patients who reported being involved in decisions a</w:t>
      </w:r>
      <w:r w:rsidR="008E6DB2" w:rsidRPr="002919D4">
        <w:rPr>
          <w:sz w:val="20"/>
        </w:rPr>
        <w:t>bout their care and treatment as much as they wanted to</w:t>
      </w:r>
      <w:r w:rsidR="00D82A02" w:rsidRPr="002919D4">
        <w:rPr>
          <w:sz w:val="20"/>
        </w:rPr>
        <w:t>,</w:t>
      </w:r>
      <w:r w:rsidR="009D227F" w:rsidRPr="002919D4">
        <w:rPr>
          <w:sz w:val="20"/>
        </w:rPr>
        <w:t xml:space="preserve"> 2018</w:t>
      </w:r>
      <w:bookmarkEnd w:id="877"/>
      <w:bookmarkEnd w:id="878"/>
      <w:bookmarkEnd w:id="879"/>
      <w:bookmarkEnd w:id="880"/>
      <w:bookmarkEnd w:id="881"/>
      <w:r w:rsidR="0075363D">
        <w:rPr>
          <w:sz w:val="20"/>
        </w:rPr>
        <w:t xml:space="preserve"> </w:t>
      </w:r>
      <w:r w:rsidR="00135365">
        <w:rPr>
          <w:sz w:val="20"/>
        </w:rPr>
        <w:t xml:space="preserve">and </w:t>
      </w:r>
      <w:r w:rsidR="00135365" w:rsidRPr="003B62B9">
        <w:rPr>
          <w:sz w:val="20"/>
        </w:rPr>
        <w:t>202</w:t>
      </w:r>
      <w:r w:rsidR="00F8578A" w:rsidRPr="003B62B9">
        <w:rPr>
          <w:sz w:val="20"/>
        </w:rPr>
        <w:t>2</w:t>
      </w:r>
      <w:bookmarkEnd w:id="882"/>
    </w:p>
    <w:p w14:paraId="71FBBFBF" w14:textId="22A84052" w:rsidR="00D82A02" w:rsidRPr="00D82A02" w:rsidRDefault="0075363D" w:rsidP="0075363D">
      <w:pPr>
        <w:pStyle w:val="DHHSbody"/>
      </w:pPr>
      <w:r w:rsidRPr="0075363D">
        <w:rPr>
          <w:noProof/>
        </w:rPr>
        <w:drawing>
          <wp:inline distT="0" distB="0" distL="0" distR="0" wp14:anchorId="632C4272" wp14:editId="30B738C9">
            <wp:extent cx="5819775" cy="3221990"/>
            <wp:effectExtent l="0" t="0" r="0" b="0"/>
            <wp:docPr id="1499344204" name="Picture 1499344204" descr="This figure presents data under the 'Measure 12.9 – Proportion of patients who reported being involved in the decisions about their care and treatment as much as they wanted to' for 2018, 2019 and 2023. Data labels are shown on this figur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44204" name="Picture 1499344204" descr="This figure presents data under the 'Measure 12.9 – Proportion of patients who reported being involved in the decisions about their care and treatment as much as they wanted to' for 2018, 2019 and 2023. Data labels are shown on this figure (bar graph)."/>
                    <pic:cNvPicPr/>
                  </pic:nvPicPr>
                  <pic:blipFill>
                    <a:blip r:embed="rId143"/>
                    <a:stretch>
                      <a:fillRect/>
                    </a:stretch>
                  </pic:blipFill>
                  <pic:spPr>
                    <a:xfrm>
                      <a:off x="0" y="0"/>
                      <a:ext cx="5828354" cy="3226740"/>
                    </a:xfrm>
                    <a:prstGeom prst="rect">
                      <a:avLst/>
                    </a:prstGeom>
                  </pic:spPr>
                </pic:pic>
              </a:graphicData>
            </a:graphic>
          </wp:inline>
        </w:drawing>
      </w:r>
    </w:p>
    <w:p w14:paraId="72192C19" w14:textId="408FE086" w:rsidR="008A5055" w:rsidRPr="002919D4" w:rsidRDefault="00CF135C" w:rsidP="004D47E0">
      <w:pPr>
        <w:pStyle w:val="Tablefigurenote"/>
        <w:rPr>
          <w:i/>
          <w:iCs/>
          <w:sz w:val="18"/>
          <w:szCs w:val="18"/>
          <w:lang w:eastAsia="en-AU"/>
        </w:rPr>
      </w:pPr>
      <w:r w:rsidRPr="002919D4">
        <w:rPr>
          <w:i/>
          <w:iCs/>
          <w:sz w:val="18"/>
          <w:szCs w:val="18"/>
        </w:rPr>
        <w:t xml:space="preserve">Note: </w:t>
      </w:r>
      <w:r w:rsidR="00B030EB" w:rsidRPr="002919D4">
        <w:rPr>
          <w:i/>
          <w:iCs/>
          <w:sz w:val="18"/>
          <w:szCs w:val="18"/>
        </w:rPr>
        <w:t>These responses relate to the question</w:t>
      </w:r>
      <w:r w:rsidR="00422837" w:rsidRPr="002919D4">
        <w:rPr>
          <w:i/>
          <w:iCs/>
          <w:sz w:val="18"/>
          <w:szCs w:val="18"/>
        </w:rPr>
        <w:t>,</w:t>
      </w:r>
      <w:r w:rsidR="00A1501B" w:rsidRPr="002919D4">
        <w:rPr>
          <w:i/>
          <w:iCs/>
          <w:sz w:val="18"/>
          <w:szCs w:val="18"/>
        </w:rPr>
        <w:t xml:space="preserve"> </w:t>
      </w:r>
      <w:r w:rsidR="00422837" w:rsidRPr="002919D4">
        <w:rPr>
          <w:i/>
          <w:iCs/>
          <w:sz w:val="18"/>
          <w:szCs w:val="18"/>
        </w:rPr>
        <w:t>‘</w:t>
      </w:r>
      <w:r w:rsidR="00A1501B" w:rsidRPr="002919D4">
        <w:rPr>
          <w:i/>
          <w:iCs/>
          <w:sz w:val="18"/>
          <w:szCs w:val="18"/>
        </w:rPr>
        <w:t>Were you involved as much as you wanted to be in decisions about your care and treatment?</w:t>
      </w:r>
      <w:r w:rsidR="00422837" w:rsidRPr="002919D4">
        <w:rPr>
          <w:i/>
          <w:iCs/>
          <w:sz w:val="18"/>
          <w:szCs w:val="18"/>
        </w:rPr>
        <w:t>’ in the Victorian</w:t>
      </w:r>
      <w:r w:rsidR="00DF0334" w:rsidRPr="002919D4">
        <w:rPr>
          <w:i/>
          <w:iCs/>
          <w:sz w:val="18"/>
          <w:szCs w:val="18"/>
        </w:rPr>
        <w:t xml:space="preserve"> Healthcare</w:t>
      </w:r>
      <w:r w:rsidR="00422837" w:rsidRPr="002919D4">
        <w:rPr>
          <w:i/>
          <w:iCs/>
          <w:sz w:val="18"/>
          <w:szCs w:val="18"/>
        </w:rPr>
        <w:t xml:space="preserve"> Experience Survey</w:t>
      </w:r>
      <w:r w:rsidR="00DF0334" w:rsidRPr="002919D4">
        <w:rPr>
          <w:i/>
          <w:iCs/>
          <w:sz w:val="18"/>
          <w:szCs w:val="18"/>
        </w:rPr>
        <w:t xml:space="preserve"> (Cancer)</w:t>
      </w:r>
      <w:r w:rsidR="00422837" w:rsidRPr="002919D4">
        <w:rPr>
          <w:i/>
          <w:iCs/>
          <w:sz w:val="18"/>
          <w:szCs w:val="18"/>
        </w:rPr>
        <w:t>.</w:t>
      </w:r>
    </w:p>
    <w:p w14:paraId="7301F734" w14:textId="3FA9CCD7" w:rsidR="005453D2" w:rsidRPr="00671C7A" w:rsidRDefault="005453D2" w:rsidP="007C7F00">
      <w:pPr>
        <w:pStyle w:val="Heading4"/>
      </w:pPr>
      <w:r>
        <w:t>Measure assessment</w:t>
      </w:r>
    </w:p>
    <w:p w14:paraId="0D4A6981" w14:textId="6A611C3D" w:rsidR="00026CF2" w:rsidRPr="00E615E8" w:rsidRDefault="005453D2" w:rsidP="00606436">
      <w:pPr>
        <w:pStyle w:val="Body"/>
      </w:pPr>
      <w:r w:rsidRPr="00CA426D">
        <w:t>Traffic light rating:</w:t>
      </w:r>
      <w:r w:rsidRPr="00B504AD">
        <w:rPr>
          <w:color w:val="AF272F"/>
        </w:rPr>
        <w:t xml:space="preserve"> </w:t>
      </w:r>
      <w:r w:rsidR="00757130" w:rsidRPr="00B504AD">
        <w:rPr>
          <w:b/>
          <w:color w:val="AF272F"/>
        </w:rPr>
        <w:t xml:space="preserve">Red </w:t>
      </w:r>
      <w:r w:rsidR="00757130" w:rsidRPr="00E615E8">
        <w:t>(result is of concern)</w:t>
      </w:r>
    </w:p>
    <w:p w14:paraId="0E673256" w14:textId="0F6D39D2" w:rsidR="005453D2" w:rsidRPr="0097280A" w:rsidRDefault="005453D2" w:rsidP="00606436">
      <w:pPr>
        <w:pStyle w:val="Body"/>
        <w:rPr>
          <w:b/>
        </w:rPr>
      </w:pPr>
      <w:r w:rsidRPr="00CA426D">
        <w:t>Overall trend:</w:t>
      </w:r>
      <w:r>
        <w:t xml:space="preserve"> </w:t>
      </w:r>
      <w:r w:rsidR="008C5AA6">
        <w:t>Not moving in the right direction</w:t>
      </w:r>
    </w:p>
    <w:p w14:paraId="60FF16F5" w14:textId="500C4628" w:rsidR="00C17098" w:rsidRDefault="005453D2" w:rsidP="00E87AAA">
      <w:pPr>
        <w:pStyle w:val="Body"/>
        <w:rPr>
          <w:lang w:val="en"/>
        </w:rPr>
      </w:pPr>
      <w:r>
        <w:rPr>
          <w:rFonts w:cs="Arial"/>
          <w:lang w:eastAsia="en-AU"/>
        </w:rPr>
        <w:t>Commentary:</w:t>
      </w:r>
      <w:r w:rsidR="00952FC7">
        <w:rPr>
          <w:rFonts w:cs="Arial"/>
          <w:lang w:eastAsia="en-AU"/>
        </w:rPr>
        <w:t xml:space="preserve"> </w:t>
      </w:r>
      <w:r w:rsidR="00FB1E4E">
        <w:rPr>
          <w:rFonts w:cs="Arial"/>
          <w:lang w:eastAsia="en-AU"/>
        </w:rPr>
        <w:t>Shared decision</w:t>
      </w:r>
      <w:r w:rsidR="00A51C28">
        <w:rPr>
          <w:rFonts w:cs="Arial"/>
          <w:lang w:eastAsia="en-AU"/>
        </w:rPr>
        <w:t xml:space="preserve"> </w:t>
      </w:r>
      <w:r w:rsidR="00FB1E4E">
        <w:rPr>
          <w:rFonts w:cs="Arial"/>
          <w:lang w:eastAsia="en-AU"/>
        </w:rPr>
        <w:t xml:space="preserve">making is a key </w:t>
      </w:r>
      <w:r w:rsidR="00B508B2">
        <w:rPr>
          <w:rFonts w:cs="Arial"/>
          <w:lang w:eastAsia="en-AU"/>
        </w:rPr>
        <w:t>part</w:t>
      </w:r>
      <w:r w:rsidR="00FB1E4E">
        <w:rPr>
          <w:rFonts w:cs="Arial"/>
          <w:lang w:eastAsia="en-AU"/>
        </w:rPr>
        <w:t xml:space="preserve"> of patient</w:t>
      </w:r>
      <w:r w:rsidR="00422837">
        <w:rPr>
          <w:rFonts w:cs="Arial"/>
          <w:lang w:eastAsia="en-AU"/>
        </w:rPr>
        <w:t>-</w:t>
      </w:r>
      <w:r w:rsidR="00FB1E4E">
        <w:rPr>
          <w:rFonts w:cs="Arial"/>
          <w:lang w:eastAsia="en-AU"/>
        </w:rPr>
        <w:t>centred care.</w:t>
      </w:r>
      <w:r w:rsidR="00461C6F">
        <w:rPr>
          <w:rStyle w:val="FootnoteReference"/>
          <w:rFonts w:cs="Arial"/>
          <w:lang w:eastAsia="en-AU"/>
        </w:rPr>
        <w:footnoteReference w:id="170"/>
      </w:r>
      <w:r w:rsidR="00461C6F">
        <w:rPr>
          <w:rFonts w:cs="Arial"/>
          <w:lang w:eastAsia="en-AU"/>
        </w:rPr>
        <w:t xml:space="preserve"> </w:t>
      </w:r>
      <w:r w:rsidR="00461C6F">
        <w:rPr>
          <w:lang w:val="en"/>
        </w:rPr>
        <w:t>Studies of shared decision</w:t>
      </w:r>
      <w:r w:rsidR="00A51C28">
        <w:rPr>
          <w:lang w:val="en"/>
        </w:rPr>
        <w:t xml:space="preserve"> </w:t>
      </w:r>
      <w:r w:rsidR="00461C6F">
        <w:rPr>
          <w:lang w:val="en"/>
        </w:rPr>
        <w:t>making in cancer patients have found that most patients prefer to play a role in treatment decisions.</w:t>
      </w:r>
      <w:r w:rsidR="00461C6F">
        <w:rPr>
          <w:rStyle w:val="FootnoteReference"/>
          <w:lang w:val="en"/>
        </w:rPr>
        <w:footnoteReference w:id="171"/>
      </w:r>
    </w:p>
    <w:p w14:paraId="3284D081" w14:textId="4ED9289F" w:rsidR="00757130" w:rsidRPr="00757130" w:rsidRDefault="00757130" w:rsidP="00606436">
      <w:pPr>
        <w:pStyle w:val="Body"/>
      </w:pPr>
      <w:r w:rsidRPr="0062608E">
        <w:t xml:space="preserve">The Victorian Healthcare Experience Survey (VHES) is a </w:t>
      </w:r>
      <w:r w:rsidR="00665296" w:rsidRPr="0062608E">
        <w:t>state-wide</w:t>
      </w:r>
      <w:r w:rsidRPr="0062608E">
        <w:t xml:space="preserve"> survey of people's public healthcare experiences. The VHES cancer questionnaire </w:t>
      </w:r>
      <w:r w:rsidR="00B508B2" w:rsidRPr="0062608E">
        <w:t>looks</w:t>
      </w:r>
      <w:r w:rsidRPr="0062608E">
        <w:t xml:space="preserve"> to discover the experiences of patients who are receiving treatment for cancer. This includes patients who have undergone surgery, are receiving radiotherapy or chemotherapy treatment, have attended </w:t>
      </w:r>
      <w:r w:rsidR="00B508B2">
        <w:t>an</w:t>
      </w:r>
      <w:r w:rsidR="00B508B2" w:rsidRPr="0062608E">
        <w:t xml:space="preserve"> </w:t>
      </w:r>
      <w:r w:rsidR="00B508B2">
        <w:t>e</w:t>
      </w:r>
      <w:r w:rsidRPr="0062608E">
        <w:t xml:space="preserve">mergency </w:t>
      </w:r>
      <w:r w:rsidR="00B508B2">
        <w:t>d</w:t>
      </w:r>
      <w:r w:rsidRPr="0062608E">
        <w:t>epartment because of their cancer or cancer treatment and/or are receiving follow</w:t>
      </w:r>
      <w:r w:rsidR="00B508B2">
        <w:t>-</w:t>
      </w:r>
      <w:r w:rsidRPr="0062608E">
        <w:t>up care.</w:t>
      </w:r>
    </w:p>
    <w:p w14:paraId="1EE7708B" w14:textId="653D9116" w:rsidR="00892380" w:rsidRPr="00892380" w:rsidRDefault="00B3682A" w:rsidP="00E87AAA">
      <w:pPr>
        <w:pStyle w:val="Body"/>
      </w:pPr>
      <w:r w:rsidRPr="00C17098">
        <w:t>The</w:t>
      </w:r>
      <w:r w:rsidR="00C17098" w:rsidRPr="00C17098">
        <w:t xml:space="preserve"> proportion of patients who reported being involved in decisions about their cancer care and treatment </w:t>
      </w:r>
      <w:r w:rsidR="00D5207C">
        <w:t xml:space="preserve">in 2018 </w:t>
      </w:r>
      <w:r w:rsidR="00C17098" w:rsidRPr="00C17098">
        <w:t>was 2</w:t>
      </w:r>
      <w:r w:rsidR="00A51C28">
        <w:t>,</w:t>
      </w:r>
      <w:r w:rsidR="00C17098" w:rsidRPr="00C17098">
        <w:t>029</w:t>
      </w:r>
      <w:r w:rsidR="00DF0334">
        <w:t xml:space="preserve"> compared </w:t>
      </w:r>
      <w:r w:rsidR="002C060B" w:rsidRPr="002C060B">
        <w:t xml:space="preserve">with </w:t>
      </w:r>
      <w:r w:rsidR="00135365">
        <w:t>3,551 in 202</w:t>
      </w:r>
      <w:r w:rsidR="003B62B9">
        <w:t>2</w:t>
      </w:r>
      <w:r w:rsidR="00C17098" w:rsidRPr="00C17098">
        <w:t>.</w:t>
      </w:r>
      <w:r w:rsidR="00952FC7">
        <w:t xml:space="preserve"> </w:t>
      </w:r>
      <w:r w:rsidR="00C17098">
        <w:t>A large percentage (77.4</w:t>
      </w:r>
      <w:r w:rsidR="0054537F">
        <w:t>%</w:t>
      </w:r>
      <w:r w:rsidR="00C17098">
        <w:t>) of patients reported they were definitely involved as much as they wanted to be in decisions about their care and treatment</w:t>
      </w:r>
      <w:r w:rsidR="00DF0334">
        <w:t xml:space="preserve"> in 2018</w:t>
      </w:r>
      <w:r w:rsidR="00D5207C">
        <w:t>,</w:t>
      </w:r>
      <w:r w:rsidR="00DF0334">
        <w:t xml:space="preserve"> but this decreased to </w:t>
      </w:r>
      <w:r w:rsidR="00A50D12">
        <w:t>69.8</w:t>
      </w:r>
      <w:r w:rsidR="0054537F">
        <w:t>%</w:t>
      </w:r>
      <w:r w:rsidR="00A50D12">
        <w:t xml:space="preserve"> in 202</w:t>
      </w:r>
      <w:r w:rsidR="003B62B9">
        <w:t>2</w:t>
      </w:r>
      <w:r w:rsidR="00A50D12">
        <w:t xml:space="preserve"> </w:t>
      </w:r>
      <w:r w:rsidR="00B87453">
        <w:t>(Figure 12.9)</w:t>
      </w:r>
      <w:r w:rsidR="00C17098">
        <w:t>.</w:t>
      </w:r>
    </w:p>
    <w:p w14:paraId="1C4CDFA5" w14:textId="79615F37" w:rsidR="00E27CDF" w:rsidRDefault="00EC2DBE" w:rsidP="00E87AAA">
      <w:pPr>
        <w:pStyle w:val="Body"/>
        <w:rPr>
          <w:lang w:eastAsia="en-AU"/>
        </w:rPr>
      </w:pPr>
      <w:r>
        <w:rPr>
          <w:lang w:val="en"/>
        </w:rPr>
        <w:lastRenderedPageBreak/>
        <w:t>While no target has been set for this measure</w:t>
      </w:r>
      <w:r w:rsidR="00A51C28">
        <w:rPr>
          <w:lang w:val="en"/>
        </w:rPr>
        <w:t>,</w:t>
      </w:r>
      <w:r>
        <w:rPr>
          <w:lang w:val="en"/>
        </w:rPr>
        <w:t xml:space="preserve"> the fact that </w:t>
      </w:r>
      <w:r w:rsidR="00E27CDF">
        <w:rPr>
          <w:lang w:val="en"/>
        </w:rPr>
        <w:t>in 2018</w:t>
      </w:r>
      <w:r w:rsidR="008123F2">
        <w:rPr>
          <w:lang w:val="en"/>
        </w:rPr>
        <w:t>, and 202</w:t>
      </w:r>
      <w:r w:rsidR="003B62B9">
        <w:rPr>
          <w:lang w:val="en"/>
        </w:rPr>
        <w:t>2</w:t>
      </w:r>
      <w:r w:rsidR="00E27CDF">
        <w:rPr>
          <w:lang w:val="en"/>
        </w:rPr>
        <w:t>, 7</w:t>
      </w:r>
      <w:r w:rsidR="003046C3">
        <w:rPr>
          <w:lang w:val="en"/>
        </w:rPr>
        <w:t>7</w:t>
      </w:r>
      <w:r w:rsidR="0075363D">
        <w:rPr>
          <w:lang w:val="en"/>
        </w:rPr>
        <w:t xml:space="preserve"> </w:t>
      </w:r>
      <w:r w:rsidR="008123F2">
        <w:rPr>
          <w:lang w:val="en"/>
        </w:rPr>
        <w:t>and 69.8</w:t>
      </w:r>
      <w:r w:rsidR="0054537F">
        <w:rPr>
          <w:lang w:val="en"/>
        </w:rPr>
        <w:t>%</w:t>
      </w:r>
      <w:r>
        <w:rPr>
          <w:lang w:val="en"/>
        </w:rPr>
        <w:t xml:space="preserve"> of patients reported being definitely involved in decisions about their care highlights </w:t>
      </w:r>
      <w:r w:rsidR="00954D98">
        <w:rPr>
          <w:lang w:val="en"/>
        </w:rPr>
        <w:t>consistency in the result with other similar surveys.</w:t>
      </w:r>
      <w:r w:rsidR="00E27CDF">
        <w:rPr>
          <w:lang w:val="en"/>
        </w:rPr>
        <w:t xml:space="preserve"> Nevertheless, the overall decrease between 2018 and 20</w:t>
      </w:r>
      <w:r w:rsidR="008123F2">
        <w:rPr>
          <w:lang w:val="en"/>
        </w:rPr>
        <w:t>2</w:t>
      </w:r>
      <w:r w:rsidR="003B62B9">
        <w:rPr>
          <w:lang w:val="en"/>
        </w:rPr>
        <w:t>2</w:t>
      </w:r>
      <w:r w:rsidR="00E27CDF">
        <w:rPr>
          <w:lang w:val="en"/>
        </w:rPr>
        <w:t xml:space="preserve"> in the proportion of </w:t>
      </w:r>
      <w:r w:rsidR="00E27CDF">
        <w:rPr>
          <w:lang w:eastAsia="en-AU"/>
        </w:rPr>
        <w:t>patients who reported they were definitely involved as much as they wanted to be in decisions about their care and treatment is concerning.</w:t>
      </w:r>
    </w:p>
    <w:p w14:paraId="0AAB5B69" w14:textId="65ADF935" w:rsidR="000E6DBD" w:rsidRPr="00A451D4" w:rsidRDefault="001A7E8F" w:rsidP="00E87AAA">
      <w:pPr>
        <w:pStyle w:val="Body"/>
        <w:rPr>
          <w:rStyle w:val="Heading3Char"/>
        </w:rPr>
      </w:pPr>
      <w:r>
        <w:t>F</w:t>
      </w:r>
      <w:r w:rsidR="00E27CDF">
        <w:t xml:space="preserve">eedback </w:t>
      </w:r>
      <w:r>
        <w:t xml:space="preserve">from patients’ </w:t>
      </w:r>
      <w:r w:rsidR="00E27CDF">
        <w:t xml:space="preserve">about their cancer experience </w:t>
      </w:r>
      <w:r>
        <w:t>provides valuable information about what they think of the healthcare services offered in terms of what is working well and</w:t>
      </w:r>
      <w:r w:rsidR="0094620B">
        <w:t xml:space="preserve"> areas that need further improvement in the way care is delivered resulting in </w:t>
      </w:r>
      <w:r w:rsidR="00E27CDF">
        <w:t>more personalised care being provided.</w:t>
      </w:r>
      <w:r w:rsidR="00E27CDF">
        <w:rPr>
          <w:rFonts w:cs="Arial"/>
          <w:lang w:val="en"/>
        </w:rPr>
        <w:t xml:space="preserve"> </w:t>
      </w:r>
      <w:bookmarkStart w:id="883" w:name="_Measure_12.10_–"/>
      <w:bookmarkEnd w:id="883"/>
      <w:r w:rsidR="0092565D">
        <w:br w:type="page"/>
      </w:r>
      <w:bookmarkStart w:id="884" w:name="_Toc19008145"/>
      <w:r w:rsidR="00DF376C" w:rsidRPr="00BD7890">
        <w:rPr>
          <w:rStyle w:val="Heading3Char"/>
          <w:b/>
          <w:bCs w:val="0"/>
        </w:rPr>
        <w:lastRenderedPageBreak/>
        <w:t>Measure 12.10 –</w:t>
      </w:r>
      <w:r w:rsidR="00FD52A4" w:rsidRPr="00BD7890">
        <w:rPr>
          <w:rStyle w:val="Heading3Char"/>
          <w:b/>
          <w:bCs w:val="0"/>
        </w:rPr>
        <w:t xml:space="preserve"> Proportion of newly diagnosed patients with evidence of multidisciplinary treatment plan in the patient records</w:t>
      </w:r>
      <w:bookmarkEnd w:id="884"/>
    </w:p>
    <w:p w14:paraId="6EBFDCA7" w14:textId="4CE9C736" w:rsidR="00DC22CB" w:rsidRPr="002919D4" w:rsidRDefault="004661A9" w:rsidP="00867A76">
      <w:pPr>
        <w:pStyle w:val="Figurecaption"/>
        <w:rPr>
          <w:sz w:val="20"/>
        </w:rPr>
      </w:pPr>
      <w:bookmarkStart w:id="885" w:name="_Toc19008146"/>
      <w:bookmarkStart w:id="886" w:name="_Toc19008357"/>
      <w:bookmarkStart w:id="887" w:name="_Toc19008504"/>
      <w:bookmarkStart w:id="888" w:name="_Toc19008651"/>
      <w:bookmarkStart w:id="889" w:name="_Toc132553081"/>
      <w:bookmarkStart w:id="890" w:name="_Toc140827693"/>
      <w:r w:rsidRPr="002919D4">
        <w:rPr>
          <w:sz w:val="20"/>
        </w:rPr>
        <w:t>Figure 12.10</w:t>
      </w:r>
      <w:r w:rsidR="003B391F" w:rsidRPr="002919D4">
        <w:rPr>
          <w:sz w:val="20"/>
        </w:rPr>
        <w:t>:</w:t>
      </w:r>
      <w:r w:rsidR="00513F5A" w:rsidRPr="002919D4">
        <w:rPr>
          <w:sz w:val="20"/>
        </w:rPr>
        <w:t xml:space="preserve"> </w:t>
      </w:r>
      <w:r w:rsidR="00DC22CB" w:rsidRPr="002919D4">
        <w:rPr>
          <w:sz w:val="20"/>
        </w:rPr>
        <w:t>Proportion of d</w:t>
      </w:r>
      <w:r w:rsidR="00B30E94" w:rsidRPr="002919D4">
        <w:rPr>
          <w:sz w:val="20"/>
        </w:rPr>
        <w:t>ocumented evidence of multidisciplinary team recommendations</w:t>
      </w:r>
      <w:r w:rsidR="007876E4" w:rsidRPr="002919D4">
        <w:rPr>
          <w:sz w:val="20"/>
        </w:rPr>
        <w:t>, 2014</w:t>
      </w:r>
      <w:r w:rsidR="00402471" w:rsidRPr="002919D4">
        <w:rPr>
          <w:sz w:val="20"/>
        </w:rPr>
        <w:t xml:space="preserve"> to </w:t>
      </w:r>
      <w:r w:rsidR="007876E4" w:rsidRPr="002919D4">
        <w:rPr>
          <w:sz w:val="20"/>
        </w:rPr>
        <w:t>20</w:t>
      </w:r>
      <w:bookmarkEnd w:id="885"/>
      <w:bookmarkEnd w:id="886"/>
      <w:bookmarkEnd w:id="887"/>
      <w:bookmarkEnd w:id="888"/>
      <w:r w:rsidR="00402471" w:rsidRPr="002919D4">
        <w:rPr>
          <w:sz w:val="20"/>
        </w:rPr>
        <w:t>2</w:t>
      </w:r>
      <w:r w:rsidR="007D4588" w:rsidRPr="002919D4">
        <w:rPr>
          <w:sz w:val="20"/>
        </w:rPr>
        <w:t>1</w:t>
      </w:r>
      <w:bookmarkEnd w:id="889"/>
      <w:bookmarkEnd w:id="890"/>
    </w:p>
    <w:p w14:paraId="1520BE53" w14:textId="6EABB3E4" w:rsidR="00AE55A9" w:rsidRPr="00AE55A9" w:rsidRDefault="00AE55A9" w:rsidP="00AE55A9">
      <w:pPr>
        <w:pStyle w:val="Body"/>
      </w:pPr>
      <w:r w:rsidRPr="00AE55A9">
        <w:rPr>
          <w:noProof/>
        </w:rPr>
        <w:drawing>
          <wp:inline distT="0" distB="0" distL="0" distR="0" wp14:anchorId="140C1A40" wp14:editId="2F5040FE">
            <wp:extent cx="5896610" cy="2974975"/>
            <wp:effectExtent l="0" t="0" r="8890" b="0"/>
            <wp:docPr id="172899070" name="Picture 1" descr="This figure presents data under the 'Measure 12.10 – Proportion of newly diagnosed patients with evidence of multidisciplinary treatment plan in the patient records' for 2014, 2015, 2017, 2018, 2020 and 2021. Data labels are shown on this figur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99070" name="Picture 1" descr="This figure presents data under the 'Measure 12.10 – Proportion of newly diagnosed patients with evidence of multidisciplinary treatment plan in the patient records' for 2014, 2015, 2017, 2018, 2020 and 2021. Data labels are shown on this figure (bar graph)."/>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896610" cy="2974975"/>
                    </a:xfrm>
                    <a:prstGeom prst="rect">
                      <a:avLst/>
                    </a:prstGeom>
                    <a:noFill/>
                    <a:ln>
                      <a:noFill/>
                    </a:ln>
                  </pic:spPr>
                </pic:pic>
              </a:graphicData>
            </a:graphic>
          </wp:inline>
        </w:drawing>
      </w:r>
    </w:p>
    <w:p w14:paraId="10A04389" w14:textId="2B113044" w:rsidR="00057E3B" w:rsidRPr="002919D4" w:rsidRDefault="00057E3B" w:rsidP="00BD7890">
      <w:pPr>
        <w:pStyle w:val="Tablefigurenote"/>
        <w:rPr>
          <w:i/>
          <w:iCs/>
          <w:sz w:val="18"/>
          <w:szCs w:val="18"/>
        </w:rPr>
      </w:pPr>
      <w:bookmarkStart w:id="891" w:name="_Hlk119913946"/>
      <w:r w:rsidRPr="002919D4">
        <w:rPr>
          <w:i/>
          <w:iCs/>
          <w:sz w:val="18"/>
          <w:szCs w:val="18"/>
        </w:rPr>
        <w:t xml:space="preserve">Source: Cancer Services Performance Indicators </w:t>
      </w:r>
      <w:r w:rsidR="002677DD" w:rsidRPr="002919D4">
        <w:rPr>
          <w:i/>
          <w:iCs/>
          <w:sz w:val="18"/>
          <w:szCs w:val="18"/>
        </w:rPr>
        <w:t>–</w:t>
      </w:r>
      <w:r w:rsidRPr="002919D4">
        <w:rPr>
          <w:i/>
          <w:iCs/>
          <w:sz w:val="18"/>
          <w:szCs w:val="18"/>
        </w:rPr>
        <w:t xml:space="preserve"> </w:t>
      </w:r>
      <w:r w:rsidR="00027D0D" w:rsidRPr="002919D4">
        <w:rPr>
          <w:i/>
          <w:iCs/>
          <w:sz w:val="18"/>
          <w:szCs w:val="18"/>
        </w:rPr>
        <w:t xml:space="preserve">audits </w:t>
      </w:r>
      <w:r w:rsidR="00715A7B" w:rsidRPr="002919D4">
        <w:rPr>
          <w:i/>
          <w:iCs/>
          <w:sz w:val="18"/>
          <w:szCs w:val="18"/>
        </w:rPr>
        <w:t>from 2014 diagnoses</w:t>
      </w:r>
    </w:p>
    <w:bookmarkEnd w:id="891"/>
    <w:p w14:paraId="445BC90B" w14:textId="09F53F40" w:rsidR="007876E4" w:rsidRPr="002919D4" w:rsidRDefault="005F2BBD" w:rsidP="00BD7890">
      <w:pPr>
        <w:pStyle w:val="Tablefigurenote"/>
        <w:rPr>
          <w:i/>
          <w:iCs/>
          <w:sz w:val="18"/>
          <w:szCs w:val="18"/>
        </w:rPr>
      </w:pPr>
      <w:r w:rsidRPr="002919D4">
        <w:rPr>
          <w:i/>
          <w:iCs/>
          <w:sz w:val="18"/>
          <w:szCs w:val="18"/>
        </w:rPr>
        <w:t xml:space="preserve">Note: </w:t>
      </w:r>
      <w:r w:rsidR="007876E4" w:rsidRPr="002919D4">
        <w:rPr>
          <w:i/>
          <w:iCs/>
          <w:sz w:val="18"/>
          <w:szCs w:val="18"/>
        </w:rPr>
        <w:t xml:space="preserve">There </w:t>
      </w:r>
      <w:r w:rsidR="009C1220" w:rsidRPr="002919D4">
        <w:rPr>
          <w:i/>
          <w:iCs/>
          <w:sz w:val="18"/>
          <w:szCs w:val="18"/>
        </w:rPr>
        <w:t>we</w:t>
      </w:r>
      <w:r w:rsidR="0065615F" w:rsidRPr="002919D4">
        <w:rPr>
          <w:i/>
          <w:iCs/>
          <w:sz w:val="18"/>
          <w:szCs w:val="18"/>
        </w:rPr>
        <w:t>re</w:t>
      </w:r>
      <w:r w:rsidR="007876E4" w:rsidRPr="002919D4">
        <w:rPr>
          <w:i/>
          <w:iCs/>
          <w:sz w:val="18"/>
          <w:szCs w:val="18"/>
        </w:rPr>
        <w:t xml:space="preserve"> </w:t>
      </w:r>
      <w:r w:rsidR="00C943FA" w:rsidRPr="002919D4">
        <w:rPr>
          <w:i/>
          <w:iCs/>
          <w:sz w:val="18"/>
          <w:szCs w:val="18"/>
        </w:rPr>
        <w:t xml:space="preserve">no </w:t>
      </w:r>
      <w:r w:rsidR="009C1220" w:rsidRPr="002919D4">
        <w:rPr>
          <w:i/>
          <w:iCs/>
          <w:sz w:val="18"/>
          <w:szCs w:val="18"/>
        </w:rPr>
        <w:t xml:space="preserve">audits undertaken </w:t>
      </w:r>
      <w:r w:rsidR="00724F4B" w:rsidRPr="002919D4">
        <w:rPr>
          <w:i/>
          <w:iCs/>
          <w:sz w:val="18"/>
          <w:szCs w:val="18"/>
        </w:rPr>
        <w:t>for</w:t>
      </w:r>
      <w:r w:rsidR="009C1220" w:rsidRPr="002919D4">
        <w:rPr>
          <w:i/>
          <w:iCs/>
          <w:sz w:val="18"/>
          <w:szCs w:val="18"/>
        </w:rPr>
        <w:t xml:space="preserve"> </w:t>
      </w:r>
      <w:r w:rsidR="007876E4" w:rsidRPr="002919D4">
        <w:rPr>
          <w:i/>
          <w:iCs/>
          <w:sz w:val="18"/>
          <w:szCs w:val="18"/>
        </w:rPr>
        <w:t>2016</w:t>
      </w:r>
      <w:r w:rsidR="00402471" w:rsidRPr="002919D4">
        <w:rPr>
          <w:i/>
          <w:iCs/>
          <w:sz w:val="18"/>
          <w:szCs w:val="18"/>
        </w:rPr>
        <w:t xml:space="preserve"> and 2019</w:t>
      </w:r>
      <w:r w:rsidR="009C1220" w:rsidRPr="002919D4">
        <w:rPr>
          <w:i/>
          <w:iCs/>
          <w:sz w:val="18"/>
          <w:szCs w:val="18"/>
        </w:rPr>
        <w:t xml:space="preserve"> diagnoses</w:t>
      </w:r>
      <w:r w:rsidR="007876E4" w:rsidRPr="002919D4">
        <w:rPr>
          <w:i/>
          <w:iCs/>
          <w:sz w:val="18"/>
          <w:szCs w:val="18"/>
        </w:rPr>
        <w:t>.</w:t>
      </w:r>
    </w:p>
    <w:p w14:paraId="2D64FEF6" w14:textId="12678B8D" w:rsidR="00A1752D" w:rsidRPr="00F60ED8" w:rsidRDefault="004661A9" w:rsidP="006D2096">
      <w:pPr>
        <w:pStyle w:val="Figurecaption"/>
        <w:rPr>
          <w:sz w:val="20"/>
        </w:rPr>
      </w:pPr>
      <w:bookmarkStart w:id="892" w:name="_Toc140827694"/>
      <w:r w:rsidRPr="00F60ED8">
        <w:rPr>
          <w:sz w:val="20"/>
        </w:rPr>
        <w:t>Figure 12.10.1</w:t>
      </w:r>
      <w:r w:rsidR="003B391F" w:rsidRPr="00F60ED8">
        <w:rPr>
          <w:sz w:val="20"/>
        </w:rPr>
        <w:t>:</w:t>
      </w:r>
      <w:r w:rsidR="00057E3B" w:rsidRPr="00F60ED8">
        <w:rPr>
          <w:sz w:val="20"/>
        </w:rPr>
        <w:t xml:space="preserve"> </w:t>
      </w:r>
      <w:r w:rsidR="00A8617A" w:rsidRPr="00F60ED8">
        <w:rPr>
          <w:sz w:val="20"/>
        </w:rPr>
        <w:t>P</w:t>
      </w:r>
      <w:r w:rsidR="00057E3B" w:rsidRPr="00F60ED8">
        <w:rPr>
          <w:sz w:val="20"/>
        </w:rPr>
        <w:t xml:space="preserve">ercentage of patients audited in </w:t>
      </w:r>
      <w:r w:rsidR="00422EE8" w:rsidRPr="00F60ED8">
        <w:rPr>
          <w:sz w:val="20"/>
        </w:rPr>
        <w:t xml:space="preserve">2014, </w:t>
      </w:r>
      <w:r w:rsidR="00057E3B" w:rsidRPr="00F60ED8">
        <w:rPr>
          <w:sz w:val="20"/>
        </w:rPr>
        <w:t>2017</w:t>
      </w:r>
      <w:r w:rsidR="008F1E29" w:rsidRPr="00F60ED8">
        <w:rPr>
          <w:sz w:val="20"/>
        </w:rPr>
        <w:t xml:space="preserve"> and 202</w:t>
      </w:r>
      <w:r w:rsidR="004E4F53" w:rsidRPr="00F60ED8">
        <w:rPr>
          <w:sz w:val="20"/>
        </w:rPr>
        <w:t>1</w:t>
      </w:r>
      <w:r w:rsidR="00057E3B" w:rsidRPr="00F60ED8">
        <w:rPr>
          <w:sz w:val="20"/>
        </w:rPr>
        <w:t xml:space="preserve"> with documented evidence of </w:t>
      </w:r>
      <w:r w:rsidR="007876E4" w:rsidRPr="00F60ED8">
        <w:rPr>
          <w:sz w:val="20"/>
        </w:rPr>
        <w:t xml:space="preserve">multidisciplinary team </w:t>
      </w:r>
      <w:r w:rsidR="00057E3B" w:rsidRPr="00F60ED8">
        <w:rPr>
          <w:sz w:val="20"/>
        </w:rPr>
        <w:t>recommendations presented by ICS</w:t>
      </w:r>
      <w:r w:rsidR="005562AB" w:rsidRPr="00F60ED8">
        <w:rPr>
          <w:sz w:val="20"/>
        </w:rPr>
        <w:t xml:space="preserve"> (all tumours streams combined)</w:t>
      </w:r>
      <w:bookmarkEnd w:id="892"/>
    </w:p>
    <w:p w14:paraId="1F99714B" w14:textId="34C87C4C" w:rsidR="00AE55A9" w:rsidRPr="00AE55A9" w:rsidRDefault="00D83340" w:rsidP="00AE55A9">
      <w:pPr>
        <w:pStyle w:val="Body"/>
      </w:pPr>
      <w:r>
        <w:rPr>
          <w:noProof/>
        </w:rPr>
        <mc:AlternateContent>
          <mc:Choice Requires="wps">
            <w:drawing>
              <wp:anchor distT="45720" distB="45720" distL="114300" distR="114300" simplePos="0" relativeHeight="252035072" behindDoc="0" locked="0" layoutInCell="1" allowOverlap="1" wp14:anchorId="7F67CFDF" wp14:editId="7F72DA8D">
                <wp:simplePos x="0" y="0"/>
                <wp:positionH relativeFrom="column">
                  <wp:posOffset>2743142</wp:posOffset>
                </wp:positionH>
                <wp:positionV relativeFrom="paragraph">
                  <wp:posOffset>156614</wp:posOffset>
                </wp:positionV>
                <wp:extent cx="611284" cy="1404620"/>
                <wp:effectExtent l="0" t="0" r="0" b="2540"/>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284" cy="1404620"/>
                        </a:xfrm>
                        <a:prstGeom prst="rect">
                          <a:avLst/>
                        </a:prstGeom>
                        <a:solidFill>
                          <a:srgbClr val="FFFFFF"/>
                        </a:solidFill>
                        <a:ln w="9525">
                          <a:noFill/>
                          <a:miter lim="800000"/>
                          <a:headEnd/>
                          <a:tailEnd/>
                        </a:ln>
                      </wps:spPr>
                      <wps:txbx>
                        <w:txbxContent>
                          <w:p w14:paraId="3EC24560" w14:textId="7CF5CC33" w:rsidR="00EF2A96" w:rsidRPr="003C1057" w:rsidRDefault="003C1057">
                            <w:pPr>
                              <w:rPr>
                                <w:rFonts w:ascii="Arial" w:hAnsi="Arial" w:cs="Arial"/>
                                <w:sz w:val="12"/>
                                <w:szCs w:val="12"/>
                              </w:rPr>
                            </w:pPr>
                            <w:r w:rsidRPr="003C1057">
                              <w:rPr>
                                <w:rFonts w:ascii="Arial" w:hAnsi="Arial" w:cs="Arial"/>
                                <w:sz w:val="12"/>
                                <w:szCs w:val="12"/>
                              </w:rPr>
                              <w:t>MDT 2017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67CFDF" id="_x0000_s1044" type="#_x0000_t202" style="position:absolute;margin-left:3in;margin-top:12.35pt;width:48.15pt;height:110.6pt;z-index:252035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" stroked="f">
                <v:textbox style="mso-fit-shape-to-text:t">
                  <w:txbxContent>
                    <w:p w14:paraId="3EC24560" w14:textId="7CF5CC33" w:rsidR="00EF2A96" w:rsidRPr="003C1057" w:rsidRDefault="003C1057">
                      <w:pPr>
                        <w:rPr>
                          <w:rFonts w:ascii="Arial" w:hAnsi="Arial" w:cs="Arial"/>
                          <w:sz w:val="12"/>
                          <w:szCs w:val="12"/>
                        </w:rPr>
                      </w:pPr>
                      <w:r w:rsidRPr="003C1057">
                        <w:rPr>
                          <w:rFonts w:ascii="Arial" w:hAnsi="Arial" w:cs="Arial"/>
                          <w:sz w:val="12"/>
                          <w:szCs w:val="12"/>
                        </w:rPr>
                        <w:t>MDT 2017</w:t>
                      </w:r>
                    </w:p>
                  </w:txbxContent>
                </v:textbox>
              </v:shape>
            </w:pict>
          </mc:Fallback>
        </mc:AlternateContent>
      </w:r>
      <w:r w:rsidR="00AE55A9">
        <w:rPr>
          <w:noProof/>
        </w:rPr>
        <mc:AlternateContent>
          <mc:Choice Requires="wps">
            <w:drawing>
              <wp:anchor distT="45720" distB="45720" distL="114300" distR="114300" simplePos="0" relativeHeight="252039168" behindDoc="0" locked="0" layoutInCell="1" allowOverlap="1" wp14:anchorId="6D90AA4A" wp14:editId="12D103C6">
                <wp:simplePos x="0" y="0"/>
                <wp:positionH relativeFrom="leftMargin">
                  <wp:posOffset>1108277</wp:posOffset>
                </wp:positionH>
                <wp:positionV relativeFrom="paragraph">
                  <wp:posOffset>414165</wp:posOffset>
                </wp:positionV>
                <wp:extent cx="1176845" cy="1404620"/>
                <wp:effectExtent l="0" t="3810" r="635" b="635"/>
                <wp:wrapNone/>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76845" cy="1404620"/>
                        </a:xfrm>
                        <a:prstGeom prst="rect">
                          <a:avLst/>
                        </a:prstGeom>
                        <a:solidFill>
                          <a:srgbClr val="FFFFFF"/>
                        </a:solidFill>
                        <a:ln w="9525">
                          <a:noFill/>
                          <a:miter lim="800000"/>
                          <a:headEnd/>
                          <a:tailEnd/>
                        </a:ln>
                      </wps:spPr>
                      <wps:txbx>
                        <w:txbxContent>
                          <w:p w14:paraId="5903D2D6" w14:textId="399E6AA0" w:rsidR="00D67C9D" w:rsidRPr="00D67C9D" w:rsidRDefault="00D67C9D">
                            <w:pPr>
                              <w:rPr>
                                <w:rFonts w:ascii="Arial" w:hAnsi="Arial" w:cs="Arial"/>
                                <w:b/>
                                <w:bCs/>
                                <w:sz w:val="18"/>
                                <w:szCs w:val="18"/>
                              </w:rPr>
                            </w:pPr>
                            <w:r w:rsidRPr="00D67C9D">
                              <w:rPr>
                                <w:rFonts w:ascii="Arial" w:hAnsi="Arial" w:cs="Arial"/>
                                <w:b/>
                                <w:bCs/>
                                <w:sz w:val="18"/>
                                <w:szCs w:val="18"/>
                              </w:rPr>
                              <w:t>Percentage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D90AA4A" id="_x0000_s1045" type="#_x0000_t202" style="position:absolute;margin-left:87.25pt;margin-top:32.6pt;width:92.65pt;height:110.6pt;rotation:-90;z-index:25203916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" stroked="f">
                <v:textbox style="mso-fit-shape-to-text:t">
                  <w:txbxContent>
                    <w:p w14:paraId="5903D2D6" w14:textId="399E6AA0" w:rsidR="00D67C9D" w:rsidRPr="00D67C9D" w:rsidRDefault="00D67C9D">
                      <w:pPr>
                        <w:rPr>
                          <w:rFonts w:ascii="Arial" w:hAnsi="Arial" w:cs="Arial"/>
                          <w:b/>
                          <w:bCs/>
                          <w:sz w:val="18"/>
                          <w:szCs w:val="18"/>
                        </w:rPr>
                      </w:pPr>
                      <w:r w:rsidRPr="00D67C9D">
                        <w:rPr>
                          <w:rFonts w:ascii="Arial" w:hAnsi="Arial" w:cs="Arial"/>
                          <w:b/>
                          <w:bCs/>
                          <w:sz w:val="18"/>
                          <w:szCs w:val="18"/>
                        </w:rPr>
                        <w:t>Percentage (%)</w:t>
                      </w:r>
                    </w:p>
                  </w:txbxContent>
                </v:textbox>
                <w10:wrap anchorx="margin"/>
              </v:shape>
            </w:pict>
          </mc:Fallback>
        </mc:AlternateContent>
      </w:r>
      <w:r w:rsidR="00AE55A9" w:rsidRPr="00AE55A9">
        <w:rPr>
          <w:noProof/>
        </w:rPr>
        <w:drawing>
          <wp:inline distT="0" distB="0" distL="0" distR="0" wp14:anchorId="2B3147FB" wp14:editId="53071519">
            <wp:extent cx="5896610" cy="3103880"/>
            <wp:effectExtent l="0" t="0" r="8890" b="1270"/>
            <wp:docPr id="2016232096" name="Picture 2" descr="This figure presents data under the 'Measure 12.10 – Proportion of newly diagnosed patients with evidence of multidisciplinary treatment plan in the patient records' but specifically focuses on the percentage patients audited in 2014, 2017 and 2021 with documented evidence of multidisciplinary team recommendations presented by ICS (all tumours streams combined). Data labels are shown on this figur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32096" name="Picture 2" descr="This figure presents data under the 'Measure 12.10 – Proportion of newly diagnosed patients with evidence of multidisciplinary treatment plan in the patient records' but specifically focuses on the percentage patients audited in 2014, 2017 and 2021 with documented evidence of multidisciplinary team recommendations presented by ICS (all tumours streams combined). Data labels are shown on this figure (bar graph)."/>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896610" cy="3103880"/>
                    </a:xfrm>
                    <a:prstGeom prst="rect">
                      <a:avLst/>
                    </a:prstGeom>
                    <a:noFill/>
                    <a:ln>
                      <a:noFill/>
                    </a:ln>
                  </pic:spPr>
                </pic:pic>
              </a:graphicData>
            </a:graphic>
          </wp:inline>
        </w:drawing>
      </w:r>
    </w:p>
    <w:p w14:paraId="009812F2" w14:textId="278EBD70" w:rsidR="00833F01" w:rsidRPr="002919D4" w:rsidRDefault="0080136E" w:rsidP="00BD7890">
      <w:pPr>
        <w:pStyle w:val="Tablefigurenote"/>
        <w:rPr>
          <w:i/>
          <w:iCs/>
          <w:sz w:val="18"/>
          <w:szCs w:val="18"/>
        </w:rPr>
      </w:pPr>
      <w:r w:rsidRPr="002919D4">
        <w:rPr>
          <w:i/>
          <w:iCs/>
          <w:noProof/>
          <w:sz w:val="18"/>
          <w:szCs w:val="18"/>
        </w:rPr>
        <mc:AlternateContent>
          <mc:Choice Requires="wps">
            <w:drawing>
              <wp:anchor distT="0" distB="0" distL="114300" distR="114300" simplePos="0" relativeHeight="252030976" behindDoc="0" locked="0" layoutInCell="1" allowOverlap="1" wp14:anchorId="68B1C827" wp14:editId="05FD7B19">
                <wp:simplePos x="0" y="0"/>
                <wp:positionH relativeFrom="column">
                  <wp:posOffset>993663</wp:posOffset>
                </wp:positionH>
                <wp:positionV relativeFrom="paragraph">
                  <wp:posOffset>2279743</wp:posOffset>
                </wp:positionV>
                <wp:extent cx="147321" cy="1241425"/>
                <wp:effectExtent l="5397" t="0" r="10478" b="48577"/>
                <wp:wrapNone/>
                <wp:docPr id="235" name="Right Brace 235"/>
                <wp:cNvGraphicFramePr/>
                <a:graphic xmlns:a="http://schemas.openxmlformats.org/drawingml/2006/main">
                  <a:graphicData uri="http://schemas.microsoft.com/office/word/2010/wordprocessingShape">
                    <wps:wsp>
                      <wps:cNvSpPr/>
                      <wps:spPr>
                        <a:xfrm rot="5400000">
                          <a:off x="0" y="0"/>
                          <a:ext cx="147321" cy="1241425"/>
                        </a:xfrm>
                        <a:prstGeom prst="righ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1B4208"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35" o:spid="_x0000_s1026" type="#_x0000_t88" style="position:absolute;margin-left:78.25pt;margin-top:179.5pt;width:11.6pt;height:97.75pt;rotation:90;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" adj="214" strokecolor="black [3213]" strokeweight="1pt">
                <v:stroke joinstyle="miter"/>
              </v:shape>
            </w:pict>
          </mc:Fallback>
        </mc:AlternateContent>
      </w:r>
      <w:r w:rsidRPr="002919D4">
        <w:rPr>
          <w:i/>
          <w:iCs/>
          <w:noProof/>
          <w:sz w:val="18"/>
          <w:szCs w:val="18"/>
        </w:rPr>
        <mc:AlternateContent>
          <mc:Choice Requires="wps">
            <w:drawing>
              <wp:anchor distT="45720" distB="45720" distL="114300" distR="114300" simplePos="0" relativeHeight="252033024" behindDoc="0" locked="0" layoutInCell="1" allowOverlap="1" wp14:anchorId="43F716AB" wp14:editId="447F9B8F">
                <wp:simplePos x="0" y="0"/>
                <wp:positionH relativeFrom="column">
                  <wp:posOffset>651020</wp:posOffset>
                </wp:positionH>
                <wp:positionV relativeFrom="paragraph">
                  <wp:posOffset>2998653</wp:posOffset>
                </wp:positionV>
                <wp:extent cx="863867" cy="180474"/>
                <wp:effectExtent l="0" t="0" r="0" b="0"/>
                <wp:wrapNone/>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3867" cy="180474"/>
                        </a:xfrm>
                        <a:prstGeom prst="rect">
                          <a:avLst/>
                        </a:prstGeom>
                        <a:solidFill>
                          <a:srgbClr val="FFFFFF"/>
                        </a:solidFill>
                        <a:ln w="9525">
                          <a:noFill/>
                          <a:miter lim="800000"/>
                          <a:headEnd/>
                          <a:tailEnd/>
                        </a:ln>
                      </wps:spPr>
                      <wps:txbx>
                        <w:txbxContent>
                          <w:p w14:paraId="40453287" w14:textId="221C5C31" w:rsidR="003A607C" w:rsidRPr="00EF2A96" w:rsidRDefault="003A607C">
                            <w:pPr>
                              <w:rPr>
                                <w:rFonts w:ascii="Arial" w:hAnsi="Arial" w:cs="Arial"/>
                                <w:b/>
                                <w:bCs/>
                                <w:sz w:val="12"/>
                                <w:szCs w:val="12"/>
                              </w:rPr>
                            </w:pPr>
                            <w:r w:rsidRPr="00EF2A96">
                              <w:rPr>
                                <w:rFonts w:ascii="Arial" w:hAnsi="Arial" w:cs="Arial"/>
                                <w:b/>
                                <w:bCs/>
                                <w:sz w:val="12"/>
                                <w:szCs w:val="12"/>
                              </w:rPr>
                              <w:t xml:space="preserve">Metropolitan </w:t>
                            </w:r>
                            <w:r w:rsidR="00EF2A96" w:rsidRPr="00EF2A96">
                              <w:rPr>
                                <w:rFonts w:ascii="Arial" w:hAnsi="Arial" w:cs="Arial"/>
                                <w:b/>
                                <w:bCs/>
                                <w:sz w:val="12"/>
                                <w:szCs w:val="12"/>
                              </w:rPr>
                              <w:t>I</w:t>
                            </w:r>
                            <w:r w:rsidRPr="00EF2A96">
                              <w:rPr>
                                <w:rFonts w:ascii="Arial" w:hAnsi="Arial" w:cs="Arial"/>
                                <w:b/>
                                <w:bCs/>
                                <w:sz w:val="12"/>
                                <w:szCs w:val="12"/>
                              </w:rPr>
                              <w:t>CSs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F716AB" id="_x0000_s1046" type="#_x0000_t202" style="position:absolute;margin-left:51.25pt;margin-top:236.1pt;width:68pt;height:14.2pt;z-index:25203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" stroked="f">
                <v:textbox>
                  <w:txbxContent>
                    <w:p w14:paraId="40453287" w14:textId="221C5C31" w:rsidR="003A607C" w:rsidRPr="00EF2A96" w:rsidRDefault="003A607C">
                      <w:pPr>
                        <w:rPr>
                          <w:rFonts w:ascii="Arial" w:hAnsi="Arial" w:cs="Arial"/>
                          <w:b/>
                          <w:bCs/>
                          <w:sz w:val="12"/>
                          <w:szCs w:val="12"/>
                        </w:rPr>
                      </w:pPr>
                      <w:r w:rsidRPr="00EF2A96">
                        <w:rPr>
                          <w:rFonts w:ascii="Arial" w:hAnsi="Arial" w:cs="Arial"/>
                          <w:b/>
                          <w:bCs/>
                          <w:sz w:val="12"/>
                          <w:szCs w:val="12"/>
                        </w:rPr>
                        <w:t xml:space="preserve">Metropolitan </w:t>
                      </w:r>
                      <w:r w:rsidR="00EF2A96" w:rsidRPr="00EF2A96">
                        <w:rPr>
                          <w:rFonts w:ascii="Arial" w:hAnsi="Arial" w:cs="Arial"/>
                          <w:b/>
                          <w:bCs/>
                          <w:sz w:val="12"/>
                          <w:szCs w:val="12"/>
                        </w:rPr>
                        <w:t>I</w:t>
                      </w:r>
                      <w:r w:rsidRPr="00EF2A96">
                        <w:rPr>
                          <w:rFonts w:ascii="Arial" w:hAnsi="Arial" w:cs="Arial"/>
                          <w:b/>
                          <w:bCs/>
                          <w:sz w:val="12"/>
                          <w:szCs w:val="12"/>
                        </w:rPr>
                        <w:t>CSs</w:t>
                      </w:r>
                    </w:p>
                  </w:txbxContent>
                </v:textbox>
              </v:shape>
            </w:pict>
          </mc:Fallback>
        </mc:AlternateContent>
      </w:r>
      <w:r w:rsidR="007555CA" w:rsidRPr="002919D4">
        <w:rPr>
          <w:i/>
          <w:iCs/>
          <w:noProof/>
          <w:sz w:val="18"/>
          <w:szCs w:val="18"/>
        </w:rPr>
        <w:t>Source</w:t>
      </w:r>
      <w:r w:rsidR="00520383" w:rsidRPr="002919D4">
        <w:rPr>
          <w:i/>
          <w:iCs/>
          <w:noProof/>
          <w:sz w:val="18"/>
          <w:szCs w:val="18"/>
        </w:rPr>
        <w:t>s</w:t>
      </w:r>
      <w:r w:rsidR="007555CA" w:rsidRPr="002919D4">
        <w:rPr>
          <w:i/>
          <w:iCs/>
          <w:noProof/>
          <w:sz w:val="18"/>
          <w:szCs w:val="18"/>
        </w:rPr>
        <w:t xml:space="preserve">: Cancer Services Performance Indicators </w:t>
      </w:r>
      <w:r w:rsidR="002677DD" w:rsidRPr="002919D4">
        <w:rPr>
          <w:i/>
          <w:iCs/>
          <w:noProof/>
          <w:sz w:val="18"/>
          <w:szCs w:val="18"/>
        </w:rPr>
        <w:t>–</w:t>
      </w:r>
      <w:r w:rsidR="007555CA" w:rsidRPr="002919D4">
        <w:rPr>
          <w:i/>
          <w:iCs/>
          <w:noProof/>
          <w:sz w:val="18"/>
          <w:szCs w:val="18"/>
        </w:rPr>
        <w:t xml:space="preserve"> </w:t>
      </w:r>
      <w:r w:rsidR="00C943FA" w:rsidRPr="002919D4">
        <w:rPr>
          <w:i/>
          <w:iCs/>
          <w:noProof/>
          <w:sz w:val="18"/>
          <w:szCs w:val="18"/>
        </w:rPr>
        <w:t xml:space="preserve">2014 (2015), </w:t>
      </w:r>
      <w:r w:rsidR="007555CA" w:rsidRPr="002919D4">
        <w:rPr>
          <w:i/>
          <w:iCs/>
          <w:noProof/>
          <w:sz w:val="18"/>
          <w:szCs w:val="18"/>
        </w:rPr>
        <w:t>2017 (2018)</w:t>
      </w:r>
      <w:r w:rsidR="008F1E29" w:rsidRPr="002919D4">
        <w:rPr>
          <w:i/>
          <w:iCs/>
          <w:noProof/>
          <w:sz w:val="18"/>
          <w:szCs w:val="18"/>
        </w:rPr>
        <w:t xml:space="preserve"> and 202</w:t>
      </w:r>
      <w:r w:rsidR="004E4F53" w:rsidRPr="002919D4">
        <w:rPr>
          <w:i/>
          <w:iCs/>
          <w:noProof/>
          <w:sz w:val="18"/>
          <w:szCs w:val="18"/>
        </w:rPr>
        <w:t>1</w:t>
      </w:r>
      <w:r w:rsidR="008F1E29" w:rsidRPr="002919D4">
        <w:rPr>
          <w:i/>
          <w:iCs/>
          <w:noProof/>
          <w:sz w:val="18"/>
          <w:szCs w:val="18"/>
        </w:rPr>
        <w:t xml:space="preserve"> (2022) audits</w:t>
      </w:r>
      <w:r w:rsidR="00833F01" w:rsidRPr="002919D4">
        <w:rPr>
          <w:i/>
          <w:iCs/>
          <w:noProof/>
          <w:sz w:val="18"/>
          <w:szCs w:val="18"/>
        </w:rPr>
        <w:t>;</w:t>
      </w:r>
      <w:r w:rsidR="001A1368" w:rsidRPr="002919D4">
        <w:rPr>
          <w:i/>
          <w:iCs/>
          <w:noProof/>
          <w:sz w:val="18"/>
          <w:szCs w:val="18"/>
        </w:rPr>
        <w:t xml:space="preserve"> audit</w:t>
      </w:r>
      <w:r w:rsidR="00833F01" w:rsidRPr="002919D4">
        <w:rPr>
          <w:i/>
          <w:iCs/>
          <w:noProof/>
          <w:sz w:val="18"/>
          <w:szCs w:val="18"/>
        </w:rPr>
        <w:t xml:space="preserve"> target set at 80</w:t>
      </w:r>
      <w:r w:rsidR="0054537F">
        <w:rPr>
          <w:i/>
          <w:iCs/>
          <w:noProof/>
          <w:sz w:val="18"/>
          <w:szCs w:val="18"/>
        </w:rPr>
        <w:t>%</w:t>
      </w:r>
      <w:r w:rsidR="00833F01" w:rsidRPr="002919D4">
        <w:rPr>
          <w:i/>
          <w:iCs/>
          <w:noProof/>
          <w:sz w:val="18"/>
          <w:szCs w:val="18"/>
        </w:rPr>
        <w:t xml:space="preserve"> prior to 2018.</w:t>
      </w:r>
    </w:p>
    <w:p w14:paraId="20B93E30" w14:textId="7B20B3E9" w:rsidR="00321BE4" w:rsidRDefault="004661A9" w:rsidP="00321BE4">
      <w:pPr>
        <w:pStyle w:val="Figurecaption"/>
        <w:rPr>
          <w:sz w:val="20"/>
        </w:rPr>
      </w:pPr>
      <w:bookmarkStart w:id="893" w:name="_Toc19008147"/>
      <w:bookmarkStart w:id="894" w:name="_Toc19008358"/>
      <w:bookmarkStart w:id="895" w:name="_Toc19008505"/>
      <w:bookmarkStart w:id="896" w:name="_Toc19008652"/>
      <w:bookmarkStart w:id="897" w:name="_Toc132553082"/>
      <w:bookmarkStart w:id="898" w:name="_Toc140827695"/>
      <w:r w:rsidRPr="002919D4">
        <w:rPr>
          <w:sz w:val="20"/>
        </w:rPr>
        <w:lastRenderedPageBreak/>
        <w:t>Figure 12.10.2</w:t>
      </w:r>
      <w:r w:rsidR="003B391F" w:rsidRPr="002919D4">
        <w:rPr>
          <w:sz w:val="20"/>
        </w:rPr>
        <w:t>:</w:t>
      </w:r>
      <w:r w:rsidRPr="002919D4">
        <w:rPr>
          <w:sz w:val="20"/>
        </w:rPr>
        <w:t xml:space="preserve"> </w:t>
      </w:r>
      <w:r w:rsidR="00A8617A" w:rsidRPr="002919D4">
        <w:rPr>
          <w:sz w:val="20"/>
        </w:rPr>
        <w:t>N</w:t>
      </w:r>
      <w:r w:rsidR="00742067" w:rsidRPr="002919D4">
        <w:rPr>
          <w:sz w:val="20"/>
        </w:rPr>
        <w:t xml:space="preserve">umber (and percentage) of audited patients who had documented evidence of </w:t>
      </w:r>
      <w:r w:rsidR="00B011F3" w:rsidRPr="002919D4">
        <w:rPr>
          <w:sz w:val="20"/>
        </w:rPr>
        <w:t>multidisciplinary team</w:t>
      </w:r>
      <w:r w:rsidR="00520383" w:rsidRPr="002919D4">
        <w:rPr>
          <w:sz w:val="20"/>
        </w:rPr>
        <w:t xml:space="preserve"> recommendations</w:t>
      </w:r>
      <w:r w:rsidR="00B011F3" w:rsidRPr="002919D4">
        <w:rPr>
          <w:sz w:val="20"/>
        </w:rPr>
        <w:t xml:space="preserve"> </w:t>
      </w:r>
      <w:r w:rsidR="00742067" w:rsidRPr="002919D4">
        <w:rPr>
          <w:sz w:val="20"/>
        </w:rPr>
        <w:t>presented by tumour stream</w:t>
      </w:r>
      <w:r w:rsidR="005562AB" w:rsidRPr="002919D4">
        <w:rPr>
          <w:sz w:val="20"/>
        </w:rPr>
        <w:t xml:space="preserve"> (all </w:t>
      </w:r>
      <w:r w:rsidR="008439C8" w:rsidRPr="002919D4">
        <w:rPr>
          <w:sz w:val="20"/>
        </w:rPr>
        <w:t>ICS</w:t>
      </w:r>
      <w:r w:rsidR="005562AB" w:rsidRPr="002919D4">
        <w:rPr>
          <w:sz w:val="20"/>
        </w:rPr>
        <w:t>s combined) of Victorians diagnosed in</w:t>
      </w:r>
      <w:r w:rsidR="0080754E" w:rsidRPr="002919D4">
        <w:rPr>
          <w:sz w:val="20"/>
        </w:rPr>
        <w:t xml:space="preserve"> 2014,</w:t>
      </w:r>
      <w:r w:rsidR="005562AB" w:rsidRPr="002919D4">
        <w:rPr>
          <w:sz w:val="20"/>
        </w:rPr>
        <w:t xml:space="preserve"> 2017</w:t>
      </w:r>
      <w:bookmarkEnd w:id="893"/>
      <w:bookmarkEnd w:id="894"/>
      <w:bookmarkEnd w:id="895"/>
      <w:bookmarkEnd w:id="896"/>
      <w:r w:rsidR="0080754E" w:rsidRPr="002919D4">
        <w:rPr>
          <w:sz w:val="20"/>
        </w:rPr>
        <w:t xml:space="preserve"> and 202</w:t>
      </w:r>
      <w:r w:rsidR="00D021DA" w:rsidRPr="002919D4">
        <w:rPr>
          <w:sz w:val="20"/>
        </w:rPr>
        <w:t>1</w:t>
      </w:r>
      <w:bookmarkEnd w:id="897"/>
      <w:bookmarkEnd w:id="898"/>
    </w:p>
    <w:p w14:paraId="68D927DB" w14:textId="52E27B17" w:rsidR="00D021DA" w:rsidRPr="00D021DA" w:rsidRDefault="00294239" w:rsidP="00294239">
      <w:pPr>
        <w:pStyle w:val="DHHSbody"/>
      </w:pPr>
      <w:r w:rsidRPr="00294239">
        <w:rPr>
          <w:noProof/>
        </w:rPr>
        <w:drawing>
          <wp:inline distT="0" distB="0" distL="0" distR="0" wp14:anchorId="46392A2F" wp14:editId="27CBDCCD">
            <wp:extent cx="5743575" cy="3194979"/>
            <wp:effectExtent l="0" t="0" r="0" b="5715"/>
            <wp:docPr id="1499344205" name="Picture 1499344205" descr="This figure presents data under the 'Measure 12.10 – Proportion of newly diagnosed patients with evidence of multidisciplinary treatment plan in the patient records' but specifically focuses on the number (and percentage) of audited patients who had documented evidence of multidisciplinary team presented by tumour stream (all ICSs combined) of Victorians diagnosed in 2014, 2017 and 2021. Data labels are shown on this figur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44205" name="Picture 1499344205" descr="This figure presents data under the 'Measure 12.10 – Proportion of newly diagnosed patients with evidence of multidisciplinary treatment plan in the patient records' but specifically focuses on the number (and percentage) of audited patients who had documented evidence of multidisciplinary team presented by tumour stream (all ICSs combined) of Victorians diagnosed in 2014, 2017 and 2021. Data labels are shown on this figure (bar graph)."/>
                    <pic:cNvPicPr/>
                  </pic:nvPicPr>
                  <pic:blipFill>
                    <a:blip r:embed="rId146"/>
                    <a:stretch>
                      <a:fillRect/>
                    </a:stretch>
                  </pic:blipFill>
                  <pic:spPr>
                    <a:xfrm>
                      <a:off x="0" y="0"/>
                      <a:ext cx="5754927" cy="3201294"/>
                    </a:xfrm>
                    <a:prstGeom prst="rect">
                      <a:avLst/>
                    </a:prstGeom>
                  </pic:spPr>
                </pic:pic>
              </a:graphicData>
            </a:graphic>
          </wp:inline>
        </w:drawing>
      </w:r>
    </w:p>
    <w:p w14:paraId="1A6DD3B3" w14:textId="47CE6D9D" w:rsidR="0092565D" w:rsidRPr="002919D4" w:rsidRDefault="0092565D" w:rsidP="00606436">
      <w:pPr>
        <w:pStyle w:val="Tablefigurenote"/>
        <w:rPr>
          <w:i/>
          <w:iCs/>
          <w:sz w:val="18"/>
          <w:szCs w:val="18"/>
        </w:rPr>
      </w:pPr>
      <w:r w:rsidRPr="002919D4">
        <w:rPr>
          <w:i/>
          <w:iCs/>
          <w:sz w:val="18"/>
          <w:szCs w:val="18"/>
        </w:rPr>
        <w:t>Source</w:t>
      </w:r>
      <w:r w:rsidR="00520383" w:rsidRPr="002919D4">
        <w:rPr>
          <w:i/>
          <w:iCs/>
          <w:sz w:val="18"/>
          <w:szCs w:val="18"/>
        </w:rPr>
        <w:t>s</w:t>
      </w:r>
      <w:r w:rsidRPr="002919D4">
        <w:rPr>
          <w:i/>
          <w:iCs/>
          <w:sz w:val="18"/>
          <w:szCs w:val="18"/>
        </w:rPr>
        <w:t xml:space="preserve">: Cancer Services Performance Indicators </w:t>
      </w:r>
      <w:r w:rsidR="00A5376B" w:rsidRPr="002919D4">
        <w:rPr>
          <w:i/>
          <w:iCs/>
          <w:sz w:val="18"/>
          <w:szCs w:val="18"/>
        </w:rPr>
        <w:t>–</w:t>
      </w:r>
      <w:r w:rsidRPr="002919D4">
        <w:rPr>
          <w:i/>
          <w:iCs/>
          <w:sz w:val="18"/>
          <w:szCs w:val="18"/>
        </w:rPr>
        <w:t xml:space="preserve"> </w:t>
      </w:r>
      <w:r w:rsidR="0080754E" w:rsidRPr="002919D4">
        <w:rPr>
          <w:i/>
          <w:iCs/>
          <w:sz w:val="18"/>
          <w:szCs w:val="18"/>
        </w:rPr>
        <w:t xml:space="preserve">2014 (2015), </w:t>
      </w:r>
      <w:r w:rsidRPr="002919D4">
        <w:rPr>
          <w:i/>
          <w:iCs/>
          <w:sz w:val="18"/>
          <w:szCs w:val="18"/>
        </w:rPr>
        <w:t xml:space="preserve">2017 </w:t>
      </w:r>
      <w:r w:rsidR="002F2EDE" w:rsidRPr="002919D4">
        <w:rPr>
          <w:i/>
          <w:iCs/>
          <w:sz w:val="18"/>
          <w:szCs w:val="18"/>
        </w:rPr>
        <w:t>(2018)</w:t>
      </w:r>
      <w:r w:rsidR="0080754E" w:rsidRPr="002919D4">
        <w:rPr>
          <w:i/>
          <w:iCs/>
          <w:sz w:val="18"/>
          <w:szCs w:val="18"/>
        </w:rPr>
        <w:t xml:space="preserve"> and 202</w:t>
      </w:r>
      <w:r w:rsidR="00AD002F" w:rsidRPr="002919D4">
        <w:rPr>
          <w:i/>
          <w:iCs/>
          <w:sz w:val="18"/>
          <w:szCs w:val="18"/>
        </w:rPr>
        <w:t>1</w:t>
      </w:r>
      <w:r w:rsidR="0080754E" w:rsidRPr="002919D4">
        <w:rPr>
          <w:i/>
          <w:iCs/>
          <w:sz w:val="18"/>
          <w:szCs w:val="18"/>
        </w:rPr>
        <w:t xml:space="preserve"> (2022) audits</w:t>
      </w:r>
    </w:p>
    <w:p w14:paraId="39B5157F" w14:textId="2A06404A" w:rsidR="00833F01" w:rsidRPr="002919D4" w:rsidRDefault="001A1368" w:rsidP="00606436">
      <w:pPr>
        <w:pStyle w:val="Tablefigurenote"/>
        <w:rPr>
          <w:i/>
          <w:iCs/>
          <w:sz w:val="18"/>
          <w:szCs w:val="18"/>
        </w:rPr>
      </w:pPr>
      <w:r w:rsidRPr="002919D4">
        <w:rPr>
          <w:i/>
          <w:iCs/>
          <w:sz w:val="18"/>
          <w:szCs w:val="18"/>
        </w:rPr>
        <w:t>Audit t</w:t>
      </w:r>
      <w:r w:rsidR="00833F01" w:rsidRPr="002919D4">
        <w:rPr>
          <w:i/>
          <w:iCs/>
          <w:sz w:val="18"/>
          <w:szCs w:val="18"/>
        </w:rPr>
        <w:t>arget set at 80</w:t>
      </w:r>
      <w:r w:rsidR="0054537F">
        <w:rPr>
          <w:i/>
          <w:iCs/>
          <w:sz w:val="18"/>
          <w:szCs w:val="18"/>
        </w:rPr>
        <w:t>%</w:t>
      </w:r>
      <w:r w:rsidR="00833F01" w:rsidRPr="002919D4">
        <w:rPr>
          <w:i/>
          <w:iCs/>
          <w:sz w:val="18"/>
          <w:szCs w:val="18"/>
        </w:rPr>
        <w:t xml:space="preserve"> prior to 2018.</w:t>
      </w:r>
    </w:p>
    <w:p w14:paraId="3DF818E9" w14:textId="2A4FD9F5" w:rsidR="0040536B" w:rsidRPr="002919D4" w:rsidRDefault="0040536B" w:rsidP="006D2096">
      <w:pPr>
        <w:pStyle w:val="Tablecaption"/>
        <w:rPr>
          <w:sz w:val="20"/>
        </w:rPr>
      </w:pPr>
      <w:bookmarkStart w:id="899" w:name="_Toc140834931"/>
      <w:bookmarkStart w:id="900" w:name="_Hlk121600744"/>
      <w:r w:rsidRPr="002919D4">
        <w:rPr>
          <w:sz w:val="20"/>
        </w:rPr>
        <w:t>Table 12.10.1</w:t>
      </w:r>
      <w:r w:rsidR="00D13361" w:rsidRPr="002919D4">
        <w:rPr>
          <w:sz w:val="20"/>
        </w:rPr>
        <w:t>:</w:t>
      </w:r>
      <w:r w:rsidRPr="002919D4">
        <w:rPr>
          <w:sz w:val="20"/>
        </w:rPr>
        <w:t xml:space="preserve"> Number of documented evidence of multidisciplinary team recommendations by tumour stream</w:t>
      </w:r>
      <w:r w:rsidR="00791E89" w:rsidRPr="002919D4">
        <w:rPr>
          <w:sz w:val="20"/>
        </w:rPr>
        <w:t xml:space="preserve"> (total audited)</w:t>
      </w:r>
      <w:r w:rsidR="00CA0074" w:rsidRPr="002919D4">
        <w:rPr>
          <w:sz w:val="20"/>
        </w:rPr>
        <w:t>, 2014, 2017 and 202</w:t>
      </w:r>
      <w:r w:rsidR="00B46D81" w:rsidRPr="002919D4">
        <w:rPr>
          <w:sz w:val="20"/>
        </w:rPr>
        <w:t>1</w:t>
      </w:r>
      <w:bookmarkEnd w:id="899"/>
    </w:p>
    <w:tbl>
      <w:tblPr>
        <w:tblStyle w:val="TableGrid"/>
        <w:tblW w:w="0" w:type="auto"/>
        <w:tblBorders>
          <w:top w:val="single" w:sz="4" w:space="0" w:color="AF272F"/>
          <w:bottom w:val="single" w:sz="4" w:space="0" w:color="AF272F"/>
          <w:insideH w:val="single" w:sz="4" w:space="0" w:color="AF272F"/>
          <w:insideV w:val="none" w:sz="0" w:space="0" w:color="auto"/>
        </w:tblBorders>
        <w:tblLook w:val="04A0" w:firstRow="1" w:lastRow="0" w:firstColumn="1" w:lastColumn="0" w:noHBand="0" w:noVBand="1"/>
      </w:tblPr>
      <w:tblGrid>
        <w:gridCol w:w="2441"/>
        <w:gridCol w:w="2249"/>
        <w:gridCol w:w="2244"/>
        <w:gridCol w:w="2244"/>
      </w:tblGrid>
      <w:tr w:rsidR="003705F3" w:rsidRPr="003705F3" w14:paraId="7F535AFD" w14:textId="4E87FEC7" w:rsidTr="00BD7890">
        <w:trPr>
          <w:trHeight w:val="252"/>
          <w:tblHeader/>
        </w:trPr>
        <w:tc>
          <w:tcPr>
            <w:tcW w:w="2635" w:type="dxa"/>
            <w:tcBorders>
              <w:top w:val="nil"/>
              <w:left w:val="nil"/>
              <w:bottom w:val="single" w:sz="8" w:space="0" w:color="AF272F"/>
              <w:right w:val="single" w:sz="4" w:space="0" w:color="AF272F"/>
            </w:tcBorders>
            <w:shd w:val="clear" w:color="auto" w:fill="EDCDCF"/>
          </w:tcPr>
          <w:p w14:paraId="64B9CBFB" w14:textId="1EEB6B0C" w:rsidR="0040536B" w:rsidRPr="003705F3" w:rsidRDefault="00CA0074" w:rsidP="00BD7890">
            <w:pPr>
              <w:pStyle w:val="Tablecolhead"/>
              <w:rPr>
                <w:sz w:val="20"/>
              </w:rPr>
            </w:pPr>
            <w:r w:rsidRPr="003705F3">
              <w:rPr>
                <w:sz w:val="20"/>
              </w:rPr>
              <w:t>Tumour stream</w:t>
            </w:r>
          </w:p>
        </w:tc>
        <w:tc>
          <w:tcPr>
            <w:tcW w:w="2630" w:type="dxa"/>
            <w:tcBorders>
              <w:top w:val="nil"/>
              <w:left w:val="single" w:sz="4" w:space="0" w:color="AF272F"/>
              <w:bottom w:val="single" w:sz="8" w:space="0" w:color="AF272F"/>
            </w:tcBorders>
            <w:shd w:val="clear" w:color="auto" w:fill="EDCDCF"/>
          </w:tcPr>
          <w:p w14:paraId="46D35A10" w14:textId="51EAB9D5" w:rsidR="0040536B" w:rsidRPr="003705F3" w:rsidRDefault="0040536B" w:rsidP="00BD7890">
            <w:pPr>
              <w:pStyle w:val="Tablecolhead"/>
              <w:rPr>
                <w:sz w:val="20"/>
              </w:rPr>
            </w:pPr>
            <w:r w:rsidRPr="003705F3">
              <w:rPr>
                <w:sz w:val="20"/>
              </w:rPr>
              <w:t>2014</w:t>
            </w:r>
            <w:r w:rsidR="003705F3" w:rsidRPr="003705F3">
              <w:rPr>
                <w:sz w:val="20"/>
              </w:rPr>
              <w:t xml:space="preserve"> (</w:t>
            </w:r>
            <w:r w:rsidR="00B66F9E">
              <w:rPr>
                <w:sz w:val="20"/>
              </w:rPr>
              <w:t>%</w:t>
            </w:r>
            <w:r w:rsidR="003705F3" w:rsidRPr="003705F3">
              <w:rPr>
                <w:sz w:val="20"/>
              </w:rPr>
              <w:t>)</w:t>
            </w:r>
          </w:p>
        </w:tc>
        <w:tc>
          <w:tcPr>
            <w:tcW w:w="2624" w:type="dxa"/>
            <w:tcBorders>
              <w:top w:val="nil"/>
              <w:bottom w:val="single" w:sz="8" w:space="0" w:color="AF272F"/>
            </w:tcBorders>
            <w:shd w:val="clear" w:color="auto" w:fill="EDCDCF"/>
          </w:tcPr>
          <w:p w14:paraId="3532F7A6" w14:textId="05CBAE87" w:rsidR="0040536B" w:rsidRPr="003705F3" w:rsidRDefault="0040536B" w:rsidP="00BD7890">
            <w:pPr>
              <w:pStyle w:val="Tablecolhead"/>
              <w:rPr>
                <w:sz w:val="20"/>
              </w:rPr>
            </w:pPr>
            <w:r w:rsidRPr="003705F3">
              <w:rPr>
                <w:sz w:val="20"/>
              </w:rPr>
              <w:t>2017</w:t>
            </w:r>
            <w:r w:rsidR="003705F3">
              <w:rPr>
                <w:sz w:val="20"/>
              </w:rPr>
              <w:t xml:space="preserve"> (</w:t>
            </w:r>
            <w:r w:rsidR="00B66F9E">
              <w:rPr>
                <w:sz w:val="20"/>
              </w:rPr>
              <w:t>%</w:t>
            </w:r>
            <w:r w:rsidR="003705F3">
              <w:rPr>
                <w:sz w:val="20"/>
              </w:rPr>
              <w:t>)</w:t>
            </w:r>
          </w:p>
        </w:tc>
        <w:tc>
          <w:tcPr>
            <w:tcW w:w="2624" w:type="dxa"/>
            <w:tcBorders>
              <w:top w:val="nil"/>
              <w:bottom w:val="single" w:sz="8" w:space="0" w:color="AF272F"/>
              <w:right w:val="nil"/>
            </w:tcBorders>
            <w:shd w:val="clear" w:color="auto" w:fill="EDCDCF"/>
          </w:tcPr>
          <w:p w14:paraId="5246065D" w14:textId="78EDFBAC" w:rsidR="0040536B" w:rsidRPr="003705F3" w:rsidRDefault="0040536B" w:rsidP="00BD7890">
            <w:pPr>
              <w:pStyle w:val="Tablecolhead"/>
              <w:rPr>
                <w:sz w:val="20"/>
                <w:highlight w:val="yellow"/>
              </w:rPr>
            </w:pPr>
            <w:r w:rsidRPr="003705F3">
              <w:rPr>
                <w:sz w:val="20"/>
              </w:rPr>
              <w:t>202</w:t>
            </w:r>
            <w:r w:rsidR="00524F4D" w:rsidRPr="003705F3">
              <w:rPr>
                <w:sz w:val="20"/>
              </w:rPr>
              <w:t>1</w:t>
            </w:r>
            <w:r w:rsidR="003705F3">
              <w:rPr>
                <w:sz w:val="20"/>
              </w:rPr>
              <w:t xml:space="preserve"> (</w:t>
            </w:r>
            <w:r w:rsidR="00B66F9E">
              <w:rPr>
                <w:sz w:val="20"/>
              </w:rPr>
              <w:t>%</w:t>
            </w:r>
            <w:r w:rsidR="003705F3">
              <w:rPr>
                <w:sz w:val="20"/>
              </w:rPr>
              <w:t>)</w:t>
            </w:r>
          </w:p>
        </w:tc>
      </w:tr>
      <w:tr w:rsidR="003705F3" w:rsidRPr="003705F3" w14:paraId="3BB9A304" w14:textId="636EF11B" w:rsidTr="00CA0074">
        <w:trPr>
          <w:trHeight w:val="242"/>
        </w:trPr>
        <w:tc>
          <w:tcPr>
            <w:tcW w:w="2635" w:type="dxa"/>
            <w:tcBorders>
              <w:top w:val="single" w:sz="8" w:space="0" w:color="AF272F"/>
              <w:left w:val="nil"/>
              <w:bottom w:val="single" w:sz="8" w:space="0" w:color="AF272F"/>
              <w:right w:val="single" w:sz="4" w:space="0" w:color="AF272F"/>
            </w:tcBorders>
          </w:tcPr>
          <w:p w14:paraId="3BD6AB40" w14:textId="7184B91E" w:rsidR="0040536B" w:rsidRPr="003705F3" w:rsidRDefault="0040536B" w:rsidP="00606436">
            <w:pPr>
              <w:pStyle w:val="Body"/>
              <w:rPr>
                <w:sz w:val="20"/>
              </w:rPr>
            </w:pPr>
            <w:r w:rsidRPr="003705F3">
              <w:rPr>
                <w:sz w:val="20"/>
              </w:rPr>
              <w:t>Breast</w:t>
            </w:r>
          </w:p>
        </w:tc>
        <w:tc>
          <w:tcPr>
            <w:tcW w:w="2630" w:type="dxa"/>
            <w:tcBorders>
              <w:top w:val="single" w:sz="8" w:space="0" w:color="AF272F"/>
              <w:left w:val="single" w:sz="4" w:space="0" w:color="AF272F"/>
              <w:bottom w:val="single" w:sz="8" w:space="0" w:color="AF272F"/>
            </w:tcBorders>
          </w:tcPr>
          <w:p w14:paraId="35747C29" w14:textId="6EAA8719" w:rsidR="0040536B" w:rsidRPr="003705F3" w:rsidRDefault="003705F3" w:rsidP="00606436">
            <w:pPr>
              <w:pStyle w:val="Body"/>
              <w:rPr>
                <w:sz w:val="20"/>
              </w:rPr>
            </w:pPr>
            <w:r w:rsidRPr="003705F3">
              <w:rPr>
                <w:sz w:val="20"/>
              </w:rPr>
              <w:t>537/</w:t>
            </w:r>
            <w:r w:rsidR="00CA0074" w:rsidRPr="003705F3">
              <w:rPr>
                <w:sz w:val="20"/>
              </w:rPr>
              <w:t>647</w:t>
            </w:r>
            <w:r w:rsidR="00B66F9E">
              <w:rPr>
                <w:sz w:val="20"/>
              </w:rPr>
              <w:t xml:space="preserve"> (83)</w:t>
            </w:r>
          </w:p>
        </w:tc>
        <w:tc>
          <w:tcPr>
            <w:tcW w:w="2624" w:type="dxa"/>
            <w:tcBorders>
              <w:top w:val="single" w:sz="8" w:space="0" w:color="AF272F"/>
              <w:bottom w:val="single" w:sz="8" w:space="0" w:color="AF272F"/>
            </w:tcBorders>
          </w:tcPr>
          <w:p w14:paraId="50CBF66D" w14:textId="5487EE18" w:rsidR="0040536B" w:rsidRPr="003705F3" w:rsidRDefault="003705F3" w:rsidP="00606436">
            <w:pPr>
              <w:pStyle w:val="Body"/>
              <w:rPr>
                <w:sz w:val="20"/>
              </w:rPr>
            </w:pPr>
            <w:r>
              <w:rPr>
                <w:sz w:val="20"/>
              </w:rPr>
              <w:t>360/</w:t>
            </w:r>
            <w:r w:rsidR="0040536B" w:rsidRPr="003705F3">
              <w:rPr>
                <w:sz w:val="20"/>
              </w:rPr>
              <w:t>400</w:t>
            </w:r>
            <w:r w:rsidR="00B66F9E">
              <w:rPr>
                <w:sz w:val="20"/>
              </w:rPr>
              <w:t xml:space="preserve"> (90)</w:t>
            </w:r>
          </w:p>
        </w:tc>
        <w:tc>
          <w:tcPr>
            <w:tcW w:w="2624" w:type="dxa"/>
            <w:tcBorders>
              <w:top w:val="single" w:sz="8" w:space="0" w:color="AF272F"/>
              <w:bottom w:val="single" w:sz="8" w:space="0" w:color="AF272F"/>
              <w:right w:val="nil"/>
            </w:tcBorders>
          </w:tcPr>
          <w:p w14:paraId="3224720D" w14:textId="5220DE4F" w:rsidR="0040536B" w:rsidRPr="003705F3" w:rsidRDefault="003705F3" w:rsidP="00606436">
            <w:pPr>
              <w:pStyle w:val="Body"/>
              <w:rPr>
                <w:sz w:val="20"/>
              </w:rPr>
            </w:pPr>
            <w:r>
              <w:rPr>
                <w:sz w:val="20"/>
              </w:rPr>
              <w:t>344/</w:t>
            </w:r>
            <w:r w:rsidR="001F1584" w:rsidRPr="003705F3">
              <w:rPr>
                <w:sz w:val="20"/>
              </w:rPr>
              <w:t>4</w:t>
            </w:r>
            <w:r w:rsidR="00524F4D" w:rsidRPr="003705F3">
              <w:rPr>
                <w:sz w:val="20"/>
              </w:rPr>
              <w:t>14</w:t>
            </w:r>
            <w:r w:rsidR="00B66F9E">
              <w:rPr>
                <w:sz w:val="20"/>
              </w:rPr>
              <w:t xml:space="preserve"> (83)</w:t>
            </w:r>
          </w:p>
        </w:tc>
      </w:tr>
      <w:tr w:rsidR="003705F3" w:rsidRPr="003705F3" w14:paraId="65AB2167" w14:textId="3B381D03" w:rsidTr="00CA0074">
        <w:trPr>
          <w:trHeight w:val="252"/>
        </w:trPr>
        <w:tc>
          <w:tcPr>
            <w:tcW w:w="2635" w:type="dxa"/>
            <w:tcBorders>
              <w:top w:val="single" w:sz="8" w:space="0" w:color="AF272F"/>
              <w:left w:val="nil"/>
              <w:bottom w:val="single" w:sz="8" w:space="0" w:color="AF272F"/>
              <w:right w:val="single" w:sz="4" w:space="0" w:color="AF272F"/>
            </w:tcBorders>
          </w:tcPr>
          <w:p w14:paraId="5BAFAE1D" w14:textId="3392B11E" w:rsidR="0040536B" w:rsidRPr="003705F3" w:rsidRDefault="0040536B" w:rsidP="00606436">
            <w:pPr>
              <w:pStyle w:val="Body"/>
              <w:rPr>
                <w:sz w:val="20"/>
              </w:rPr>
            </w:pPr>
            <w:r w:rsidRPr="003705F3">
              <w:rPr>
                <w:sz w:val="20"/>
              </w:rPr>
              <w:t>CNS</w:t>
            </w:r>
          </w:p>
        </w:tc>
        <w:tc>
          <w:tcPr>
            <w:tcW w:w="2630" w:type="dxa"/>
            <w:tcBorders>
              <w:top w:val="single" w:sz="8" w:space="0" w:color="AF272F"/>
              <w:left w:val="single" w:sz="4" w:space="0" w:color="AF272F"/>
              <w:bottom w:val="single" w:sz="8" w:space="0" w:color="AF272F"/>
            </w:tcBorders>
          </w:tcPr>
          <w:p w14:paraId="7DB76A52" w14:textId="55D95798" w:rsidR="0040536B" w:rsidRPr="003705F3" w:rsidRDefault="002F2A7E" w:rsidP="00606436">
            <w:pPr>
              <w:pStyle w:val="Body"/>
              <w:rPr>
                <w:sz w:val="20"/>
              </w:rPr>
            </w:pPr>
            <w:r>
              <w:rPr>
                <w:sz w:val="20"/>
              </w:rPr>
              <w:t>91/</w:t>
            </w:r>
            <w:r w:rsidR="00CA0074" w:rsidRPr="003705F3">
              <w:rPr>
                <w:sz w:val="20"/>
              </w:rPr>
              <w:t>110</w:t>
            </w:r>
            <w:r w:rsidR="00B66F9E">
              <w:rPr>
                <w:sz w:val="20"/>
              </w:rPr>
              <w:t xml:space="preserve"> (83)</w:t>
            </w:r>
          </w:p>
        </w:tc>
        <w:tc>
          <w:tcPr>
            <w:tcW w:w="2624" w:type="dxa"/>
            <w:tcBorders>
              <w:top w:val="single" w:sz="8" w:space="0" w:color="AF272F"/>
              <w:bottom w:val="single" w:sz="8" w:space="0" w:color="AF272F"/>
            </w:tcBorders>
          </w:tcPr>
          <w:p w14:paraId="0076B930" w14:textId="3F2EB1F2" w:rsidR="0040536B" w:rsidRPr="003705F3" w:rsidRDefault="002F2A7E" w:rsidP="00606436">
            <w:pPr>
              <w:pStyle w:val="Body"/>
              <w:rPr>
                <w:sz w:val="20"/>
              </w:rPr>
            </w:pPr>
            <w:r>
              <w:rPr>
                <w:sz w:val="20"/>
              </w:rPr>
              <w:t>149/</w:t>
            </w:r>
            <w:r w:rsidR="0040536B" w:rsidRPr="003705F3">
              <w:rPr>
                <w:sz w:val="20"/>
              </w:rPr>
              <w:t>173</w:t>
            </w:r>
            <w:r w:rsidR="00B66F9E">
              <w:rPr>
                <w:sz w:val="20"/>
              </w:rPr>
              <w:t xml:space="preserve"> (86)</w:t>
            </w:r>
          </w:p>
        </w:tc>
        <w:tc>
          <w:tcPr>
            <w:tcW w:w="2624" w:type="dxa"/>
            <w:tcBorders>
              <w:top w:val="single" w:sz="8" w:space="0" w:color="AF272F"/>
              <w:bottom w:val="single" w:sz="8" w:space="0" w:color="AF272F"/>
              <w:right w:val="nil"/>
            </w:tcBorders>
          </w:tcPr>
          <w:p w14:paraId="72BDD015" w14:textId="6B234F4A" w:rsidR="0040536B" w:rsidRPr="003705F3" w:rsidRDefault="002F2A7E" w:rsidP="00606436">
            <w:pPr>
              <w:pStyle w:val="Body"/>
              <w:rPr>
                <w:sz w:val="20"/>
              </w:rPr>
            </w:pPr>
            <w:r>
              <w:rPr>
                <w:sz w:val="20"/>
              </w:rPr>
              <w:t>116/</w:t>
            </w:r>
            <w:r w:rsidR="001F1584" w:rsidRPr="003705F3">
              <w:rPr>
                <w:sz w:val="20"/>
              </w:rPr>
              <w:t>16</w:t>
            </w:r>
            <w:r w:rsidR="00524F4D" w:rsidRPr="003705F3">
              <w:rPr>
                <w:sz w:val="20"/>
              </w:rPr>
              <w:t>1</w:t>
            </w:r>
            <w:r w:rsidR="00B66F9E">
              <w:rPr>
                <w:sz w:val="20"/>
              </w:rPr>
              <w:t xml:space="preserve"> (72)</w:t>
            </w:r>
          </w:p>
        </w:tc>
      </w:tr>
      <w:tr w:rsidR="003705F3" w:rsidRPr="003705F3" w14:paraId="19A0C6BA" w14:textId="76E4A738" w:rsidTr="00CA0074">
        <w:trPr>
          <w:trHeight w:val="242"/>
        </w:trPr>
        <w:tc>
          <w:tcPr>
            <w:tcW w:w="2635" w:type="dxa"/>
            <w:tcBorders>
              <w:top w:val="single" w:sz="8" w:space="0" w:color="AF272F"/>
              <w:left w:val="nil"/>
              <w:bottom w:val="single" w:sz="8" w:space="0" w:color="AF272F"/>
              <w:right w:val="single" w:sz="4" w:space="0" w:color="AF272F"/>
            </w:tcBorders>
          </w:tcPr>
          <w:p w14:paraId="712D6ABF" w14:textId="788C550A" w:rsidR="0040536B" w:rsidRPr="003705F3" w:rsidRDefault="0040536B" w:rsidP="00606436">
            <w:pPr>
              <w:pStyle w:val="Body"/>
              <w:rPr>
                <w:sz w:val="20"/>
              </w:rPr>
            </w:pPr>
            <w:r w:rsidRPr="003705F3">
              <w:rPr>
                <w:sz w:val="20"/>
              </w:rPr>
              <w:t>Colorectal</w:t>
            </w:r>
          </w:p>
        </w:tc>
        <w:tc>
          <w:tcPr>
            <w:tcW w:w="2630" w:type="dxa"/>
            <w:tcBorders>
              <w:top w:val="single" w:sz="8" w:space="0" w:color="AF272F"/>
              <w:left w:val="single" w:sz="4" w:space="0" w:color="AF272F"/>
              <w:bottom w:val="single" w:sz="8" w:space="0" w:color="AF272F"/>
            </w:tcBorders>
          </w:tcPr>
          <w:p w14:paraId="76651021" w14:textId="29C48890" w:rsidR="0040536B" w:rsidRPr="003705F3" w:rsidRDefault="002F2A7E" w:rsidP="00606436">
            <w:pPr>
              <w:pStyle w:val="Body"/>
              <w:rPr>
                <w:sz w:val="20"/>
              </w:rPr>
            </w:pPr>
            <w:r>
              <w:rPr>
                <w:sz w:val="20"/>
              </w:rPr>
              <w:t>447/</w:t>
            </w:r>
            <w:r w:rsidR="00CA0074" w:rsidRPr="003705F3">
              <w:rPr>
                <w:sz w:val="20"/>
              </w:rPr>
              <w:t>588</w:t>
            </w:r>
            <w:r w:rsidR="00B66F9E">
              <w:rPr>
                <w:sz w:val="20"/>
              </w:rPr>
              <w:t xml:space="preserve"> (76)</w:t>
            </w:r>
          </w:p>
        </w:tc>
        <w:tc>
          <w:tcPr>
            <w:tcW w:w="2624" w:type="dxa"/>
            <w:tcBorders>
              <w:top w:val="single" w:sz="8" w:space="0" w:color="AF272F"/>
              <w:bottom w:val="single" w:sz="8" w:space="0" w:color="AF272F"/>
            </w:tcBorders>
          </w:tcPr>
          <w:p w14:paraId="1E28ADD0" w14:textId="3F38A3F9" w:rsidR="0040536B" w:rsidRPr="003705F3" w:rsidRDefault="002F2A7E" w:rsidP="00606436">
            <w:pPr>
              <w:pStyle w:val="Body"/>
              <w:rPr>
                <w:sz w:val="20"/>
              </w:rPr>
            </w:pPr>
            <w:r>
              <w:rPr>
                <w:sz w:val="20"/>
              </w:rPr>
              <w:t>299/</w:t>
            </w:r>
            <w:r w:rsidR="0040536B" w:rsidRPr="003705F3">
              <w:rPr>
                <w:sz w:val="20"/>
              </w:rPr>
              <w:t>404</w:t>
            </w:r>
            <w:r w:rsidR="00B66F9E">
              <w:rPr>
                <w:sz w:val="20"/>
              </w:rPr>
              <w:t xml:space="preserve"> (74)</w:t>
            </w:r>
          </w:p>
        </w:tc>
        <w:tc>
          <w:tcPr>
            <w:tcW w:w="2624" w:type="dxa"/>
            <w:tcBorders>
              <w:top w:val="single" w:sz="8" w:space="0" w:color="AF272F"/>
              <w:bottom w:val="single" w:sz="8" w:space="0" w:color="AF272F"/>
              <w:right w:val="nil"/>
            </w:tcBorders>
          </w:tcPr>
          <w:p w14:paraId="3CEFF745" w14:textId="03C2762D" w:rsidR="0040536B" w:rsidRPr="003705F3" w:rsidRDefault="002F2A7E" w:rsidP="00606436">
            <w:pPr>
              <w:pStyle w:val="Body"/>
              <w:rPr>
                <w:sz w:val="20"/>
              </w:rPr>
            </w:pPr>
            <w:r>
              <w:rPr>
                <w:sz w:val="20"/>
              </w:rPr>
              <w:t>312/</w:t>
            </w:r>
            <w:r w:rsidR="001F1584" w:rsidRPr="003705F3">
              <w:rPr>
                <w:sz w:val="20"/>
              </w:rPr>
              <w:t>41</w:t>
            </w:r>
            <w:r w:rsidR="00524F4D" w:rsidRPr="003705F3">
              <w:rPr>
                <w:sz w:val="20"/>
              </w:rPr>
              <w:t>6</w:t>
            </w:r>
            <w:r w:rsidR="00B66F9E">
              <w:rPr>
                <w:sz w:val="20"/>
              </w:rPr>
              <w:t xml:space="preserve"> (75)</w:t>
            </w:r>
          </w:p>
        </w:tc>
      </w:tr>
      <w:tr w:rsidR="003705F3" w:rsidRPr="003705F3" w14:paraId="3FFB792F" w14:textId="5CEDE982" w:rsidTr="00CA0074">
        <w:trPr>
          <w:trHeight w:val="252"/>
        </w:trPr>
        <w:tc>
          <w:tcPr>
            <w:tcW w:w="2635" w:type="dxa"/>
            <w:tcBorders>
              <w:top w:val="single" w:sz="8" w:space="0" w:color="AF272F"/>
              <w:left w:val="nil"/>
              <w:bottom w:val="single" w:sz="8" w:space="0" w:color="AF272F"/>
              <w:right w:val="single" w:sz="4" w:space="0" w:color="AF272F"/>
            </w:tcBorders>
          </w:tcPr>
          <w:p w14:paraId="47F48FF5" w14:textId="6F592D90" w:rsidR="0040536B" w:rsidRPr="003705F3" w:rsidRDefault="0040536B" w:rsidP="00606436">
            <w:pPr>
              <w:pStyle w:val="Body"/>
              <w:rPr>
                <w:sz w:val="20"/>
              </w:rPr>
            </w:pPr>
            <w:r w:rsidRPr="003705F3">
              <w:rPr>
                <w:sz w:val="20"/>
              </w:rPr>
              <w:t>Endocrine/</w:t>
            </w:r>
            <w:r w:rsidR="00520383" w:rsidRPr="003705F3">
              <w:rPr>
                <w:sz w:val="20"/>
              </w:rPr>
              <w:t>t</w:t>
            </w:r>
            <w:r w:rsidRPr="003705F3">
              <w:rPr>
                <w:sz w:val="20"/>
              </w:rPr>
              <w:t>hyroid</w:t>
            </w:r>
          </w:p>
        </w:tc>
        <w:tc>
          <w:tcPr>
            <w:tcW w:w="2630" w:type="dxa"/>
            <w:tcBorders>
              <w:top w:val="single" w:sz="8" w:space="0" w:color="AF272F"/>
              <w:left w:val="single" w:sz="4" w:space="0" w:color="AF272F"/>
              <w:bottom w:val="single" w:sz="8" w:space="0" w:color="AF272F"/>
            </w:tcBorders>
          </w:tcPr>
          <w:p w14:paraId="0C43814D" w14:textId="63F9AF3C" w:rsidR="0040536B" w:rsidRPr="003705F3" w:rsidRDefault="002F2A7E" w:rsidP="00606436">
            <w:pPr>
              <w:pStyle w:val="Body"/>
              <w:rPr>
                <w:sz w:val="20"/>
              </w:rPr>
            </w:pPr>
            <w:r>
              <w:rPr>
                <w:sz w:val="20"/>
              </w:rPr>
              <w:t>55/</w:t>
            </w:r>
            <w:r w:rsidR="00CA0074" w:rsidRPr="003705F3">
              <w:rPr>
                <w:sz w:val="20"/>
              </w:rPr>
              <w:t>106</w:t>
            </w:r>
            <w:r w:rsidR="00B66F9E">
              <w:rPr>
                <w:sz w:val="20"/>
              </w:rPr>
              <w:t xml:space="preserve"> (52)</w:t>
            </w:r>
          </w:p>
        </w:tc>
        <w:tc>
          <w:tcPr>
            <w:tcW w:w="2624" w:type="dxa"/>
            <w:tcBorders>
              <w:top w:val="single" w:sz="8" w:space="0" w:color="AF272F"/>
              <w:bottom w:val="single" w:sz="8" w:space="0" w:color="AF272F"/>
            </w:tcBorders>
          </w:tcPr>
          <w:p w14:paraId="14C40B8A" w14:textId="3A791FD7" w:rsidR="0040536B" w:rsidRPr="003705F3" w:rsidRDefault="002F2A7E" w:rsidP="00606436">
            <w:pPr>
              <w:pStyle w:val="Body"/>
              <w:rPr>
                <w:sz w:val="20"/>
              </w:rPr>
            </w:pPr>
            <w:r>
              <w:rPr>
                <w:sz w:val="20"/>
              </w:rPr>
              <w:t>109/</w:t>
            </w:r>
            <w:r w:rsidR="0040536B" w:rsidRPr="003705F3">
              <w:rPr>
                <w:sz w:val="20"/>
              </w:rPr>
              <w:t>145</w:t>
            </w:r>
            <w:r w:rsidR="00B66F9E">
              <w:rPr>
                <w:sz w:val="20"/>
              </w:rPr>
              <w:t xml:space="preserve"> (75)</w:t>
            </w:r>
          </w:p>
        </w:tc>
        <w:tc>
          <w:tcPr>
            <w:tcW w:w="2624" w:type="dxa"/>
            <w:tcBorders>
              <w:top w:val="single" w:sz="8" w:space="0" w:color="AF272F"/>
              <w:bottom w:val="single" w:sz="8" w:space="0" w:color="AF272F"/>
              <w:right w:val="nil"/>
            </w:tcBorders>
          </w:tcPr>
          <w:p w14:paraId="2E23F918" w14:textId="7DFD36E0" w:rsidR="0040536B" w:rsidRPr="003705F3" w:rsidRDefault="002F2A7E" w:rsidP="00606436">
            <w:pPr>
              <w:pStyle w:val="Body"/>
              <w:rPr>
                <w:sz w:val="20"/>
              </w:rPr>
            </w:pPr>
            <w:r>
              <w:rPr>
                <w:sz w:val="20"/>
              </w:rPr>
              <w:t>93/</w:t>
            </w:r>
            <w:r w:rsidR="00524F4D" w:rsidRPr="003705F3">
              <w:rPr>
                <w:sz w:val="20"/>
              </w:rPr>
              <w:t>119</w:t>
            </w:r>
            <w:r w:rsidR="00B66F9E">
              <w:rPr>
                <w:sz w:val="20"/>
              </w:rPr>
              <w:t xml:space="preserve"> (78)</w:t>
            </w:r>
          </w:p>
        </w:tc>
      </w:tr>
      <w:tr w:rsidR="003705F3" w:rsidRPr="003705F3" w14:paraId="0000E318" w14:textId="3517D188" w:rsidTr="00CA0074">
        <w:trPr>
          <w:trHeight w:val="242"/>
        </w:trPr>
        <w:tc>
          <w:tcPr>
            <w:tcW w:w="2635" w:type="dxa"/>
            <w:tcBorders>
              <w:top w:val="single" w:sz="8" w:space="0" w:color="AF272F"/>
              <w:left w:val="nil"/>
              <w:bottom w:val="single" w:sz="8" w:space="0" w:color="AF272F"/>
              <w:right w:val="single" w:sz="4" w:space="0" w:color="AF272F"/>
            </w:tcBorders>
          </w:tcPr>
          <w:p w14:paraId="2D64E7ED" w14:textId="6D6A51D3" w:rsidR="0040536B" w:rsidRPr="003705F3" w:rsidRDefault="0040536B" w:rsidP="00606436">
            <w:pPr>
              <w:pStyle w:val="Body"/>
              <w:rPr>
                <w:sz w:val="20"/>
              </w:rPr>
            </w:pPr>
            <w:r w:rsidRPr="003705F3">
              <w:rPr>
                <w:sz w:val="20"/>
              </w:rPr>
              <w:t>Genitourinary</w:t>
            </w:r>
          </w:p>
        </w:tc>
        <w:tc>
          <w:tcPr>
            <w:tcW w:w="2630" w:type="dxa"/>
            <w:tcBorders>
              <w:top w:val="single" w:sz="8" w:space="0" w:color="AF272F"/>
              <w:left w:val="single" w:sz="4" w:space="0" w:color="AF272F"/>
              <w:bottom w:val="single" w:sz="8" w:space="0" w:color="AF272F"/>
            </w:tcBorders>
          </w:tcPr>
          <w:p w14:paraId="13223F80" w14:textId="29DF1265" w:rsidR="0040536B" w:rsidRPr="003705F3" w:rsidRDefault="002F2A7E" w:rsidP="00606436">
            <w:pPr>
              <w:pStyle w:val="Body"/>
              <w:rPr>
                <w:sz w:val="20"/>
              </w:rPr>
            </w:pPr>
            <w:r>
              <w:rPr>
                <w:sz w:val="20"/>
              </w:rPr>
              <w:t>291/</w:t>
            </w:r>
            <w:r w:rsidR="00CA0074" w:rsidRPr="003705F3">
              <w:rPr>
                <w:sz w:val="20"/>
              </w:rPr>
              <w:t>529</w:t>
            </w:r>
            <w:r w:rsidR="00B66F9E">
              <w:rPr>
                <w:sz w:val="20"/>
              </w:rPr>
              <w:t xml:space="preserve"> (55)</w:t>
            </w:r>
          </w:p>
        </w:tc>
        <w:tc>
          <w:tcPr>
            <w:tcW w:w="2624" w:type="dxa"/>
            <w:tcBorders>
              <w:top w:val="single" w:sz="8" w:space="0" w:color="AF272F"/>
              <w:bottom w:val="single" w:sz="8" w:space="0" w:color="AF272F"/>
            </w:tcBorders>
          </w:tcPr>
          <w:p w14:paraId="23EAC128" w14:textId="357217C4" w:rsidR="0040536B" w:rsidRPr="003705F3" w:rsidRDefault="002F2A7E" w:rsidP="00606436">
            <w:pPr>
              <w:pStyle w:val="Body"/>
              <w:rPr>
                <w:sz w:val="20"/>
              </w:rPr>
            </w:pPr>
            <w:r>
              <w:rPr>
                <w:sz w:val="20"/>
              </w:rPr>
              <w:t>176/</w:t>
            </w:r>
            <w:r w:rsidR="00CA0074" w:rsidRPr="003705F3">
              <w:rPr>
                <w:sz w:val="20"/>
              </w:rPr>
              <w:t>367</w:t>
            </w:r>
            <w:r w:rsidR="00B66F9E">
              <w:rPr>
                <w:sz w:val="20"/>
              </w:rPr>
              <w:t xml:space="preserve"> (48)</w:t>
            </w:r>
          </w:p>
        </w:tc>
        <w:tc>
          <w:tcPr>
            <w:tcW w:w="2624" w:type="dxa"/>
            <w:tcBorders>
              <w:top w:val="single" w:sz="8" w:space="0" w:color="AF272F"/>
              <w:bottom w:val="single" w:sz="8" w:space="0" w:color="AF272F"/>
              <w:right w:val="nil"/>
            </w:tcBorders>
          </w:tcPr>
          <w:p w14:paraId="6DCE10A4" w14:textId="12333BA7" w:rsidR="0040536B" w:rsidRPr="003705F3" w:rsidRDefault="002F2A7E" w:rsidP="00606436">
            <w:pPr>
              <w:pStyle w:val="Body"/>
              <w:rPr>
                <w:sz w:val="20"/>
              </w:rPr>
            </w:pPr>
            <w:r>
              <w:rPr>
                <w:sz w:val="20"/>
              </w:rPr>
              <w:t>213/</w:t>
            </w:r>
            <w:r w:rsidR="00524F4D" w:rsidRPr="003705F3">
              <w:rPr>
                <w:sz w:val="20"/>
              </w:rPr>
              <w:t>426</w:t>
            </w:r>
            <w:r w:rsidR="00B66F9E">
              <w:rPr>
                <w:sz w:val="20"/>
              </w:rPr>
              <w:t xml:space="preserve"> (50)</w:t>
            </w:r>
          </w:p>
        </w:tc>
      </w:tr>
      <w:tr w:rsidR="003705F3" w:rsidRPr="003705F3" w14:paraId="77F97C6C" w14:textId="1561534D" w:rsidTr="00CA0074">
        <w:trPr>
          <w:trHeight w:val="252"/>
        </w:trPr>
        <w:tc>
          <w:tcPr>
            <w:tcW w:w="2635" w:type="dxa"/>
            <w:tcBorders>
              <w:top w:val="single" w:sz="8" w:space="0" w:color="AF272F"/>
              <w:left w:val="nil"/>
              <w:bottom w:val="single" w:sz="8" w:space="0" w:color="AF272F"/>
              <w:right w:val="single" w:sz="4" w:space="0" w:color="AF272F"/>
            </w:tcBorders>
          </w:tcPr>
          <w:p w14:paraId="3D14AEBD" w14:textId="7F1922A4" w:rsidR="0040536B" w:rsidRPr="003705F3" w:rsidRDefault="0040536B" w:rsidP="00606436">
            <w:pPr>
              <w:pStyle w:val="Body"/>
              <w:rPr>
                <w:sz w:val="20"/>
              </w:rPr>
            </w:pPr>
            <w:r w:rsidRPr="003705F3">
              <w:rPr>
                <w:sz w:val="20"/>
              </w:rPr>
              <w:t>Gynaecological</w:t>
            </w:r>
          </w:p>
        </w:tc>
        <w:tc>
          <w:tcPr>
            <w:tcW w:w="2630" w:type="dxa"/>
            <w:tcBorders>
              <w:top w:val="single" w:sz="8" w:space="0" w:color="AF272F"/>
              <w:left w:val="single" w:sz="4" w:space="0" w:color="AF272F"/>
              <w:bottom w:val="single" w:sz="8" w:space="0" w:color="AF272F"/>
            </w:tcBorders>
          </w:tcPr>
          <w:p w14:paraId="5D806A24" w14:textId="521E7EF9" w:rsidR="0040536B" w:rsidRPr="003705F3" w:rsidRDefault="00A8302C" w:rsidP="00606436">
            <w:pPr>
              <w:pStyle w:val="Body"/>
              <w:rPr>
                <w:sz w:val="20"/>
              </w:rPr>
            </w:pPr>
            <w:r>
              <w:rPr>
                <w:sz w:val="20"/>
              </w:rPr>
              <w:t>175</w:t>
            </w:r>
            <w:r w:rsidR="002F2A7E">
              <w:rPr>
                <w:sz w:val="20"/>
              </w:rPr>
              <w:t>/</w:t>
            </w:r>
            <w:r w:rsidR="00CA0074" w:rsidRPr="003705F3">
              <w:rPr>
                <w:sz w:val="20"/>
              </w:rPr>
              <w:t>213</w:t>
            </w:r>
            <w:r w:rsidR="00B66F9E">
              <w:rPr>
                <w:sz w:val="20"/>
              </w:rPr>
              <w:t xml:space="preserve"> (82)</w:t>
            </w:r>
          </w:p>
        </w:tc>
        <w:tc>
          <w:tcPr>
            <w:tcW w:w="2624" w:type="dxa"/>
            <w:tcBorders>
              <w:top w:val="single" w:sz="8" w:space="0" w:color="AF272F"/>
              <w:bottom w:val="single" w:sz="8" w:space="0" w:color="AF272F"/>
            </w:tcBorders>
          </w:tcPr>
          <w:p w14:paraId="2274DAC5" w14:textId="02A17394" w:rsidR="0040536B" w:rsidRPr="003705F3" w:rsidRDefault="00A8302C" w:rsidP="00606436">
            <w:pPr>
              <w:pStyle w:val="Body"/>
              <w:rPr>
                <w:sz w:val="20"/>
              </w:rPr>
            </w:pPr>
            <w:r>
              <w:rPr>
                <w:sz w:val="20"/>
              </w:rPr>
              <w:t>220</w:t>
            </w:r>
            <w:r w:rsidR="002F2A7E">
              <w:rPr>
                <w:sz w:val="20"/>
              </w:rPr>
              <w:t>/</w:t>
            </w:r>
            <w:r w:rsidR="00CA0074" w:rsidRPr="003705F3">
              <w:rPr>
                <w:sz w:val="20"/>
              </w:rPr>
              <w:t>297</w:t>
            </w:r>
            <w:r w:rsidR="00B66F9E">
              <w:rPr>
                <w:sz w:val="20"/>
              </w:rPr>
              <w:t xml:space="preserve"> (74)</w:t>
            </w:r>
          </w:p>
        </w:tc>
        <w:tc>
          <w:tcPr>
            <w:tcW w:w="2624" w:type="dxa"/>
            <w:tcBorders>
              <w:top w:val="single" w:sz="8" w:space="0" w:color="AF272F"/>
              <w:bottom w:val="single" w:sz="8" w:space="0" w:color="AF272F"/>
              <w:right w:val="nil"/>
            </w:tcBorders>
          </w:tcPr>
          <w:p w14:paraId="51C55DDB" w14:textId="137DC728" w:rsidR="0040536B" w:rsidRPr="003705F3" w:rsidRDefault="00A8302C" w:rsidP="00606436">
            <w:pPr>
              <w:pStyle w:val="Body"/>
              <w:rPr>
                <w:sz w:val="20"/>
              </w:rPr>
            </w:pPr>
            <w:r>
              <w:rPr>
                <w:sz w:val="20"/>
              </w:rPr>
              <w:t>193</w:t>
            </w:r>
            <w:r w:rsidR="002F2A7E">
              <w:rPr>
                <w:sz w:val="20"/>
              </w:rPr>
              <w:t>/</w:t>
            </w:r>
            <w:r w:rsidR="001F1584" w:rsidRPr="003705F3">
              <w:rPr>
                <w:sz w:val="20"/>
              </w:rPr>
              <w:t>2</w:t>
            </w:r>
            <w:r w:rsidR="00524F4D" w:rsidRPr="003705F3">
              <w:rPr>
                <w:sz w:val="20"/>
              </w:rPr>
              <w:t>38</w:t>
            </w:r>
            <w:r w:rsidR="00B66F9E">
              <w:rPr>
                <w:sz w:val="20"/>
              </w:rPr>
              <w:t xml:space="preserve"> (81)</w:t>
            </w:r>
          </w:p>
        </w:tc>
      </w:tr>
      <w:tr w:rsidR="003705F3" w:rsidRPr="003705F3" w14:paraId="3A362111" w14:textId="1BAE6CD5" w:rsidTr="00CA0074">
        <w:trPr>
          <w:trHeight w:val="252"/>
        </w:trPr>
        <w:tc>
          <w:tcPr>
            <w:tcW w:w="2635" w:type="dxa"/>
            <w:tcBorders>
              <w:top w:val="single" w:sz="8" w:space="0" w:color="AF272F"/>
              <w:left w:val="nil"/>
              <w:bottom w:val="single" w:sz="8" w:space="0" w:color="AF272F"/>
              <w:right w:val="single" w:sz="4" w:space="0" w:color="AF272F"/>
            </w:tcBorders>
          </w:tcPr>
          <w:p w14:paraId="392738AA" w14:textId="77BAC84D" w:rsidR="0040536B" w:rsidRPr="003705F3" w:rsidRDefault="00CA0074" w:rsidP="00606436">
            <w:pPr>
              <w:pStyle w:val="Body"/>
              <w:rPr>
                <w:sz w:val="20"/>
              </w:rPr>
            </w:pPr>
            <w:r w:rsidRPr="003705F3">
              <w:rPr>
                <w:sz w:val="20"/>
              </w:rPr>
              <w:t>Haematological</w:t>
            </w:r>
          </w:p>
        </w:tc>
        <w:tc>
          <w:tcPr>
            <w:tcW w:w="2630" w:type="dxa"/>
            <w:tcBorders>
              <w:top w:val="single" w:sz="8" w:space="0" w:color="AF272F"/>
              <w:left w:val="single" w:sz="4" w:space="0" w:color="AF272F"/>
              <w:bottom w:val="single" w:sz="8" w:space="0" w:color="AF272F"/>
            </w:tcBorders>
          </w:tcPr>
          <w:p w14:paraId="30B5AE4C" w14:textId="7D3424D6" w:rsidR="0040536B" w:rsidRPr="003705F3" w:rsidRDefault="00486A87" w:rsidP="00606436">
            <w:pPr>
              <w:pStyle w:val="Body"/>
              <w:rPr>
                <w:sz w:val="20"/>
              </w:rPr>
            </w:pPr>
            <w:r>
              <w:rPr>
                <w:sz w:val="20"/>
              </w:rPr>
              <w:t>193</w:t>
            </w:r>
            <w:r w:rsidR="002F2A7E">
              <w:rPr>
                <w:sz w:val="20"/>
              </w:rPr>
              <w:t>/</w:t>
            </w:r>
            <w:r w:rsidR="00CA0074" w:rsidRPr="003705F3">
              <w:rPr>
                <w:sz w:val="20"/>
              </w:rPr>
              <w:t>379</w:t>
            </w:r>
            <w:r w:rsidR="00B66F9E">
              <w:rPr>
                <w:sz w:val="20"/>
              </w:rPr>
              <w:t xml:space="preserve"> (51)</w:t>
            </w:r>
          </w:p>
        </w:tc>
        <w:tc>
          <w:tcPr>
            <w:tcW w:w="2624" w:type="dxa"/>
            <w:tcBorders>
              <w:top w:val="single" w:sz="8" w:space="0" w:color="AF272F"/>
              <w:bottom w:val="single" w:sz="8" w:space="0" w:color="AF272F"/>
            </w:tcBorders>
          </w:tcPr>
          <w:p w14:paraId="44EC5999" w14:textId="038242B4" w:rsidR="0040536B" w:rsidRPr="003705F3" w:rsidRDefault="00486A87" w:rsidP="00606436">
            <w:pPr>
              <w:pStyle w:val="Body"/>
              <w:rPr>
                <w:sz w:val="20"/>
              </w:rPr>
            </w:pPr>
            <w:r>
              <w:rPr>
                <w:sz w:val="20"/>
              </w:rPr>
              <w:t>163</w:t>
            </w:r>
            <w:r w:rsidR="002F2A7E">
              <w:rPr>
                <w:sz w:val="20"/>
              </w:rPr>
              <w:t>/</w:t>
            </w:r>
            <w:r w:rsidR="00CA0074" w:rsidRPr="003705F3">
              <w:rPr>
                <w:sz w:val="20"/>
              </w:rPr>
              <w:t>347</w:t>
            </w:r>
            <w:r w:rsidR="00B66F9E">
              <w:rPr>
                <w:sz w:val="20"/>
              </w:rPr>
              <w:t xml:space="preserve"> (47)</w:t>
            </w:r>
          </w:p>
        </w:tc>
        <w:tc>
          <w:tcPr>
            <w:tcW w:w="2624" w:type="dxa"/>
            <w:tcBorders>
              <w:top w:val="single" w:sz="8" w:space="0" w:color="AF272F"/>
              <w:bottom w:val="single" w:sz="8" w:space="0" w:color="AF272F"/>
              <w:right w:val="nil"/>
            </w:tcBorders>
          </w:tcPr>
          <w:p w14:paraId="0D91EBCB" w14:textId="18E93CAB" w:rsidR="0040536B" w:rsidRPr="003705F3" w:rsidRDefault="00486A87" w:rsidP="00606436">
            <w:pPr>
              <w:pStyle w:val="Body"/>
              <w:rPr>
                <w:sz w:val="20"/>
              </w:rPr>
            </w:pPr>
            <w:r>
              <w:rPr>
                <w:sz w:val="20"/>
              </w:rPr>
              <w:t>181</w:t>
            </w:r>
            <w:r w:rsidR="002F2A7E">
              <w:rPr>
                <w:sz w:val="20"/>
              </w:rPr>
              <w:t>/</w:t>
            </w:r>
            <w:r w:rsidR="001F1584" w:rsidRPr="003705F3">
              <w:rPr>
                <w:sz w:val="20"/>
              </w:rPr>
              <w:t>3</w:t>
            </w:r>
            <w:r w:rsidR="00524F4D" w:rsidRPr="003705F3">
              <w:rPr>
                <w:sz w:val="20"/>
              </w:rPr>
              <w:t>35</w:t>
            </w:r>
            <w:r w:rsidR="00B66F9E">
              <w:rPr>
                <w:sz w:val="20"/>
              </w:rPr>
              <w:t xml:space="preserve"> (54)</w:t>
            </w:r>
          </w:p>
        </w:tc>
      </w:tr>
      <w:tr w:rsidR="003705F3" w:rsidRPr="003705F3" w14:paraId="3A218776" w14:textId="77777777" w:rsidTr="00CA0074">
        <w:trPr>
          <w:trHeight w:val="252"/>
        </w:trPr>
        <w:tc>
          <w:tcPr>
            <w:tcW w:w="2635" w:type="dxa"/>
            <w:tcBorders>
              <w:top w:val="single" w:sz="8" w:space="0" w:color="AF272F"/>
              <w:left w:val="nil"/>
              <w:bottom w:val="single" w:sz="8" w:space="0" w:color="AF272F"/>
              <w:right w:val="single" w:sz="4" w:space="0" w:color="AF272F"/>
            </w:tcBorders>
          </w:tcPr>
          <w:p w14:paraId="78434C75" w14:textId="5D54A459" w:rsidR="0040536B" w:rsidRPr="003705F3" w:rsidRDefault="00CA0074" w:rsidP="00606436">
            <w:pPr>
              <w:pStyle w:val="Body"/>
              <w:rPr>
                <w:sz w:val="20"/>
              </w:rPr>
            </w:pPr>
            <w:r w:rsidRPr="003705F3">
              <w:rPr>
                <w:sz w:val="20"/>
              </w:rPr>
              <w:t xml:space="preserve">Head &amp; </w:t>
            </w:r>
            <w:r w:rsidR="00520383" w:rsidRPr="003705F3">
              <w:rPr>
                <w:sz w:val="20"/>
              </w:rPr>
              <w:t>n</w:t>
            </w:r>
            <w:r w:rsidRPr="003705F3">
              <w:rPr>
                <w:sz w:val="20"/>
              </w:rPr>
              <w:t>eck</w:t>
            </w:r>
          </w:p>
        </w:tc>
        <w:tc>
          <w:tcPr>
            <w:tcW w:w="2630" w:type="dxa"/>
            <w:tcBorders>
              <w:top w:val="single" w:sz="8" w:space="0" w:color="AF272F"/>
              <w:left w:val="single" w:sz="4" w:space="0" w:color="AF272F"/>
              <w:bottom w:val="single" w:sz="8" w:space="0" w:color="AF272F"/>
            </w:tcBorders>
          </w:tcPr>
          <w:p w14:paraId="48D9259B" w14:textId="168D9C8D" w:rsidR="0040536B" w:rsidRPr="003705F3" w:rsidRDefault="00486A87" w:rsidP="00606436">
            <w:pPr>
              <w:pStyle w:val="Body"/>
              <w:rPr>
                <w:sz w:val="20"/>
              </w:rPr>
            </w:pPr>
            <w:r>
              <w:rPr>
                <w:sz w:val="20"/>
              </w:rPr>
              <w:t>160</w:t>
            </w:r>
            <w:r w:rsidR="002F2A7E">
              <w:rPr>
                <w:sz w:val="20"/>
              </w:rPr>
              <w:t>/</w:t>
            </w:r>
            <w:r w:rsidR="00CA0074" w:rsidRPr="003705F3">
              <w:rPr>
                <w:sz w:val="20"/>
              </w:rPr>
              <w:t>168</w:t>
            </w:r>
            <w:r w:rsidR="00B66F9E">
              <w:rPr>
                <w:sz w:val="20"/>
              </w:rPr>
              <w:t xml:space="preserve"> (95)</w:t>
            </w:r>
          </w:p>
        </w:tc>
        <w:tc>
          <w:tcPr>
            <w:tcW w:w="2624" w:type="dxa"/>
            <w:tcBorders>
              <w:top w:val="single" w:sz="8" w:space="0" w:color="AF272F"/>
              <w:bottom w:val="single" w:sz="8" w:space="0" w:color="AF272F"/>
            </w:tcBorders>
          </w:tcPr>
          <w:p w14:paraId="4D8483F3" w14:textId="7F1452F3" w:rsidR="0040536B" w:rsidRPr="003705F3" w:rsidRDefault="00486A87" w:rsidP="00606436">
            <w:pPr>
              <w:pStyle w:val="Body"/>
              <w:rPr>
                <w:sz w:val="20"/>
              </w:rPr>
            </w:pPr>
            <w:r>
              <w:rPr>
                <w:sz w:val="20"/>
              </w:rPr>
              <w:t>186</w:t>
            </w:r>
            <w:r w:rsidR="002F2A7E">
              <w:rPr>
                <w:sz w:val="20"/>
              </w:rPr>
              <w:t>/</w:t>
            </w:r>
            <w:r w:rsidR="00CA0074" w:rsidRPr="003705F3">
              <w:rPr>
                <w:sz w:val="20"/>
              </w:rPr>
              <w:t>224</w:t>
            </w:r>
            <w:r w:rsidR="00B66F9E">
              <w:rPr>
                <w:sz w:val="20"/>
              </w:rPr>
              <w:t xml:space="preserve"> (83)</w:t>
            </w:r>
          </w:p>
        </w:tc>
        <w:tc>
          <w:tcPr>
            <w:tcW w:w="2624" w:type="dxa"/>
            <w:tcBorders>
              <w:top w:val="single" w:sz="8" w:space="0" w:color="AF272F"/>
              <w:bottom w:val="single" w:sz="8" w:space="0" w:color="AF272F"/>
              <w:right w:val="nil"/>
            </w:tcBorders>
          </w:tcPr>
          <w:p w14:paraId="6FC6D68B" w14:textId="3DF4805C" w:rsidR="0040536B" w:rsidRPr="003705F3" w:rsidRDefault="00486A87" w:rsidP="00606436">
            <w:pPr>
              <w:pStyle w:val="Body"/>
              <w:rPr>
                <w:sz w:val="20"/>
              </w:rPr>
            </w:pPr>
            <w:r>
              <w:rPr>
                <w:sz w:val="20"/>
              </w:rPr>
              <w:t>182</w:t>
            </w:r>
            <w:r w:rsidR="002F2A7E">
              <w:rPr>
                <w:sz w:val="20"/>
              </w:rPr>
              <w:t>/</w:t>
            </w:r>
            <w:r w:rsidR="001F1584" w:rsidRPr="003705F3">
              <w:rPr>
                <w:sz w:val="20"/>
              </w:rPr>
              <w:t>1</w:t>
            </w:r>
            <w:r w:rsidR="00791E89" w:rsidRPr="003705F3">
              <w:rPr>
                <w:sz w:val="20"/>
              </w:rPr>
              <w:t>96</w:t>
            </w:r>
            <w:r w:rsidR="00B66F9E">
              <w:rPr>
                <w:sz w:val="20"/>
              </w:rPr>
              <w:t xml:space="preserve"> (93)</w:t>
            </w:r>
          </w:p>
        </w:tc>
      </w:tr>
      <w:tr w:rsidR="003705F3" w:rsidRPr="003705F3" w14:paraId="7E636BB0" w14:textId="77777777" w:rsidTr="00CA0074">
        <w:trPr>
          <w:trHeight w:val="252"/>
        </w:trPr>
        <w:tc>
          <w:tcPr>
            <w:tcW w:w="2635" w:type="dxa"/>
            <w:tcBorders>
              <w:top w:val="single" w:sz="8" w:space="0" w:color="AF272F"/>
              <w:left w:val="nil"/>
              <w:bottom w:val="single" w:sz="8" w:space="0" w:color="AF272F"/>
              <w:right w:val="single" w:sz="4" w:space="0" w:color="AF272F"/>
            </w:tcBorders>
          </w:tcPr>
          <w:p w14:paraId="198BDC20" w14:textId="159F0B44" w:rsidR="0040536B" w:rsidRPr="003705F3" w:rsidRDefault="00CA0074" w:rsidP="00606436">
            <w:pPr>
              <w:pStyle w:val="Body"/>
              <w:rPr>
                <w:sz w:val="20"/>
              </w:rPr>
            </w:pPr>
            <w:r w:rsidRPr="003705F3">
              <w:rPr>
                <w:sz w:val="20"/>
              </w:rPr>
              <w:t>Lung</w:t>
            </w:r>
          </w:p>
        </w:tc>
        <w:tc>
          <w:tcPr>
            <w:tcW w:w="2630" w:type="dxa"/>
            <w:tcBorders>
              <w:top w:val="single" w:sz="8" w:space="0" w:color="AF272F"/>
              <w:left w:val="single" w:sz="4" w:space="0" w:color="AF272F"/>
              <w:bottom w:val="single" w:sz="8" w:space="0" w:color="AF272F"/>
            </w:tcBorders>
          </w:tcPr>
          <w:p w14:paraId="258882F8" w14:textId="1DA86B9A" w:rsidR="0040536B" w:rsidRPr="003705F3" w:rsidRDefault="00C468A4" w:rsidP="00606436">
            <w:pPr>
              <w:pStyle w:val="Body"/>
              <w:rPr>
                <w:sz w:val="20"/>
              </w:rPr>
            </w:pPr>
            <w:r>
              <w:rPr>
                <w:sz w:val="20"/>
              </w:rPr>
              <w:t>256</w:t>
            </w:r>
            <w:r w:rsidR="002F2A7E">
              <w:rPr>
                <w:sz w:val="20"/>
              </w:rPr>
              <w:t>/</w:t>
            </w:r>
            <w:r w:rsidR="00CA0074" w:rsidRPr="003705F3">
              <w:rPr>
                <w:sz w:val="20"/>
              </w:rPr>
              <w:t>351</w:t>
            </w:r>
            <w:r w:rsidR="00B66F9E">
              <w:rPr>
                <w:sz w:val="20"/>
              </w:rPr>
              <w:t xml:space="preserve"> (73)</w:t>
            </w:r>
          </w:p>
        </w:tc>
        <w:tc>
          <w:tcPr>
            <w:tcW w:w="2624" w:type="dxa"/>
            <w:tcBorders>
              <w:top w:val="single" w:sz="8" w:space="0" w:color="AF272F"/>
              <w:bottom w:val="single" w:sz="8" w:space="0" w:color="AF272F"/>
            </w:tcBorders>
          </w:tcPr>
          <w:p w14:paraId="01151CEE" w14:textId="742DD2B6" w:rsidR="0040536B" w:rsidRPr="003705F3" w:rsidRDefault="00C468A4" w:rsidP="00606436">
            <w:pPr>
              <w:pStyle w:val="Body"/>
              <w:rPr>
                <w:sz w:val="20"/>
              </w:rPr>
            </w:pPr>
            <w:r>
              <w:rPr>
                <w:sz w:val="20"/>
              </w:rPr>
              <w:t>224</w:t>
            </w:r>
            <w:r w:rsidR="002F2A7E">
              <w:rPr>
                <w:sz w:val="20"/>
              </w:rPr>
              <w:t>/</w:t>
            </w:r>
            <w:r w:rsidR="00CA0074" w:rsidRPr="003705F3">
              <w:rPr>
                <w:sz w:val="20"/>
              </w:rPr>
              <w:t>324</w:t>
            </w:r>
            <w:r w:rsidR="00B66F9E">
              <w:rPr>
                <w:sz w:val="20"/>
              </w:rPr>
              <w:t xml:space="preserve"> (69)</w:t>
            </w:r>
          </w:p>
        </w:tc>
        <w:tc>
          <w:tcPr>
            <w:tcW w:w="2624" w:type="dxa"/>
            <w:tcBorders>
              <w:top w:val="single" w:sz="8" w:space="0" w:color="AF272F"/>
              <w:bottom w:val="single" w:sz="8" w:space="0" w:color="AF272F"/>
              <w:right w:val="nil"/>
            </w:tcBorders>
          </w:tcPr>
          <w:p w14:paraId="22039477" w14:textId="1AD8CB08" w:rsidR="0040536B" w:rsidRPr="003705F3" w:rsidRDefault="00C468A4" w:rsidP="00606436">
            <w:pPr>
              <w:pStyle w:val="Body"/>
              <w:rPr>
                <w:sz w:val="20"/>
              </w:rPr>
            </w:pPr>
            <w:r>
              <w:rPr>
                <w:sz w:val="20"/>
              </w:rPr>
              <w:t>266</w:t>
            </w:r>
            <w:r w:rsidR="002F2A7E">
              <w:rPr>
                <w:sz w:val="20"/>
              </w:rPr>
              <w:t>/</w:t>
            </w:r>
            <w:r w:rsidR="001F1584" w:rsidRPr="003705F3">
              <w:rPr>
                <w:sz w:val="20"/>
              </w:rPr>
              <w:t>3</w:t>
            </w:r>
            <w:r w:rsidR="00791E89" w:rsidRPr="003705F3">
              <w:rPr>
                <w:sz w:val="20"/>
              </w:rPr>
              <w:t>55</w:t>
            </w:r>
            <w:r w:rsidR="00B66F9E">
              <w:rPr>
                <w:sz w:val="20"/>
              </w:rPr>
              <w:t xml:space="preserve"> (75)</w:t>
            </w:r>
          </w:p>
        </w:tc>
      </w:tr>
      <w:tr w:rsidR="003705F3" w:rsidRPr="003705F3" w14:paraId="518F69BA" w14:textId="77777777" w:rsidTr="00CA0074">
        <w:trPr>
          <w:trHeight w:val="252"/>
        </w:trPr>
        <w:tc>
          <w:tcPr>
            <w:tcW w:w="2635" w:type="dxa"/>
            <w:tcBorders>
              <w:top w:val="single" w:sz="8" w:space="0" w:color="AF272F"/>
              <w:left w:val="nil"/>
              <w:bottom w:val="single" w:sz="8" w:space="0" w:color="AF272F"/>
              <w:right w:val="single" w:sz="4" w:space="0" w:color="AF272F"/>
            </w:tcBorders>
          </w:tcPr>
          <w:p w14:paraId="47273373" w14:textId="4F4773F5" w:rsidR="0040536B" w:rsidRPr="003705F3" w:rsidRDefault="00CA0074" w:rsidP="00606436">
            <w:pPr>
              <w:pStyle w:val="Body"/>
              <w:rPr>
                <w:sz w:val="20"/>
              </w:rPr>
            </w:pPr>
            <w:r w:rsidRPr="003705F3">
              <w:rPr>
                <w:sz w:val="20"/>
              </w:rPr>
              <w:t>Skin</w:t>
            </w:r>
          </w:p>
        </w:tc>
        <w:tc>
          <w:tcPr>
            <w:tcW w:w="2630" w:type="dxa"/>
            <w:tcBorders>
              <w:top w:val="single" w:sz="8" w:space="0" w:color="AF272F"/>
              <w:left w:val="single" w:sz="4" w:space="0" w:color="AF272F"/>
              <w:bottom w:val="single" w:sz="8" w:space="0" w:color="AF272F"/>
            </w:tcBorders>
          </w:tcPr>
          <w:p w14:paraId="45EDAE00" w14:textId="1219F425" w:rsidR="0040536B" w:rsidRPr="003705F3" w:rsidRDefault="00A8302C" w:rsidP="00606436">
            <w:pPr>
              <w:pStyle w:val="Body"/>
              <w:rPr>
                <w:sz w:val="20"/>
              </w:rPr>
            </w:pPr>
            <w:r>
              <w:rPr>
                <w:sz w:val="20"/>
              </w:rPr>
              <w:t>95</w:t>
            </w:r>
            <w:r w:rsidR="002F2A7E">
              <w:rPr>
                <w:sz w:val="20"/>
              </w:rPr>
              <w:t>/</w:t>
            </w:r>
            <w:r w:rsidR="00CA0074" w:rsidRPr="003705F3">
              <w:rPr>
                <w:sz w:val="20"/>
              </w:rPr>
              <w:t>172</w:t>
            </w:r>
            <w:r w:rsidR="00B66F9E">
              <w:rPr>
                <w:sz w:val="20"/>
              </w:rPr>
              <w:t xml:space="preserve"> (55)</w:t>
            </w:r>
          </w:p>
        </w:tc>
        <w:tc>
          <w:tcPr>
            <w:tcW w:w="2624" w:type="dxa"/>
            <w:tcBorders>
              <w:top w:val="single" w:sz="8" w:space="0" w:color="AF272F"/>
              <w:bottom w:val="single" w:sz="8" w:space="0" w:color="AF272F"/>
            </w:tcBorders>
          </w:tcPr>
          <w:p w14:paraId="4A390D11" w14:textId="1845E1F7" w:rsidR="0040536B" w:rsidRPr="003705F3" w:rsidRDefault="00A8302C" w:rsidP="00606436">
            <w:pPr>
              <w:pStyle w:val="Body"/>
              <w:rPr>
                <w:sz w:val="20"/>
              </w:rPr>
            </w:pPr>
            <w:r>
              <w:rPr>
                <w:sz w:val="20"/>
              </w:rPr>
              <w:t>132</w:t>
            </w:r>
            <w:r w:rsidR="002F2A7E">
              <w:rPr>
                <w:sz w:val="20"/>
              </w:rPr>
              <w:t>/</w:t>
            </w:r>
            <w:r w:rsidR="00CA0074" w:rsidRPr="003705F3">
              <w:rPr>
                <w:sz w:val="20"/>
              </w:rPr>
              <w:t>288</w:t>
            </w:r>
            <w:r w:rsidR="00B66F9E">
              <w:rPr>
                <w:sz w:val="20"/>
              </w:rPr>
              <w:t xml:space="preserve"> (46)</w:t>
            </w:r>
          </w:p>
        </w:tc>
        <w:tc>
          <w:tcPr>
            <w:tcW w:w="2624" w:type="dxa"/>
            <w:tcBorders>
              <w:top w:val="single" w:sz="8" w:space="0" w:color="AF272F"/>
              <w:bottom w:val="single" w:sz="8" w:space="0" w:color="AF272F"/>
              <w:right w:val="nil"/>
            </w:tcBorders>
          </w:tcPr>
          <w:p w14:paraId="09B72191" w14:textId="20C69EF1" w:rsidR="0040536B" w:rsidRPr="003705F3" w:rsidRDefault="00A8302C" w:rsidP="00606436">
            <w:pPr>
              <w:pStyle w:val="Body"/>
              <w:rPr>
                <w:sz w:val="20"/>
              </w:rPr>
            </w:pPr>
            <w:r>
              <w:rPr>
                <w:sz w:val="20"/>
              </w:rPr>
              <w:t>105</w:t>
            </w:r>
            <w:r w:rsidR="002F2A7E">
              <w:rPr>
                <w:sz w:val="20"/>
              </w:rPr>
              <w:t>/</w:t>
            </w:r>
            <w:r w:rsidR="00791E89" w:rsidRPr="003705F3">
              <w:rPr>
                <w:sz w:val="20"/>
              </w:rPr>
              <w:t>285</w:t>
            </w:r>
            <w:r w:rsidR="00B66F9E">
              <w:rPr>
                <w:sz w:val="20"/>
              </w:rPr>
              <w:t xml:space="preserve"> (37)</w:t>
            </w:r>
          </w:p>
        </w:tc>
      </w:tr>
      <w:tr w:rsidR="003705F3" w:rsidRPr="003705F3" w14:paraId="4A350BF6" w14:textId="77777777" w:rsidTr="00CA0074">
        <w:trPr>
          <w:trHeight w:val="252"/>
        </w:trPr>
        <w:tc>
          <w:tcPr>
            <w:tcW w:w="2635" w:type="dxa"/>
            <w:tcBorders>
              <w:top w:val="single" w:sz="8" w:space="0" w:color="AF272F"/>
              <w:left w:val="nil"/>
              <w:bottom w:val="single" w:sz="8" w:space="0" w:color="AF272F"/>
              <w:right w:val="single" w:sz="4" w:space="0" w:color="AF272F"/>
            </w:tcBorders>
          </w:tcPr>
          <w:p w14:paraId="3472ED09" w14:textId="4BF2B1DB" w:rsidR="00CA0074" w:rsidRPr="003705F3" w:rsidRDefault="00CA0074" w:rsidP="00606436">
            <w:pPr>
              <w:pStyle w:val="Body"/>
              <w:rPr>
                <w:sz w:val="20"/>
              </w:rPr>
            </w:pPr>
            <w:r w:rsidRPr="003705F3">
              <w:rPr>
                <w:sz w:val="20"/>
              </w:rPr>
              <w:t>UGI</w:t>
            </w:r>
          </w:p>
        </w:tc>
        <w:tc>
          <w:tcPr>
            <w:tcW w:w="2630" w:type="dxa"/>
            <w:tcBorders>
              <w:top w:val="single" w:sz="8" w:space="0" w:color="AF272F"/>
              <w:left w:val="single" w:sz="4" w:space="0" w:color="AF272F"/>
              <w:bottom w:val="single" w:sz="8" w:space="0" w:color="AF272F"/>
            </w:tcBorders>
          </w:tcPr>
          <w:p w14:paraId="37FC41B2" w14:textId="7E0C5D70" w:rsidR="00CA0074" w:rsidRPr="003705F3" w:rsidRDefault="00A8302C" w:rsidP="00606436">
            <w:pPr>
              <w:pStyle w:val="Body"/>
              <w:rPr>
                <w:sz w:val="20"/>
              </w:rPr>
            </w:pPr>
            <w:r>
              <w:rPr>
                <w:sz w:val="20"/>
              </w:rPr>
              <w:t>211</w:t>
            </w:r>
            <w:r w:rsidR="002F2A7E">
              <w:rPr>
                <w:sz w:val="20"/>
              </w:rPr>
              <w:t>/</w:t>
            </w:r>
            <w:r w:rsidR="00CA0074" w:rsidRPr="003705F3">
              <w:rPr>
                <w:sz w:val="20"/>
              </w:rPr>
              <w:t>297</w:t>
            </w:r>
            <w:r w:rsidR="00B66F9E">
              <w:rPr>
                <w:sz w:val="20"/>
              </w:rPr>
              <w:t xml:space="preserve"> (71)</w:t>
            </w:r>
          </w:p>
        </w:tc>
        <w:tc>
          <w:tcPr>
            <w:tcW w:w="2624" w:type="dxa"/>
            <w:tcBorders>
              <w:top w:val="single" w:sz="8" w:space="0" w:color="AF272F"/>
              <w:bottom w:val="single" w:sz="8" w:space="0" w:color="AF272F"/>
            </w:tcBorders>
          </w:tcPr>
          <w:p w14:paraId="637111D1" w14:textId="531B6AA4" w:rsidR="00CA0074" w:rsidRPr="003705F3" w:rsidRDefault="00A8302C" w:rsidP="00606436">
            <w:pPr>
              <w:pStyle w:val="Body"/>
              <w:rPr>
                <w:sz w:val="20"/>
              </w:rPr>
            </w:pPr>
            <w:r>
              <w:rPr>
                <w:sz w:val="20"/>
              </w:rPr>
              <w:t>396</w:t>
            </w:r>
            <w:r w:rsidR="002F2A7E">
              <w:rPr>
                <w:sz w:val="20"/>
              </w:rPr>
              <w:t>/</w:t>
            </w:r>
            <w:r w:rsidR="00CA0074" w:rsidRPr="003705F3">
              <w:rPr>
                <w:sz w:val="20"/>
              </w:rPr>
              <w:t>535</w:t>
            </w:r>
            <w:r w:rsidR="00B66F9E">
              <w:rPr>
                <w:sz w:val="20"/>
              </w:rPr>
              <w:t xml:space="preserve"> (74)</w:t>
            </w:r>
          </w:p>
        </w:tc>
        <w:tc>
          <w:tcPr>
            <w:tcW w:w="2624" w:type="dxa"/>
            <w:tcBorders>
              <w:top w:val="single" w:sz="8" w:space="0" w:color="AF272F"/>
              <w:bottom w:val="single" w:sz="8" w:space="0" w:color="AF272F"/>
              <w:right w:val="nil"/>
            </w:tcBorders>
          </w:tcPr>
          <w:p w14:paraId="03C57C0F" w14:textId="61203B40" w:rsidR="00CA0074" w:rsidRPr="003705F3" w:rsidRDefault="00A8302C" w:rsidP="00606436">
            <w:pPr>
              <w:pStyle w:val="Body"/>
              <w:rPr>
                <w:sz w:val="20"/>
              </w:rPr>
            </w:pPr>
            <w:r>
              <w:rPr>
                <w:sz w:val="20"/>
              </w:rPr>
              <w:t>245</w:t>
            </w:r>
            <w:r w:rsidR="002F2A7E">
              <w:rPr>
                <w:sz w:val="20"/>
              </w:rPr>
              <w:t>/</w:t>
            </w:r>
            <w:r w:rsidR="001F1584" w:rsidRPr="003705F3">
              <w:rPr>
                <w:sz w:val="20"/>
              </w:rPr>
              <w:t>3</w:t>
            </w:r>
            <w:r w:rsidR="00791E89" w:rsidRPr="003705F3">
              <w:rPr>
                <w:sz w:val="20"/>
              </w:rPr>
              <w:t>06</w:t>
            </w:r>
            <w:r w:rsidR="00B66F9E">
              <w:rPr>
                <w:sz w:val="20"/>
              </w:rPr>
              <w:t xml:space="preserve"> (80)</w:t>
            </w:r>
          </w:p>
        </w:tc>
      </w:tr>
      <w:bookmarkEnd w:id="900"/>
    </w:tbl>
    <w:p w14:paraId="1666CA68" w14:textId="77777777" w:rsidR="00F60ED8" w:rsidRDefault="00F60ED8" w:rsidP="007C7F00">
      <w:pPr>
        <w:pStyle w:val="Heading4"/>
      </w:pPr>
    </w:p>
    <w:p w14:paraId="59993729" w14:textId="77777777" w:rsidR="00F60ED8" w:rsidRDefault="00F60ED8">
      <w:pPr>
        <w:rPr>
          <w:rFonts w:ascii="Arial" w:eastAsia="MS Mincho" w:hAnsi="Arial"/>
          <w:b/>
          <w:bCs/>
          <w:sz w:val="21"/>
          <w:lang w:eastAsia="en-US"/>
        </w:rPr>
      </w:pPr>
      <w:r>
        <w:br w:type="page"/>
      </w:r>
    </w:p>
    <w:p w14:paraId="025F2E55" w14:textId="006FBC58" w:rsidR="002F2EDE" w:rsidRPr="00671C7A" w:rsidRDefault="002F2EDE" w:rsidP="007C7F00">
      <w:pPr>
        <w:pStyle w:val="Heading4"/>
      </w:pPr>
      <w:r>
        <w:lastRenderedPageBreak/>
        <w:t>Measure assessment</w:t>
      </w:r>
    </w:p>
    <w:p w14:paraId="158C6B88" w14:textId="5B6BA829" w:rsidR="003223C7" w:rsidRPr="003223C7" w:rsidRDefault="002F2EDE" w:rsidP="00606436">
      <w:pPr>
        <w:pStyle w:val="Body"/>
        <w:rPr>
          <w:color w:val="C5511A"/>
        </w:rPr>
      </w:pPr>
      <w:r w:rsidRPr="008E7B2E">
        <w:t>Traffic light rating:</w:t>
      </w:r>
      <w:r w:rsidR="003223C7" w:rsidRPr="00B504AD">
        <w:rPr>
          <w:color w:val="AF272F"/>
        </w:rPr>
        <w:t xml:space="preserve"> </w:t>
      </w:r>
      <w:r w:rsidR="003223C7" w:rsidRPr="00B504AD">
        <w:rPr>
          <w:b/>
          <w:color w:val="AF272F"/>
        </w:rPr>
        <w:t xml:space="preserve">Red </w:t>
      </w:r>
      <w:r w:rsidR="003223C7" w:rsidRPr="003223C7">
        <w:t>(result is of concern)</w:t>
      </w:r>
    </w:p>
    <w:p w14:paraId="470600C5" w14:textId="77777777" w:rsidR="003223C7" w:rsidRDefault="003223C7" w:rsidP="00606436">
      <w:pPr>
        <w:pStyle w:val="Body"/>
      </w:pPr>
      <w:r w:rsidRPr="009F01B1">
        <w:t>Overall trend</w:t>
      </w:r>
      <w:r w:rsidRPr="00843274">
        <w:t xml:space="preserve">: </w:t>
      </w:r>
      <w:r>
        <w:t>Not moving in the right direction</w:t>
      </w:r>
    </w:p>
    <w:p w14:paraId="4CBCC234" w14:textId="64485691" w:rsidR="00435D33" w:rsidRPr="008D6F6B" w:rsidRDefault="002F2EDE" w:rsidP="00E87AAA">
      <w:pPr>
        <w:pStyle w:val="Body"/>
        <w:rPr>
          <w:lang w:eastAsia="en-AU"/>
        </w:rPr>
      </w:pPr>
      <w:r w:rsidRPr="008D6F6B">
        <w:rPr>
          <w:lang w:eastAsia="en-AU"/>
        </w:rPr>
        <w:t>Commentary:</w:t>
      </w:r>
      <w:r w:rsidR="0085326B" w:rsidRPr="008D6F6B">
        <w:rPr>
          <w:lang w:eastAsia="en-AU"/>
        </w:rPr>
        <w:t xml:space="preserve"> </w:t>
      </w:r>
      <w:r w:rsidR="008D6F6B" w:rsidRPr="008D6F6B">
        <w:rPr>
          <w:lang w:eastAsia="en-AU"/>
        </w:rPr>
        <w:t xml:space="preserve">International studies have shown that patients overseen by </w:t>
      </w:r>
      <w:r w:rsidR="00435D33" w:rsidRPr="008D6F6B">
        <w:t>a multidisciplinary cancer care team experience better outcomes after cancer treatment</w:t>
      </w:r>
      <w:r w:rsidR="008D6F6B" w:rsidRPr="008D6F6B">
        <w:t>.</w:t>
      </w:r>
      <w:r w:rsidR="00952FC7">
        <w:t xml:space="preserve"> </w:t>
      </w:r>
      <w:r w:rsidR="008D6F6B" w:rsidRPr="008D6F6B">
        <w:t xml:space="preserve">The role of a </w:t>
      </w:r>
      <w:r w:rsidR="00435D33" w:rsidRPr="008D6F6B">
        <w:t>multidisciplinary cancer care team is</w:t>
      </w:r>
      <w:r w:rsidR="008D6F6B" w:rsidRPr="008D6F6B">
        <w:t xml:space="preserve"> to</w:t>
      </w:r>
      <w:r w:rsidR="00435D33" w:rsidRPr="008D6F6B">
        <w:t xml:space="preserve"> bring together healthcare professionals from different specialties to discuss a patient’s cancer diagnosis and staging, and their treatment options.</w:t>
      </w:r>
      <w:r w:rsidR="008D6F6B" w:rsidRPr="008D6F6B">
        <w:rPr>
          <w:rStyle w:val="FootnoteReference"/>
          <w:rFonts w:cs="Arial"/>
        </w:rPr>
        <w:footnoteReference w:id="172"/>
      </w:r>
      <w:r w:rsidR="00952FC7">
        <w:t xml:space="preserve"> </w:t>
      </w:r>
      <w:r w:rsidR="004E23AA" w:rsidRPr="004E23AA">
        <w:t>Initiatives such as Aboriginal hospital liaison officers / cancer coordinators in the MDTs will enable the appropriate cultural factors and determinants to be considered to support improved outcomes.</w:t>
      </w:r>
    </w:p>
    <w:p w14:paraId="0C569CAE" w14:textId="157DD106" w:rsidR="00185CF7" w:rsidRDefault="00006337" w:rsidP="00E87AAA">
      <w:pPr>
        <w:pStyle w:val="Body"/>
      </w:pPr>
      <w:r w:rsidRPr="008D6F6B">
        <w:t>Figure 12.10</w:t>
      </w:r>
      <w:r w:rsidR="0085326B" w:rsidRPr="008D6F6B">
        <w:t xml:space="preserve"> provide</w:t>
      </w:r>
      <w:r w:rsidR="00907DC9">
        <w:t>s</w:t>
      </w:r>
      <w:r w:rsidR="0085326B" w:rsidRPr="008D6F6B">
        <w:t xml:space="preserve"> a high</w:t>
      </w:r>
      <w:r w:rsidR="007C68B8" w:rsidRPr="008D6F6B">
        <w:t>-level summary of the state</w:t>
      </w:r>
      <w:r w:rsidR="00665296">
        <w:t>-</w:t>
      </w:r>
      <w:r w:rsidR="007C68B8" w:rsidRPr="008D6F6B">
        <w:t xml:space="preserve">wide results </w:t>
      </w:r>
      <w:r w:rsidR="00D76618" w:rsidRPr="008D6F6B">
        <w:t xml:space="preserve">from 2014 </w:t>
      </w:r>
      <w:r w:rsidR="0002267E" w:rsidRPr="008D6F6B">
        <w:t>to 20</w:t>
      </w:r>
      <w:r w:rsidR="00FD367B">
        <w:t>2</w:t>
      </w:r>
      <w:r w:rsidR="00B46D81">
        <w:t>1</w:t>
      </w:r>
      <w:r w:rsidR="007C68B8" w:rsidRPr="008D6F6B">
        <w:t>.</w:t>
      </w:r>
      <w:r w:rsidR="00952FC7">
        <w:t xml:space="preserve"> </w:t>
      </w:r>
      <w:r w:rsidR="00D76618" w:rsidRPr="008D6F6B">
        <w:t>Note that there was no data available for 2016</w:t>
      </w:r>
      <w:r w:rsidR="00FD367B">
        <w:t xml:space="preserve"> and 2019</w:t>
      </w:r>
      <w:r w:rsidR="004A6667" w:rsidRPr="008D6F6B">
        <w:t>.</w:t>
      </w:r>
      <w:r w:rsidR="00323ADD" w:rsidRPr="008D6F6B">
        <w:t xml:space="preserve"> </w:t>
      </w:r>
      <w:r w:rsidR="00DF2E9A" w:rsidRPr="008D6F6B">
        <w:t>Although</w:t>
      </w:r>
      <w:r w:rsidR="00D76618" w:rsidRPr="008D6F6B">
        <w:t xml:space="preserve"> </w:t>
      </w:r>
      <w:r w:rsidR="00DF2E9A" w:rsidRPr="008D6F6B">
        <w:t xml:space="preserve">no target was set </w:t>
      </w:r>
      <w:r w:rsidR="00D76618" w:rsidRPr="008D6F6B">
        <w:t>for this</w:t>
      </w:r>
      <w:r w:rsidR="00CE5B22" w:rsidRPr="008D6F6B">
        <w:t xml:space="preserve"> measure, </w:t>
      </w:r>
      <w:r w:rsidR="00DF2E9A" w:rsidRPr="008D6F6B">
        <w:t>t</w:t>
      </w:r>
      <w:r w:rsidR="00323ADD" w:rsidRPr="008D6F6B">
        <w:t>he state</w:t>
      </w:r>
      <w:r w:rsidR="00665296">
        <w:t>-</w:t>
      </w:r>
      <w:r w:rsidR="00323ADD" w:rsidRPr="008D6F6B">
        <w:t>wide performance of patients having documented evidence of multidisciplinary team</w:t>
      </w:r>
      <w:r w:rsidR="001D16F2">
        <w:t xml:space="preserve"> (MDT)</w:t>
      </w:r>
      <w:r w:rsidR="00323ADD" w:rsidRPr="008D6F6B">
        <w:t xml:space="preserve"> recommendations fell below the target of 80</w:t>
      </w:r>
      <w:r w:rsidR="0054537F">
        <w:t>%</w:t>
      </w:r>
      <w:r w:rsidR="00DF2E9A" w:rsidRPr="008D6F6B">
        <w:t xml:space="preserve"> outlined in the </w:t>
      </w:r>
      <w:r w:rsidR="00FE7DD2" w:rsidRPr="008D6F6B">
        <w:t>Cancer Services Performance I</w:t>
      </w:r>
      <w:r w:rsidR="00FF5E92" w:rsidRPr="008D6F6B">
        <w:t>n</w:t>
      </w:r>
      <w:r w:rsidR="00FE7DD2" w:rsidRPr="008D6F6B">
        <w:t>dicators</w:t>
      </w:r>
      <w:r w:rsidR="00FF5E92" w:rsidRPr="008D6F6B">
        <w:t xml:space="preserve"> 2017 audit report</w:t>
      </w:r>
      <w:r w:rsidR="00323ADD" w:rsidRPr="008D6F6B">
        <w:t>, with 69</w:t>
      </w:r>
      <w:r w:rsidR="0054537F">
        <w:t>%</w:t>
      </w:r>
      <w:r w:rsidR="00323ADD" w:rsidRPr="008D6F6B">
        <w:t xml:space="preserve"> of patients having documented evidence.</w:t>
      </w:r>
      <w:r w:rsidR="00344164">
        <w:t xml:space="preserve"> Figure 12.10 shows that 72</w:t>
      </w:r>
      <w:r w:rsidR="0054537F">
        <w:t>%</w:t>
      </w:r>
      <w:r w:rsidR="00344164">
        <w:t xml:space="preserve"> of patients ha</w:t>
      </w:r>
      <w:r w:rsidR="00185CF7">
        <w:t>d documented</w:t>
      </w:r>
      <w:r w:rsidR="00344164">
        <w:t xml:space="preserve"> evidence</w:t>
      </w:r>
      <w:r w:rsidR="00185CF7">
        <w:t xml:space="preserve"> of </w:t>
      </w:r>
      <w:r w:rsidR="00520383">
        <w:t>MDT</w:t>
      </w:r>
      <w:r w:rsidR="00185CF7" w:rsidRPr="000E6DBD">
        <w:t xml:space="preserve"> recommendations</w:t>
      </w:r>
      <w:r w:rsidR="00520383">
        <w:t>,</w:t>
      </w:r>
      <w:r w:rsidR="00185CF7">
        <w:t xml:space="preserve"> which was well below the target of 85</w:t>
      </w:r>
      <w:r w:rsidR="0054537F">
        <w:t>%</w:t>
      </w:r>
      <w:r w:rsidR="00185CF7">
        <w:t xml:space="preserve"> (target was set at 80</w:t>
      </w:r>
      <w:r w:rsidR="0054537F">
        <w:t>%</w:t>
      </w:r>
      <w:r w:rsidR="00185CF7">
        <w:t xml:space="preserve"> </w:t>
      </w:r>
      <w:r w:rsidR="00833F01">
        <w:t xml:space="preserve">prior to 2018) </w:t>
      </w:r>
      <w:r w:rsidR="00185CF7">
        <w:t xml:space="preserve">articulated in the </w:t>
      </w:r>
      <w:r w:rsidR="00185CF7" w:rsidRPr="008D6F6B">
        <w:t>Cancer Services Performance Indicators 20</w:t>
      </w:r>
      <w:r w:rsidR="00185CF7">
        <w:t>2</w:t>
      </w:r>
      <w:r w:rsidR="00B46D81">
        <w:t>1</w:t>
      </w:r>
      <w:r w:rsidR="00185CF7" w:rsidRPr="008D6F6B">
        <w:t xml:space="preserve"> audit report</w:t>
      </w:r>
      <w:r w:rsidR="00185CF7">
        <w:t>.</w:t>
      </w:r>
    </w:p>
    <w:p w14:paraId="3053155F" w14:textId="2513B604" w:rsidR="00342AAE" w:rsidRPr="008D6F6B" w:rsidRDefault="00006337" w:rsidP="00E87AAA">
      <w:pPr>
        <w:pStyle w:val="Body"/>
      </w:pPr>
      <w:r w:rsidRPr="008D6F6B">
        <w:t xml:space="preserve">Figure 12.10.1 </w:t>
      </w:r>
      <w:r w:rsidR="00057E3B" w:rsidRPr="008D6F6B">
        <w:t>show</w:t>
      </w:r>
      <w:r w:rsidRPr="008D6F6B">
        <w:t>s</w:t>
      </w:r>
      <w:r w:rsidR="00057E3B" w:rsidRPr="008D6F6B">
        <w:t xml:space="preserve"> the p</w:t>
      </w:r>
      <w:r w:rsidR="00342AAE" w:rsidRPr="008D6F6B">
        <w:t>er</w:t>
      </w:r>
      <w:r w:rsidR="00057E3B" w:rsidRPr="008D6F6B">
        <w:t>centage</w:t>
      </w:r>
      <w:r w:rsidR="00342AAE" w:rsidRPr="008D6F6B">
        <w:t xml:space="preserve"> of patients audited </w:t>
      </w:r>
      <w:r w:rsidR="007C5AD2">
        <w:t>between 2014 and 202</w:t>
      </w:r>
      <w:r w:rsidR="00B46D81">
        <w:t>1</w:t>
      </w:r>
      <w:r w:rsidR="007C5AD2">
        <w:t xml:space="preserve"> by ICS</w:t>
      </w:r>
      <w:r w:rsidR="009F4A88">
        <w:t>.</w:t>
      </w:r>
      <w:r w:rsidR="007C5AD2">
        <w:t xml:space="preserve"> </w:t>
      </w:r>
      <w:r w:rsidR="009F4A88">
        <w:t>D</w:t>
      </w:r>
      <w:r w:rsidR="00342AAE" w:rsidRPr="008D6F6B">
        <w:t>ocument</w:t>
      </w:r>
      <w:r w:rsidR="0065615F">
        <w:t>ed</w:t>
      </w:r>
      <w:r w:rsidR="00342AAE" w:rsidRPr="008D6F6B">
        <w:t xml:space="preserve"> evidence of</w:t>
      </w:r>
      <w:r w:rsidR="00922F32">
        <w:t xml:space="preserve"> </w:t>
      </w:r>
      <w:r w:rsidR="00342AAE" w:rsidRPr="008D6F6B">
        <w:t xml:space="preserve">MDT recommendations shows that </w:t>
      </w:r>
      <w:r w:rsidR="002A16B7">
        <w:t xml:space="preserve">metropolitan ICSs </w:t>
      </w:r>
      <w:r w:rsidR="00434A77">
        <w:t xml:space="preserve">were </w:t>
      </w:r>
      <w:r w:rsidR="00342AAE" w:rsidRPr="008D6F6B">
        <w:t>the highest performing ICS</w:t>
      </w:r>
      <w:r w:rsidR="00434A77">
        <w:t>s,</w:t>
      </w:r>
      <w:r w:rsidR="00342AAE" w:rsidRPr="008D6F6B">
        <w:t xml:space="preserve"> with</w:t>
      </w:r>
      <w:r w:rsidR="00434A77">
        <w:t xml:space="preserve"> SMICS reporting</w:t>
      </w:r>
      <w:r w:rsidR="00342AAE" w:rsidRPr="008D6F6B">
        <w:t xml:space="preserve"> 91</w:t>
      </w:r>
      <w:r w:rsidR="0054537F">
        <w:t>%</w:t>
      </w:r>
      <w:r w:rsidR="00342AAE" w:rsidRPr="008D6F6B">
        <w:t xml:space="preserve"> of audited patients having documented evidence of MDT</w:t>
      </w:r>
      <w:r w:rsidR="001D16F2" w:rsidRPr="001D16F2">
        <w:t xml:space="preserve"> </w:t>
      </w:r>
      <w:r w:rsidR="001D16F2" w:rsidRPr="008D6F6B">
        <w:t>recommendations</w:t>
      </w:r>
      <w:r w:rsidR="00342AAE" w:rsidRPr="008D6F6B">
        <w:t xml:space="preserve">. All </w:t>
      </w:r>
      <w:r w:rsidR="00434A77">
        <w:t xml:space="preserve">regional/rural </w:t>
      </w:r>
      <w:r w:rsidR="00342AAE" w:rsidRPr="008D6F6B">
        <w:t>ICS</w:t>
      </w:r>
      <w:r w:rsidR="00434A77">
        <w:t>s</w:t>
      </w:r>
      <w:r w:rsidR="00342AAE" w:rsidRPr="008D6F6B">
        <w:t xml:space="preserve"> fell well below the target, with the highest performing </w:t>
      </w:r>
      <w:r w:rsidR="00434A77">
        <w:t xml:space="preserve">regional/rural </w:t>
      </w:r>
      <w:r w:rsidR="00342AAE" w:rsidRPr="008D6F6B">
        <w:t>ICS</w:t>
      </w:r>
      <w:r w:rsidR="003E56A0">
        <w:t xml:space="preserve"> overall from 2014</w:t>
      </w:r>
      <w:r w:rsidR="00342AAE" w:rsidRPr="008D6F6B">
        <w:t xml:space="preserve">, </w:t>
      </w:r>
      <w:r w:rsidR="003E56A0">
        <w:t>HRICS</w:t>
      </w:r>
      <w:r w:rsidR="00342AAE" w:rsidRPr="008D6F6B">
        <w:t xml:space="preserve">, having </w:t>
      </w:r>
      <w:r w:rsidR="003223C7">
        <w:t xml:space="preserve">on average </w:t>
      </w:r>
      <w:r w:rsidR="00B46D81">
        <w:t>57</w:t>
      </w:r>
      <w:r w:rsidR="0054537F">
        <w:t>%</w:t>
      </w:r>
      <w:r w:rsidR="00342AAE" w:rsidRPr="008D6F6B">
        <w:t xml:space="preserve"> of audited patients having documented evidence of MDT</w:t>
      </w:r>
      <w:r w:rsidR="001D16F2" w:rsidRPr="001D16F2">
        <w:t xml:space="preserve"> </w:t>
      </w:r>
      <w:r w:rsidR="001D16F2" w:rsidRPr="008D6F6B">
        <w:t>recommendations</w:t>
      </w:r>
      <w:r w:rsidR="003223C7">
        <w:t xml:space="preserve"> for 2014, 2017 and 202</w:t>
      </w:r>
      <w:r w:rsidR="00B46D81">
        <w:t>1</w:t>
      </w:r>
      <w:r w:rsidR="00342AAE" w:rsidRPr="008D6F6B">
        <w:t>.</w:t>
      </w:r>
    </w:p>
    <w:p w14:paraId="6B69248F" w14:textId="003A86A8" w:rsidR="00A5376B" w:rsidRDefault="00006337" w:rsidP="00E87AAA">
      <w:pPr>
        <w:pStyle w:val="Body"/>
      </w:pPr>
      <w:r w:rsidRPr="001621CE">
        <w:t>Figure 12.10.2</w:t>
      </w:r>
      <w:r w:rsidR="007555CA" w:rsidRPr="001621CE">
        <w:t xml:space="preserve"> show</w:t>
      </w:r>
      <w:r w:rsidRPr="001621CE">
        <w:t>s the</w:t>
      </w:r>
      <w:r w:rsidR="007555CA" w:rsidRPr="001621CE">
        <w:t xml:space="preserve"> number (and percentage) of audited patients who had documented evidence of MDT </w:t>
      </w:r>
      <w:r w:rsidR="001D16F2" w:rsidRPr="001621CE">
        <w:rPr>
          <w:rFonts w:cs="Arial"/>
          <w:lang w:eastAsia="en-AU"/>
        </w:rPr>
        <w:t xml:space="preserve">recommendations and </w:t>
      </w:r>
      <w:r w:rsidR="007555CA" w:rsidRPr="001621CE">
        <w:t xml:space="preserve">breaks down the results by tumour stream. The </w:t>
      </w:r>
      <w:r w:rsidR="003E56A0" w:rsidRPr="001621CE">
        <w:t>head &amp; neck</w:t>
      </w:r>
      <w:r w:rsidR="007555CA" w:rsidRPr="001621CE">
        <w:t xml:space="preserve"> stream had the highest performance</w:t>
      </w:r>
      <w:r w:rsidR="003E56A0" w:rsidRPr="001621CE">
        <w:t xml:space="preserve"> between 2014 and 202</w:t>
      </w:r>
      <w:r w:rsidR="001621CE" w:rsidRPr="001621CE">
        <w:t>1</w:t>
      </w:r>
      <w:r w:rsidR="003E56A0" w:rsidRPr="001621CE">
        <w:t xml:space="preserve"> </w:t>
      </w:r>
      <w:r w:rsidR="007555CA" w:rsidRPr="001621CE">
        <w:t>of audited patients having documented evidence of MDT</w:t>
      </w:r>
      <w:r w:rsidR="001D16F2" w:rsidRPr="001621CE">
        <w:rPr>
          <w:rFonts w:cs="Arial"/>
          <w:lang w:eastAsia="en-AU"/>
        </w:rPr>
        <w:t xml:space="preserve"> recommendations</w:t>
      </w:r>
      <w:r w:rsidR="007555CA" w:rsidRPr="001621CE">
        <w:t xml:space="preserve">. Only </w:t>
      </w:r>
      <w:r w:rsidRPr="001621CE">
        <w:t>three</w:t>
      </w:r>
      <w:r w:rsidR="007555CA" w:rsidRPr="001621CE">
        <w:t xml:space="preserve"> tumour streams were not within 20</w:t>
      </w:r>
      <w:r w:rsidR="0054537F">
        <w:t>%</w:t>
      </w:r>
      <w:r w:rsidR="007555CA" w:rsidRPr="001621CE">
        <w:t xml:space="preserve"> of the target</w:t>
      </w:r>
      <w:r w:rsidR="001D16F2" w:rsidRPr="001621CE">
        <w:t xml:space="preserve"> –</w:t>
      </w:r>
      <w:r w:rsidR="007555CA" w:rsidRPr="001621CE">
        <w:t xml:space="preserve"> </w:t>
      </w:r>
      <w:r w:rsidR="00922F32" w:rsidRPr="001621CE">
        <w:t>g</w:t>
      </w:r>
      <w:r w:rsidR="007555CA" w:rsidRPr="001621CE">
        <w:t xml:space="preserve">enitourinary, </w:t>
      </w:r>
      <w:r w:rsidR="00922F32" w:rsidRPr="001621CE">
        <w:t>h</w:t>
      </w:r>
      <w:r w:rsidR="007555CA" w:rsidRPr="001621CE">
        <w:t xml:space="preserve">aematological and </w:t>
      </w:r>
      <w:r w:rsidR="00922F32" w:rsidRPr="001621CE">
        <w:t>s</w:t>
      </w:r>
      <w:r w:rsidR="007555CA" w:rsidRPr="001621CE">
        <w:t>kin</w:t>
      </w:r>
      <w:r w:rsidR="003E56A0" w:rsidRPr="001621CE">
        <w:t xml:space="preserve"> </w:t>
      </w:r>
      <w:r w:rsidR="00B474AC">
        <w:t xml:space="preserve">– </w:t>
      </w:r>
      <w:r w:rsidR="003E56A0" w:rsidRPr="001621CE">
        <w:t>between 2014 and 202</w:t>
      </w:r>
      <w:r w:rsidR="001621CE" w:rsidRPr="001621CE">
        <w:t>1</w:t>
      </w:r>
      <w:r w:rsidR="007555CA" w:rsidRPr="001621CE">
        <w:t>.</w:t>
      </w:r>
      <w:r w:rsidR="003223C7" w:rsidRPr="001621CE">
        <w:t xml:space="preserve"> Overall</w:t>
      </w:r>
      <w:r w:rsidR="00B46D81" w:rsidRPr="001621CE">
        <w:t>,</w:t>
      </w:r>
      <w:r w:rsidR="003223C7" w:rsidRPr="001621CE">
        <w:t xml:space="preserve"> </w:t>
      </w:r>
      <w:r w:rsidR="001621CE">
        <w:t>despite</w:t>
      </w:r>
      <w:r w:rsidR="003223C7" w:rsidRPr="001621CE">
        <w:t xml:space="preserve"> some improvement over time at the state</w:t>
      </w:r>
      <w:r w:rsidR="00665296">
        <w:t>-</w:t>
      </w:r>
      <w:r w:rsidR="003223C7" w:rsidRPr="001621CE">
        <w:t>wide level, across the board</w:t>
      </w:r>
      <w:r w:rsidR="000F412A" w:rsidRPr="001621CE">
        <w:t xml:space="preserve"> performance lags behind the targets.</w:t>
      </w:r>
      <w:r w:rsidR="001F26D9" w:rsidRPr="001621CE">
        <w:t xml:space="preserve"> The department supports a strategy whereby sites that are exemplars share their </w:t>
      </w:r>
      <w:r w:rsidR="00364AEA">
        <w:t>insights</w:t>
      </w:r>
      <w:r w:rsidR="001F26D9" w:rsidRPr="001621CE">
        <w:t xml:space="preserve"> on effective implementation strategies to improve achievements across all ICS.</w:t>
      </w:r>
    </w:p>
    <w:p w14:paraId="52DC34D4" w14:textId="317EE021" w:rsidR="00DF376C" w:rsidRPr="00B72115" w:rsidRDefault="0092565D" w:rsidP="00A451D4">
      <w:pPr>
        <w:pStyle w:val="Heading3"/>
        <w:rPr>
          <w:b/>
          <w:bCs w:val="0"/>
        </w:rPr>
      </w:pPr>
      <w:r>
        <w:br w:type="page"/>
      </w:r>
      <w:bookmarkStart w:id="901" w:name="_Toc19008148"/>
      <w:r w:rsidR="00DF376C" w:rsidRPr="00B72115">
        <w:rPr>
          <w:b/>
          <w:bCs w:val="0"/>
        </w:rPr>
        <w:lastRenderedPageBreak/>
        <w:t>Measure 12.11 –</w:t>
      </w:r>
      <w:r w:rsidR="00430845" w:rsidRPr="00B72115">
        <w:rPr>
          <w:b/>
          <w:bCs w:val="0"/>
        </w:rPr>
        <w:t xml:space="preserve"> Proportion of patients with local recurrence of primary tumour within two years of surgical resection or curative radiotherapy of a primary tumour</w:t>
      </w:r>
      <w:bookmarkEnd w:id="901"/>
    </w:p>
    <w:p w14:paraId="6C02FA3F" w14:textId="77777777" w:rsidR="001B5858" w:rsidRDefault="00E22BBC" w:rsidP="00E87AAA">
      <w:pPr>
        <w:pStyle w:val="Body"/>
      </w:pPr>
      <w:r>
        <w:t>This measure will be reported in a future report. Refer to Appendix 1.</w:t>
      </w:r>
    </w:p>
    <w:p w14:paraId="3BD44EBC" w14:textId="77777777" w:rsidR="00665296" w:rsidRDefault="00665296">
      <w:pPr>
        <w:rPr>
          <w:rFonts w:ascii="Arial" w:eastAsia="MS Gothic" w:hAnsi="Arial"/>
          <w:b/>
          <w:color w:val="53565A"/>
          <w:sz w:val="30"/>
          <w:szCs w:val="26"/>
          <w:lang w:eastAsia="en-US"/>
        </w:rPr>
      </w:pPr>
      <w:bookmarkStart w:id="902" w:name="_Measure_12.12_–"/>
      <w:bookmarkEnd w:id="902"/>
      <w:r>
        <w:rPr>
          <w:b/>
          <w:bCs/>
        </w:rPr>
        <w:br w:type="page"/>
      </w:r>
    </w:p>
    <w:p w14:paraId="65E881E2" w14:textId="788906BC" w:rsidR="00DF376C" w:rsidRPr="00B72115" w:rsidRDefault="00DF376C" w:rsidP="00A451D4">
      <w:pPr>
        <w:pStyle w:val="Heading3"/>
        <w:rPr>
          <w:b/>
          <w:bCs w:val="0"/>
        </w:rPr>
      </w:pPr>
      <w:r w:rsidRPr="00B72115">
        <w:rPr>
          <w:b/>
          <w:bCs w:val="0"/>
        </w:rPr>
        <w:lastRenderedPageBreak/>
        <w:t>Measure 12.12 –</w:t>
      </w:r>
      <w:r w:rsidR="00430845" w:rsidRPr="00B72115">
        <w:rPr>
          <w:b/>
          <w:bCs w:val="0"/>
        </w:rPr>
        <w:t xml:space="preserve"> </w:t>
      </w:r>
      <w:bookmarkStart w:id="903" w:name="_Hlk122604528"/>
      <w:r w:rsidR="00430845" w:rsidRPr="00B72115">
        <w:rPr>
          <w:b/>
          <w:bCs w:val="0"/>
        </w:rPr>
        <w:t>Proportion of patients receiving specialist palliative care within 12 months prior to death</w:t>
      </w:r>
    </w:p>
    <w:p w14:paraId="23CB983D" w14:textId="128A2E9E" w:rsidR="00032528" w:rsidRPr="002919D4" w:rsidRDefault="006E2DDE" w:rsidP="00867A76">
      <w:pPr>
        <w:pStyle w:val="Figurecaption"/>
        <w:rPr>
          <w:sz w:val="20"/>
        </w:rPr>
      </w:pPr>
      <w:bookmarkStart w:id="904" w:name="_Toc19008149"/>
      <w:bookmarkStart w:id="905" w:name="_Toc19008359"/>
      <w:bookmarkStart w:id="906" w:name="_Toc19008506"/>
      <w:bookmarkStart w:id="907" w:name="_Toc19008653"/>
      <w:bookmarkStart w:id="908" w:name="_Toc132553083"/>
      <w:bookmarkStart w:id="909" w:name="_Toc140827696"/>
      <w:bookmarkEnd w:id="903"/>
      <w:r w:rsidRPr="002919D4">
        <w:rPr>
          <w:sz w:val="20"/>
        </w:rPr>
        <w:t>Figure</w:t>
      </w:r>
      <w:r w:rsidR="00257E75" w:rsidRPr="002919D4">
        <w:rPr>
          <w:sz w:val="20"/>
        </w:rPr>
        <w:t xml:space="preserve"> 12.12</w:t>
      </w:r>
      <w:r w:rsidR="003B391F" w:rsidRPr="002919D4">
        <w:rPr>
          <w:sz w:val="20"/>
        </w:rPr>
        <w:t>:</w:t>
      </w:r>
      <w:r w:rsidR="00257E75" w:rsidRPr="002919D4">
        <w:rPr>
          <w:sz w:val="20"/>
        </w:rPr>
        <w:t xml:space="preserve"> </w:t>
      </w:r>
      <w:r w:rsidR="00E74E76" w:rsidRPr="002919D4">
        <w:rPr>
          <w:sz w:val="20"/>
        </w:rPr>
        <w:t>P</w:t>
      </w:r>
      <w:r w:rsidR="00032528" w:rsidRPr="002919D4">
        <w:rPr>
          <w:sz w:val="20"/>
        </w:rPr>
        <w:t>roportion of patients receiving specialist palliative care within 12 months prior to death</w:t>
      </w:r>
      <w:r w:rsidR="00F11BAC" w:rsidRPr="002919D4">
        <w:rPr>
          <w:sz w:val="20"/>
        </w:rPr>
        <w:t>,</w:t>
      </w:r>
      <w:r w:rsidR="00032528" w:rsidRPr="002919D4">
        <w:rPr>
          <w:sz w:val="20"/>
        </w:rPr>
        <w:t xml:space="preserve"> by </w:t>
      </w:r>
      <w:r w:rsidR="008439C8" w:rsidRPr="002919D4">
        <w:rPr>
          <w:sz w:val="20"/>
        </w:rPr>
        <w:t>ICS</w:t>
      </w:r>
      <w:r w:rsidR="00032528" w:rsidRPr="002919D4">
        <w:rPr>
          <w:sz w:val="20"/>
        </w:rPr>
        <w:t>, 2014</w:t>
      </w:r>
      <w:r w:rsidR="009D0E1A" w:rsidRPr="002919D4">
        <w:rPr>
          <w:sz w:val="20"/>
        </w:rPr>
        <w:t>–</w:t>
      </w:r>
      <w:r w:rsidR="00032528" w:rsidRPr="002919D4">
        <w:rPr>
          <w:sz w:val="20"/>
        </w:rPr>
        <w:t>20</w:t>
      </w:r>
      <w:bookmarkEnd w:id="904"/>
      <w:bookmarkEnd w:id="905"/>
      <w:bookmarkEnd w:id="906"/>
      <w:bookmarkEnd w:id="907"/>
      <w:r w:rsidR="0047340D" w:rsidRPr="002919D4">
        <w:rPr>
          <w:sz w:val="20"/>
        </w:rPr>
        <w:t>21</w:t>
      </w:r>
      <w:bookmarkEnd w:id="908"/>
      <w:bookmarkEnd w:id="909"/>
    </w:p>
    <w:p w14:paraId="1CD0B8F9" w14:textId="5873D1A7" w:rsidR="00BE2093" w:rsidRPr="00BE2093" w:rsidRDefault="0047340D" w:rsidP="00E87AAA">
      <w:pPr>
        <w:pStyle w:val="Body"/>
      </w:pPr>
      <w:r>
        <w:rPr>
          <w:noProof/>
        </w:rPr>
        <w:drawing>
          <wp:inline distT="0" distB="0" distL="0" distR="0" wp14:anchorId="0D71E477" wp14:editId="484F3B9A">
            <wp:extent cx="5412981" cy="3774574"/>
            <wp:effectExtent l="0" t="0" r="0" b="0"/>
            <wp:docPr id="6" name="Picture 6" descr="This figure presents data under the 'Measure 12.12 – Proportion of patients receiving specialist palliative care within 12 months prior to death'.  The data for this figure for the study period 2014 to 2021 and by Integrated Cancer Service is available in this section - refer to Tabl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is figure presents data under the 'Measure 12.12 – Proportion of patients receiving specialist palliative care within 12 months prior to death'.  The data for this figure for the study period 2014 to 2021 and by Integrated Cancer Service is available in this section - refer to Table 12.12."/>
                    <pic:cNvPicPr/>
                  </pic:nvPicPr>
                  <pic:blipFill>
                    <a:blip r:embed="rId147"/>
                    <a:stretch>
                      <a:fillRect/>
                    </a:stretch>
                  </pic:blipFill>
                  <pic:spPr>
                    <a:xfrm>
                      <a:off x="0" y="0"/>
                      <a:ext cx="5435238" cy="3790094"/>
                    </a:xfrm>
                    <a:prstGeom prst="rect">
                      <a:avLst/>
                    </a:prstGeom>
                  </pic:spPr>
                </pic:pic>
              </a:graphicData>
            </a:graphic>
          </wp:inline>
        </w:drawing>
      </w:r>
    </w:p>
    <w:p w14:paraId="083291D7" w14:textId="184C88AC" w:rsidR="00986CB2" w:rsidRPr="002919D4" w:rsidRDefault="00257E75" w:rsidP="000E507A">
      <w:pPr>
        <w:pStyle w:val="Tablecaption"/>
        <w:rPr>
          <w:sz w:val="20"/>
        </w:rPr>
      </w:pPr>
      <w:bookmarkStart w:id="910" w:name="_Toc18908742"/>
      <w:bookmarkStart w:id="911" w:name="_Toc132491541"/>
      <w:bookmarkStart w:id="912" w:name="_Toc140834932"/>
      <w:r w:rsidRPr="002919D4">
        <w:rPr>
          <w:sz w:val="20"/>
        </w:rPr>
        <w:t>Table 12.12</w:t>
      </w:r>
      <w:r w:rsidR="00D13361" w:rsidRPr="002919D4">
        <w:rPr>
          <w:sz w:val="20"/>
        </w:rPr>
        <w:t>:</w:t>
      </w:r>
      <w:r w:rsidR="00B572F6" w:rsidRPr="002919D4">
        <w:rPr>
          <w:sz w:val="20"/>
        </w:rPr>
        <w:t xml:space="preserve"> Proportion and number of patients receiving specialist palliative care with 12 months prior </w:t>
      </w:r>
      <w:r w:rsidR="001D4982" w:rsidRPr="002919D4">
        <w:rPr>
          <w:sz w:val="20"/>
        </w:rPr>
        <w:t>t</w:t>
      </w:r>
      <w:r w:rsidR="00B572F6" w:rsidRPr="002919D4">
        <w:rPr>
          <w:sz w:val="20"/>
        </w:rPr>
        <w:t>o death</w:t>
      </w:r>
      <w:r w:rsidR="00F11BAC" w:rsidRPr="002919D4">
        <w:rPr>
          <w:sz w:val="20"/>
        </w:rPr>
        <w:t>,</w:t>
      </w:r>
      <w:r w:rsidR="00B572F6" w:rsidRPr="002919D4">
        <w:rPr>
          <w:sz w:val="20"/>
        </w:rPr>
        <w:t xml:space="preserve"> by ICS, 2014</w:t>
      </w:r>
      <w:r w:rsidR="009D0E1A" w:rsidRPr="002919D4">
        <w:rPr>
          <w:sz w:val="20"/>
        </w:rPr>
        <w:t>–</w:t>
      </w:r>
      <w:r w:rsidR="00B572F6" w:rsidRPr="002919D4">
        <w:rPr>
          <w:sz w:val="20"/>
        </w:rPr>
        <w:t>20</w:t>
      </w:r>
      <w:bookmarkStart w:id="913" w:name="_Hlk521261"/>
      <w:bookmarkEnd w:id="910"/>
      <w:r w:rsidR="007729C2" w:rsidRPr="002919D4">
        <w:rPr>
          <w:sz w:val="20"/>
        </w:rPr>
        <w:t>21</w:t>
      </w:r>
      <w:bookmarkEnd w:id="911"/>
      <w:bookmarkEnd w:id="912"/>
    </w:p>
    <w:tbl>
      <w:tblPr>
        <w:tblStyle w:val="TableGrid"/>
        <w:tblW w:w="11306" w:type="dxa"/>
        <w:jc w:val="center"/>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ook w:val="04A0" w:firstRow="1" w:lastRow="0" w:firstColumn="1" w:lastColumn="0" w:noHBand="0" w:noVBand="1"/>
      </w:tblPr>
      <w:tblGrid>
        <w:gridCol w:w="810"/>
        <w:gridCol w:w="1296"/>
        <w:gridCol w:w="1491"/>
        <w:gridCol w:w="1229"/>
        <w:gridCol w:w="1212"/>
        <w:gridCol w:w="1236"/>
        <w:gridCol w:w="1344"/>
        <w:gridCol w:w="1344"/>
        <w:gridCol w:w="1344"/>
      </w:tblGrid>
      <w:tr w:rsidR="0047340D" w:rsidRPr="0047340D" w14:paraId="107E7D1C" w14:textId="20E64219" w:rsidTr="0047340D">
        <w:trPr>
          <w:trHeight w:val="432"/>
          <w:jc w:val="center"/>
        </w:trPr>
        <w:tc>
          <w:tcPr>
            <w:tcW w:w="810" w:type="dxa"/>
            <w:shd w:val="clear" w:color="auto" w:fill="EDCDCF"/>
          </w:tcPr>
          <w:p w14:paraId="26109CE7" w14:textId="77777777" w:rsidR="0047340D" w:rsidRPr="0047340D" w:rsidRDefault="0047340D" w:rsidP="00DC249B">
            <w:pPr>
              <w:pStyle w:val="Tablecolhead"/>
              <w:rPr>
                <w:rFonts w:cs="Arial"/>
                <w:sz w:val="12"/>
                <w:szCs w:val="12"/>
              </w:rPr>
            </w:pPr>
            <w:r w:rsidRPr="0047340D">
              <w:rPr>
                <w:rFonts w:cs="Arial"/>
                <w:sz w:val="12"/>
                <w:szCs w:val="12"/>
              </w:rPr>
              <w:t>ICS</w:t>
            </w:r>
          </w:p>
        </w:tc>
        <w:tc>
          <w:tcPr>
            <w:tcW w:w="1296" w:type="dxa"/>
            <w:shd w:val="clear" w:color="auto" w:fill="EDCDCF"/>
          </w:tcPr>
          <w:p w14:paraId="66600FD3" w14:textId="3F7AFB7E" w:rsidR="0047340D" w:rsidRPr="0047340D" w:rsidRDefault="0047340D" w:rsidP="00DC249B">
            <w:pPr>
              <w:pStyle w:val="Tablecolhead"/>
              <w:rPr>
                <w:rFonts w:cs="Arial"/>
                <w:sz w:val="12"/>
                <w:szCs w:val="12"/>
              </w:rPr>
            </w:pPr>
            <w:r w:rsidRPr="0047340D">
              <w:rPr>
                <w:rFonts w:cs="Arial"/>
                <w:sz w:val="12"/>
                <w:szCs w:val="12"/>
              </w:rPr>
              <w:t>2014 (</w:t>
            </w:r>
            <w:r w:rsidR="00B474AC">
              <w:rPr>
                <w:rFonts w:cs="Arial"/>
                <w:sz w:val="12"/>
                <w:szCs w:val="12"/>
              </w:rPr>
              <w:t>y</w:t>
            </w:r>
            <w:r w:rsidRPr="0047340D">
              <w:rPr>
                <w:rFonts w:cs="Arial"/>
                <w:sz w:val="12"/>
                <w:szCs w:val="12"/>
              </w:rPr>
              <w:t>ear of death)</w:t>
            </w:r>
          </w:p>
          <w:p w14:paraId="0E4BFD8D" w14:textId="77777777" w:rsidR="0047340D" w:rsidRPr="0047340D" w:rsidRDefault="0047340D" w:rsidP="00DC249B">
            <w:pPr>
              <w:pStyle w:val="Tablecolhead"/>
              <w:rPr>
                <w:rFonts w:cs="Arial"/>
                <w:sz w:val="12"/>
                <w:szCs w:val="12"/>
              </w:rPr>
            </w:pPr>
            <w:r w:rsidRPr="0047340D">
              <w:rPr>
                <w:rFonts w:cs="Arial"/>
                <w:sz w:val="12"/>
                <w:szCs w:val="12"/>
              </w:rPr>
              <w:t>(%) [n/No.]</w:t>
            </w:r>
          </w:p>
        </w:tc>
        <w:tc>
          <w:tcPr>
            <w:tcW w:w="1491" w:type="dxa"/>
            <w:shd w:val="clear" w:color="auto" w:fill="EDCDCF"/>
          </w:tcPr>
          <w:p w14:paraId="144AD348" w14:textId="440DAD85" w:rsidR="0047340D" w:rsidRPr="0047340D" w:rsidRDefault="0047340D" w:rsidP="00DC249B">
            <w:pPr>
              <w:pStyle w:val="Tablecolhead"/>
              <w:rPr>
                <w:rFonts w:cs="Arial"/>
                <w:sz w:val="12"/>
                <w:szCs w:val="12"/>
              </w:rPr>
            </w:pPr>
            <w:r w:rsidRPr="0047340D">
              <w:rPr>
                <w:rFonts w:cs="Arial"/>
                <w:sz w:val="12"/>
                <w:szCs w:val="12"/>
              </w:rPr>
              <w:t>2015 (</w:t>
            </w:r>
            <w:r w:rsidR="00B474AC">
              <w:rPr>
                <w:rFonts w:cs="Arial"/>
                <w:sz w:val="12"/>
                <w:szCs w:val="12"/>
              </w:rPr>
              <w:t>y</w:t>
            </w:r>
            <w:r w:rsidRPr="0047340D">
              <w:rPr>
                <w:rFonts w:cs="Arial"/>
                <w:sz w:val="12"/>
                <w:szCs w:val="12"/>
              </w:rPr>
              <w:t>ear of death)</w:t>
            </w:r>
          </w:p>
          <w:p w14:paraId="15982875" w14:textId="77777777" w:rsidR="0047340D" w:rsidRPr="0047340D" w:rsidRDefault="0047340D" w:rsidP="00DC249B">
            <w:pPr>
              <w:pStyle w:val="Tablecolhead"/>
              <w:rPr>
                <w:rFonts w:cs="Arial"/>
                <w:sz w:val="12"/>
                <w:szCs w:val="12"/>
              </w:rPr>
            </w:pPr>
            <w:r w:rsidRPr="0047340D">
              <w:rPr>
                <w:rFonts w:cs="Arial"/>
                <w:sz w:val="12"/>
                <w:szCs w:val="12"/>
              </w:rPr>
              <w:t>(%) [n/No.]</w:t>
            </w:r>
          </w:p>
        </w:tc>
        <w:tc>
          <w:tcPr>
            <w:tcW w:w="1229" w:type="dxa"/>
            <w:shd w:val="clear" w:color="auto" w:fill="EDCDCF"/>
          </w:tcPr>
          <w:p w14:paraId="0954C5EE" w14:textId="12E2F4A5" w:rsidR="0047340D" w:rsidRPr="0047340D" w:rsidRDefault="0047340D" w:rsidP="00DC249B">
            <w:pPr>
              <w:pStyle w:val="Tablecolhead"/>
              <w:rPr>
                <w:rFonts w:cs="Arial"/>
                <w:sz w:val="12"/>
                <w:szCs w:val="12"/>
              </w:rPr>
            </w:pPr>
            <w:r w:rsidRPr="0047340D">
              <w:rPr>
                <w:rFonts w:cs="Arial"/>
                <w:sz w:val="12"/>
                <w:szCs w:val="12"/>
              </w:rPr>
              <w:t>2016 (</w:t>
            </w:r>
            <w:r w:rsidR="00B474AC">
              <w:rPr>
                <w:rFonts w:cs="Arial"/>
                <w:sz w:val="12"/>
                <w:szCs w:val="12"/>
              </w:rPr>
              <w:t>y</w:t>
            </w:r>
            <w:r w:rsidRPr="0047340D">
              <w:rPr>
                <w:rFonts w:cs="Arial"/>
                <w:sz w:val="12"/>
                <w:szCs w:val="12"/>
              </w:rPr>
              <w:t>ear of death)</w:t>
            </w:r>
          </w:p>
          <w:p w14:paraId="143A027F" w14:textId="77777777" w:rsidR="0047340D" w:rsidRPr="0047340D" w:rsidRDefault="0047340D" w:rsidP="00DC249B">
            <w:pPr>
              <w:pStyle w:val="Tablecolhead"/>
              <w:rPr>
                <w:rFonts w:cs="Arial"/>
                <w:sz w:val="12"/>
                <w:szCs w:val="12"/>
              </w:rPr>
            </w:pPr>
            <w:r w:rsidRPr="0047340D">
              <w:rPr>
                <w:rFonts w:cs="Arial"/>
                <w:sz w:val="12"/>
                <w:szCs w:val="12"/>
              </w:rPr>
              <w:t>(%) [n/No.]</w:t>
            </w:r>
          </w:p>
        </w:tc>
        <w:tc>
          <w:tcPr>
            <w:tcW w:w="1212" w:type="dxa"/>
            <w:shd w:val="clear" w:color="auto" w:fill="EDCDCF"/>
          </w:tcPr>
          <w:p w14:paraId="32FE88D9" w14:textId="046FD342" w:rsidR="0047340D" w:rsidRPr="0047340D" w:rsidRDefault="0047340D" w:rsidP="00E15E94">
            <w:pPr>
              <w:pStyle w:val="Tablecolhead"/>
              <w:rPr>
                <w:rFonts w:cs="Arial"/>
                <w:sz w:val="12"/>
                <w:szCs w:val="12"/>
              </w:rPr>
            </w:pPr>
            <w:r w:rsidRPr="0047340D">
              <w:rPr>
                <w:rFonts w:cs="Arial"/>
                <w:sz w:val="12"/>
                <w:szCs w:val="12"/>
              </w:rPr>
              <w:t>2017 (</w:t>
            </w:r>
            <w:r w:rsidR="00B474AC">
              <w:rPr>
                <w:rFonts w:cs="Arial"/>
                <w:sz w:val="12"/>
                <w:szCs w:val="12"/>
              </w:rPr>
              <w:t>y</w:t>
            </w:r>
            <w:r w:rsidRPr="0047340D">
              <w:rPr>
                <w:rFonts w:cs="Arial"/>
                <w:sz w:val="12"/>
                <w:szCs w:val="12"/>
              </w:rPr>
              <w:t>ear of death)</w:t>
            </w:r>
          </w:p>
          <w:p w14:paraId="4C630E41" w14:textId="69D4AEFE" w:rsidR="0047340D" w:rsidRPr="0047340D" w:rsidRDefault="0047340D" w:rsidP="00E15E94">
            <w:pPr>
              <w:pStyle w:val="Tablecolhead"/>
              <w:rPr>
                <w:rFonts w:cs="Arial"/>
                <w:sz w:val="12"/>
                <w:szCs w:val="12"/>
              </w:rPr>
            </w:pPr>
            <w:r w:rsidRPr="0047340D">
              <w:rPr>
                <w:rFonts w:cs="Arial"/>
                <w:sz w:val="12"/>
                <w:szCs w:val="12"/>
              </w:rPr>
              <w:t>(%) [n/No.]</w:t>
            </w:r>
          </w:p>
        </w:tc>
        <w:tc>
          <w:tcPr>
            <w:tcW w:w="1236" w:type="dxa"/>
            <w:shd w:val="clear" w:color="auto" w:fill="EDCDCF"/>
          </w:tcPr>
          <w:p w14:paraId="3FEFDC84" w14:textId="066E81F7" w:rsidR="0047340D" w:rsidRPr="0047340D" w:rsidRDefault="0047340D" w:rsidP="00E15E94">
            <w:pPr>
              <w:pStyle w:val="Tablecolhead"/>
              <w:rPr>
                <w:rFonts w:cs="Arial"/>
                <w:sz w:val="12"/>
                <w:szCs w:val="12"/>
              </w:rPr>
            </w:pPr>
            <w:r w:rsidRPr="0047340D">
              <w:rPr>
                <w:rFonts w:cs="Arial"/>
                <w:sz w:val="12"/>
                <w:szCs w:val="12"/>
              </w:rPr>
              <w:t>2018 (</w:t>
            </w:r>
            <w:r w:rsidR="00B474AC">
              <w:rPr>
                <w:rFonts w:cs="Arial"/>
                <w:sz w:val="12"/>
                <w:szCs w:val="12"/>
              </w:rPr>
              <w:t>y</w:t>
            </w:r>
            <w:r w:rsidRPr="0047340D">
              <w:rPr>
                <w:rFonts w:cs="Arial"/>
                <w:sz w:val="12"/>
                <w:szCs w:val="12"/>
              </w:rPr>
              <w:t>ear of death)</w:t>
            </w:r>
          </w:p>
          <w:p w14:paraId="38F3B320" w14:textId="6FEB9BCD" w:rsidR="0047340D" w:rsidRPr="0047340D" w:rsidRDefault="0047340D" w:rsidP="00E15E94">
            <w:pPr>
              <w:pStyle w:val="Tablecolhead"/>
              <w:rPr>
                <w:rFonts w:cs="Arial"/>
                <w:sz w:val="12"/>
                <w:szCs w:val="12"/>
              </w:rPr>
            </w:pPr>
            <w:r w:rsidRPr="0047340D">
              <w:rPr>
                <w:rFonts w:cs="Arial"/>
                <w:sz w:val="12"/>
                <w:szCs w:val="12"/>
              </w:rPr>
              <w:t>(%) [n/No.]</w:t>
            </w:r>
          </w:p>
        </w:tc>
        <w:tc>
          <w:tcPr>
            <w:tcW w:w="1344" w:type="dxa"/>
            <w:shd w:val="clear" w:color="auto" w:fill="EDCDCF"/>
          </w:tcPr>
          <w:p w14:paraId="3CC4FE3C" w14:textId="6FBE3944" w:rsidR="0047340D" w:rsidRPr="0047340D" w:rsidRDefault="0047340D" w:rsidP="00E15E94">
            <w:pPr>
              <w:pStyle w:val="Tablecolhead"/>
              <w:rPr>
                <w:rFonts w:cs="Arial"/>
                <w:sz w:val="12"/>
                <w:szCs w:val="12"/>
              </w:rPr>
            </w:pPr>
            <w:r w:rsidRPr="0047340D">
              <w:rPr>
                <w:rFonts w:cs="Arial"/>
                <w:sz w:val="12"/>
                <w:szCs w:val="12"/>
              </w:rPr>
              <w:t>2019 (</w:t>
            </w:r>
            <w:r w:rsidR="00B474AC">
              <w:rPr>
                <w:rFonts w:cs="Arial"/>
                <w:sz w:val="12"/>
                <w:szCs w:val="12"/>
              </w:rPr>
              <w:t>y</w:t>
            </w:r>
            <w:r w:rsidRPr="0047340D">
              <w:rPr>
                <w:rFonts w:cs="Arial"/>
                <w:sz w:val="12"/>
                <w:szCs w:val="12"/>
              </w:rPr>
              <w:t>ear of death)</w:t>
            </w:r>
          </w:p>
          <w:p w14:paraId="30659DBD" w14:textId="6C5A19E3" w:rsidR="0047340D" w:rsidRPr="0047340D" w:rsidRDefault="0047340D" w:rsidP="00E15E94">
            <w:pPr>
              <w:pStyle w:val="Tablecolhead"/>
              <w:rPr>
                <w:rFonts w:cs="Arial"/>
                <w:sz w:val="12"/>
                <w:szCs w:val="12"/>
              </w:rPr>
            </w:pPr>
            <w:r w:rsidRPr="0047340D">
              <w:rPr>
                <w:rFonts w:cs="Arial"/>
                <w:sz w:val="12"/>
                <w:szCs w:val="12"/>
              </w:rPr>
              <w:t>(%) [n/No.]</w:t>
            </w:r>
          </w:p>
        </w:tc>
        <w:tc>
          <w:tcPr>
            <w:tcW w:w="1344" w:type="dxa"/>
            <w:shd w:val="clear" w:color="auto" w:fill="EDCDCF"/>
          </w:tcPr>
          <w:p w14:paraId="1B923AC4" w14:textId="7AEEC3B7" w:rsidR="0047340D" w:rsidRPr="0047340D" w:rsidRDefault="0047340D" w:rsidP="0047340D">
            <w:pPr>
              <w:pStyle w:val="Tablecolhead"/>
              <w:rPr>
                <w:rFonts w:cs="Arial"/>
                <w:sz w:val="12"/>
                <w:szCs w:val="12"/>
              </w:rPr>
            </w:pPr>
            <w:r w:rsidRPr="0047340D">
              <w:rPr>
                <w:rFonts w:cs="Arial"/>
                <w:sz w:val="12"/>
                <w:szCs w:val="12"/>
              </w:rPr>
              <w:t>2020 (</w:t>
            </w:r>
            <w:r w:rsidR="00B474AC">
              <w:rPr>
                <w:rFonts w:cs="Arial"/>
                <w:sz w:val="12"/>
                <w:szCs w:val="12"/>
              </w:rPr>
              <w:t>y</w:t>
            </w:r>
            <w:r w:rsidRPr="0047340D">
              <w:rPr>
                <w:rFonts w:cs="Arial"/>
                <w:sz w:val="12"/>
                <w:szCs w:val="12"/>
              </w:rPr>
              <w:t>ear of death)</w:t>
            </w:r>
          </w:p>
          <w:p w14:paraId="71B3A188" w14:textId="53E52760" w:rsidR="0047340D" w:rsidRPr="0047340D" w:rsidRDefault="0047340D" w:rsidP="0047340D">
            <w:pPr>
              <w:pStyle w:val="Tablecolhead"/>
              <w:rPr>
                <w:rFonts w:cs="Arial"/>
                <w:sz w:val="12"/>
                <w:szCs w:val="12"/>
              </w:rPr>
            </w:pPr>
            <w:r w:rsidRPr="0047340D">
              <w:rPr>
                <w:rFonts w:cs="Arial"/>
                <w:sz w:val="12"/>
                <w:szCs w:val="12"/>
              </w:rPr>
              <w:t>(%) [n/No.]</w:t>
            </w:r>
          </w:p>
        </w:tc>
        <w:tc>
          <w:tcPr>
            <w:tcW w:w="1344" w:type="dxa"/>
            <w:shd w:val="clear" w:color="auto" w:fill="EDCDCF"/>
          </w:tcPr>
          <w:p w14:paraId="7379BC70" w14:textId="2FBEA729" w:rsidR="0047340D" w:rsidRPr="0047340D" w:rsidRDefault="0047340D" w:rsidP="0047340D">
            <w:pPr>
              <w:pStyle w:val="Tablecolhead"/>
              <w:rPr>
                <w:rFonts w:cs="Arial"/>
                <w:sz w:val="12"/>
                <w:szCs w:val="12"/>
              </w:rPr>
            </w:pPr>
            <w:r w:rsidRPr="0047340D">
              <w:rPr>
                <w:rFonts w:cs="Arial"/>
                <w:sz w:val="12"/>
                <w:szCs w:val="12"/>
              </w:rPr>
              <w:t>2021 (</w:t>
            </w:r>
            <w:r w:rsidR="00B474AC">
              <w:rPr>
                <w:rFonts w:cs="Arial"/>
                <w:sz w:val="12"/>
                <w:szCs w:val="12"/>
              </w:rPr>
              <w:t>y</w:t>
            </w:r>
            <w:r w:rsidRPr="0047340D">
              <w:rPr>
                <w:rFonts w:cs="Arial"/>
                <w:sz w:val="12"/>
                <w:szCs w:val="12"/>
              </w:rPr>
              <w:t>ear of death)</w:t>
            </w:r>
          </w:p>
          <w:p w14:paraId="3C826D02" w14:textId="203F1C4F" w:rsidR="0047340D" w:rsidRPr="0047340D" w:rsidRDefault="0047340D" w:rsidP="0047340D">
            <w:pPr>
              <w:pStyle w:val="Tablecolhead"/>
              <w:rPr>
                <w:rFonts w:cs="Arial"/>
                <w:sz w:val="12"/>
                <w:szCs w:val="12"/>
              </w:rPr>
            </w:pPr>
            <w:r w:rsidRPr="0047340D">
              <w:rPr>
                <w:rFonts w:cs="Arial"/>
                <w:sz w:val="12"/>
                <w:szCs w:val="12"/>
              </w:rPr>
              <w:t>(%) [n/No.]</w:t>
            </w:r>
          </w:p>
        </w:tc>
      </w:tr>
      <w:tr w:rsidR="00437BC5" w:rsidRPr="0047340D" w14:paraId="16764600" w14:textId="729CBAD8" w:rsidTr="00437BC5">
        <w:trPr>
          <w:trHeight w:val="237"/>
          <w:jc w:val="center"/>
        </w:trPr>
        <w:tc>
          <w:tcPr>
            <w:tcW w:w="810" w:type="dxa"/>
            <w:vAlign w:val="center"/>
          </w:tcPr>
          <w:p w14:paraId="5F924CC6" w14:textId="77777777" w:rsidR="00437BC5" w:rsidRPr="0047340D" w:rsidRDefault="00437BC5" w:rsidP="00437BC5">
            <w:pPr>
              <w:pStyle w:val="Tabletext"/>
              <w:rPr>
                <w:rFonts w:cs="Arial"/>
                <w:sz w:val="12"/>
                <w:szCs w:val="12"/>
              </w:rPr>
            </w:pPr>
            <w:r w:rsidRPr="0047340D">
              <w:rPr>
                <w:rFonts w:cs="Arial"/>
                <w:sz w:val="12"/>
                <w:szCs w:val="12"/>
              </w:rPr>
              <w:t>NEMICS</w:t>
            </w:r>
          </w:p>
        </w:tc>
        <w:tc>
          <w:tcPr>
            <w:tcW w:w="1296" w:type="dxa"/>
            <w:vAlign w:val="center"/>
          </w:tcPr>
          <w:p w14:paraId="0A982B37" w14:textId="346C9A87" w:rsidR="00437BC5" w:rsidRPr="0047340D" w:rsidRDefault="00437BC5" w:rsidP="00437BC5">
            <w:pPr>
              <w:pStyle w:val="Tabletext"/>
              <w:rPr>
                <w:rFonts w:cs="Arial"/>
                <w:sz w:val="12"/>
                <w:szCs w:val="12"/>
              </w:rPr>
            </w:pPr>
            <w:r w:rsidRPr="0047340D">
              <w:rPr>
                <w:rFonts w:cs="Arial"/>
                <w:sz w:val="12"/>
                <w:szCs w:val="12"/>
              </w:rPr>
              <w:t>(67) [1,3</w:t>
            </w:r>
            <w:r>
              <w:rPr>
                <w:rFonts w:cs="Arial"/>
                <w:sz w:val="12"/>
                <w:szCs w:val="12"/>
              </w:rPr>
              <w:t>38</w:t>
            </w:r>
            <w:r w:rsidRPr="0047340D">
              <w:rPr>
                <w:rFonts w:cs="Arial"/>
                <w:sz w:val="12"/>
                <w:szCs w:val="12"/>
              </w:rPr>
              <w:t>/1,99</w:t>
            </w:r>
            <w:r>
              <w:rPr>
                <w:rFonts w:cs="Arial"/>
                <w:sz w:val="12"/>
                <w:szCs w:val="12"/>
              </w:rPr>
              <w:t>5</w:t>
            </w:r>
            <w:r w:rsidRPr="0047340D">
              <w:rPr>
                <w:rFonts w:cs="Arial"/>
                <w:sz w:val="12"/>
                <w:szCs w:val="12"/>
              </w:rPr>
              <w:t>]</w:t>
            </w:r>
          </w:p>
        </w:tc>
        <w:tc>
          <w:tcPr>
            <w:tcW w:w="1491" w:type="dxa"/>
            <w:vAlign w:val="center"/>
          </w:tcPr>
          <w:p w14:paraId="0ABE83F2" w14:textId="507E23A8" w:rsidR="00437BC5" w:rsidRPr="0047340D" w:rsidRDefault="00437BC5" w:rsidP="00437BC5">
            <w:pPr>
              <w:pStyle w:val="Tabletext"/>
              <w:rPr>
                <w:rFonts w:cs="Arial"/>
                <w:sz w:val="12"/>
                <w:szCs w:val="12"/>
              </w:rPr>
            </w:pPr>
            <w:r w:rsidRPr="0047340D">
              <w:rPr>
                <w:rFonts w:cs="Arial"/>
                <w:sz w:val="12"/>
                <w:szCs w:val="12"/>
              </w:rPr>
              <w:t>(65) [1,35</w:t>
            </w:r>
            <w:r>
              <w:rPr>
                <w:rFonts w:cs="Arial"/>
                <w:sz w:val="12"/>
                <w:szCs w:val="12"/>
              </w:rPr>
              <w:t>7</w:t>
            </w:r>
            <w:r w:rsidRPr="0047340D">
              <w:rPr>
                <w:rFonts w:cs="Arial"/>
                <w:sz w:val="12"/>
                <w:szCs w:val="12"/>
              </w:rPr>
              <w:t>/2,0</w:t>
            </w:r>
            <w:r>
              <w:rPr>
                <w:rFonts w:cs="Arial"/>
                <w:sz w:val="12"/>
                <w:szCs w:val="12"/>
              </w:rPr>
              <w:t>80</w:t>
            </w:r>
            <w:r w:rsidRPr="0047340D">
              <w:rPr>
                <w:rFonts w:cs="Arial"/>
                <w:sz w:val="12"/>
                <w:szCs w:val="12"/>
              </w:rPr>
              <w:t>]</w:t>
            </w:r>
          </w:p>
        </w:tc>
        <w:tc>
          <w:tcPr>
            <w:tcW w:w="1229" w:type="dxa"/>
            <w:vAlign w:val="center"/>
          </w:tcPr>
          <w:p w14:paraId="49D89FC6" w14:textId="26D68B9D" w:rsidR="00437BC5" w:rsidRPr="0047340D" w:rsidRDefault="00437BC5" w:rsidP="00437BC5">
            <w:pPr>
              <w:pStyle w:val="Tabletext"/>
              <w:rPr>
                <w:rFonts w:cs="Arial"/>
                <w:sz w:val="12"/>
                <w:szCs w:val="12"/>
              </w:rPr>
            </w:pPr>
            <w:r w:rsidRPr="0047340D">
              <w:rPr>
                <w:rFonts w:cs="Arial"/>
                <w:sz w:val="12"/>
                <w:szCs w:val="12"/>
              </w:rPr>
              <w:t>(67) [1,4</w:t>
            </w:r>
            <w:r>
              <w:rPr>
                <w:rFonts w:cs="Arial"/>
                <w:sz w:val="12"/>
                <w:szCs w:val="12"/>
              </w:rPr>
              <w:t>31</w:t>
            </w:r>
            <w:r w:rsidRPr="0047340D">
              <w:rPr>
                <w:rFonts w:cs="Arial"/>
                <w:sz w:val="12"/>
                <w:szCs w:val="12"/>
              </w:rPr>
              <w:t>/2,13</w:t>
            </w:r>
            <w:r>
              <w:rPr>
                <w:rFonts w:cs="Arial"/>
                <w:sz w:val="12"/>
                <w:szCs w:val="12"/>
              </w:rPr>
              <w:t>3</w:t>
            </w:r>
            <w:r w:rsidRPr="0047340D">
              <w:rPr>
                <w:rFonts w:cs="Arial"/>
                <w:sz w:val="12"/>
                <w:szCs w:val="12"/>
              </w:rPr>
              <w:t>]</w:t>
            </w:r>
          </w:p>
        </w:tc>
        <w:tc>
          <w:tcPr>
            <w:tcW w:w="1212" w:type="dxa"/>
            <w:vAlign w:val="center"/>
          </w:tcPr>
          <w:p w14:paraId="5AD6016E" w14:textId="4ECC0D3A" w:rsidR="00437BC5" w:rsidRPr="00606436" w:rsidRDefault="00437BC5" w:rsidP="00606436">
            <w:pPr>
              <w:pStyle w:val="Body"/>
              <w:rPr>
                <w:sz w:val="12"/>
                <w:szCs w:val="12"/>
              </w:rPr>
            </w:pPr>
            <w:r w:rsidRPr="00606436">
              <w:rPr>
                <w:sz w:val="12"/>
                <w:szCs w:val="12"/>
              </w:rPr>
              <w:t xml:space="preserve">(67) [1,440/2,140] </w:t>
            </w:r>
          </w:p>
        </w:tc>
        <w:tc>
          <w:tcPr>
            <w:tcW w:w="1236" w:type="dxa"/>
            <w:vAlign w:val="center"/>
          </w:tcPr>
          <w:p w14:paraId="3D9E2D40" w14:textId="67D6C371" w:rsidR="00437BC5" w:rsidRPr="00606436" w:rsidRDefault="00437BC5" w:rsidP="00606436">
            <w:pPr>
              <w:pStyle w:val="Body"/>
              <w:rPr>
                <w:sz w:val="12"/>
                <w:szCs w:val="12"/>
              </w:rPr>
            </w:pPr>
            <w:r w:rsidRPr="00606436">
              <w:rPr>
                <w:sz w:val="12"/>
                <w:szCs w:val="12"/>
              </w:rPr>
              <w:t xml:space="preserve">(67) [1,436/2,151] </w:t>
            </w:r>
          </w:p>
        </w:tc>
        <w:tc>
          <w:tcPr>
            <w:tcW w:w="1344" w:type="dxa"/>
            <w:vAlign w:val="center"/>
          </w:tcPr>
          <w:p w14:paraId="3BECB114" w14:textId="1470CAE5" w:rsidR="00437BC5" w:rsidRPr="00606436" w:rsidRDefault="00437BC5" w:rsidP="00606436">
            <w:pPr>
              <w:pStyle w:val="Body"/>
              <w:rPr>
                <w:sz w:val="12"/>
                <w:szCs w:val="12"/>
              </w:rPr>
            </w:pPr>
            <w:r w:rsidRPr="00606436">
              <w:rPr>
                <w:sz w:val="12"/>
                <w:szCs w:val="12"/>
              </w:rPr>
              <w:t xml:space="preserve">(67) [1,538/2,292] </w:t>
            </w:r>
          </w:p>
        </w:tc>
        <w:tc>
          <w:tcPr>
            <w:tcW w:w="1344" w:type="dxa"/>
            <w:vAlign w:val="center"/>
          </w:tcPr>
          <w:p w14:paraId="6BC4ED1C" w14:textId="7F7B80B4" w:rsidR="00437BC5" w:rsidRPr="00606436" w:rsidRDefault="00437BC5" w:rsidP="00606436">
            <w:pPr>
              <w:pStyle w:val="Body"/>
              <w:rPr>
                <w:sz w:val="12"/>
                <w:szCs w:val="12"/>
              </w:rPr>
            </w:pPr>
            <w:r w:rsidRPr="00606436">
              <w:rPr>
                <w:sz w:val="12"/>
                <w:szCs w:val="12"/>
              </w:rPr>
              <w:t xml:space="preserve">(65) [1,411/2,182] </w:t>
            </w:r>
          </w:p>
        </w:tc>
        <w:tc>
          <w:tcPr>
            <w:tcW w:w="1344" w:type="dxa"/>
            <w:vAlign w:val="center"/>
          </w:tcPr>
          <w:p w14:paraId="01B8D780" w14:textId="19A67A5A" w:rsidR="00437BC5" w:rsidRPr="00606436" w:rsidRDefault="00437BC5" w:rsidP="00606436">
            <w:pPr>
              <w:pStyle w:val="Body"/>
              <w:rPr>
                <w:sz w:val="12"/>
                <w:szCs w:val="12"/>
              </w:rPr>
            </w:pPr>
            <w:r w:rsidRPr="00606436">
              <w:rPr>
                <w:sz w:val="12"/>
                <w:szCs w:val="12"/>
              </w:rPr>
              <w:t xml:space="preserve">(65) [1,456/2,232] </w:t>
            </w:r>
          </w:p>
        </w:tc>
      </w:tr>
      <w:tr w:rsidR="007729C2" w:rsidRPr="0047340D" w14:paraId="0A6C623C" w14:textId="2B2FF3B0" w:rsidTr="0047340D">
        <w:trPr>
          <w:trHeight w:val="227"/>
          <w:jc w:val="center"/>
        </w:trPr>
        <w:tc>
          <w:tcPr>
            <w:tcW w:w="810" w:type="dxa"/>
            <w:vAlign w:val="center"/>
          </w:tcPr>
          <w:p w14:paraId="52682406" w14:textId="77777777" w:rsidR="007729C2" w:rsidRPr="0047340D" w:rsidRDefault="007729C2" w:rsidP="007729C2">
            <w:pPr>
              <w:pStyle w:val="Tabletext"/>
              <w:rPr>
                <w:rFonts w:cs="Arial"/>
                <w:sz w:val="12"/>
                <w:szCs w:val="12"/>
              </w:rPr>
            </w:pPr>
            <w:r w:rsidRPr="0047340D">
              <w:rPr>
                <w:rFonts w:cs="Arial"/>
                <w:sz w:val="12"/>
                <w:szCs w:val="12"/>
              </w:rPr>
              <w:t>SMICS</w:t>
            </w:r>
          </w:p>
        </w:tc>
        <w:tc>
          <w:tcPr>
            <w:tcW w:w="1296" w:type="dxa"/>
            <w:vAlign w:val="center"/>
          </w:tcPr>
          <w:p w14:paraId="003AD299" w14:textId="1435D43A" w:rsidR="007729C2" w:rsidRPr="0047340D" w:rsidRDefault="007729C2" w:rsidP="007729C2">
            <w:pPr>
              <w:pStyle w:val="Tabletext"/>
              <w:rPr>
                <w:rFonts w:cs="Arial"/>
                <w:sz w:val="12"/>
                <w:szCs w:val="12"/>
              </w:rPr>
            </w:pPr>
            <w:r w:rsidRPr="0047340D">
              <w:rPr>
                <w:rFonts w:cs="Arial"/>
                <w:sz w:val="12"/>
                <w:szCs w:val="12"/>
              </w:rPr>
              <w:t>(67) [1,57</w:t>
            </w:r>
            <w:r>
              <w:rPr>
                <w:rFonts w:cs="Arial"/>
                <w:sz w:val="12"/>
                <w:szCs w:val="12"/>
              </w:rPr>
              <w:t>2</w:t>
            </w:r>
            <w:r w:rsidRPr="0047340D">
              <w:rPr>
                <w:rFonts w:cs="Arial"/>
                <w:sz w:val="12"/>
                <w:szCs w:val="12"/>
              </w:rPr>
              <w:t>/2,34</w:t>
            </w:r>
            <w:r>
              <w:rPr>
                <w:rFonts w:cs="Arial"/>
                <w:sz w:val="12"/>
                <w:szCs w:val="12"/>
              </w:rPr>
              <w:t>4</w:t>
            </w:r>
            <w:r w:rsidRPr="0047340D">
              <w:rPr>
                <w:rFonts w:cs="Arial"/>
                <w:sz w:val="12"/>
                <w:szCs w:val="12"/>
              </w:rPr>
              <w:t>]</w:t>
            </w:r>
          </w:p>
        </w:tc>
        <w:tc>
          <w:tcPr>
            <w:tcW w:w="1491" w:type="dxa"/>
            <w:vAlign w:val="center"/>
          </w:tcPr>
          <w:p w14:paraId="6BADF7F1" w14:textId="59328BCB" w:rsidR="007729C2" w:rsidRPr="0047340D" w:rsidRDefault="007729C2" w:rsidP="007729C2">
            <w:pPr>
              <w:pStyle w:val="Tabletext"/>
              <w:rPr>
                <w:rFonts w:cs="Arial"/>
                <w:sz w:val="12"/>
                <w:szCs w:val="12"/>
              </w:rPr>
            </w:pPr>
            <w:r w:rsidRPr="0047340D">
              <w:rPr>
                <w:rFonts w:cs="Arial"/>
                <w:sz w:val="12"/>
                <w:szCs w:val="12"/>
              </w:rPr>
              <w:t>(6</w:t>
            </w:r>
            <w:r>
              <w:rPr>
                <w:rFonts w:cs="Arial"/>
                <w:sz w:val="12"/>
                <w:szCs w:val="12"/>
              </w:rPr>
              <w:t>7</w:t>
            </w:r>
            <w:r w:rsidRPr="0047340D">
              <w:rPr>
                <w:rFonts w:cs="Arial"/>
                <w:sz w:val="12"/>
                <w:szCs w:val="12"/>
              </w:rPr>
              <w:t>) [1,69</w:t>
            </w:r>
            <w:r>
              <w:rPr>
                <w:rFonts w:cs="Arial"/>
                <w:sz w:val="12"/>
                <w:szCs w:val="12"/>
              </w:rPr>
              <w:t>3</w:t>
            </w:r>
            <w:r w:rsidRPr="0047340D">
              <w:rPr>
                <w:rFonts w:cs="Arial"/>
                <w:sz w:val="12"/>
                <w:szCs w:val="12"/>
              </w:rPr>
              <w:t>/2,51</w:t>
            </w:r>
            <w:r>
              <w:rPr>
                <w:rFonts w:cs="Arial"/>
                <w:sz w:val="12"/>
                <w:szCs w:val="12"/>
              </w:rPr>
              <w:t>3</w:t>
            </w:r>
            <w:r w:rsidRPr="0047340D">
              <w:rPr>
                <w:rFonts w:cs="Arial"/>
                <w:sz w:val="12"/>
                <w:szCs w:val="12"/>
              </w:rPr>
              <w:t>]</w:t>
            </w:r>
          </w:p>
        </w:tc>
        <w:tc>
          <w:tcPr>
            <w:tcW w:w="1229" w:type="dxa"/>
            <w:vAlign w:val="center"/>
          </w:tcPr>
          <w:p w14:paraId="0C0DD9E2" w14:textId="27813B88" w:rsidR="007729C2" w:rsidRPr="0047340D" w:rsidRDefault="007729C2" w:rsidP="007729C2">
            <w:pPr>
              <w:pStyle w:val="Tabletext"/>
              <w:rPr>
                <w:rFonts w:cs="Arial"/>
                <w:sz w:val="12"/>
                <w:szCs w:val="12"/>
              </w:rPr>
            </w:pPr>
            <w:r w:rsidRPr="0047340D">
              <w:rPr>
                <w:rFonts w:cs="Arial"/>
                <w:sz w:val="12"/>
                <w:szCs w:val="12"/>
              </w:rPr>
              <w:t>(67) [1,7</w:t>
            </w:r>
            <w:r>
              <w:rPr>
                <w:rFonts w:cs="Arial"/>
                <w:sz w:val="12"/>
                <w:szCs w:val="12"/>
              </w:rPr>
              <w:t>13</w:t>
            </w:r>
            <w:r w:rsidRPr="0047340D">
              <w:rPr>
                <w:rFonts w:cs="Arial"/>
                <w:sz w:val="12"/>
                <w:szCs w:val="12"/>
              </w:rPr>
              <w:t>/2,5</w:t>
            </w:r>
            <w:r>
              <w:rPr>
                <w:rFonts w:cs="Arial"/>
                <w:sz w:val="12"/>
                <w:szCs w:val="12"/>
              </w:rPr>
              <w:t>44</w:t>
            </w:r>
            <w:r w:rsidRPr="0047340D">
              <w:rPr>
                <w:rFonts w:cs="Arial"/>
                <w:sz w:val="12"/>
                <w:szCs w:val="12"/>
              </w:rPr>
              <w:t>]</w:t>
            </w:r>
          </w:p>
        </w:tc>
        <w:tc>
          <w:tcPr>
            <w:tcW w:w="1212" w:type="dxa"/>
            <w:vAlign w:val="center"/>
          </w:tcPr>
          <w:p w14:paraId="6248D0B5" w14:textId="65FD1C04" w:rsidR="007729C2" w:rsidRPr="00606436" w:rsidRDefault="007729C2" w:rsidP="00606436">
            <w:pPr>
              <w:pStyle w:val="Body"/>
              <w:rPr>
                <w:sz w:val="12"/>
                <w:szCs w:val="12"/>
              </w:rPr>
            </w:pPr>
            <w:r w:rsidRPr="00606436">
              <w:rPr>
                <w:sz w:val="12"/>
                <w:szCs w:val="12"/>
              </w:rPr>
              <w:t xml:space="preserve">(68) [1,628/2,411] </w:t>
            </w:r>
          </w:p>
        </w:tc>
        <w:tc>
          <w:tcPr>
            <w:tcW w:w="1236" w:type="dxa"/>
            <w:vAlign w:val="center"/>
          </w:tcPr>
          <w:p w14:paraId="00064173" w14:textId="0BFDDA7E" w:rsidR="007729C2" w:rsidRPr="00606436" w:rsidRDefault="007729C2" w:rsidP="00606436">
            <w:pPr>
              <w:pStyle w:val="Body"/>
              <w:rPr>
                <w:sz w:val="12"/>
                <w:szCs w:val="12"/>
              </w:rPr>
            </w:pPr>
            <w:r w:rsidRPr="00606436">
              <w:rPr>
                <w:sz w:val="12"/>
                <w:szCs w:val="12"/>
              </w:rPr>
              <w:t xml:space="preserve">(70) [1,791/2,572] </w:t>
            </w:r>
          </w:p>
        </w:tc>
        <w:tc>
          <w:tcPr>
            <w:tcW w:w="1344" w:type="dxa"/>
            <w:vAlign w:val="center"/>
          </w:tcPr>
          <w:p w14:paraId="25B4BE29" w14:textId="4AF7DB31" w:rsidR="007729C2" w:rsidRPr="00606436" w:rsidRDefault="007729C2" w:rsidP="00606436">
            <w:pPr>
              <w:pStyle w:val="Body"/>
              <w:rPr>
                <w:sz w:val="12"/>
                <w:szCs w:val="12"/>
              </w:rPr>
            </w:pPr>
            <w:r w:rsidRPr="00606436">
              <w:rPr>
                <w:sz w:val="12"/>
                <w:szCs w:val="12"/>
              </w:rPr>
              <w:t xml:space="preserve">(67) [1,755/2,623] </w:t>
            </w:r>
          </w:p>
        </w:tc>
        <w:tc>
          <w:tcPr>
            <w:tcW w:w="1344" w:type="dxa"/>
            <w:vAlign w:val="center"/>
          </w:tcPr>
          <w:p w14:paraId="4DABBE3F" w14:textId="21185347" w:rsidR="007729C2" w:rsidRPr="00606436" w:rsidRDefault="007729C2" w:rsidP="00606436">
            <w:pPr>
              <w:pStyle w:val="Body"/>
              <w:rPr>
                <w:sz w:val="12"/>
                <w:szCs w:val="12"/>
              </w:rPr>
            </w:pPr>
            <w:r w:rsidRPr="00606436">
              <w:rPr>
                <w:sz w:val="12"/>
                <w:szCs w:val="12"/>
              </w:rPr>
              <w:t xml:space="preserve">(64) [1,591/2,499] </w:t>
            </w:r>
          </w:p>
        </w:tc>
        <w:tc>
          <w:tcPr>
            <w:tcW w:w="1344" w:type="dxa"/>
            <w:vAlign w:val="center"/>
          </w:tcPr>
          <w:p w14:paraId="69A46487" w14:textId="426AA5E5" w:rsidR="007729C2" w:rsidRPr="00606436" w:rsidRDefault="007729C2" w:rsidP="00606436">
            <w:pPr>
              <w:pStyle w:val="Body"/>
              <w:rPr>
                <w:sz w:val="12"/>
                <w:szCs w:val="12"/>
              </w:rPr>
            </w:pPr>
            <w:r w:rsidRPr="00606436">
              <w:rPr>
                <w:sz w:val="12"/>
                <w:szCs w:val="12"/>
              </w:rPr>
              <w:t xml:space="preserve">(64) [1,696/2,634] </w:t>
            </w:r>
          </w:p>
        </w:tc>
      </w:tr>
      <w:tr w:rsidR="007729C2" w:rsidRPr="0047340D" w14:paraId="72C1BD48" w14:textId="62B18BB9" w:rsidTr="007729C2">
        <w:trPr>
          <w:trHeight w:val="227"/>
          <w:jc w:val="center"/>
        </w:trPr>
        <w:tc>
          <w:tcPr>
            <w:tcW w:w="810" w:type="dxa"/>
            <w:vAlign w:val="center"/>
          </w:tcPr>
          <w:p w14:paraId="7B0154EF" w14:textId="77777777" w:rsidR="007729C2" w:rsidRPr="0047340D" w:rsidRDefault="007729C2" w:rsidP="007729C2">
            <w:pPr>
              <w:pStyle w:val="Tabletext"/>
              <w:rPr>
                <w:rFonts w:cs="Arial"/>
                <w:sz w:val="12"/>
                <w:szCs w:val="12"/>
              </w:rPr>
            </w:pPr>
            <w:r w:rsidRPr="0047340D">
              <w:rPr>
                <w:rFonts w:cs="Arial"/>
                <w:sz w:val="12"/>
                <w:szCs w:val="12"/>
              </w:rPr>
              <w:t>WCMICS</w:t>
            </w:r>
          </w:p>
        </w:tc>
        <w:tc>
          <w:tcPr>
            <w:tcW w:w="1296" w:type="dxa"/>
            <w:vAlign w:val="center"/>
          </w:tcPr>
          <w:p w14:paraId="7D245D6A" w14:textId="6CDD77EB" w:rsidR="007729C2" w:rsidRPr="0047340D" w:rsidRDefault="007729C2" w:rsidP="007729C2">
            <w:pPr>
              <w:pStyle w:val="Tabletext"/>
              <w:rPr>
                <w:rFonts w:cs="Arial"/>
                <w:sz w:val="12"/>
                <w:szCs w:val="12"/>
              </w:rPr>
            </w:pPr>
            <w:r w:rsidRPr="0047340D">
              <w:rPr>
                <w:rFonts w:cs="Arial"/>
                <w:sz w:val="12"/>
                <w:szCs w:val="12"/>
              </w:rPr>
              <w:t>(75) [1,2</w:t>
            </w:r>
            <w:r>
              <w:rPr>
                <w:rFonts w:cs="Arial"/>
                <w:sz w:val="12"/>
                <w:szCs w:val="12"/>
              </w:rPr>
              <w:t>28</w:t>
            </w:r>
            <w:r w:rsidRPr="0047340D">
              <w:rPr>
                <w:rFonts w:cs="Arial"/>
                <w:sz w:val="12"/>
                <w:szCs w:val="12"/>
              </w:rPr>
              <w:t>/1,64</w:t>
            </w:r>
            <w:r>
              <w:rPr>
                <w:rFonts w:cs="Arial"/>
                <w:sz w:val="12"/>
                <w:szCs w:val="12"/>
              </w:rPr>
              <w:t>4</w:t>
            </w:r>
            <w:r w:rsidRPr="0047340D">
              <w:rPr>
                <w:rFonts w:cs="Arial"/>
                <w:sz w:val="12"/>
                <w:szCs w:val="12"/>
              </w:rPr>
              <w:t>]</w:t>
            </w:r>
          </w:p>
        </w:tc>
        <w:tc>
          <w:tcPr>
            <w:tcW w:w="1491" w:type="dxa"/>
            <w:vAlign w:val="center"/>
          </w:tcPr>
          <w:p w14:paraId="7720B0CD" w14:textId="67EA55F0" w:rsidR="007729C2" w:rsidRPr="0047340D" w:rsidRDefault="007729C2" w:rsidP="007729C2">
            <w:pPr>
              <w:pStyle w:val="Tabletext"/>
              <w:rPr>
                <w:rFonts w:cs="Arial"/>
                <w:sz w:val="12"/>
                <w:szCs w:val="12"/>
              </w:rPr>
            </w:pPr>
            <w:r w:rsidRPr="0047340D">
              <w:rPr>
                <w:rFonts w:cs="Arial"/>
                <w:sz w:val="12"/>
                <w:szCs w:val="12"/>
              </w:rPr>
              <w:t>(74) [1,262/1,71</w:t>
            </w:r>
            <w:r>
              <w:rPr>
                <w:rFonts w:cs="Arial"/>
                <w:sz w:val="12"/>
                <w:szCs w:val="12"/>
              </w:rPr>
              <w:t>6</w:t>
            </w:r>
            <w:r w:rsidRPr="0047340D">
              <w:rPr>
                <w:rFonts w:cs="Arial"/>
                <w:sz w:val="12"/>
                <w:szCs w:val="12"/>
              </w:rPr>
              <w:t>]</w:t>
            </w:r>
          </w:p>
        </w:tc>
        <w:tc>
          <w:tcPr>
            <w:tcW w:w="1229" w:type="dxa"/>
            <w:vAlign w:val="center"/>
          </w:tcPr>
          <w:p w14:paraId="3C2BAE12" w14:textId="1BE8918C" w:rsidR="007729C2" w:rsidRPr="0047340D" w:rsidRDefault="007729C2" w:rsidP="007729C2">
            <w:pPr>
              <w:pStyle w:val="Tabletext"/>
              <w:rPr>
                <w:rFonts w:cs="Arial"/>
                <w:sz w:val="12"/>
                <w:szCs w:val="12"/>
              </w:rPr>
            </w:pPr>
            <w:r w:rsidRPr="0047340D">
              <w:rPr>
                <w:rFonts w:cs="Arial"/>
                <w:sz w:val="12"/>
                <w:szCs w:val="12"/>
              </w:rPr>
              <w:t>(72) [1,28</w:t>
            </w:r>
            <w:r>
              <w:rPr>
                <w:rFonts w:cs="Arial"/>
                <w:sz w:val="12"/>
                <w:szCs w:val="12"/>
              </w:rPr>
              <w:t>8</w:t>
            </w:r>
            <w:r w:rsidRPr="0047340D">
              <w:rPr>
                <w:rFonts w:cs="Arial"/>
                <w:sz w:val="12"/>
                <w:szCs w:val="12"/>
              </w:rPr>
              <w:t>/1,7</w:t>
            </w:r>
            <w:r>
              <w:rPr>
                <w:rFonts w:cs="Arial"/>
                <w:sz w:val="12"/>
                <w:szCs w:val="12"/>
              </w:rPr>
              <w:t>8</w:t>
            </w:r>
            <w:r w:rsidRPr="0047340D">
              <w:rPr>
                <w:rFonts w:cs="Arial"/>
                <w:sz w:val="12"/>
                <w:szCs w:val="12"/>
              </w:rPr>
              <w:t>7]</w:t>
            </w:r>
          </w:p>
        </w:tc>
        <w:tc>
          <w:tcPr>
            <w:tcW w:w="1212" w:type="dxa"/>
            <w:vAlign w:val="center"/>
          </w:tcPr>
          <w:p w14:paraId="078AB92A" w14:textId="71A8E128" w:rsidR="007729C2" w:rsidRPr="00606436" w:rsidRDefault="007729C2" w:rsidP="00606436">
            <w:pPr>
              <w:pStyle w:val="Body"/>
              <w:rPr>
                <w:sz w:val="12"/>
                <w:szCs w:val="12"/>
              </w:rPr>
            </w:pPr>
            <w:r w:rsidRPr="00606436">
              <w:rPr>
                <w:sz w:val="12"/>
                <w:szCs w:val="12"/>
              </w:rPr>
              <w:t xml:space="preserve">(71) [1,287/1,815] </w:t>
            </w:r>
          </w:p>
        </w:tc>
        <w:tc>
          <w:tcPr>
            <w:tcW w:w="1236" w:type="dxa"/>
            <w:vAlign w:val="center"/>
          </w:tcPr>
          <w:p w14:paraId="06FD7ACF" w14:textId="216E4D99" w:rsidR="007729C2" w:rsidRPr="00606436" w:rsidRDefault="007729C2" w:rsidP="00606436">
            <w:pPr>
              <w:pStyle w:val="Body"/>
              <w:rPr>
                <w:sz w:val="12"/>
                <w:szCs w:val="12"/>
              </w:rPr>
            </w:pPr>
            <w:r w:rsidRPr="00606436">
              <w:rPr>
                <w:sz w:val="12"/>
                <w:szCs w:val="12"/>
              </w:rPr>
              <w:t xml:space="preserve">(73) [1,286/1,757] </w:t>
            </w:r>
          </w:p>
        </w:tc>
        <w:tc>
          <w:tcPr>
            <w:tcW w:w="1344" w:type="dxa"/>
            <w:vAlign w:val="center"/>
          </w:tcPr>
          <w:p w14:paraId="0F826E05" w14:textId="7CFE01A2" w:rsidR="007729C2" w:rsidRPr="00606436" w:rsidRDefault="007729C2" w:rsidP="00606436">
            <w:pPr>
              <w:pStyle w:val="Body"/>
              <w:rPr>
                <w:sz w:val="12"/>
                <w:szCs w:val="12"/>
              </w:rPr>
            </w:pPr>
            <w:r w:rsidRPr="00606436">
              <w:rPr>
                <w:sz w:val="12"/>
                <w:szCs w:val="12"/>
              </w:rPr>
              <w:t xml:space="preserve">(71) [1,270/1,791] </w:t>
            </w:r>
          </w:p>
        </w:tc>
        <w:tc>
          <w:tcPr>
            <w:tcW w:w="1344" w:type="dxa"/>
            <w:vAlign w:val="center"/>
          </w:tcPr>
          <w:p w14:paraId="489B556B" w14:textId="12656A2F" w:rsidR="007729C2" w:rsidRPr="00606436" w:rsidRDefault="007729C2" w:rsidP="00606436">
            <w:pPr>
              <w:pStyle w:val="Body"/>
              <w:rPr>
                <w:sz w:val="12"/>
                <w:szCs w:val="12"/>
              </w:rPr>
            </w:pPr>
            <w:r w:rsidRPr="00606436">
              <w:rPr>
                <w:sz w:val="12"/>
                <w:szCs w:val="12"/>
              </w:rPr>
              <w:t xml:space="preserve">(70) [1,294/1,850] </w:t>
            </w:r>
          </w:p>
        </w:tc>
        <w:tc>
          <w:tcPr>
            <w:tcW w:w="1344" w:type="dxa"/>
            <w:vAlign w:val="center"/>
          </w:tcPr>
          <w:p w14:paraId="504A1BA3" w14:textId="65166E83" w:rsidR="007729C2" w:rsidRPr="00606436" w:rsidRDefault="007729C2" w:rsidP="00606436">
            <w:pPr>
              <w:pStyle w:val="Body"/>
              <w:rPr>
                <w:sz w:val="12"/>
                <w:szCs w:val="12"/>
              </w:rPr>
            </w:pPr>
            <w:r w:rsidRPr="00606436">
              <w:rPr>
                <w:sz w:val="12"/>
                <w:szCs w:val="12"/>
              </w:rPr>
              <w:t xml:space="preserve">(69) [1,293/1,868] </w:t>
            </w:r>
          </w:p>
        </w:tc>
      </w:tr>
      <w:tr w:rsidR="0037256D" w:rsidRPr="0047340D" w14:paraId="6FD8FF92" w14:textId="4613177A" w:rsidTr="0047340D">
        <w:trPr>
          <w:trHeight w:val="237"/>
          <w:jc w:val="center"/>
        </w:trPr>
        <w:tc>
          <w:tcPr>
            <w:tcW w:w="810" w:type="dxa"/>
            <w:vAlign w:val="center"/>
          </w:tcPr>
          <w:p w14:paraId="0D875DB5" w14:textId="77777777" w:rsidR="0037256D" w:rsidRPr="0047340D" w:rsidRDefault="0037256D" w:rsidP="0037256D">
            <w:pPr>
              <w:pStyle w:val="Tabletext"/>
              <w:rPr>
                <w:rFonts w:cs="Arial"/>
                <w:sz w:val="12"/>
                <w:szCs w:val="12"/>
              </w:rPr>
            </w:pPr>
            <w:r w:rsidRPr="0047340D">
              <w:rPr>
                <w:rFonts w:cs="Arial"/>
                <w:sz w:val="12"/>
                <w:szCs w:val="12"/>
              </w:rPr>
              <w:t>BSWRICS</w:t>
            </w:r>
          </w:p>
        </w:tc>
        <w:tc>
          <w:tcPr>
            <w:tcW w:w="1296" w:type="dxa"/>
            <w:vAlign w:val="center"/>
          </w:tcPr>
          <w:p w14:paraId="1D22A79F" w14:textId="3E1F000E" w:rsidR="0037256D" w:rsidRPr="0047340D" w:rsidRDefault="0037256D" w:rsidP="0037256D">
            <w:pPr>
              <w:pStyle w:val="Tabletext"/>
              <w:rPr>
                <w:rFonts w:cs="Arial"/>
                <w:sz w:val="12"/>
                <w:szCs w:val="12"/>
              </w:rPr>
            </w:pPr>
            <w:r w:rsidRPr="0047340D">
              <w:rPr>
                <w:rFonts w:cs="Arial"/>
                <w:sz w:val="12"/>
                <w:szCs w:val="12"/>
              </w:rPr>
              <w:t>(7</w:t>
            </w:r>
            <w:r>
              <w:rPr>
                <w:rFonts w:cs="Arial"/>
                <w:sz w:val="12"/>
                <w:szCs w:val="12"/>
              </w:rPr>
              <w:t>3</w:t>
            </w:r>
            <w:r w:rsidRPr="0047340D">
              <w:rPr>
                <w:rFonts w:cs="Arial"/>
                <w:sz w:val="12"/>
                <w:szCs w:val="12"/>
              </w:rPr>
              <w:t>) [5</w:t>
            </w:r>
            <w:r>
              <w:rPr>
                <w:rFonts w:cs="Arial"/>
                <w:sz w:val="12"/>
                <w:szCs w:val="12"/>
              </w:rPr>
              <w:t>18</w:t>
            </w:r>
            <w:r w:rsidRPr="0047340D">
              <w:rPr>
                <w:rFonts w:cs="Arial"/>
                <w:sz w:val="12"/>
                <w:szCs w:val="12"/>
              </w:rPr>
              <w:t>/70</w:t>
            </w:r>
            <w:r>
              <w:rPr>
                <w:rFonts w:cs="Arial"/>
                <w:sz w:val="12"/>
                <w:szCs w:val="12"/>
              </w:rPr>
              <w:t>7</w:t>
            </w:r>
            <w:r w:rsidRPr="0047340D">
              <w:rPr>
                <w:rFonts w:cs="Arial"/>
                <w:sz w:val="12"/>
                <w:szCs w:val="12"/>
              </w:rPr>
              <w:t>]</w:t>
            </w:r>
          </w:p>
        </w:tc>
        <w:tc>
          <w:tcPr>
            <w:tcW w:w="1491" w:type="dxa"/>
            <w:vAlign w:val="center"/>
          </w:tcPr>
          <w:p w14:paraId="55854172" w14:textId="755E3254" w:rsidR="0037256D" w:rsidRPr="0047340D" w:rsidRDefault="0037256D" w:rsidP="0037256D">
            <w:pPr>
              <w:pStyle w:val="Tabletext"/>
              <w:rPr>
                <w:rFonts w:cs="Arial"/>
                <w:sz w:val="12"/>
                <w:szCs w:val="12"/>
              </w:rPr>
            </w:pPr>
            <w:r w:rsidRPr="0047340D">
              <w:rPr>
                <w:rFonts w:cs="Arial"/>
                <w:sz w:val="12"/>
                <w:szCs w:val="12"/>
              </w:rPr>
              <w:t>(7</w:t>
            </w:r>
            <w:r>
              <w:rPr>
                <w:rFonts w:cs="Arial"/>
                <w:sz w:val="12"/>
                <w:szCs w:val="12"/>
              </w:rPr>
              <w:t>2</w:t>
            </w:r>
            <w:r w:rsidRPr="0047340D">
              <w:rPr>
                <w:rFonts w:cs="Arial"/>
                <w:sz w:val="12"/>
                <w:szCs w:val="12"/>
              </w:rPr>
              <w:t>) [58</w:t>
            </w:r>
            <w:r>
              <w:rPr>
                <w:rFonts w:cs="Arial"/>
                <w:sz w:val="12"/>
                <w:szCs w:val="12"/>
              </w:rPr>
              <w:t>4</w:t>
            </w:r>
            <w:r w:rsidRPr="0047340D">
              <w:rPr>
                <w:rFonts w:cs="Arial"/>
                <w:sz w:val="12"/>
                <w:szCs w:val="12"/>
              </w:rPr>
              <w:t>/81</w:t>
            </w:r>
            <w:r>
              <w:rPr>
                <w:rFonts w:cs="Arial"/>
                <w:sz w:val="12"/>
                <w:szCs w:val="12"/>
              </w:rPr>
              <w:t>1</w:t>
            </w:r>
            <w:r w:rsidRPr="0047340D">
              <w:rPr>
                <w:rFonts w:cs="Arial"/>
                <w:sz w:val="12"/>
                <w:szCs w:val="12"/>
              </w:rPr>
              <w:t>]</w:t>
            </w:r>
          </w:p>
        </w:tc>
        <w:tc>
          <w:tcPr>
            <w:tcW w:w="1229" w:type="dxa"/>
            <w:vAlign w:val="center"/>
          </w:tcPr>
          <w:p w14:paraId="742CA593" w14:textId="08D86259" w:rsidR="0037256D" w:rsidRPr="0047340D" w:rsidRDefault="0037256D" w:rsidP="0037256D">
            <w:pPr>
              <w:pStyle w:val="Tabletext"/>
              <w:rPr>
                <w:rFonts w:cs="Arial"/>
                <w:sz w:val="12"/>
                <w:szCs w:val="12"/>
              </w:rPr>
            </w:pPr>
            <w:r w:rsidRPr="0047340D">
              <w:rPr>
                <w:rFonts w:cs="Arial"/>
                <w:sz w:val="12"/>
                <w:szCs w:val="12"/>
              </w:rPr>
              <w:t>(76) [6</w:t>
            </w:r>
            <w:r>
              <w:rPr>
                <w:rFonts w:cs="Arial"/>
                <w:sz w:val="12"/>
                <w:szCs w:val="12"/>
              </w:rPr>
              <w:t>19</w:t>
            </w:r>
            <w:r w:rsidRPr="0047340D">
              <w:rPr>
                <w:rFonts w:cs="Arial"/>
                <w:sz w:val="12"/>
                <w:szCs w:val="12"/>
              </w:rPr>
              <w:t>/81</w:t>
            </w:r>
            <w:r>
              <w:rPr>
                <w:rFonts w:cs="Arial"/>
                <w:sz w:val="12"/>
                <w:szCs w:val="12"/>
              </w:rPr>
              <w:t>9</w:t>
            </w:r>
            <w:r w:rsidRPr="0047340D">
              <w:rPr>
                <w:rFonts w:cs="Arial"/>
                <w:sz w:val="12"/>
                <w:szCs w:val="12"/>
              </w:rPr>
              <w:t>]</w:t>
            </w:r>
          </w:p>
        </w:tc>
        <w:tc>
          <w:tcPr>
            <w:tcW w:w="1212" w:type="dxa"/>
            <w:vAlign w:val="center"/>
          </w:tcPr>
          <w:p w14:paraId="2306A528" w14:textId="7F38D629" w:rsidR="0037256D" w:rsidRPr="00606436" w:rsidRDefault="0037256D" w:rsidP="00606436">
            <w:pPr>
              <w:pStyle w:val="Body"/>
              <w:rPr>
                <w:sz w:val="12"/>
                <w:szCs w:val="12"/>
              </w:rPr>
            </w:pPr>
            <w:r w:rsidRPr="00606436">
              <w:rPr>
                <w:sz w:val="12"/>
                <w:szCs w:val="12"/>
              </w:rPr>
              <w:t xml:space="preserve">(73) [559/762] </w:t>
            </w:r>
          </w:p>
        </w:tc>
        <w:tc>
          <w:tcPr>
            <w:tcW w:w="1236" w:type="dxa"/>
            <w:vAlign w:val="center"/>
          </w:tcPr>
          <w:p w14:paraId="1EC908F8" w14:textId="5BA383EE" w:rsidR="0037256D" w:rsidRPr="00606436" w:rsidRDefault="0037256D" w:rsidP="00606436">
            <w:pPr>
              <w:pStyle w:val="Body"/>
              <w:rPr>
                <w:sz w:val="12"/>
                <w:szCs w:val="12"/>
              </w:rPr>
            </w:pPr>
            <w:r w:rsidRPr="00606436">
              <w:rPr>
                <w:sz w:val="12"/>
                <w:szCs w:val="12"/>
              </w:rPr>
              <w:t xml:space="preserve">(70) [549/783] </w:t>
            </w:r>
          </w:p>
        </w:tc>
        <w:tc>
          <w:tcPr>
            <w:tcW w:w="1344" w:type="dxa"/>
            <w:vAlign w:val="center"/>
          </w:tcPr>
          <w:p w14:paraId="7854F7CB" w14:textId="00734DC2" w:rsidR="0037256D" w:rsidRPr="00606436" w:rsidRDefault="0037256D" w:rsidP="00606436">
            <w:pPr>
              <w:pStyle w:val="Body"/>
              <w:rPr>
                <w:sz w:val="12"/>
                <w:szCs w:val="12"/>
              </w:rPr>
            </w:pPr>
            <w:r w:rsidRPr="00606436">
              <w:rPr>
                <w:sz w:val="12"/>
                <w:szCs w:val="12"/>
              </w:rPr>
              <w:t xml:space="preserve">(70) [597/854] </w:t>
            </w:r>
          </w:p>
        </w:tc>
        <w:tc>
          <w:tcPr>
            <w:tcW w:w="1344" w:type="dxa"/>
            <w:vAlign w:val="center"/>
          </w:tcPr>
          <w:p w14:paraId="57733F9A" w14:textId="71153AC0" w:rsidR="0037256D" w:rsidRPr="00606436" w:rsidRDefault="0037256D" w:rsidP="00606436">
            <w:pPr>
              <w:pStyle w:val="Body"/>
              <w:rPr>
                <w:sz w:val="12"/>
                <w:szCs w:val="12"/>
              </w:rPr>
            </w:pPr>
            <w:r w:rsidRPr="00606436">
              <w:rPr>
                <w:sz w:val="12"/>
                <w:szCs w:val="12"/>
              </w:rPr>
              <w:t xml:space="preserve">(65) [554/851] </w:t>
            </w:r>
          </w:p>
        </w:tc>
        <w:tc>
          <w:tcPr>
            <w:tcW w:w="1344" w:type="dxa"/>
            <w:vAlign w:val="center"/>
          </w:tcPr>
          <w:p w14:paraId="6578864C" w14:textId="279339E0" w:rsidR="0037256D" w:rsidRPr="00606436" w:rsidRDefault="0037256D" w:rsidP="00606436">
            <w:pPr>
              <w:pStyle w:val="Body"/>
              <w:rPr>
                <w:sz w:val="12"/>
                <w:szCs w:val="12"/>
              </w:rPr>
            </w:pPr>
            <w:r w:rsidRPr="00606436">
              <w:rPr>
                <w:sz w:val="12"/>
                <w:szCs w:val="12"/>
              </w:rPr>
              <w:t xml:space="preserve">(69) [581/844] </w:t>
            </w:r>
          </w:p>
        </w:tc>
      </w:tr>
      <w:tr w:rsidR="001663FC" w:rsidRPr="0047340D" w14:paraId="52DEF8E4" w14:textId="5BC50FCA" w:rsidTr="001663FC">
        <w:trPr>
          <w:trHeight w:val="227"/>
          <w:jc w:val="center"/>
        </w:trPr>
        <w:tc>
          <w:tcPr>
            <w:tcW w:w="810" w:type="dxa"/>
            <w:vAlign w:val="center"/>
          </w:tcPr>
          <w:p w14:paraId="72D177F3" w14:textId="77777777" w:rsidR="001663FC" w:rsidRPr="0047340D" w:rsidRDefault="001663FC" w:rsidP="001663FC">
            <w:pPr>
              <w:pStyle w:val="Tabletext"/>
              <w:rPr>
                <w:rFonts w:cs="Arial"/>
                <w:sz w:val="12"/>
                <w:szCs w:val="12"/>
              </w:rPr>
            </w:pPr>
            <w:r w:rsidRPr="0047340D">
              <w:rPr>
                <w:rFonts w:cs="Arial"/>
                <w:sz w:val="12"/>
                <w:szCs w:val="12"/>
              </w:rPr>
              <w:t>GRICS</w:t>
            </w:r>
          </w:p>
        </w:tc>
        <w:tc>
          <w:tcPr>
            <w:tcW w:w="1296" w:type="dxa"/>
            <w:vAlign w:val="center"/>
          </w:tcPr>
          <w:p w14:paraId="68F3A57A" w14:textId="2ACA9FC7" w:rsidR="001663FC" w:rsidRPr="0047340D" w:rsidRDefault="001663FC" w:rsidP="001663FC">
            <w:pPr>
              <w:pStyle w:val="Tabletext"/>
              <w:rPr>
                <w:rFonts w:cs="Arial"/>
                <w:sz w:val="12"/>
                <w:szCs w:val="12"/>
              </w:rPr>
            </w:pPr>
            <w:r w:rsidRPr="0047340D">
              <w:rPr>
                <w:rFonts w:cs="Arial"/>
                <w:sz w:val="12"/>
                <w:szCs w:val="12"/>
              </w:rPr>
              <w:t>(</w:t>
            </w:r>
            <w:r>
              <w:rPr>
                <w:rFonts w:cs="Arial"/>
                <w:sz w:val="12"/>
                <w:szCs w:val="12"/>
              </w:rPr>
              <w:t>70</w:t>
            </w:r>
            <w:r w:rsidRPr="0047340D">
              <w:rPr>
                <w:rFonts w:cs="Arial"/>
                <w:sz w:val="12"/>
                <w:szCs w:val="12"/>
              </w:rPr>
              <w:t>) [385/55</w:t>
            </w:r>
            <w:r>
              <w:rPr>
                <w:rFonts w:cs="Arial"/>
                <w:sz w:val="12"/>
                <w:szCs w:val="12"/>
              </w:rPr>
              <w:t>3</w:t>
            </w:r>
            <w:r w:rsidRPr="0047340D">
              <w:rPr>
                <w:rFonts w:cs="Arial"/>
                <w:sz w:val="12"/>
                <w:szCs w:val="12"/>
              </w:rPr>
              <w:t>]</w:t>
            </w:r>
          </w:p>
        </w:tc>
        <w:tc>
          <w:tcPr>
            <w:tcW w:w="1491" w:type="dxa"/>
            <w:vAlign w:val="center"/>
          </w:tcPr>
          <w:p w14:paraId="6620316E" w14:textId="3DF333DA" w:rsidR="001663FC" w:rsidRPr="0047340D" w:rsidRDefault="001663FC" w:rsidP="001663FC">
            <w:pPr>
              <w:pStyle w:val="Tabletext"/>
              <w:rPr>
                <w:rFonts w:cs="Arial"/>
                <w:sz w:val="12"/>
                <w:szCs w:val="12"/>
              </w:rPr>
            </w:pPr>
            <w:r w:rsidRPr="0047340D">
              <w:rPr>
                <w:rFonts w:cs="Arial"/>
                <w:sz w:val="12"/>
                <w:szCs w:val="12"/>
              </w:rPr>
              <w:t>(64) [414/6</w:t>
            </w:r>
            <w:r>
              <w:rPr>
                <w:rFonts w:cs="Arial"/>
                <w:sz w:val="12"/>
                <w:szCs w:val="12"/>
              </w:rPr>
              <w:t>49</w:t>
            </w:r>
            <w:r w:rsidRPr="0047340D">
              <w:rPr>
                <w:rFonts w:cs="Arial"/>
                <w:sz w:val="12"/>
                <w:szCs w:val="12"/>
              </w:rPr>
              <w:t>]</w:t>
            </w:r>
          </w:p>
        </w:tc>
        <w:tc>
          <w:tcPr>
            <w:tcW w:w="1229" w:type="dxa"/>
            <w:vAlign w:val="center"/>
          </w:tcPr>
          <w:p w14:paraId="7C152951" w14:textId="667358FE" w:rsidR="001663FC" w:rsidRPr="0047340D" w:rsidRDefault="001663FC" w:rsidP="001663FC">
            <w:pPr>
              <w:pStyle w:val="Tabletext"/>
              <w:rPr>
                <w:rFonts w:cs="Arial"/>
                <w:sz w:val="12"/>
                <w:szCs w:val="12"/>
              </w:rPr>
            </w:pPr>
            <w:r w:rsidRPr="0047340D">
              <w:rPr>
                <w:rFonts w:cs="Arial"/>
                <w:sz w:val="12"/>
                <w:szCs w:val="12"/>
              </w:rPr>
              <w:t>(63) [41</w:t>
            </w:r>
            <w:r>
              <w:rPr>
                <w:rFonts w:cs="Arial"/>
                <w:sz w:val="12"/>
                <w:szCs w:val="12"/>
              </w:rPr>
              <w:t>6</w:t>
            </w:r>
            <w:r w:rsidRPr="0047340D">
              <w:rPr>
                <w:rFonts w:cs="Arial"/>
                <w:sz w:val="12"/>
                <w:szCs w:val="12"/>
              </w:rPr>
              <w:t>/66</w:t>
            </w:r>
            <w:r>
              <w:rPr>
                <w:rFonts w:cs="Arial"/>
                <w:sz w:val="12"/>
                <w:szCs w:val="12"/>
              </w:rPr>
              <w:t>4</w:t>
            </w:r>
            <w:r w:rsidRPr="0047340D">
              <w:rPr>
                <w:rFonts w:cs="Arial"/>
                <w:sz w:val="12"/>
                <w:szCs w:val="12"/>
              </w:rPr>
              <w:t>]</w:t>
            </w:r>
          </w:p>
        </w:tc>
        <w:tc>
          <w:tcPr>
            <w:tcW w:w="1212" w:type="dxa"/>
            <w:vAlign w:val="center"/>
          </w:tcPr>
          <w:p w14:paraId="3D883027" w14:textId="6C9537B2" w:rsidR="001663FC" w:rsidRPr="00606436" w:rsidRDefault="001663FC" w:rsidP="00606436">
            <w:pPr>
              <w:pStyle w:val="Body"/>
              <w:rPr>
                <w:sz w:val="12"/>
                <w:szCs w:val="12"/>
              </w:rPr>
            </w:pPr>
            <w:r w:rsidRPr="00606436">
              <w:rPr>
                <w:sz w:val="12"/>
                <w:szCs w:val="12"/>
              </w:rPr>
              <w:t xml:space="preserve">(63) [433/690] </w:t>
            </w:r>
          </w:p>
        </w:tc>
        <w:tc>
          <w:tcPr>
            <w:tcW w:w="1236" w:type="dxa"/>
            <w:vAlign w:val="center"/>
          </w:tcPr>
          <w:p w14:paraId="76848D64" w14:textId="6DF97207" w:rsidR="001663FC" w:rsidRPr="00606436" w:rsidRDefault="001663FC" w:rsidP="00606436">
            <w:pPr>
              <w:pStyle w:val="Body"/>
              <w:rPr>
                <w:sz w:val="12"/>
                <w:szCs w:val="12"/>
              </w:rPr>
            </w:pPr>
            <w:r w:rsidRPr="00606436">
              <w:rPr>
                <w:sz w:val="12"/>
                <w:szCs w:val="12"/>
              </w:rPr>
              <w:t xml:space="preserve">(61) [431/709] </w:t>
            </w:r>
          </w:p>
        </w:tc>
        <w:tc>
          <w:tcPr>
            <w:tcW w:w="1344" w:type="dxa"/>
            <w:vAlign w:val="center"/>
          </w:tcPr>
          <w:p w14:paraId="6B207C0E" w14:textId="435DC181" w:rsidR="001663FC" w:rsidRPr="00606436" w:rsidRDefault="001663FC" w:rsidP="00606436">
            <w:pPr>
              <w:pStyle w:val="Body"/>
              <w:rPr>
                <w:sz w:val="12"/>
                <w:szCs w:val="12"/>
              </w:rPr>
            </w:pPr>
            <w:r w:rsidRPr="00606436">
              <w:rPr>
                <w:sz w:val="12"/>
                <w:szCs w:val="12"/>
              </w:rPr>
              <w:t xml:space="preserve">(65) [471/730] </w:t>
            </w:r>
          </w:p>
        </w:tc>
        <w:tc>
          <w:tcPr>
            <w:tcW w:w="1344" w:type="dxa"/>
            <w:vAlign w:val="center"/>
          </w:tcPr>
          <w:p w14:paraId="0C2083CC" w14:textId="3731D2C2" w:rsidR="001663FC" w:rsidRPr="00606436" w:rsidRDefault="001663FC" w:rsidP="00606436">
            <w:pPr>
              <w:pStyle w:val="Body"/>
              <w:rPr>
                <w:sz w:val="12"/>
                <w:szCs w:val="12"/>
              </w:rPr>
            </w:pPr>
            <w:r w:rsidRPr="00606436">
              <w:rPr>
                <w:sz w:val="12"/>
                <w:szCs w:val="12"/>
              </w:rPr>
              <w:t xml:space="preserve">(60) [447/749] </w:t>
            </w:r>
          </w:p>
        </w:tc>
        <w:tc>
          <w:tcPr>
            <w:tcW w:w="1344" w:type="dxa"/>
            <w:vAlign w:val="center"/>
          </w:tcPr>
          <w:p w14:paraId="31FB8DBA" w14:textId="62B83E0D" w:rsidR="001663FC" w:rsidRPr="00606436" w:rsidRDefault="001663FC" w:rsidP="00606436">
            <w:pPr>
              <w:pStyle w:val="Body"/>
              <w:rPr>
                <w:sz w:val="12"/>
                <w:szCs w:val="12"/>
              </w:rPr>
            </w:pPr>
            <w:r w:rsidRPr="00606436">
              <w:rPr>
                <w:sz w:val="12"/>
                <w:szCs w:val="12"/>
              </w:rPr>
              <w:t xml:space="preserve">(65) [392/707] </w:t>
            </w:r>
          </w:p>
        </w:tc>
      </w:tr>
      <w:tr w:rsidR="00603103" w:rsidRPr="0047340D" w14:paraId="41592312" w14:textId="1A78EE24" w:rsidTr="00603103">
        <w:trPr>
          <w:trHeight w:val="237"/>
          <w:jc w:val="center"/>
        </w:trPr>
        <w:tc>
          <w:tcPr>
            <w:tcW w:w="810" w:type="dxa"/>
            <w:vAlign w:val="center"/>
          </w:tcPr>
          <w:p w14:paraId="4EFF3565" w14:textId="77777777" w:rsidR="00603103" w:rsidRPr="0047340D" w:rsidRDefault="00603103" w:rsidP="00603103">
            <w:pPr>
              <w:pStyle w:val="Tabletext"/>
              <w:rPr>
                <w:rFonts w:cs="Arial"/>
                <w:sz w:val="12"/>
                <w:szCs w:val="12"/>
              </w:rPr>
            </w:pPr>
            <w:r w:rsidRPr="0047340D">
              <w:rPr>
                <w:rFonts w:cs="Arial"/>
                <w:sz w:val="12"/>
                <w:szCs w:val="12"/>
              </w:rPr>
              <w:t>HRICS</w:t>
            </w:r>
          </w:p>
        </w:tc>
        <w:tc>
          <w:tcPr>
            <w:tcW w:w="1296" w:type="dxa"/>
            <w:vAlign w:val="center"/>
          </w:tcPr>
          <w:p w14:paraId="2FB0331E" w14:textId="69D42479" w:rsidR="00603103" w:rsidRPr="0047340D" w:rsidRDefault="00603103" w:rsidP="00603103">
            <w:pPr>
              <w:pStyle w:val="Tabletext"/>
              <w:rPr>
                <w:rFonts w:cs="Arial"/>
                <w:sz w:val="12"/>
                <w:szCs w:val="12"/>
              </w:rPr>
            </w:pPr>
            <w:r w:rsidRPr="0047340D">
              <w:rPr>
                <w:rFonts w:cs="Arial"/>
                <w:sz w:val="12"/>
                <w:szCs w:val="12"/>
              </w:rPr>
              <w:t>(55) [260/469]</w:t>
            </w:r>
          </w:p>
        </w:tc>
        <w:tc>
          <w:tcPr>
            <w:tcW w:w="1491" w:type="dxa"/>
            <w:vAlign w:val="center"/>
          </w:tcPr>
          <w:p w14:paraId="15A5CE0F" w14:textId="0FA36E9C" w:rsidR="00603103" w:rsidRPr="0047340D" w:rsidRDefault="00603103" w:rsidP="00603103">
            <w:pPr>
              <w:pStyle w:val="Tabletext"/>
              <w:rPr>
                <w:rFonts w:cs="Arial"/>
                <w:sz w:val="12"/>
                <w:szCs w:val="12"/>
              </w:rPr>
            </w:pPr>
            <w:r w:rsidRPr="0047340D">
              <w:rPr>
                <w:rFonts w:cs="Arial"/>
                <w:sz w:val="12"/>
                <w:szCs w:val="12"/>
              </w:rPr>
              <w:t>(5</w:t>
            </w:r>
            <w:r>
              <w:rPr>
                <w:rFonts w:cs="Arial"/>
                <w:sz w:val="12"/>
                <w:szCs w:val="12"/>
              </w:rPr>
              <w:t>2</w:t>
            </w:r>
            <w:r w:rsidRPr="0047340D">
              <w:rPr>
                <w:rFonts w:cs="Arial"/>
                <w:sz w:val="12"/>
                <w:szCs w:val="12"/>
              </w:rPr>
              <w:t>) [29</w:t>
            </w:r>
            <w:r>
              <w:rPr>
                <w:rFonts w:cs="Arial"/>
                <w:sz w:val="12"/>
                <w:szCs w:val="12"/>
              </w:rPr>
              <w:t>7</w:t>
            </w:r>
            <w:r w:rsidRPr="0047340D">
              <w:rPr>
                <w:rFonts w:cs="Arial"/>
                <w:sz w:val="12"/>
                <w:szCs w:val="12"/>
              </w:rPr>
              <w:t>/56</w:t>
            </w:r>
            <w:r>
              <w:rPr>
                <w:rFonts w:cs="Arial"/>
                <w:sz w:val="12"/>
                <w:szCs w:val="12"/>
              </w:rPr>
              <w:t>7</w:t>
            </w:r>
            <w:r w:rsidRPr="0047340D">
              <w:rPr>
                <w:rFonts w:cs="Arial"/>
                <w:sz w:val="12"/>
                <w:szCs w:val="12"/>
              </w:rPr>
              <w:t>]</w:t>
            </w:r>
          </w:p>
        </w:tc>
        <w:tc>
          <w:tcPr>
            <w:tcW w:w="1229" w:type="dxa"/>
            <w:vAlign w:val="center"/>
          </w:tcPr>
          <w:p w14:paraId="14DEC5DB" w14:textId="118D3B8B" w:rsidR="00603103" w:rsidRPr="0047340D" w:rsidRDefault="00603103" w:rsidP="00603103">
            <w:pPr>
              <w:pStyle w:val="Tabletext"/>
              <w:rPr>
                <w:rFonts w:cs="Arial"/>
                <w:sz w:val="12"/>
                <w:szCs w:val="12"/>
              </w:rPr>
            </w:pPr>
            <w:r w:rsidRPr="0047340D">
              <w:rPr>
                <w:rFonts w:cs="Arial"/>
                <w:sz w:val="12"/>
                <w:szCs w:val="12"/>
              </w:rPr>
              <w:t>(57) [31</w:t>
            </w:r>
            <w:r>
              <w:rPr>
                <w:rFonts w:cs="Arial"/>
                <w:sz w:val="12"/>
                <w:szCs w:val="12"/>
              </w:rPr>
              <w:t>2</w:t>
            </w:r>
            <w:r w:rsidRPr="0047340D">
              <w:rPr>
                <w:rFonts w:cs="Arial"/>
                <w:sz w:val="12"/>
                <w:szCs w:val="12"/>
              </w:rPr>
              <w:t>/54</w:t>
            </w:r>
            <w:r>
              <w:rPr>
                <w:rFonts w:cs="Arial"/>
                <w:sz w:val="12"/>
                <w:szCs w:val="12"/>
              </w:rPr>
              <w:t>7</w:t>
            </w:r>
            <w:r w:rsidRPr="0047340D">
              <w:rPr>
                <w:rFonts w:cs="Arial"/>
                <w:sz w:val="12"/>
                <w:szCs w:val="12"/>
              </w:rPr>
              <w:t>]</w:t>
            </w:r>
          </w:p>
        </w:tc>
        <w:tc>
          <w:tcPr>
            <w:tcW w:w="1212" w:type="dxa"/>
            <w:vAlign w:val="center"/>
          </w:tcPr>
          <w:p w14:paraId="62EC3509" w14:textId="043DE4B7" w:rsidR="00603103" w:rsidRPr="00606436" w:rsidRDefault="00603103" w:rsidP="00606436">
            <w:pPr>
              <w:pStyle w:val="Body"/>
              <w:rPr>
                <w:sz w:val="12"/>
                <w:szCs w:val="12"/>
              </w:rPr>
            </w:pPr>
            <w:r w:rsidRPr="00606436">
              <w:rPr>
                <w:sz w:val="12"/>
                <w:szCs w:val="12"/>
              </w:rPr>
              <w:t xml:space="preserve">(63) [337/533] </w:t>
            </w:r>
          </w:p>
        </w:tc>
        <w:tc>
          <w:tcPr>
            <w:tcW w:w="1236" w:type="dxa"/>
            <w:vAlign w:val="center"/>
          </w:tcPr>
          <w:p w14:paraId="3821BCB0" w14:textId="3A881759" w:rsidR="00603103" w:rsidRPr="00606436" w:rsidRDefault="00603103" w:rsidP="00606436">
            <w:pPr>
              <w:pStyle w:val="Body"/>
              <w:rPr>
                <w:sz w:val="12"/>
                <w:szCs w:val="12"/>
              </w:rPr>
            </w:pPr>
            <w:r w:rsidRPr="00606436">
              <w:rPr>
                <w:sz w:val="12"/>
                <w:szCs w:val="12"/>
              </w:rPr>
              <w:t xml:space="preserve">(66) [361/549] </w:t>
            </w:r>
          </w:p>
        </w:tc>
        <w:tc>
          <w:tcPr>
            <w:tcW w:w="1344" w:type="dxa"/>
            <w:vAlign w:val="center"/>
          </w:tcPr>
          <w:p w14:paraId="46DEF615" w14:textId="476CF7B7" w:rsidR="00603103" w:rsidRPr="00606436" w:rsidRDefault="00603103" w:rsidP="00606436">
            <w:pPr>
              <w:pStyle w:val="Body"/>
              <w:rPr>
                <w:sz w:val="12"/>
                <w:szCs w:val="12"/>
              </w:rPr>
            </w:pPr>
            <w:r w:rsidRPr="00606436">
              <w:rPr>
                <w:sz w:val="12"/>
                <w:szCs w:val="12"/>
              </w:rPr>
              <w:t xml:space="preserve">(59) [319/541] </w:t>
            </w:r>
          </w:p>
        </w:tc>
        <w:tc>
          <w:tcPr>
            <w:tcW w:w="1344" w:type="dxa"/>
            <w:vAlign w:val="center"/>
          </w:tcPr>
          <w:p w14:paraId="2C9E9267" w14:textId="31263F4E" w:rsidR="00603103" w:rsidRPr="00606436" w:rsidRDefault="00603103" w:rsidP="00606436">
            <w:pPr>
              <w:pStyle w:val="Body"/>
              <w:rPr>
                <w:sz w:val="12"/>
                <w:szCs w:val="12"/>
              </w:rPr>
            </w:pPr>
            <w:r w:rsidRPr="00606436">
              <w:rPr>
                <w:sz w:val="12"/>
                <w:szCs w:val="12"/>
              </w:rPr>
              <w:t xml:space="preserve">(58) [339/585] </w:t>
            </w:r>
          </w:p>
        </w:tc>
        <w:tc>
          <w:tcPr>
            <w:tcW w:w="1344" w:type="dxa"/>
            <w:vAlign w:val="center"/>
          </w:tcPr>
          <w:p w14:paraId="2C549F31" w14:textId="4A616517" w:rsidR="00603103" w:rsidRPr="00606436" w:rsidRDefault="00603103" w:rsidP="00606436">
            <w:pPr>
              <w:pStyle w:val="Body"/>
              <w:rPr>
                <w:sz w:val="12"/>
                <w:szCs w:val="12"/>
              </w:rPr>
            </w:pPr>
            <w:r w:rsidRPr="00606436">
              <w:rPr>
                <w:sz w:val="12"/>
                <w:szCs w:val="12"/>
              </w:rPr>
              <w:t xml:space="preserve">(60) [356/594] </w:t>
            </w:r>
          </w:p>
        </w:tc>
      </w:tr>
      <w:tr w:rsidR="004D1375" w:rsidRPr="0047340D" w14:paraId="41A930CD" w14:textId="456BD28C" w:rsidTr="004D1375">
        <w:trPr>
          <w:trHeight w:val="227"/>
          <w:jc w:val="center"/>
        </w:trPr>
        <w:tc>
          <w:tcPr>
            <w:tcW w:w="810" w:type="dxa"/>
            <w:vAlign w:val="center"/>
          </w:tcPr>
          <w:p w14:paraId="13A35271" w14:textId="77777777" w:rsidR="004D1375" w:rsidRPr="0047340D" w:rsidRDefault="004D1375" w:rsidP="004D1375">
            <w:pPr>
              <w:pStyle w:val="Tabletext"/>
              <w:rPr>
                <w:rFonts w:cs="Arial"/>
                <w:sz w:val="12"/>
                <w:szCs w:val="12"/>
              </w:rPr>
            </w:pPr>
            <w:r w:rsidRPr="0047340D">
              <w:rPr>
                <w:rFonts w:cs="Arial"/>
                <w:sz w:val="12"/>
                <w:szCs w:val="12"/>
              </w:rPr>
              <w:t>LMICS</w:t>
            </w:r>
          </w:p>
        </w:tc>
        <w:tc>
          <w:tcPr>
            <w:tcW w:w="1296" w:type="dxa"/>
            <w:vAlign w:val="center"/>
          </w:tcPr>
          <w:p w14:paraId="7B9E77EA" w14:textId="61D84BC2" w:rsidR="004D1375" w:rsidRPr="0047340D" w:rsidRDefault="004D1375" w:rsidP="004D1375">
            <w:pPr>
              <w:pStyle w:val="Tabletext"/>
              <w:rPr>
                <w:rFonts w:cs="Arial"/>
                <w:sz w:val="12"/>
                <w:szCs w:val="12"/>
              </w:rPr>
            </w:pPr>
            <w:r w:rsidRPr="0047340D">
              <w:rPr>
                <w:rFonts w:cs="Arial"/>
                <w:sz w:val="12"/>
                <w:szCs w:val="12"/>
              </w:rPr>
              <w:t>(65) [40</w:t>
            </w:r>
            <w:r>
              <w:rPr>
                <w:rFonts w:cs="Arial"/>
                <w:sz w:val="12"/>
                <w:szCs w:val="12"/>
              </w:rPr>
              <w:t>8</w:t>
            </w:r>
            <w:r w:rsidRPr="0047340D">
              <w:rPr>
                <w:rFonts w:cs="Arial"/>
                <w:sz w:val="12"/>
                <w:szCs w:val="12"/>
              </w:rPr>
              <w:t>/63</w:t>
            </w:r>
            <w:r>
              <w:rPr>
                <w:rFonts w:cs="Arial"/>
                <w:sz w:val="12"/>
                <w:szCs w:val="12"/>
              </w:rPr>
              <w:t>2</w:t>
            </w:r>
            <w:r w:rsidRPr="0047340D">
              <w:rPr>
                <w:rFonts w:cs="Arial"/>
                <w:sz w:val="12"/>
                <w:szCs w:val="12"/>
              </w:rPr>
              <w:t>]</w:t>
            </w:r>
          </w:p>
        </w:tc>
        <w:tc>
          <w:tcPr>
            <w:tcW w:w="1491" w:type="dxa"/>
            <w:vAlign w:val="center"/>
          </w:tcPr>
          <w:p w14:paraId="096B3510" w14:textId="21022C93" w:rsidR="004D1375" w:rsidRPr="0047340D" w:rsidRDefault="004D1375" w:rsidP="004D1375">
            <w:pPr>
              <w:pStyle w:val="Tabletext"/>
              <w:rPr>
                <w:rFonts w:cs="Arial"/>
                <w:sz w:val="12"/>
                <w:szCs w:val="12"/>
              </w:rPr>
            </w:pPr>
            <w:r w:rsidRPr="0047340D">
              <w:rPr>
                <w:rFonts w:cs="Arial"/>
                <w:sz w:val="12"/>
                <w:szCs w:val="12"/>
              </w:rPr>
              <w:t>(65) [44</w:t>
            </w:r>
            <w:r>
              <w:rPr>
                <w:rFonts w:cs="Arial"/>
                <w:sz w:val="12"/>
                <w:szCs w:val="12"/>
              </w:rPr>
              <w:t>1</w:t>
            </w:r>
            <w:r w:rsidRPr="0047340D">
              <w:rPr>
                <w:rFonts w:cs="Arial"/>
                <w:sz w:val="12"/>
                <w:szCs w:val="12"/>
              </w:rPr>
              <w:t>/6</w:t>
            </w:r>
            <w:r>
              <w:rPr>
                <w:rFonts w:cs="Arial"/>
                <w:sz w:val="12"/>
                <w:szCs w:val="12"/>
              </w:rPr>
              <w:t>81</w:t>
            </w:r>
            <w:r w:rsidRPr="0047340D">
              <w:rPr>
                <w:rFonts w:cs="Arial"/>
                <w:sz w:val="12"/>
                <w:szCs w:val="12"/>
              </w:rPr>
              <w:t>]</w:t>
            </w:r>
          </w:p>
        </w:tc>
        <w:tc>
          <w:tcPr>
            <w:tcW w:w="1229" w:type="dxa"/>
            <w:vAlign w:val="center"/>
          </w:tcPr>
          <w:p w14:paraId="70DF4D66" w14:textId="49FF2BB6" w:rsidR="004D1375" w:rsidRPr="0047340D" w:rsidRDefault="004D1375" w:rsidP="004D1375">
            <w:pPr>
              <w:pStyle w:val="Tabletext"/>
              <w:rPr>
                <w:rFonts w:cs="Arial"/>
                <w:sz w:val="12"/>
                <w:szCs w:val="12"/>
              </w:rPr>
            </w:pPr>
            <w:r w:rsidRPr="0047340D">
              <w:rPr>
                <w:rFonts w:cs="Arial"/>
                <w:sz w:val="12"/>
                <w:szCs w:val="12"/>
              </w:rPr>
              <w:t>(6</w:t>
            </w:r>
            <w:r>
              <w:rPr>
                <w:rFonts w:cs="Arial"/>
                <w:sz w:val="12"/>
                <w:szCs w:val="12"/>
              </w:rPr>
              <w:t>7</w:t>
            </w:r>
            <w:r w:rsidRPr="0047340D">
              <w:rPr>
                <w:rFonts w:cs="Arial"/>
                <w:sz w:val="12"/>
                <w:szCs w:val="12"/>
              </w:rPr>
              <w:t>) [48</w:t>
            </w:r>
            <w:r>
              <w:rPr>
                <w:rFonts w:cs="Arial"/>
                <w:sz w:val="12"/>
                <w:szCs w:val="12"/>
              </w:rPr>
              <w:t>8</w:t>
            </w:r>
            <w:r w:rsidRPr="0047340D">
              <w:rPr>
                <w:rFonts w:cs="Arial"/>
                <w:sz w:val="12"/>
                <w:szCs w:val="12"/>
              </w:rPr>
              <w:t>/72</w:t>
            </w:r>
            <w:r>
              <w:rPr>
                <w:rFonts w:cs="Arial"/>
                <w:sz w:val="12"/>
                <w:szCs w:val="12"/>
              </w:rPr>
              <w:t>3</w:t>
            </w:r>
            <w:r w:rsidRPr="0047340D">
              <w:rPr>
                <w:rFonts w:cs="Arial"/>
                <w:sz w:val="12"/>
                <w:szCs w:val="12"/>
              </w:rPr>
              <w:t>]</w:t>
            </w:r>
          </w:p>
        </w:tc>
        <w:tc>
          <w:tcPr>
            <w:tcW w:w="1212" w:type="dxa"/>
            <w:vAlign w:val="center"/>
          </w:tcPr>
          <w:p w14:paraId="25819AEA" w14:textId="6A7CEDBD" w:rsidR="004D1375" w:rsidRPr="00606436" w:rsidRDefault="004D1375" w:rsidP="00606436">
            <w:pPr>
              <w:pStyle w:val="Body"/>
              <w:rPr>
                <w:sz w:val="12"/>
                <w:szCs w:val="12"/>
              </w:rPr>
            </w:pPr>
            <w:r w:rsidRPr="00606436">
              <w:rPr>
                <w:sz w:val="12"/>
                <w:szCs w:val="12"/>
              </w:rPr>
              <w:t xml:space="preserve">(58) [428/738] </w:t>
            </w:r>
          </w:p>
        </w:tc>
        <w:tc>
          <w:tcPr>
            <w:tcW w:w="1236" w:type="dxa"/>
            <w:vAlign w:val="center"/>
          </w:tcPr>
          <w:p w14:paraId="0AA743C5" w14:textId="2C80E7AF" w:rsidR="004D1375" w:rsidRPr="00606436" w:rsidRDefault="004D1375" w:rsidP="00606436">
            <w:pPr>
              <w:pStyle w:val="Body"/>
              <w:rPr>
                <w:sz w:val="12"/>
                <w:szCs w:val="12"/>
              </w:rPr>
            </w:pPr>
            <w:r w:rsidRPr="00606436">
              <w:rPr>
                <w:sz w:val="12"/>
                <w:szCs w:val="12"/>
              </w:rPr>
              <w:t xml:space="preserve">(66) [500/761] </w:t>
            </w:r>
          </w:p>
        </w:tc>
        <w:tc>
          <w:tcPr>
            <w:tcW w:w="1344" w:type="dxa"/>
            <w:vAlign w:val="center"/>
          </w:tcPr>
          <w:p w14:paraId="19534355" w14:textId="62BC8A7A" w:rsidR="004D1375" w:rsidRPr="00606436" w:rsidRDefault="004D1375" w:rsidP="00606436">
            <w:pPr>
              <w:pStyle w:val="Body"/>
              <w:rPr>
                <w:sz w:val="12"/>
                <w:szCs w:val="12"/>
              </w:rPr>
            </w:pPr>
            <w:r w:rsidRPr="00606436">
              <w:rPr>
                <w:sz w:val="12"/>
                <w:szCs w:val="12"/>
              </w:rPr>
              <w:t xml:space="preserve">(66) [456/687] </w:t>
            </w:r>
          </w:p>
        </w:tc>
        <w:tc>
          <w:tcPr>
            <w:tcW w:w="1344" w:type="dxa"/>
            <w:vAlign w:val="center"/>
          </w:tcPr>
          <w:p w14:paraId="2D5035BD" w14:textId="57A2D066" w:rsidR="004D1375" w:rsidRPr="00606436" w:rsidRDefault="004D1375" w:rsidP="00606436">
            <w:pPr>
              <w:pStyle w:val="Body"/>
              <w:rPr>
                <w:sz w:val="12"/>
                <w:szCs w:val="12"/>
              </w:rPr>
            </w:pPr>
            <w:r w:rsidRPr="00606436">
              <w:rPr>
                <w:sz w:val="12"/>
                <w:szCs w:val="12"/>
              </w:rPr>
              <w:t xml:space="preserve">(67) [493/740] </w:t>
            </w:r>
          </w:p>
        </w:tc>
        <w:tc>
          <w:tcPr>
            <w:tcW w:w="1344" w:type="dxa"/>
            <w:vAlign w:val="center"/>
          </w:tcPr>
          <w:p w14:paraId="54792418" w14:textId="24996D98" w:rsidR="004D1375" w:rsidRPr="00606436" w:rsidRDefault="004D1375" w:rsidP="00606436">
            <w:pPr>
              <w:pStyle w:val="Body"/>
              <w:rPr>
                <w:sz w:val="12"/>
                <w:szCs w:val="12"/>
              </w:rPr>
            </w:pPr>
            <w:r w:rsidRPr="00606436">
              <w:rPr>
                <w:sz w:val="12"/>
                <w:szCs w:val="12"/>
              </w:rPr>
              <w:t>(6</w:t>
            </w:r>
            <w:r w:rsidR="00603103" w:rsidRPr="00606436">
              <w:rPr>
                <w:sz w:val="12"/>
                <w:szCs w:val="12"/>
              </w:rPr>
              <w:t>3</w:t>
            </w:r>
            <w:r w:rsidRPr="00606436">
              <w:rPr>
                <w:sz w:val="12"/>
                <w:szCs w:val="12"/>
              </w:rPr>
              <w:t>) [4</w:t>
            </w:r>
            <w:r w:rsidR="00603103" w:rsidRPr="00606436">
              <w:rPr>
                <w:sz w:val="12"/>
                <w:szCs w:val="12"/>
              </w:rPr>
              <w:t>63</w:t>
            </w:r>
            <w:r w:rsidRPr="00606436">
              <w:rPr>
                <w:sz w:val="12"/>
                <w:szCs w:val="12"/>
              </w:rPr>
              <w:t>/</w:t>
            </w:r>
            <w:r w:rsidR="00603103" w:rsidRPr="00606436">
              <w:rPr>
                <w:sz w:val="12"/>
                <w:szCs w:val="12"/>
              </w:rPr>
              <w:t>735</w:t>
            </w:r>
            <w:r w:rsidRPr="00606436">
              <w:rPr>
                <w:sz w:val="12"/>
                <w:szCs w:val="12"/>
              </w:rPr>
              <w:t xml:space="preserve">] </w:t>
            </w:r>
          </w:p>
        </w:tc>
      </w:tr>
      <w:tr w:rsidR="0047340D" w:rsidRPr="0047340D" w14:paraId="66C18DA4" w14:textId="466A8163" w:rsidTr="0047340D">
        <w:trPr>
          <w:trHeight w:val="237"/>
          <w:jc w:val="center"/>
        </w:trPr>
        <w:tc>
          <w:tcPr>
            <w:tcW w:w="810" w:type="dxa"/>
            <w:vAlign w:val="center"/>
          </w:tcPr>
          <w:p w14:paraId="12C1EDEF" w14:textId="77777777" w:rsidR="0047340D" w:rsidRPr="0047340D" w:rsidRDefault="0047340D" w:rsidP="001D4B45">
            <w:pPr>
              <w:pStyle w:val="Tabletext"/>
              <w:rPr>
                <w:rFonts w:cs="Arial"/>
                <w:sz w:val="12"/>
                <w:szCs w:val="12"/>
              </w:rPr>
            </w:pPr>
            <w:r w:rsidRPr="0047340D">
              <w:rPr>
                <w:rFonts w:cs="Arial"/>
                <w:sz w:val="12"/>
                <w:szCs w:val="12"/>
              </w:rPr>
              <w:t>GICS</w:t>
            </w:r>
          </w:p>
        </w:tc>
        <w:tc>
          <w:tcPr>
            <w:tcW w:w="1296" w:type="dxa"/>
            <w:vAlign w:val="center"/>
          </w:tcPr>
          <w:p w14:paraId="34D1ABE9" w14:textId="0FD55842" w:rsidR="0047340D" w:rsidRPr="0047340D" w:rsidRDefault="0047340D" w:rsidP="001D4B45">
            <w:pPr>
              <w:pStyle w:val="Tabletext"/>
              <w:rPr>
                <w:rFonts w:cs="Arial"/>
                <w:sz w:val="12"/>
                <w:szCs w:val="12"/>
              </w:rPr>
            </w:pPr>
            <w:r w:rsidRPr="0047340D">
              <w:rPr>
                <w:rFonts w:cs="Arial"/>
                <w:sz w:val="12"/>
                <w:szCs w:val="12"/>
              </w:rPr>
              <w:t>(67) [30</w:t>
            </w:r>
            <w:r w:rsidR="004D1375">
              <w:rPr>
                <w:rFonts w:cs="Arial"/>
                <w:sz w:val="12"/>
                <w:szCs w:val="12"/>
              </w:rPr>
              <w:t>1</w:t>
            </w:r>
            <w:r w:rsidRPr="0047340D">
              <w:rPr>
                <w:rFonts w:cs="Arial"/>
                <w:sz w:val="12"/>
                <w:szCs w:val="12"/>
              </w:rPr>
              <w:t>/44</w:t>
            </w:r>
            <w:r w:rsidR="004D1375">
              <w:rPr>
                <w:rFonts w:cs="Arial"/>
                <w:sz w:val="12"/>
                <w:szCs w:val="12"/>
              </w:rPr>
              <w:t>9</w:t>
            </w:r>
            <w:r w:rsidRPr="0047340D">
              <w:rPr>
                <w:rFonts w:cs="Arial"/>
                <w:sz w:val="12"/>
                <w:szCs w:val="12"/>
              </w:rPr>
              <w:t>]</w:t>
            </w:r>
          </w:p>
        </w:tc>
        <w:tc>
          <w:tcPr>
            <w:tcW w:w="1491" w:type="dxa"/>
            <w:vAlign w:val="center"/>
          </w:tcPr>
          <w:p w14:paraId="6ABCEB6C" w14:textId="1A1E5A40" w:rsidR="0047340D" w:rsidRPr="0047340D" w:rsidRDefault="0047340D" w:rsidP="001D4B45">
            <w:pPr>
              <w:pStyle w:val="Tabletext"/>
              <w:rPr>
                <w:rFonts w:cs="Arial"/>
                <w:sz w:val="12"/>
                <w:szCs w:val="12"/>
              </w:rPr>
            </w:pPr>
            <w:r w:rsidRPr="0047340D">
              <w:rPr>
                <w:rFonts w:cs="Arial"/>
                <w:sz w:val="12"/>
                <w:szCs w:val="12"/>
              </w:rPr>
              <w:t>(65) [3</w:t>
            </w:r>
            <w:r w:rsidR="004D1375">
              <w:rPr>
                <w:rFonts w:cs="Arial"/>
                <w:sz w:val="12"/>
                <w:szCs w:val="12"/>
              </w:rPr>
              <w:t>10</w:t>
            </w:r>
            <w:r w:rsidRPr="0047340D">
              <w:rPr>
                <w:rFonts w:cs="Arial"/>
                <w:sz w:val="12"/>
                <w:szCs w:val="12"/>
              </w:rPr>
              <w:t>/476]</w:t>
            </w:r>
          </w:p>
        </w:tc>
        <w:tc>
          <w:tcPr>
            <w:tcW w:w="1229" w:type="dxa"/>
            <w:vAlign w:val="center"/>
          </w:tcPr>
          <w:p w14:paraId="6CA09002" w14:textId="22B4BE89" w:rsidR="0047340D" w:rsidRPr="0047340D" w:rsidRDefault="0047340D" w:rsidP="001D4B45">
            <w:pPr>
              <w:pStyle w:val="Tabletext"/>
              <w:rPr>
                <w:rFonts w:cs="Arial"/>
                <w:sz w:val="12"/>
                <w:szCs w:val="12"/>
              </w:rPr>
            </w:pPr>
            <w:r w:rsidRPr="0047340D">
              <w:rPr>
                <w:rFonts w:cs="Arial"/>
                <w:sz w:val="12"/>
                <w:szCs w:val="12"/>
              </w:rPr>
              <w:t>(71) [35</w:t>
            </w:r>
            <w:r w:rsidR="004D1375">
              <w:rPr>
                <w:rFonts w:cs="Arial"/>
                <w:sz w:val="12"/>
                <w:szCs w:val="12"/>
              </w:rPr>
              <w:t>2</w:t>
            </w:r>
            <w:r w:rsidRPr="0047340D">
              <w:rPr>
                <w:rFonts w:cs="Arial"/>
                <w:sz w:val="12"/>
                <w:szCs w:val="12"/>
              </w:rPr>
              <w:t>/49</w:t>
            </w:r>
            <w:r w:rsidR="004D1375">
              <w:rPr>
                <w:rFonts w:cs="Arial"/>
                <w:sz w:val="12"/>
                <w:szCs w:val="12"/>
              </w:rPr>
              <w:t>3</w:t>
            </w:r>
            <w:r w:rsidRPr="0047340D">
              <w:rPr>
                <w:rFonts w:cs="Arial"/>
                <w:sz w:val="12"/>
                <w:szCs w:val="12"/>
              </w:rPr>
              <w:t>]</w:t>
            </w:r>
          </w:p>
        </w:tc>
        <w:tc>
          <w:tcPr>
            <w:tcW w:w="1212" w:type="dxa"/>
            <w:vAlign w:val="center"/>
          </w:tcPr>
          <w:p w14:paraId="1B6FB46D" w14:textId="35F73FC7" w:rsidR="0047340D" w:rsidRPr="00606436" w:rsidRDefault="0047340D" w:rsidP="00606436">
            <w:pPr>
              <w:pStyle w:val="Body"/>
              <w:rPr>
                <w:sz w:val="12"/>
                <w:szCs w:val="12"/>
              </w:rPr>
            </w:pPr>
            <w:r w:rsidRPr="00606436">
              <w:rPr>
                <w:sz w:val="12"/>
                <w:szCs w:val="12"/>
              </w:rPr>
              <w:t>(71) [3</w:t>
            </w:r>
            <w:r w:rsidR="004D1375" w:rsidRPr="00606436">
              <w:rPr>
                <w:sz w:val="12"/>
                <w:szCs w:val="12"/>
              </w:rPr>
              <w:t>69</w:t>
            </w:r>
            <w:r w:rsidRPr="00606436">
              <w:rPr>
                <w:sz w:val="12"/>
                <w:szCs w:val="12"/>
              </w:rPr>
              <w:t>/52</w:t>
            </w:r>
            <w:r w:rsidR="004D1375" w:rsidRPr="00606436">
              <w:rPr>
                <w:sz w:val="12"/>
                <w:szCs w:val="12"/>
              </w:rPr>
              <w:t>2</w:t>
            </w:r>
            <w:r w:rsidRPr="00606436">
              <w:rPr>
                <w:sz w:val="12"/>
                <w:szCs w:val="12"/>
              </w:rPr>
              <w:t xml:space="preserve">] </w:t>
            </w:r>
          </w:p>
        </w:tc>
        <w:tc>
          <w:tcPr>
            <w:tcW w:w="1236" w:type="dxa"/>
            <w:vAlign w:val="center"/>
          </w:tcPr>
          <w:p w14:paraId="12EE06F6" w14:textId="353D0560" w:rsidR="0047340D" w:rsidRPr="00606436" w:rsidRDefault="0047340D" w:rsidP="00606436">
            <w:pPr>
              <w:pStyle w:val="Body"/>
              <w:rPr>
                <w:sz w:val="12"/>
                <w:szCs w:val="12"/>
              </w:rPr>
            </w:pPr>
            <w:r w:rsidRPr="00606436">
              <w:rPr>
                <w:sz w:val="12"/>
                <w:szCs w:val="12"/>
              </w:rPr>
              <w:t>(72) [378/52</w:t>
            </w:r>
            <w:r w:rsidR="004D1375" w:rsidRPr="00606436">
              <w:rPr>
                <w:sz w:val="12"/>
                <w:szCs w:val="12"/>
              </w:rPr>
              <w:t>3</w:t>
            </w:r>
            <w:r w:rsidRPr="00606436">
              <w:rPr>
                <w:sz w:val="12"/>
                <w:szCs w:val="12"/>
              </w:rPr>
              <w:t xml:space="preserve">] </w:t>
            </w:r>
          </w:p>
        </w:tc>
        <w:tc>
          <w:tcPr>
            <w:tcW w:w="1344" w:type="dxa"/>
            <w:vAlign w:val="center"/>
          </w:tcPr>
          <w:p w14:paraId="10E30A57" w14:textId="10B4D801" w:rsidR="0047340D" w:rsidRPr="00606436" w:rsidRDefault="0047340D" w:rsidP="00606436">
            <w:pPr>
              <w:pStyle w:val="Body"/>
              <w:rPr>
                <w:sz w:val="12"/>
                <w:szCs w:val="12"/>
              </w:rPr>
            </w:pPr>
            <w:r w:rsidRPr="00606436">
              <w:rPr>
                <w:sz w:val="12"/>
                <w:szCs w:val="12"/>
              </w:rPr>
              <w:t>(7</w:t>
            </w:r>
            <w:r w:rsidR="004D1375" w:rsidRPr="00606436">
              <w:rPr>
                <w:sz w:val="12"/>
                <w:szCs w:val="12"/>
              </w:rPr>
              <w:t>3</w:t>
            </w:r>
            <w:r w:rsidRPr="00606436">
              <w:rPr>
                <w:sz w:val="12"/>
                <w:szCs w:val="12"/>
              </w:rPr>
              <w:t>) [383/52</w:t>
            </w:r>
            <w:r w:rsidR="004D1375" w:rsidRPr="00606436">
              <w:rPr>
                <w:sz w:val="12"/>
                <w:szCs w:val="12"/>
              </w:rPr>
              <w:t>2</w:t>
            </w:r>
            <w:r w:rsidRPr="00606436">
              <w:rPr>
                <w:sz w:val="12"/>
                <w:szCs w:val="12"/>
              </w:rPr>
              <w:t xml:space="preserve">] </w:t>
            </w:r>
          </w:p>
        </w:tc>
        <w:tc>
          <w:tcPr>
            <w:tcW w:w="1344" w:type="dxa"/>
            <w:vAlign w:val="center"/>
          </w:tcPr>
          <w:p w14:paraId="6ABAA48D" w14:textId="56DCDE6C" w:rsidR="0047340D" w:rsidRPr="00606436" w:rsidRDefault="004D1375" w:rsidP="00606436">
            <w:pPr>
              <w:pStyle w:val="Body"/>
              <w:rPr>
                <w:sz w:val="12"/>
                <w:szCs w:val="12"/>
              </w:rPr>
            </w:pPr>
            <w:r w:rsidRPr="00606436">
              <w:rPr>
                <w:sz w:val="12"/>
                <w:szCs w:val="12"/>
              </w:rPr>
              <w:t>(70) [395/566]</w:t>
            </w:r>
          </w:p>
        </w:tc>
        <w:tc>
          <w:tcPr>
            <w:tcW w:w="1344" w:type="dxa"/>
            <w:vAlign w:val="center"/>
          </w:tcPr>
          <w:p w14:paraId="7EF2968B" w14:textId="224FF3E0" w:rsidR="0047340D" w:rsidRPr="00606436" w:rsidRDefault="004D1375" w:rsidP="00606436">
            <w:pPr>
              <w:pStyle w:val="Body"/>
              <w:rPr>
                <w:sz w:val="12"/>
                <w:szCs w:val="12"/>
              </w:rPr>
            </w:pPr>
            <w:r w:rsidRPr="00606436">
              <w:rPr>
                <w:sz w:val="12"/>
                <w:szCs w:val="12"/>
              </w:rPr>
              <w:t>(67) [370/552]</w:t>
            </w:r>
          </w:p>
        </w:tc>
      </w:tr>
      <w:tr w:rsidR="00437BC5" w:rsidRPr="0047340D" w14:paraId="004371AE" w14:textId="3B863BB2" w:rsidTr="00437BC5">
        <w:trPr>
          <w:trHeight w:val="237"/>
          <w:jc w:val="center"/>
        </w:trPr>
        <w:tc>
          <w:tcPr>
            <w:tcW w:w="810" w:type="dxa"/>
            <w:tcBorders>
              <w:top w:val="nil"/>
            </w:tcBorders>
            <w:vAlign w:val="center"/>
          </w:tcPr>
          <w:p w14:paraId="67BFDEE2" w14:textId="77777777" w:rsidR="00437BC5" w:rsidRPr="0047340D" w:rsidRDefault="00437BC5" w:rsidP="00437BC5">
            <w:pPr>
              <w:pStyle w:val="Tabletext"/>
              <w:rPr>
                <w:rFonts w:cs="Arial"/>
                <w:b/>
                <w:bCs/>
                <w:sz w:val="12"/>
                <w:szCs w:val="12"/>
              </w:rPr>
            </w:pPr>
            <w:r w:rsidRPr="0047340D">
              <w:rPr>
                <w:rFonts w:cs="Arial"/>
                <w:b/>
                <w:bCs/>
                <w:sz w:val="12"/>
                <w:szCs w:val="12"/>
              </w:rPr>
              <w:t>Victoria</w:t>
            </w:r>
          </w:p>
        </w:tc>
        <w:tc>
          <w:tcPr>
            <w:tcW w:w="1296" w:type="dxa"/>
            <w:tcBorders>
              <w:top w:val="nil"/>
            </w:tcBorders>
            <w:vAlign w:val="center"/>
          </w:tcPr>
          <w:p w14:paraId="46D672C5" w14:textId="213BB4C3" w:rsidR="00437BC5" w:rsidRPr="0047340D" w:rsidRDefault="00437BC5" w:rsidP="00437BC5">
            <w:pPr>
              <w:pStyle w:val="Tabletext"/>
              <w:rPr>
                <w:rFonts w:cs="Arial"/>
                <w:b/>
                <w:sz w:val="12"/>
                <w:szCs w:val="12"/>
              </w:rPr>
            </w:pPr>
            <w:r w:rsidRPr="0047340D">
              <w:rPr>
                <w:rFonts w:cs="Arial"/>
                <w:b/>
                <w:sz w:val="12"/>
                <w:szCs w:val="12"/>
              </w:rPr>
              <w:t>(6</w:t>
            </w:r>
            <w:r>
              <w:rPr>
                <w:rFonts w:cs="Arial"/>
                <w:b/>
                <w:sz w:val="12"/>
                <w:szCs w:val="12"/>
              </w:rPr>
              <w:t>8</w:t>
            </w:r>
            <w:r w:rsidRPr="0047340D">
              <w:rPr>
                <w:rFonts w:cs="Arial"/>
                <w:b/>
                <w:sz w:val="12"/>
                <w:szCs w:val="12"/>
              </w:rPr>
              <w:t>) [6,0</w:t>
            </w:r>
            <w:r>
              <w:rPr>
                <w:rFonts w:cs="Arial"/>
                <w:b/>
                <w:sz w:val="12"/>
                <w:szCs w:val="12"/>
              </w:rPr>
              <w:t>10</w:t>
            </w:r>
            <w:r w:rsidRPr="0047340D">
              <w:rPr>
                <w:rFonts w:cs="Arial"/>
                <w:b/>
                <w:sz w:val="12"/>
                <w:szCs w:val="12"/>
              </w:rPr>
              <w:t>/8,79</w:t>
            </w:r>
            <w:r>
              <w:rPr>
                <w:rFonts w:cs="Arial"/>
                <w:b/>
                <w:sz w:val="12"/>
                <w:szCs w:val="12"/>
              </w:rPr>
              <w:t>4</w:t>
            </w:r>
            <w:r w:rsidRPr="0047340D">
              <w:rPr>
                <w:rFonts w:cs="Arial"/>
                <w:b/>
                <w:sz w:val="12"/>
                <w:szCs w:val="12"/>
              </w:rPr>
              <w:t>]</w:t>
            </w:r>
          </w:p>
        </w:tc>
        <w:tc>
          <w:tcPr>
            <w:tcW w:w="1491" w:type="dxa"/>
            <w:tcBorders>
              <w:top w:val="nil"/>
            </w:tcBorders>
            <w:vAlign w:val="center"/>
          </w:tcPr>
          <w:p w14:paraId="2BFDD446" w14:textId="4424FE21" w:rsidR="00437BC5" w:rsidRPr="0047340D" w:rsidRDefault="00437BC5" w:rsidP="00437BC5">
            <w:pPr>
              <w:pStyle w:val="Tabletext"/>
              <w:rPr>
                <w:rFonts w:cs="Arial"/>
                <w:b/>
                <w:sz w:val="12"/>
                <w:szCs w:val="12"/>
              </w:rPr>
            </w:pPr>
            <w:r w:rsidRPr="0047340D">
              <w:rPr>
                <w:rFonts w:cs="Arial"/>
                <w:b/>
                <w:sz w:val="12"/>
                <w:szCs w:val="12"/>
              </w:rPr>
              <w:t>(67) [6,3</w:t>
            </w:r>
            <w:r>
              <w:rPr>
                <w:rFonts w:cs="Arial"/>
                <w:b/>
                <w:sz w:val="12"/>
                <w:szCs w:val="12"/>
              </w:rPr>
              <w:t>58</w:t>
            </w:r>
            <w:r w:rsidRPr="0047340D">
              <w:rPr>
                <w:rFonts w:cs="Arial"/>
                <w:b/>
                <w:sz w:val="12"/>
                <w:szCs w:val="12"/>
              </w:rPr>
              <w:t>/9,4</w:t>
            </w:r>
            <w:r>
              <w:rPr>
                <w:rFonts w:cs="Arial"/>
                <w:b/>
                <w:sz w:val="12"/>
                <w:szCs w:val="12"/>
              </w:rPr>
              <w:t>93</w:t>
            </w:r>
            <w:r w:rsidRPr="0047340D">
              <w:rPr>
                <w:rFonts w:cs="Arial"/>
                <w:b/>
                <w:sz w:val="12"/>
                <w:szCs w:val="12"/>
              </w:rPr>
              <w:t>]</w:t>
            </w:r>
          </w:p>
        </w:tc>
        <w:tc>
          <w:tcPr>
            <w:tcW w:w="1229" w:type="dxa"/>
            <w:tcBorders>
              <w:top w:val="nil"/>
            </w:tcBorders>
            <w:vAlign w:val="center"/>
          </w:tcPr>
          <w:p w14:paraId="43C539B3" w14:textId="4BCC3D85" w:rsidR="00437BC5" w:rsidRPr="0047340D" w:rsidRDefault="00437BC5" w:rsidP="00437BC5">
            <w:pPr>
              <w:pStyle w:val="Tabletext"/>
              <w:rPr>
                <w:rFonts w:cs="Arial"/>
                <w:b/>
                <w:sz w:val="12"/>
                <w:szCs w:val="12"/>
              </w:rPr>
            </w:pPr>
            <w:r w:rsidRPr="0047340D">
              <w:rPr>
                <w:rFonts w:cs="Arial"/>
                <w:b/>
                <w:sz w:val="12"/>
                <w:szCs w:val="12"/>
              </w:rPr>
              <w:t>(68) [6,619/9,</w:t>
            </w:r>
            <w:r>
              <w:rPr>
                <w:rFonts w:cs="Arial"/>
                <w:b/>
                <w:sz w:val="12"/>
                <w:szCs w:val="12"/>
              </w:rPr>
              <w:t>710</w:t>
            </w:r>
            <w:r w:rsidRPr="0047340D">
              <w:rPr>
                <w:rFonts w:cs="Arial"/>
                <w:b/>
                <w:sz w:val="12"/>
                <w:szCs w:val="12"/>
              </w:rPr>
              <w:t>]</w:t>
            </w:r>
          </w:p>
        </w:tc>
        <w:tc>
          <w:tcPr>
            <w:tcW w:w="1212" w:type="dxa"/>
            <w:tcBorders>
              <w:top w:val="nil"/>
            </w:tcBorders>
            <w:vAlign w:val="center"/>
          </w:tcPr>
          <w:p w14:paraId="15252593" w14:textId="6436E0C7" w:rsidR="00437BC5" w:rsidRPr="00CB2DC7" w:rsidRDefault="00437BC5" w:rsidP="00606436">
            <w:pPr>
              <w:pStyle w:val="Body"/>
              <w:rPr>
                <w:b/>
                <w:bCs/>
                <w:sz w:val="12"/>
                <w:szCs w:val="12"/>
              </w:rPr>
            </w:pPr>
            <w:r w:rsidRPr="00CB2DC7">
              <w:rPr>
                <w:b/>
                <w:bCs/>
                <w:sz w:val="12"/>
                <w:szCs w:val="12"/>
              </w:rPr>
              <w:t xml:space="preserve">(67) [6,482/9,612] </w:t>
            </w:r>
          </w:p>
        </w:tc>
        <w:tc>
          <w:tcPr>
            <w:tcW w:w="1236" w:type="dxa"/>
            <w:tcBorders>
              <w:top w:val="nil"/>
            </w:tcBorders>
            <w:vAlign w:val="center"/>
          </w:tcPr>
          <w:p w14:paraId="67C2A2F1" w14:textId="2A607759" w:rsidR="00437BC5" w:rsidRPr="00CB2DC7" w:rsidRDefault="00437BC5" w:rsidP="00606436">
            <w:pPr>
              <w:pStyle w:val="Body"/>
              <w:rPr>
                <w:b/>
                <w:bCs/>
                <w:sz w:val="12"/>
                <w:szCs w:val="12"/>
              </w:rPr>
            </w:pPr>
            <w:r w:rsidRPr="00CB2DC7">
              <w:rPr>
                <w:b/>
                <w:bCs/>
                <w:sz w:val="12"/>
                <w:szCs w:val="12"/>
              </w:rPr>
              <w:t xml:space="preserve">(69) [6,733/9,806] </w:t>
            </w:r>
          </w:p>
        </w:tc>
        <w:tc>
          <w:tcPr>
            <w:tcW w:w="1344" w:type="dxa"/>
            <w:tcBorders>
              <w:top w:val="nil"/>
            </w:tcBorders>
            <w:vAlign w:val="center"/>
          </w:tcPr>
          <w:p w14:paraId="1AF187C1" w14:textId="350D3F3A" w:rsidR="00437BC5" w:rsidRPr="00CB2DC7" w:rsidRDefault="00437BC5" w:rsidP="00606436">
            <w:pPr>
              <w:pStyle w:val="Body"/>
              <w:rPr>
                <w:b/>
                <w:bCs/>
                <w:sz w:val="12"/>
                <w:szCs w:val="12"/>
              </w:rPr>
            </w:pPr>
            <w:r w:rsidRPr="00CB2DC7">
              <w:rPr>
                <w:b/>
                <w:bCs/>
                <w:sz w:val="12"/>
                <w:szCs w:val="12"/>
              </w:rPr>
              <w:t xml:space="preserve">(68) [6,792/10,045] </w:t>
            </w:r>
          </w:p>
        </w:tc>
        <w:tc>
          <w:tcPr>
            <w:tcW w:w="1344" w:type="dxa"/>
            <w:tcBorders>
              <w:top w:val="nil"/>
            </w:tcBorders>
            <w:vAlign w:val="center"/>
          </w:tcPr>
          <w:p w14:paraId="77D78CFF" w14:textId="3B5C863C" w:rsidR="00437BC5" w:rsidRPr="00CB2DC7" w:rsidRDefault="00437BC5" w:rsidP="00606436">
            <w:pPr>
              <w:pStyle w:val="Body"/>
              <w:rPr>
                <w:b/>
                <w:bCs/>
                <w:sz w:val="12"/>
                <w:szCs w:val="12"/>
              </w:rPr>
            </w:pPr>
            <w:r w:rsidRPr="00CB2DC7">
              <w:rPr>
                <w:b/>
                <w:bCs/>
                <w:sz w:val="12"/>
                <w:szCs w:val="12"/>
              </w:rPr>
              <w:t xml:space="preserve">(65) [6,537/10,041] </w:t>
            </w:r>
          </w:p>
        </w:tc>
        <w:tc>
          <w:tcPr>
            <w:tcW w:w="1344" w:type="dxa"/>
            <w:tcBorders>
              <w:top w:val="nil"/>
            </w:tcBorders>
            <w:vAlign w:val="center"/>
          </w:tcPr>
          <w:p w14:paraId="27ACF667" w14:textId="51736738" w:rsidR="00437BC5" w:rsidRPr="00CB2DC7" w:rsidRDefault="00437BC5" w:rsidP="00606436">
            <w:pPr>
              <w:pStyle w:val="Body"/>
              <w:rPr>
                <w:b/>
                <w:bCs/>
                <w:sz w:val="12"/>
                <w:szCs w:val="12"/>
              </w:rPr>
            </w:pPr>
            <w:r w:rsidRPr="00CB2DC7">
              <w:rPr>
                <w:b/>
                <w:bCs/>
                <w:sz w:val="12"/>
                <w:szCs w:val="12"/>
              </w:rPr>
              <w:t xml:space="preserve">(65) [6,617/10,184] </w:t>
            </w:r>
          </w:p>
        </w:tc>
      </w:tr>
    </w:tbl>
    <w:bookmarkEnd w:id="913"/>
    <w:p w14:paraId="63E0DDDE" w14:textId="77777777" w:rsidR="006638EB" w:rsidRPr="002919D4" w:rsidRDefault="005C1C59" w:rsidP="00795504">
      <w:pPr>
        <w:pStyle w:val="Tablefigurenote"/>
        <w:rPr>
          <w:i/>
          <w:iCs/>
          <w:noProof/>
          <w:sz w:val="18"/>
          <w:szCs w:val="18"/>
        </w:rPr>
      </w:pPr>
      <w:r w:rsidRPr="002919D4">
        <w:rPr>
          <w:i/>
          <w:iCs/>
          <w:noProof/>
          <w:sz w:val="18"/>
          <w:szCs w:val="18"/>
        </w:rPr>
        <w:t>Note</w:t>
      </w:r>
      <w:r w:rsidR="00ED6488" w:rsidRPr="002919D4">
        <w:rPr>
          <w:i/>
          <w:iCs/>
          <w:noProof/>
          <w:sz w:val="18"/>
          <w:szCs w:val="18"/>
        </w:rPr>
        <w:t>s</w:t>
      </w:r>
      <w:r w:rsidRPr="002919D4">
        <w:rPr>
          <w:i/>
          <w:iCs/>
          <w:noProof/>
          <w:sz w:val="18"/>
          <w:szCs w:val="18"/>
        </w:rPr>
        <w:t>:</w:t>
      </w:r>
      <w:r w:rsidR="00ED6488" w:rsidRPr="002919D4">
        <w:rPr>
          <w:i/>
          <w:iCs/>
          <w:noProof/>
          <w:sz w:val="18"/>
          <w:szCs w:val="18"/>
        </w:rPr>
        <w:t xml:space="preserve"> </w:t>
      </w:r>
    </w:p>
    <w:p w14:paraId="44AC713A" w14:textId="77777777" w:rsidR="00ED6488" w:rsidRPr="002919D4" w:rsidRDefault="00ED6488" w:rsidP="00795504">
      <w:pPr>
        <w:pStyle w:val="Tablefigurenote"/>
        <w:rPr>
          <w:i/>
          <w:iCs/>
          <w:sz w:val="18"/>
          <w:szCs w:val="18"/>
        </w:rPr>
      </w:pPr>
      <w:r w:rsidRPr="002919D4">
        <w:rPr>
          <w:i/>
          <w:iCs/>
          <w:sz w:val="18"/>
          <w:szCs w:val="18"/>
        </w:rPr>
        <w:t>Cases</w:t>
      </w:r>
    </w:p>
    <w:p w14:paraId="64DB8990" w14:textId="604C8E48" w:rsidR="00ED6488" w:rsidRPr="002919D4" w:rsidRDefault="00ED6488" w:rsidP="00436A0E">
      <w:pPr>
        <w:pStyle w:val="Tablefigurenote"/>
        <w:numPr>
          <w:ilvl w:val="0"/>
          <w:numId w:val="57"/>
        </w:numPr>
        <w:rPr>
          <w:i/>
          <w:iCs/>
          <w:sz w:val="18"/>
          <w:szCs w:val="18"/>
        </w:rPr>
      </w:pPr>
      <w:r w:rsidRPr="002919D4">
        <w:rPr>
          <w:i/>
          <w:iCs/>
          <w:sz w:val="18"/>
          <w:szCs w:val="18"/>
        </w:rPr>
        <w:t>Those whose notification of cancer to the VCR was by death certificate only have been excluded (~5.5</w:t>
      </w:r>
      <w:r w:rsidR="0054537F">
        <w:rPr>
          <w:i/>
          <w:iCs/>
          <w:sz w:val="18"/>
          <w:szCs w:val="18"/>
        </w:rPr>
        <w:t>%</w:t>
      </w:r>
      <w:r w:rsidRPr="002919D4">
        <w:rPr>
          <w:i/>
          <w:iCs/>
          <w:sz w:val="18"/>
          <w:szCs w:val="18"/>
        </w:rPr>
        <w:t xml:space="preserve"> of cancer deaths are </w:t>
      </w:r>
      <w:r w:rsidR="00B474AC" w:rsidRPr="002919D4">
        <w:rPr>
          <w:i/>
          <w:iCs/>
          <w:sz w:val="18"/>
          <w:szCs w:val="18"/>
        </w:rPr>
        <w:t>death certificate only</w:t>
      </w:r>
      <w:r w:rsidRPr="002919D4">
        <w:rPr>
          <w:i/>
          <w:iCs/>
          <w:sz w:val="18"/>
          <w:szCs w:val="18"/>
        </w:rPr>
        <w:t>).</w:t>
      </w:r>
    </w:p>
    <w:p w14:paraId="55394788" w14:textId="77777777" w:rsidR="005C1C59" w:rsidRPr="002919D4" w:rsidRDefault="005C1C59" w:rsidP="00795504">
      <w:pPr>
        <w:pStyle w:val="Tablefigurenote"/>
        <w:rPr>
          <w:i/>
          <w:iCs/>
          <w:noProof/>
          <w:sz w:val="18"/>
          <w:szCs w:val="18"/>
        </w:rPr>
      </w:pPr>
      <w:r w:rsidRPr="002919D4">
        <w:rPr>
          <w:i/>
          <w:iCs/>
          <w:sz w:val="18"/>
          <w:szCs w:val="18"/>
        </w:rPr>
        <w:t>Palliative care (in the year prior to death)</w:t>
      </w:r>
    </w:p>
    <w:p w14:paraId="117A0DAB" w14:textId="77777777" w:rsidR="005C1C59" w:rsidRPr="002919D4" w:rsidRDefault="005C1C59" w:rsidP="00436A0E">
      <w:pPr>
        <w:pStyle w:val="Tablefigurenote"/>
        <w:numPr>
          <w:ilvl w:val="0"/>
          <w:numId w:val="57"/>
        </w:numPr>
        <w:rPr>
          <w:i/>
          <w:iCs/>
          <w:noProof/>
          <w:sz w:val="18"/>
          <w:szCs w:val="18"/>
        </w:rPr>
      </w:pPr>
      <w:r w:rsidRPr="002919D4">
        <w:rPr>
          <w:i/>
          <w:iCs/>
          <w:sz w:val="18"/>
          <w:szCs w:val="18"/>
        </w:rPr>
        <w:lastRenderedPageBreak/>
        <w:t>VAED – episodes with care type 8 or ‘Z515’ diagnosis code</w:t>
      </w:r>
    </w:p>
    <w:p w14:paraId="5247B993" w14:textId="01CB23FB" w:rsidR="003F4F2E" w:rsidRPr="002919D4" w:rsidRDefault="00487C93" w:rsidP="00436A0E">
      <w:pPr>
        <w:pStyle w:val="Tablefigurenote"/>
        <w:numPr>
          <w:ilvl w:val="0"/>
          <w:numId w:val="57"/>
        </w:numPr>
        <w:rPr>
          <w:i/>
          <w:iCs/>
          <w:noProof/>
          <w:sz w:val="18"/>
          <w:szCs w:val="18"/>
        </w:rPr>
      </w:pPr>
      <w:r w:rsidRPr="002919D4">
        <w:rPr>
          <w:rFonts w:cs="Arial"/>
          <w:i/>
          <w:iCs/>
          <w:sz w:val="18"/>
          <w:szCs w:val="18"/>
        </w:rPr>
        <w:t xml:space="preserve">Victorian </w:t>
      </w:r>
      <w:r w:rsidRPr="002919D4">
        <w:rPr>
          <w:rStyle w:val="Emphasis"/>
          <w:rFonts w:cs="Arial"/>
          <w:b w:val="0"/>
          <w:bCs w:val="0"/>
          <w:i/>
          <w:iCs/>
          <w:sz w:val="18"/>
          <w:szCs w:val="18"/>
          <w:shd w:val="clear" w:color="auto" w:fill="FFFFFF"/>
        </w:rPr>
        <w:t>Integrated Non-Admitted Health dataset</w:t>
      </w:r>
      <w:r w:rsidRPr="002919D4">
        <w:rPr>
          <w:i/>
          <w:iCs/>
          <w:sz w:val="18"/>
          <w:szCs w:val="18"/>
        </w:rPr>
        <w:t xml:space="preserve"> (</w:t>
      </w:r>
      <w:r w:rsidR="005C1C59" w:rsidRPr="002919D4">
        <w:rPr>
          <w:i/>
          <w:iCs/>
          <w:sz w:val="18"/>
          <w:szCs w:val="18"/>
        </w:rPr>
        <w:t>VINAH</w:t>
      </w:r>
      <w:r w:rsidRPr="002919D4">
        <w:rPr>
          <w:i/>
          <w:iCs/>
          <w:sz w:val="18"/>
          <w:szCs w:val="18"/>
        </w:rPr>
        <w:t>)</w:t>
      </w:r>
      <w:r w:rsidR="005C1C59" w:rsidRPr="002919D4">
        <w:rPr>
          <w:i/>
          <w:iCs/>
          <w:sz w:val="18"/>
          <w:szCs w:val="18"/>
        </w:rPr>
        <w:t xml:space="preserve"> (public palliative care) </w:t>
      </w:r>
      <w:r w:rsidR="00F11BAC" w:rsidRPr="002919D4">
        <w:rPr>
          <w:i/>
          <w:iCs/>
          <w:sz w:val="18"/>
          <w:szCs w:val="18"/>
        </w:rPr>
        <w:t>– e</w:t>
      </w:r>
      <w:r w:rsidR="005C1C59" w:rsidRPr="002919D4">
        <w:rPr>
          <w:i/>
          <w:iCs/>
          <w:sz w:val="18"/>
          <w:szCs w:val="18"/>
        </w:rPr>
        <w:t>pisodes in the community palliative care or hospital</w:t>
      </w:r>
      <w:r w:rsidR="00F11BAC" w:rsidRPr="002919D4">
        <w:rPr>
          <w:i/>
          <w:iCs/>
          <w:sz w:val="18"/>
          <w:szCs w:val="18"/>
        </w:rPr>
        <w:t>-</w:t>
      </w:r>
      <w:r w:rsidR="005C1C59" w:rsidRPr="002919D4">
        <w:rPr>
          <w:i/>
          <w:iCs/>
          <w:sz w:val="18"/>
          <w:szCs w:val="18"/>
        </w:rPr>
        <w:t>based palliative care consultancy team streams. Note</w:t>
      </w:r>
      <w:r w:rsidR="00F11BAC" w:rsidRPr="002919D4">
        <w:rPr>
          <w:i/>
          <w:iCs/>
          <w:sz w:val="18"/>
          <w:szCs w:val="18"/>
        </w:rPr>
        <w:t>:</w:t>
      </w:r>
      <w:r w:rsidR="005F4DE2" w:rsidRPr="002919D4">
        <w:rPr>
          <w:i/>
          <w:iCs/>
          <w:sz w:val="18"/>
          <w:szCs w:val="18"/>
        </w:rPr>
        <w:t xml:space="preserve"> </w:t>
      </w:r>
      <w:r w:rsidR="00F11BAC" w:rsidRPr="002919D4">
        <w:rPr>
          <w:i/>
          <w:iCs/>
          <w:sz w:val="18"/>
          <w:szCs w:val="18"/>
        </w:rPr>
        <w:t>A</w:t>
      </w:r>
      <w:r w:rsidR="005C1C59" w:rsidRPr="002919D4">
        <w:rPr>
          <w:i/>
          <w:iCs/>
          <w:sz w:val="18"/>
          <w:szCs w:val="18"/>
        </w:rPr>
        <w:t>ll palliative care contacts</w:t>
      </w:r>
      <w:r w:rsidR="00B474AC" w:rsidRPr="002919D4">
        <w:rPr>
          <w:i/>
          <w:iCs/>
          <w:sz w:val="18"/>
          <w:szCs w:val="18"/>
        </w:rPr>
        <w:t xml:space="preserve"> are</w:t>
      </w:r>
      <w:r w:rsidR="005C1C59" w:rsidRPr="002919D4">
        <w:rPr>
          <w:i/>
          <w:iCs/>
          <w:sz w:val="18"/>
          <w:szCs w:val="18"/>
        </w:rPr>
        <w:t xml:space="preserve"> included</w:t>
      </w:r>
      <w:r w:rsidR="00B474AC" w:rsidRPr="002919D4">
        <w:rPr>
          <w:i/>
          <w:iCs/>
          <w:sz w:val="18"/>
          <w:szCs w:val="18"/>
        </w:rPr>
        <w:t>,</w:t>
      </w:r>
      <w:r w:rsidR="005C1C59" w:rsidRPr="002919D4">
        <w:rPr>
          <w:i/>
          <w:iCs/>
          <w:sz w:val="18"/>
          <w:szCs w:val="18"/>
        </w:rPr>
        <w:t xml:space="preserve"> even if the care provided was indirect care, care provided to </w:t>
      </w:r>
      <w:r w:rsidR="00B474AC" w:rsidRPr="002919D4">
        <w:rPr>
          <w:i/>
          <w:iCs/>
          <w:sz w:val="18"/>
          <w:szCs w:val="18"/>
        </w:rPr>
        <w:t xml:space="preserve">a </w:t>
      </w:r>
      <w:r w:rsidR="005C1C59" w:rsidRPr="002919D4">
        <w:rPr>
          <w:i/>
          <w:iCs/>
          <w:sz w:val="18"/>
          <w:szCs w:val="18"/>
        </w:rPr>
        <w:t xml:space="preserve">carer/relative only or a scheduled appointment where </w:t>
      </w:r>
      <w:r w:rsidR="00B474AC" w:rsidRPr="002919D4">
        <w:rPr>
          <w:i/>
          <w:iCs/>
          <w:sz w:val="18"/>
          <w:szCs w:val="18"/>
        </w:rPr>
        <w:t xml:space="preserve">the </w:t>
      </w:r>
      <w:r w:rsidR="005C1C59" w:rsidRPr="002919D4">
        <w:rPr>
          <w:i/>
          <w:iCs/>
          <w:sz w:val="18"/>
          <w:szCs w:val="18"/>
        </w:rPr>
        <w:t>patient did not attend.</w:t>
      </w:r>
    </w:p>
    <w:p w14:paraId="62E096E7" w14:textId="43BD5A8D" w:rsidR="008F1A2B" w:rsidRPr="000B7840" w:rsidRDefault="008F1A2B" w:rsidP="007C7F00">
      <w:pPr>
        <w:pStyle w:val="Heading4"/>
      </w:pPr>
      <w:r w:rsidRPr="000B7840">
        <w:t>Measure assessment</w:t>
      </w:r>
    </w:p>
    <w:p w14:paraId="5A97ED6D" w14:textId="57791605" w:rsidR="00E813A1" w:rsidRPr="00026CF2" w:rsidRDefault="006D2096" w:rsidP="00606436">
      <w:pPr>
        <w:pStyle w:val="Body"/>
      </w:pPr>
      <w:bookmarkStart w:id="914" w:name="_Hlk122597145"/>
      <w:r w:rsidRPr="008E7B2E">
        <w:t>Traffic light rating:</w:t>
      </w:r>
      <w:r w:rsidRPr="00B504AD">
        <w:rPr>
          <w:color w:val="AF272F"/>
        </w:rPr>
        <w:t xml:space="preserve"> </w:t>
      </w:r>
      <w:r w:rsidR="00E813A1" w:rsidRPr="00B72115">
        <w:rPr>
          <w:b/>
          <w:color w:val="C5511A"/>
        </w:rPr>
        <w:t>Amber</w:t>
      </w:r>
      <w:r w:rsidR="00E813A1">
        <w:rPr>
          <w:b/>
        </w:rPr>
        <w:t xml:space="preserve"> </w:t>
      </w:r>
      <w:bookmarkStart w:id="915" w:name="_Hlk122597128"/>
      <w:r w:rsidR="00E813A1" w:rsidRPr="00EA3932">
        <w:t>(desired result not yet evident)</w:t>
      </w:r>
      <w:bookmarkEnd w:id="915"/>
    </w:p>
    <w:bookmarkEnd w:id="914"/>
    <w:p w14:paraId="0A1B7659" w14:textId="6A4F6733" w:rsidR="00E813A1" w:rsidRPr="00E813A1" w:rsidRDefault="00E813A1" w:rsidP="00606436">
      <w:pPr>
        <w:pStyle w:val="Body"/>
      </w:pPr>
      <w:r w:rsidRPr="00D737AB">
        <w:t>Overall trend: Static or unchanging</w:t>
      </w:r>
    </w:p>
    <w:p w14:paraId="2E7000F6" w14:textId="0B74C1F2" w:rsidR="00FC74A4" w:rsidRPr="00E813A1" w:rsidRDefault="008F1A2B" w:rsidP="00E87AAA">
      <w:pPr>
        <w:pStyle w:val="Body"/>
      </w:pPr>
      <w:r w:rsidRPr="00E813A1">
        <w:rPr>
          <w:lang w:eastAsia="en-AU"/>
        </w:rPr>
        <w:t xml:space="preserve">Commentary: For the purposes of </w:t>
      </w:r>
      <w:r w:rsidR="00612B4E">
        <w:rPr>
          <w:lang w:eastAsia="en-AU"/>
        </w:rPr>
        <w:t xml:space="preserve">reporting against </w:t>
      </w:r>
      <w:r w:rsidRPr="00E813A1">
        <w:rPr>
          <w:lang w:eastAsia="en-AU"/>
        </w:rPr>
        <w:t xml:space="preserve">this measure </w:t>
      </w:r>
      <w:bookmarkStart w:id="916" w:name="_Hlk122596290"/>
      <w:r w:rsidRPr="00E813A1">
        <w:rPr>
          <w:lang w:eastAsia="en-AU"/>
        </w:rPr>
        <w:t xml:space="preserve">the term </w:t>
      </w:r>
      <w:r w:rsidR="00FA4F8B" w:rsidRPr="00E813A1">
        <w:t>‘</w:t>
      </w:r>
      <w:r w:rsidR="00F11BAC" w:rsidRPr="00E813A1">
        <w:t>s</w:t>
      </w:r>
      <w:r w:rsidR="00FA4F8B" w:rsidRPr="00E813A1">
        <w:t>pecialist palliative care’ refers to clinicians who have specialist qualifications in palliative care and the designated specialist palliative care sector funded to provide care for those with the most complex end</w:t>
      </w:r>
      <w:r w:rsidR="00F11BAC" w:rsidRPr="00E813A1">
        <w:t>-</w:t>
      </w:r>
      <w:r w:rsidR="00FA4F8B" w:rsidRPr="00E813A1">
        <w:t>of</w:t>
      </w:r>
      <w:r w:rsidR="00F11BAC" w:rsidRPr="00E813A1">
        <w:t>-</w:t>
      </w:r>
      <w:r w:rsidR="00FA4F8B" w:rsidRPr="00E813A1">
        <w:t>life and palliative care needs.</w:t>
      </w:r>
      <w:r w:rsidR="00FA4F8B" w:rsidRPr="00E813A1">
        <w:rPr>
          <w:rStyle w:val="FootnoteReference"/>
        </w:rPr>
        <w:footnoteReference w:id="173"/>
      </w:r>
      <w:r w:rsidR="00AC5428" w:rsidRPr="00E813A1">
        <w:t xml:space="preserve"> In Victoria</w:t>
      </w:r>
      <w:r w:rsidR="00366B83" w:rsidRPr="00E813A1">
        <w:t xml:space="preserve"> </w:t>
      </w:r>
      <w:r w:rsidR="00AC5428" w:rsidRPr="00E813A1">
        <w:t>p</w:t>
      </w:r>
      <w:r w:rsidR="00366B83" w:rsidRPr="00E813A1">
        <w:t>alliative care is delivered through community, inpatient and consultancy services administered by public, private and non-government providers</w:t>
      </w:r>
      <w:bookmarkEnd w:id="916"/>
      <w:r w:rsidR="003C4DD1" w:rsidRPr="00E813A1">
        <w:t>.</w:t>
      </w:r>
    </w:p>
    <w:p w14:paraId="43994787" w14:textId="416C7217" w:rsidR="001B5858" w:rsidRDefault="008F1A2B" w:rsidP="00E87AAA">
      <w:pPr>
        <w:pStyle w:val="Body"/>
      </w:pPr>
      <w:r w:rsidRPr="00E813A1">
        <w:t>While no target has been set</w:t>
      </w:r>
      <w:r w:rsidR="00EA76CC" w:rsidRPr="00E813A1">
        <w:t>,</w:t>
      </w:r>
      <w:r w:rsidR="00F4118B" w:rsidRPr="00E813A1">
        <w:t xml:space="preserve"> this outcome measure</w:t>
      </w:r>
      <w:r w:rsidR="005B785F" w:rsidRPr="00E813A1">
        <w:t xml:space="preserve"> reports responsiveness of palliative care services to patient needs between 2014 and 20</w:t>
      </w:r>
      <w:r w:rsidR="002B505E">
        <w:t>21</w:t>
      </w:r>
      <w:r w:rsidR="005B785F" w:rsidRPr="00E813A1">
        <w:t>.</w:t>
      </w:r>
      <w:r w:rsidR="00952FC7" w:rsidRPr="00E813A1">
        <w:t xml:space="preserve"> </w:t>
      </w:r>
      <w:r w:rsidR="0075500B" w:rsidRPr="00E813A1">
        <w:t>Overall</w:t>
      </w:r>
      <w:r w:rsidR="00F11BAC" w:rsidRPr="00E813A1">
        <w:t>,</w:t>
      </w:r>
      <w:r w:rsidR="0075500B" w:rsidRPr="00E813A1">
        <w:t xml:space="preserve"> </w:t>
      </w:r>
      <w:r w:rsidR="006E2DDE" w:rsidRPr="00E813A1">
        <w:t>Figure 12.12</w:t>
      </w:r>
      <w:r w:rsidR="007F175A" w:rsidRPr="00E813A1">
        <w:t xml:space="preserve"> and Table 12.12</w:t>
      </w:r>
      <w:r w:rsidR="0075500B" w:rsidRPr="00E813A1">
        <w:t xml:space="preserve"> show </w:t>
      </w:r>
      <w:r w:rsidR="00E813A1" w:rsidRPr="00E813A1">
        <w:t>that in Victoria there has been a slight decrease in the proportion</w:t>
      </w:r>
      <w:r w:rsidR="00E813A1">
        <w:t xml:space="preserve"> and number </w:t>
      </w:r>
      <w:r w:rsidR="00E813A1" w:rsidRPr="00E813A1">
        <w:t>of patients receiving specialist palliative care with</w:t>
      </w:r>
      <w:r w:rsidR="003E6CCB">
        <w:t>in</w:t>
      </w:r>
      <w:r w:rsidR="00E813A1" w:rsidRPr="00E813A1">
        <w:t xml:space="preserve"> 12 months prior to death (6</w:t>
      </w:r>
      <w:r w:rsidR="002B505E">
        <w:t>8</w:t>
      </w:r>
      <w:r w:rsidR="0054537F">
        <w:t>%</w:t>
      </w:r>
      <w:r w:rsidR="00E813A1" w:rsidRPr="00E813A1">
        <w:t xml:space="preserve"> in 2014 compared </w:t>
      </w:r>
      <w:r w:rsidR="002C060B" w:rsidRPr="002C060B">
        <w:t xml:space="preserve">with </w:t>
      </w:r>
      <w:r w:rsidR="00E813A1" w:rsidRPr="00E813A1">
        <w:t>6</w:t>
      </w:r>
      <w:r w:rsidR="002B505E">
        <w:t>5</w:t>
      </w:r>
      <w:r w:rsidR="0054537F">
        <w:t>%</w:t>
      </w:r>
      <w:r w:rsidR="00E813A1" w:rsidRPr="00E813A1">
        <w:t xml:space="preserve"> in 20</w:t>
      </w:r>
      <w:r w:rsidR="002B505E">
        <w:t>21</w:t>
      </w:r>
      <w:r w:rsidR="00E813A1" w:rsidRPr="00E813A1">
        <w:t>).</w:t>
      </w:r>
      <w:r w:rsidR="00E813A1">
        <w:t xml:space="preserve"> </w:t>
      </w:r>
      <w:r w:rsidR="00E813A1" w:rsidRPr="00E813A1">
        <w:t xml:space="preserve">Figure 12.12 and Table 12.12 </w:t>
      </w:r>
      <w:r w:rsidR="00181C44">
        <w:t xml:space="preserve">also </w:t>
      </w:r>
      <w:r w:rsidR="00E813A1" w:rsidRPr="00E813A1">
        <w:t>show</w:t>
      </w:r>
      <w:r w:rsidR="00181C44">
        <w:t xml:space="preserve"> that over the </w:t>
      </w:r>
      <w:r w:rsidR="002B505E">
        <w:t>eight</w:t>
      </w:r>
      <w:r w:rsidR="00181C44">
        <w:t>-year pe</w:t>
      </w:r>
      <w:r w:rsidR="00181C44" w:rsidRPr="00181C44">
        <w:t xml:space="preserve">riod </w:t>
      </w:r>
      <w:r w:rsidR="008218F3" w:rsidRPr="00181C44">
        <w:t>all</w:t>
      </w:r>
      <w:r w:rsidR="0075500B" w:rsidRPr="00181C44">
        <w:t xml:space="preserve"> the ICS</w:t>
      </w:r>
      <w:r w:rsidR="007F175A" w:rsidRPr="00181C44">
        <w:t>s</w:t>
      </w:r>
      <w:r w:rsidR="0075500B" w:rsidRPr="00181C44">
        <w:t xml:space="preserve"> have focused on improving the effectiveness of </w:t>
      </w:r>
      <w:r w:rsidR="00875840" w:rsidRPr="00181C44">
        <w:t>services</w:t>
      </w:r>
      <w:r w:rsidR="003E6CCB">
        <w:t>,</w:t>
      </w:r>
      <w:r w:rsidR="00181C44" w:rsidRPr="00181C44">
        <w:t xml:space="preserve"> with most reporting a slight </w:t>
      </w:r>
      <w:r w:rsidR="002D3FF9">
        <w:t>variation</w:t>
      </w:r>
      <w:r w:rsidR="003E6CCB">
        <w:t>,</w:t>
      </w:r>
      <w:r w:rsidR="002D3FF9">
        <w:t xml:space="preserve"> although there are exceptions with GRICS showing a decrease from 70</w:t>
      </w:r>
      <w:r w:rsidR="0054537F">
        <w:t>%</w:t>
      </w:r>
      <w:r w:rsidR="002D3FF9">
        <w:t xml:space="preserve"> in 2014 to 55</w:t>
      </w:r>
      <w:r w:rsidR="0054537F">
        <w:t>%</w:t>
      </w:r>
      <w:r w:rsidR="002D3FF9">
        <w:t xml:space="preserve"> in 2021</w:t>
      </w:r>
      <w:r w:rsidR="005B785F" w:rsidRPr="00181C44">
        <w:t>.</w:t>
      </w:r>
      <w:r w:rsidR="00952FC7" w:rsidRPr="00181C44">
        <w:t xml:space="preserve"> </w:t>
      </w:r>
      <w:bookmarkStart w:id="917" w:name="_Hlk122597099"/>
      <w:r w:rsidR="000D26CA" w:rsidRPr="00181C44">
        <w:t>Despite t</w:t>
      </w:r>
      <w:r w:rsidR="002F4C90" w:rsidRPr="00181C44">
        <w:t>his</w:t>
      </w:r>
      <w:r w:rsidR="00875840" w:rsidRPr="00181C44">
        <w:t xml:space="preserve"> </w:t>
      </w:r>
      <w:r w:rsidR="002D3FF9">
        <w:t>observation</w:t>
      </w:r>
      <w:r w:rsidR="00612B4E">
        <w:t>,</w:t>
      </w:r>
      <w:r w:rsidR="00C60A76" w:rsidRPr="00181C44">
        <w:t xml:space="preserve"> </w:t>
      </w:r>
      <w:r w:rsidR="00875840" w:rsidRPr="00181C44">
        <w:t xml:space="preserve">the results </w:t>
      </w:r>
      <w:r w:rsidR="00181C44" w:rsidRPr="00181C44">
        <w:t xml:space="preserve">associated with ICSs </w:t>
      </w:r>
      <w:r w:rsidR="00875840" w:rsidRPr="00181C44">
        <w:t xml:space="preserve">should be interpreted with caution </w:t>
      </w:r>
      <w:r w:rsidR="00181C44" w:rsidRPr="00181C44">
        <w:t>noting that</w:t>
      </w:r>
      <w:r w:rsidR="00F11BAC" w:rsidRPr="00181C44">
        <w:t xml:space="preserve"> </w:t>
      </w:r>
      <w:r w:rsidR="00A07B63" w:rsidRPr="00181C44">
        <w:t xml:space="preserve">palliative care provided by private hospitals in a community setting is not captured in the linked dataset </w:t>
      </w:r>
      <w:r w:rsidR="00912423" w:rsidRPr="00181C44">
        <w:t>because</w:t>
      </w:r>
      <w:r w:rsidR="00A07B63" w:rsidRPr="00181C44">
        <w:t xml:space="preserve"> VINAH is specific to public institutions only.</w:t>
      </w:r>
      <w:bookmarkEnd w:id="917"/>
      <w:r w:rsidR="005F43AD">
        <w:t xml:space="preserve"> </w:t>
      </w:r>
      <w:r w:rsidR="001B5858">
        <w:br w:type="page"/>
      </w:r>
    </w:p>
    <w:p w14:paraId="4FFE9488" w14:textId="391707F6" w:rsidR="00DF376C" w:rsidRPr="00B72115" w:rsidRDefault="00DF376C" w:rsidP="001B5858">
      <w:pPr>
        <w:pStyle w:val="Heading3"/>
        <w:rPr>
          <w:b/>
          <w:bCs w:val="0"/>
        </w:rPr>
      </w:pPr>
      <w:bookmarkStart w:id="918" w:name="_Measure_12.13_–"/>
      <w:bookmarkEnd w:id="918"/>
      <w:r w:rsidRPr="00B72115">
        <w:rPr>
          <w:b/>
          <w:bCs w:val="0"/>
        </w:rPr>
        <w:lastRenderedPageBreak/>
        <w:t>Measure 12.</w:t>
      </w:r>
      <w:r w:rsidR="00CD1B31" w:rsidRPr="00B72115">
        <w:rPr>
          <w:b/>
          <w:bCs w:val="0"/>
        </w:rPr>
        <w:t>13 – Proportion of patients receiving aggressive interventions within 30 days prior to death</w:t>
      </w:r>
    </w:p>
    <w:p w14:paraId="01145E76" w14:textId="41E668E6" w:rsidR="001E1F58" w:rsidRPr="002919D4" w:rsidRDefault="001E1F58" w:rsidP="00867A76">
      <w:pPr>
        <w:pStyle w:val="Figurecaption"/>
        <w:rPr>
          <w:sz w:val="20"/>
        </w:rPr>
      </w:pPr>
      <w:bookmarkStart w:id="919" w:name="_Toc19008150"/>
      <w:bookmarkStart w:id="920" w:name="_Toc19008360"/>
      <w:bookmarkStart w:id="921" w:name="_Toc19008507"/>
      <w:bookmarkStart w:id="922" w:name="_Toc19008654"/>
      <w:bookmarkStart w:id="923" w:name="_Toc132553084"/>
      <w:bookmarkStart w:id="924" w:name="_Toc140827697"/>
      <w:r w:rsidRPr="002919D4">
        <w:rPr>
          <w:sz w:val="20"/>
        </w:rPr>
        <w:t>Figure 12.13</w:t>
      </w:r>
      <w:r w:rsidR="003B391F" w:rsidRPr="002919D4">
        <w:rPr>
          <w:sz w:val="20"/>
        </w:rPr>
        <w:t>:</w:t>
      </w:r>
      <w:r w:rsidRPr="002919D4">
        <w:rPr>
          <w:sz w:val="20"/>
        </w:rPr>
        <w:t xml:space="preserve"> Proportion of patients receiving aggressive interventions (SACT, radical radiation, ICU) within 30 days prior to death</w:t>
      </w:r>
      <w:r w:rsidR="001F7B7B" w:rsidRPr="002919D4">
        <w:rPr>
          <w:sz w:val="20"/>
        </w:rPr>
        <w:t>, by year</w:t>
      </w:r>
      <w:r w:rsidR="00F11BAC" w:rsidRPr="002919D4">
        <w:rPr>
          <w:sz w:val="20"/>
        </w:rPr>
        <w:t>,</w:t>
      </w:r>
      <w:r w:rsidR="001F7B7B" w:rsidRPr="002919D4">
        <w:rPr>
          <w:sz w:val="20"/>
        </w:rPr>
        <w:t xml:space="preserve"> 2014</w:t>
      </w:r>
      <w:r w:rsidR="009D0E1A" w:rsidRPr="002919D4">
        <w:rPr>
          <w:sz w:val="20"/>
        </w:rPr>
        <w:t>–</w:t>
      </w:r>
      <w:r w:rsidR="001F7B7B" w:rsidRPr="002919D4">
        <w:rPr>
          <w:sz w:val="20"/>
        </w:rPr>
        <w:t>20</w:t>
      </w:r>
      <w:bookmarkEnd w:id="919"/>
      <w:bookmarkEnd w:id="920"/>
      <w:bookmarkEnd w:id="921"/>
      <w:bookmarkEnd w:id="922"/>
      <w:r w:rsidR="0064149F" w:rsidRPr="002919D4">
        <w:rPr>
          <w:sz w:val="20"/>
        </w:rPr>
        <w:t>21</w:t>
      </w:r>
      <w:bookmarkEnd w:id="923"/>
      <w:bookmarkEnd w:id="924"/>
    </w:p>
    <w:p w14:paraId="3F531160" w14:textId="3BBFCBE0" w:rsidR="008C5E38" w:rsidRPr="008C5E38" w:rsidRDefault="008C5E38" w:rsidP="008C5E38">
      <w:pPr>
        <w:pStyle w:val="DHHSbody"/>
      </w:pPr>
      <w:r>
        <w:rPr>
          <w:noProof/>
        </w:rPr>
        <w:drawing>
          <wp:inline distT="0" distB="0" distL="0" distR="0" wp14:anchorId="47FD1D07" wp14:editId="2FB2F2CE">
            <wp:extent cx="6325683" cy="4451684"/>
            <wp:effectExtent l="0" t="0" r="0" b="6350"/>
            <wp:docPr id="72" name="Picture 72" descr="This figure shows a data summary of 'Measure 12.13 – Proportion of patients receiving aggressive interventions within 30 days prior to death'. Specially this figure focuses on the proportion of patients receiving aggressive interventions (SACT, radical radiation, ICU) within 30 days prior to death, by year, 2014–2021. The data set is available under 'Measure 12.13 – Proportion of patients receiving aggressive interventions within 30 days prior to death'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his figure shows a data summary of 'Measure 12.13 – Proportion of patients receiving aggressive interventions within 30 days prior to death'. Specially this figure focuses on the proportion of patients receiving aggressive interventions (SACT, radical radiation, ICU) within 30 days prior to death, by year, 2014–2021. The data set is available under 'Measure 12.13 – Proportion of patients receiving aggressive interventions within 30 days prior to death' in a separate volume, the Victorian cancer plan monitoring and evaluation framework: baseline report: Appendix 2: Datasets available on Cancer care &lt;https://www.health.vic.gov.au/health-strategies/cancer-care&gt;."/>
                    <pic:cNvPicPr/>
                  </pic:nvPicPr>
                  <pic:blipFill>
                    <a:blip r:embed="rId148"/>
                    <a:stretch>
                      <a:fillRect/>
                    </a:stretch>
                  </pic:blipFill>
                  <pic:spPr>
                    <a:xfrm>
                      <a:off x="0" y="0"/>
                      <a:ext cx="6330357" cy="4454973"/>
                    </a:xfrm>
                    <a:prstGeom prst="rect">
                      <a:avLst/>
                    </a:prstGeom>
                  </pic:spPr>
                </pic:pic>
              </a:graphicData>
            </a:graphic>
          </wp:inline>
        </w:drawing>
      </w:r>
    </w:p>
    <w:p w14:paraId="30BE033C" w14:textId="4FD06E63" w:rsidR="001C366C" w:rsidRPr="007130CC" w:rsidRDefault="001C366C" w:rsidP="00E87AAA">
      <w:pPr>
        <w:pStyle w:val="Body"/>
      </w:pPr>
    </w:p>
    <w:p w14:paraId="54BBAFC3" w14:textId="5BE3F3D1" w:rsidR="003B7D1B" w:rsidRPr="002919D4" w:rsidRDefault="003B7D1B" w:rsidP="00811D05">
      <w:pPr>
        <w:pStyle w:val="Tablefigurenote"/>
        <w:rPr>
          <w:i/>
          <w:iCs/>
          <w:sz w:val="18"/>
          <w:szCs w:val="18"/>
        </w:rPr>
      </w:pPr>
      <w:r w:rsidRPr="002919D4">
        <w:rPr>
          <w:i/>
          <w:iCs/>
          <w:sz w:val="18"/>
          <w:szCs w:val="18"/>
        </w:rPr>
        <w:t>Note: Appendix 2 provides the dataset</w:t>
      </w:r>
      <w:r w:rsidR="00A5376B" w:rsidRPr="002919D4">
        <w:rPr>
          <w:i/>
          <w:iCs/>
          <w:sz w:val="18"/>
          <w:szCs w:val="18"/>
        </w:rPr>
        <w:t>.</w:t>
      </w:r>
    </w:p>
    <w:p w14:paraId="530D7A68" w14:textId="3DCABC7B" w:rsidR="00522580" w:rsidRPr="002919D4" w:rsidRDefault="00522580" w:rsidP="00811D05">
      <w:pPr>
        <w:pStyle w:val="Tablefigurenote"/>
        <w:rPr>
          <w:i/>
          <w:iCs/>
          <w:sz w:val="18"/>
          <w:szCs w:val="18"/>
        </w:rPr>
      </w:pPr>
      <w:r w:rsidRPr="002919D4">
        <w:rPr>
          <w:i/>
          <w:iCs/>
          <w:sz w:val="18"/>
          <w:szCs w:val="18"/>
        </w:rPr>
        <w:t xml:space="preserve">SACT </w:t>
      </w:r>
      <w:r w:rsidR="003E6CCB" w:rsidRPr="002919D4">
        <w:rPr>
          <w:i/>
          <w:iCs/>
          <w:sz w:val="18"/>
          <w:szCs w:val="18"/>
        </w:rPr>
        <w:t>=</w:t>
      </w:r>
      <w:r w:rsidRPr="002919D4">
        <w:rPr>
          <w:i/>
          <w:iCs/>
          <w:sz w:val="18"/>
          <w:szCs w:val="18"/>
        </w:rPr>
        <w:t xml:space="preserve"> systemic anti-cancer therapy; ICU </w:t>
      </w:r>
      <w:r w:rsidR="003E6CCB" w:rsidRPr="002919D4">
        <w:rPr>
          <w:i/>
          <w:iCs/>
          <w:sz w:val="18"/>
          <w:szCs w:val="18"/>
        </w:rPr>
        <w:t>=</w:t>
      </w:r>
      <w:r w:rsidRPr="002919D4">
        <w:rPr>
          <w:i/>
          <w:iCs/>
          <w:sz w:val="18"/>
          <w:szCs w:val="18"/>
        </w:rPr>
        <w:t xml:space="preserve"> intensive care unit</w:t>
      </w:r>
    </w:p>
    <w:p w14:paraId="14F2156D" w14:textId="29F91C34" w:rsidR="0068548D" w:rsidRPr="0068548D" w:rsidRDefault="0068548D" w:rsidP="007C7F00">
      <w:pPr>
        <w:pStyle w:val="Heading4"/>
      </w:pPr>
      <w:r w:rsidRPr="00E43803">
        <w:t>Measure assessment</w:t>
      </w:r>
    </w:p>
    <w:p w14:paraId="1CF5A48B" w14:textId="55A660E8" w:rsidR="00026CF2" w:rsidRPr="00026CF2" w:rsidRDefault="009F62F3" w:rsidP="00606436">
      <w:pPr>
        <w:pStyle w:val="Body"/>
      </w:pPr>
      <w:r w:rsidRPr="00AA5C60">
        <w:t>Traffic light rating:</w:t>
      </w:r>
      <w:r w:rsidRPr="00B504AD">
        <w:rPr>
          <w:color w:val="AF272F"/>
        </w:rPr>
        <w:t xml:space="preserve"> </w:t>
      </w:r>
      <w:r w:rsidR="001D4982" w:rsidRPr="00B72115">
        <w:rPr>
          <w:b/>
          <w:color w:val="C5511A"/>
        </w:rPr>
        <w:t>Amber</w:t>
      </w:r>
      <w:r w:rsidR="00026CF2">
        <w:rPr>
          <w:b/>
        </w:rPr>
        <w:t xml:space="preserve"> </w:t>
      </w:r>
      <w:r w:rsidR="00026CF2" w:rsidRPr="00EA3932">
        <w:t>(desired result not yet evident)</w:t>
      </w:r>
    </w:p>
    <w:p w14:paraId="1F8952CE" w14:textId="7F92A6EA" w:rsidR="009F62F3" w:rsidRPr="00D737AB" w:rsidRDefault="009F62F3" w:rsidP="00606436">
      <w:pPr>
        <w:pStyle w:val="Body"/>
      </w:pPr>
      <w:r w:rsidRPr="00D737AB">
        <w:t xml:space="preserve">Overall trend: </w:t>
      </w:r>
      <w:r w:rsidR="001D4982" w:rsidRPr="00D737AB">
        <w:t>Static or unchanging</w:t>
      </w:r>
    </w:p>
    <w:p w14:paraId="1796B26B" w14:textId="6BF9B1F2" w:rsidR="005B6AB6" w:rsidRDefault="009F62F3" w:rsidP="00606436">
      <w:pPr>
        <w:pStyle w:val="Body"/>
        <w:rPr>
          <w:lang w:val="en"/>
        </w:rPr>
      </w:pPr>
      <w:r w:rsidRPr="00AA35AF">
        <w:t>Commentary:</w:t>
      </w:r>
      <w:r w:rsidR="00B033FB" w:rsidRPr="00AA35AF">
        <w:t xml:space="preserve"> </w:t>
      </w:r>
      <w:r w:rsidR="00864DA1" w:rsidRPr="00811D05">
        <w:rPr>
          <w:lang w:val="en"/>
        </w:rPr>
        <w:t>Aggressive care near death for patients with incurable cancers is an important end-of-</w:t>
      </w:r>
      <w:r w:rsidR="00253677" w:rsidRPr="00811D05">
        <w:rPr>
          <w:lang w:val="en"/>
        </w:rPr>
        <w:t>life care</w:t>
      </w:r>
      <w:r w:rsidR="00864DA1" w:rsidRPr="00811D05">
        <w:rPr>
          <w:lang w:val="en"/>
        </w:rPr>
        <w:t xml:space="preserve"> quality indicator</w:t>
      </w:r>
      <w:r w:rsidR="00253677" w:rsidRPr="00811D05">
        <w:rPr>
          <w:rStyle w:val="FootnoteReference"/>
          <w:rFonts w:cs="Arial"/>
          <w:lang w:val="en"/>
        </w:rPr>
        <w:footnoteReference w:id="174"/>
      </w:r>
      <w:r w:rsidR="00B5676D" w:rsidRPr="00811D05">
        <w:rPr>
          <w:vertAlign w:val="superscript"/>
          <w:lang w:val="en"/>
        </w:rPr>
        <w:t>,</w:t>
      </w:r>
      <w:r w:rsidR="005F2F8D" w:rsidRPr="00811D05">
        <w:rPr>
          <w:rStyle w:val="FootnoteReference"/>
          <w:rFonts w:cs="Arial"/>
          <w:lang w:val="en"/>
        </w:rPr>
        <w:footnoteReference w:id="175"/>
      </w:r>
      <w:r w:rsidR="00864DA1" w:rsidRPr="00811D05">
        <w:rPr>
          <w:lang w:val="en"/>
        </w:rPr>
        <w:t xml:space="preserve"> </w:t>
      </w:r>
      <w:r w:rsidR="00F55896">
        <w:rPr>
          <w:lang w:val="en"/>
        </w:rPr>
        <w:t>because</w:t>
      </w:r>
      <w:r w:rsidR="00F55896" w:rsidRPr="00811D05">
        <w:rPr>
          <w:lang w:val="en"/>
        </w:rPr>
        <w:t xml:space="preserve"> </w:t>
      </w:r>
      <w:r w:rsidR="00864DA1" w:rsidRPr="00811D05">
        <w:rPr>
          <w:lang w:val="en"/>
        </w:rPr>
        <w:t>aggressive care has been linked with worse quality of life for the patient and worse bereavement adjustment for their caregivers</w:t>
      </w:r>
      <w:r w:rsidR="007E5179" w:rsidRPr="00811D05">
        <w:rPr>
          <w:lang w:val="en"/>
        </w:rPr>
        <w:t>.</w:t>
      </w:r>
      <w:r w:rsidR="005F2F8D" w:rsidRPr="00811D05">
        <w:rPr>
          <w:rStyle w:val="FootnoteReference"/>
          <w:rFonts w:cs="Arial"/>
          <w:lang w:val="en"/>
        </w:rPr>
        <w:footnoteReference w:id="176"/>
      </w:r>
      <w:r w:rsidR="00952FC7" w:rsidRPr="00811D05">
        <w:rPr>
          <w:lang w:val="en"/>
        </w:rPr>
        <w:t xml:space="preserve"> </w:t>
      </w:r>
      <w:r w:rsidR="007833AF" w:rsidRPr="00811D05">
        <w:rPr>
          <w:lang w:val="en"/>
        </w:rPr>
        <w:t xml:space="preserve">For the purpose of this measure key indicators of aggressive care </w:t>
      </w:r>
      <w:r w:rsidR="007833AF" w:rsidRPr="00AA35AF">
        <w:rPr>
          <w:lang w:val="en"/>
        </w:rPr>
        <w:t xml:space="preserve">(interventions) </w:t>
      </w:r>
      <w:r w:rsidR="00D64915" w:rsidRPr="008218F3">
        <w:rPr>
          <w:lang w:val="en"/>
        </w:rPr>
        <w:t xml:space="preserve">in the last 30 days of life that were </w:t>
      </w:r>
      <w:r w:rsidR="00D64915" w:rsidRPr="008218F3">
        <w:rPr>
          <w:lang w:val="en"/>
        </w:rPr>
        <w:lastRenderedPageBreak/>
        <w:t xml:space="preserve">examined by ICS </w:t>
      </w:r>
      <w:r w:rsidR="007833AF" w:rsidRPr="008218F3">
        <w:rPr>
          <w:lang w:val="en"/>
        </w:rPr>
        <w:t xml:space="preserve">were </w:t>
      </w:r>
      <w:r w:rsidR="00A212E9" w:rsidRPr="008218F3">
        <w:rPr>
          <w:lang w:val="en"/>
        </w:rPr>
        <w:t xml:space="preserve">patients receiving </w:t>
      </w:r>
      <w:r w:rsidR="00F55896">
        <w:rPr>
          <w:lang w:val="en"/>
        </w:rPr>
        <w:t>SACT</w:t>
      </w:r>
      <w:r w:rsidR="00622119">
        <w:rPr>
          <w:lang w:val="en"/>
        </w:rPr>
        <w:t>,</w:t>
      </w:r>
      <w:r w:rsidR="00522580">
        <w:rPr>
          <w:rStyle w:val="FootnoteReference"/>
          <w:rFonts w:cs="Arial"/>
          <w:lang w:val="en"/>
        </w:rPr>
        <w:footnoteReference w:id="177"/>
      </w:r>
      <w:r w:rsidR="00D64915" w:rsidRPr="008218F3">
        <w:rPr>
          <w:lang w:val="en"/>
        </w:rPr>
        <w:t xml:space="preserve"> radi</w:t>
      </w:r>
      <w:r w:rsidR="00837D4B">
        <w:rPr>
          <w:lang w:val="en"/>
        </w:rPr>
        <w:t>c</w:t>
      </w:r>
      <w:r w:rsidR="00D64915" w:rsidRPr="008218F3">
        <w:rPr>
          <w:lang w:val="en"/>
        </w:rPr>
        <w:t>al radiotherapy</w:t>
      </w:r>
      <w:r w:rsidR="00ED5EC8" w:rsidRPr="008218F3">
        <w:rPr>
          <w:lang w:val="en"/>
        </w:rPr>
        <w:t xml:space="preserve"> (curative intent)</w:t>
      </w:r>
      <w:r w:rsidR="00D64915" w:rsidRPr="008218F3">
        <w:rPr>
          <w:lang w:val="en"/>
        </w:rPr>
        <w:t xml:space="preserve"> and acute inpatient</w:t>
      </w:r>
      <w:r w:rsidR="00C17816" w:rsidRPr="008218F3">
        <w:rPr>
          <w:lang w:val="en"/>
        </w:rPr>
        <w:t>/</w:t>
      </w:r>
      <w:r w:rsidR="00D64915" w:rsidRPr="008218F3">
        <w:rPr>
          <w:lang w:val="en"/>
        </w:rPr>
        <w:t>ICU admissions.</w:t>
      </w:r>
      <w:r w:rsidR="006B1496" w:rsidRPr="008218F3">
        <w:rPr>
          <w:lang w:val="en"/>
        </w:rPr>
        <w:t xml:space="preserve"> </w:t>
      </w:r>
      <w:r w:rsidR="00D737AB" w:rsidRPr="008218F3">
        <w:t>Figure 12.</w:t>
      </w:r>
      <w:r w:rsidR="00522580">
        <w:t>13</w:t>
      </w:r>
      <w:r w:rsidR="00D737AB" w:rsidRPr="008218F3">
        <w:t xml:space="preserve"> shows that the proportion of patients still receiving chemotherapy within the last 30 days of life was high across </w:t>
      </w:r>
      <w:r w:rsidR="00FC04BC" w:rsidRPr="008218F3">
        <w:t>all</w:t>
      </w:r>
      <w:r w:rsidR="00D737AB" w:rsidRPr="008218F3">
        <w:t xml:space="preserve"> the ICSs</w:t>
      </w:r>
      <w:r w:rsidR="00F55896">
        <w:t>,</w:t>
      </w:r>
      <w:r w:rsidR="00D737AB" w:rsidRPr="008218F3">
        <w:t xml:space="preserve"> ranging from </w:t>
      </w:r>
      <w:r w:rsidR="005D32BA">
        <w:t>10</w:t>
      </w:r>
      <w:r w:rsidR="00D737AB" w:rsidRPr="008218F3">
        <w:t xml:space="preserve"> to 1</w:t>
      </w:r>
      <w:r w:rsidR="005D32BA">
        <w:t>2</w:t>
      </w:r>
      <w:r w:rsidR="0054537F">
        <w:t>%</w:t>
      </w:r>
      <w:r w:rsidR="00D737AB" w:rsidRPr="008218F3">
        <w:t xml:space="preserve"> between 2014 and 20</w:t>
      </w:r>
      <w:r w:rsidR="005D32BA">
        <w:t>21</w:t>
      </w:r>
      <w:r w:rsidR="00D737AB" w:rsidRPr="008218F3">
        <w:t>.</w:t>
      </w:r>
      <w:r w:rsidR="00952FC7">
        <w:t xml:space="preserve"> </w:t>
      </w:r>
      <w:r w:rsidR="003E0089" w:rsidRPr="008218F3">
        <w:t xml:space="preserve">This is despite evidence that </w:t>
      </w:r>
      <w:r w:rsidR="003E0089" w:rsidRPr="008218F3">
        <w:rPr>
          <w:lang w:val="en"/>
        </w:rPr>
        <w:t>the use of chemotherapy near the end of life is not related to its likelihood of providing benefit</w:t>
      </w:r>
      <w:r w:rsidR="005B6AB6">
        <w:rPr>
          <w:lang w:val="en"/>
        </w:rPr>
        <w:t>.</w:t>
      </w:r>
      <w:r w:rsidR="003E0089" w:rsidRPr="008218F3">
        <w:rPr>
          <w:rStyle w:val="FootnoteReference"/>
          <w:rFonts w:cs="Arial"/>
          <w:lang w:val="en"/>
        </w:rPr>
        <w:footnoteReference w:id="178"/>
      </w:r>
      <w:r w:rsidR="003E0089" w:rsidRPr="008218F3">
        <w:t xml:space="preserve"> </w:t>
      </w:r>
      <w:r w:rsidR="005B6AB6" w:rsidRPr="005B6AB6">
        <w:t>However, it cannot be excluded</w:t>
      </w:r>
      <w:r w:rsidR="00F55896">
        <w:t>,</w:t>
      </w:r>
      <w:r w:rsidR="005B6AB6" w:rsidRPr="005B6AB6">
        <w:t xml:space="preserve"> since setting an</w:t>
      </w:r>
      <w:r w:rsidR="005B6AB6" w:rsidRPr="005B6AB6">
        <w:rPr>
          <w:lang w:val="en"/>
        </w:rPr>
        <w:t xml:space="preserve"> </w:t>
      </w:r>
      <w:r w:rsidR="005B6AB6" w:rsidRPr="76BE792E">
        <w:rPr>
          <w:i/>
          <w:iCs/>
          <w:lang w:val="en"/>
        </w:rPr>
        <w:t>a priori</w:t>
      </w:r>
      <w:r w:rsidR="005B6AB6" w:rsidRPr="005B6AB6">
        <w:rPr>
          <w:lang w:val="en"/>
        </w:rPr>
        <w:t xml:space="preserve"> level of appropriate and inappropriate rate of chemotherapy near the end of life may hinder the aim of palliative care in oncology, </w:t>
      </w:r>
      <w:r w:rsidR="00F55896">
        <w:rPr>
          <w:lang w:val="en"/>
        </w:rPr>
        <w:t>which</w:t>
      </w:r>
      <w:r w:rsidR="008869C1">
        <w:rPr>
          <w:lang w:val="en"/>
        </w:rPr>
        <w:t xml:space="preserve"> is</w:t>
      </w:r>
      <w:r w:rsidR="005B6AB6" w:rsidRPr="005B6AB6">
        <w:rPr>
          <w:lang w:val="en"/>
        </w:rPr>
        <w:t xml:space="preserve"> to address the specific needs of each patient based not only on their illness trajectory or physical symptoms but also on their personal preferences and goals of care</w:t>
      </w:r>
      <w:r w:rsidR="005B6AB6">
        <w:rPr>
          <w:lang w:val="en"/>
        </w:rPr>
        <w:t>.</w:t>
      </w:r>
      <w:r w:rsidR="005B6AB6">
        <w:rPr>
          <w:rStyle w:val="FootnoteReference"/>
          <w:rFonts w:cs="Arial"/>
          <w:lang w:val="en"/>
        </w:rPr>
        <w:footnoteReference w:id="179"/>
      </w:r>
    </w:p>
    <w:p w14:paraId="34D7CF8E" w14:textId="652C7025" w:rsidR="00F87464" w:rsidRDefault="00CE5093" w:rsidP="00606436">
      <w:pPr>
        <w:pStyle w:val="Body"/>
      </w:pPr>
      <w:r w:rsidRPr="007D284E">
        <w:rPr>
          <w:color w:val="000000" w:themeColor="text1"/>
        </w:rPr>
        <w:t>Radiotherapy</w:t>
      </w:r>
      <w:r w:rsidR="00F55896" w:rsidRPr="007D284E">
        <w:rPr>
          <w:color w:val="000000" w:themeColor="text1"/>
        </w:rPr>
        <w:t xml:space="preserve"> </w:t>
      </w:r>
      <w:r w:rsidRPr="007D284E">
        <w:rPr>
          <w:color w:val="000000" w:themeColor="text1"/>
        </w:rPr>
        <w:t>is an indispensable modality for cancer treatment</w:t>
      </w:r>
      <w:r w:rsidR="007D284E" w:rsidRPr="007D284E">
        <w:rPr>
          <w:color w:val="000000" w:themeColor="text1"/>
        </w:rPr>
        <w:t xml:space="preserve"> </w:t>
      </w:r>
      <w:r w:rsidR="003E6CCB">
        <w:rPr>
          <w:color w:val="000000" w:themeColor="text1"/>
        </w:rPr>
        <w:t>because</w:t>
      </w:r>
      <w:r w:rsidR="007D284E" w:rsidRPr="007D284E">
        <w:rPr>
          <w:color w:val="000000" w:themeColor="text1"/>
        </w:rPr>
        <w:t xml:space="preserve"> it </w:t>
      </w:r>
      <w:r w:rsidR="007D284E" w:rsidRPr="007D284E">
        <w:rPr>
          <w:lang w:val="en"/>
        </w:rPr>
        <w:t>can be an effective tool for palliation of symptoms arising from cancer such as pain from bone metastases or neurologic</w:t>
      </w:r>
      <w:r w:rsidR="003E6CCB">
        <w:rPr>
          <w:lang w:val="en"/>
        </w:rPr>
        <w:t>al</w:t>
      </w:r>
      <w:r w:rsidR="007D284E" w:rsidRPr="007D284E">
        <w:rPr>
          <w:lang w:val="en"/>
        </w:rPr>
        <w:t xml:space="preserve"> compromise from brain or spinal metastases.</w:t>
      </w:r>
      <w:r w:rsidR="007D284E" w:rsidRPr="007D284E">
        <w:rPr>
          <w:rStyle w:val="FootnoteReference"/>
          <w:rFonts w:cs="Arial"/>
          <w:lang w:val="en"/>
        </w:rPr>
        <w:footnoteReference w:id="180"/>
      </w:r>
      <w:r w:rsidR="007D284E">
        <w:rPr>
          <w:color w:val="000000" w:themeColor="text1"/>
        </w:rPr>
        <w:t xml:space="preserve"> </w:t>
      </w:r>
      <w:r w:rsidR="00F87464" w:rsidRPr="00F87464">
        <w:t xml:space="preserve">Figure 12.13 and Table 12.13.1 </w:t>
      </w:r>
      <w:r w:rsidR="00522580">
        <w:t xml:space="preserve">(Appendix 2) </w:t>
      </w:r>
      <w:r w:rsidR="00F87464" w:rsidRPr="00F87464">
        <w:t>show that r</w:t>
      </w:r>
      <w:r w:rsidR="00F55896" w:rsidRPr="00F87464">
        <w:rPr>
          <w:color w:val="000000" w:themeColor="text1"/>
        </w:rPr>
        <w:t xml:space="preserve">adiotherapy use </w:t>
      </w:r>
      <w:r w:rsidR="00D737AB" w:rsidRPr="00F87464">
        <w:t>remained low across all ICS</w:t>
      </w:r>
      <w:r w:rsidR="00EA5012" w:rsidRPr="00F87464">
        <w:t>s</w:t>
      </w:r>
      <w:r w:rsidR="00D737AB" w:rsidRPr="00F87464">
        <w:t xml:space="preserve"> within the last month of life in this analysi</w:t>
      </w:r>
      <w:r w:rsidR="001263A2">
        <w:t>s</w:t>
      </w:r>
      <w:r w:rsidR="00064BF2">
        <w:t xml:space="preserve"> ranging from zero to 0.</w:t>
      </w:r>
      <w:r w:rsidR="00A61BFB">
        <w:t>7</w:t>
      </w:r>
      <w:r w:rsidR="0054537F">
        <w:t>%</w:t>
      </w:r>
      <w:r w:rsidR="00064BF2">
        <w:t xml:space="preserve"> between 2014 and 20</w:t>
      </w:r>
      <w:r w:rsidR="00A61BFB">
        <w:t>21</w:t>
      </w:r>
      <w:r w:rsidR="00F87464" w:rsidRPr="00F87464">
        <w:t xml:space="preserve">. </w:t>
      </w:r>
    </w:p>
    <w:p w14:paraId="63C87E84" w14:textId="6A9ADB45" w:rsidR="00064BF2" w:rsidRPr="00F87464" w:rsidRDefault="00064BF2" w:rsidP="00606436">
      <w:pPr>
        <w:pStyle w:val="Body"/>
      </w:pPr>
      <w:r w:rsidRPr="00E23DB6">
        <w:t>The proportion of patients admitted to intensive care within 30 days prior to death was similar across the ICSs</w:t>
      </w:r>
      <w:r w:rsidR="00423979">
        <w:t xml:space="preserve"> </w:t>
      </w:r>
      <w:r>
        <w:t xml:space="preserve">(Figure 12.13 and Table 12.13.2 </w:t>
      </w:r>
      <w:r w:rsidR="00CA5D25">
        <w:t xml:space="preserve">in </w:t>
      </w:r>
      <w:r>
        <w:t>Appendix 2) and was ranked the second highest in terms of key indicators of aggressive care reported via this measure</w:t>
      </w:r>
      <w:r w:rsidR="00423979">
        <w:t xml:space="preserve"> (Figure 12.13)</w:t>
      </w:r>
      <w:r>
        <w:t>.</w:t>
      </w:r>
    </w:p>
    <w:p w14:paraId="54AE9C88" w14:textId="6616E576" w:rsidR="00D737AB" w:rsidRPr="007D284E" w:rsidRDefault="00390F53" w:rsidP="00606436">
      <w:pPr>
        <w:pStyle w:val="Body"/>
      </w:pPr>
      <w:r w:rsidRPr="00E23DB6">
        <w:t>While no target has been set for this measure</w:t>
      </w:r>
      <w:r w:rsidR="00CA5D25">
        <w:t>,</w:t>
      </w:r>
      <w:r w:rsidRPr="00E23DB6">
        <w:t xml:space="preserve"> </w:t>
      </w:r>
      <w:r w:rsidR="00E23DB6" w:rsidRPr="00E23DB6">
        <w:t>understanding</w:t>
      </w:r>
      <w:r w:rsidR="0065615F">
        <w:t xml:space="preserve"> </w:t>
      </w:r>
      <w:r w:rsidR="00E23DB6" w:rsidRPr="00E23DB6">
        <w:t xml:space="preserve">this </w:t>
      </w:r>
      <w:r w:rsidR="00522580" w:rsidRPr="00E23DB6">
        <w:t>quality-of-care</w:t>
      </w:r>
      <w:r w:rsidR="00E23DB6" w:rsidRPr="00E23DB6">
        <w:t xml:space="preserve"> measure is </w:t>
      </w:r>
      <w:r w:rsidR="00CA5D25">
        <w:t>a</w:t>
      </w:r>
      <w:r w:rsidR="00E23DB6" w:rsidRPr="00E23DB6">
        <w:t xml:space="preserve"> crucial step in identifying any shortcomings or variations of Victoria-wide current practice, which will then allow for opportunities for improvement in aggressive care delivery.</w:t>
      </w:r>
      <w:r w:rsidR="00D737AB">
        <w:br w:type="page"/>
      </w:r>
    </w:p>
    <w:p w14:paraId="74950AEE" w14:textId="6AEB01BD" w:rsidR="00DF376C" w:rsidRPr="00186A8A" w:rsidRDefault="00DF376C" w:rsidP="00A451D4">
      <w:pPr>
        <w:pStyle w:val="Heading3"/>
        <w:rPr>
          <w:b/>
          <w:bCs w:val="0"/>
        </w:rPr>
      </w:pPr>
      <w:bookmarkStart w:id="925" w:name="_Measure_12.14_–"/>
      <w:bookmarkStart w:id="926" w:name="_Toc19008151"/>
      <w:bookmarkEnd w:id="925"/>
      <w:r w:rsidRPr="00186A8A">
        <w:rPr>
          <w:b/>
          <w:bCs w:val="0"/>
        </w:rPr>
        <w:lastRenderedPageBreak/>
        <w:t>Measure 12.14 –</w:t>
      </w:r>
      <w:r w:rsidR="00430845" w:rsidRPr="00186A8A">
        <w:rPr>
          <w:b/>
          <w:bCs w:val="0"/>
        </w:rPr>
        <w:t xml:space="preserve"> Proportion of deaths due to cancer that occur in hospitals</w:t>
      </w:r>
      <w:bookmarkEnd w:id="926"/>
    </w:p>
    <w:p w14:paraId="14D15163" w14:textId="1CA423B0" w:rsidR="000C63D4" w:rsidRPr="002919D4" w:rsidRDefault="001A7DD7" w:rsidP="00867A76">
      <w:pPr>
        <w:pStyle w:val="Figurecaption"/>
        <w:rPr>
          <w:sz w:val="20"/>
        </w:rPr>
      </w:pPr>
      <w:bookmarkStart w:id="927" w:name="_Toc19008152"/>
      <w:bookmarkStart w:id="928" w:name="_Toc19008361"/>
      <w:bookmarkStart w:id="929" w:name="_Toc19008508"/>
      <w:bookmarkStart w:id="930" w:name="_Toc19008655"/>
      <w:bookmarkStart w:id="931" w:name="_Toc132553085"/>
      <w:bookmarkStart w:id="932" w:name="_Toc140827698"/>
      <w:r w:rsidRPr="002919D4">
        <w:rPr>
          <w:sz w:val="20"/>
        </w:rPr>
        <w:t>Figure</w:t>
      </w:r>
      <w:r w:rsidR="00B8748A" w:rsidRPr="002919D4">
        <w:rPr>
          <w:sz w:val="20"/>
        </w:rPr>
        <w:t xml:space="preserve"> 12.14</w:t>
      </w:r>
      <w:r w:rsidR="003B391F" w:rsidRPr="002919D4">
        <w:rPr>
          <w:sz w:val="20"/>
        </w:rPr>
        <w:t>:</w:t>
      </w:r>
      <w:r w:rsidR="00B8748A" w:rsidRPr="002919D4">
        <w:rPr>
          <w:sz w:val="20"/>
        </w:rPr>
        <w:t xml:space="preserve"> </w:t>
      </w:r>
      <w:r w:rsidR="00E74E76" w:rsidRPr="002919D4">
        <w:rPr>
          <w:sz w:val="20"/>
        </w:rPr>
        <w:t>P</w:t>
      </w:r>
      <w:r w:rsidR="00B8748A" w:rsidRPr="002919D4">
        <w:rPr>
          <w:sz w:val="20"/>
        </w:rPr>
        <w:t>roportion of deaths due to cancer that occur in hospitals</w:t>
      </w:r>
      <w:r w:rsidR="00F55896" w:rsidRPr="002919D4">
        <w:rPr>
          <w:sz w:val="20"/>
        </w:rPr>
        <w:t>,</w:t>
      </w:r>
      <w:r w:rsidR="00B8748A" w:rsidRPr="002919D4">
        <w:rPr>
          <w:sz w:val="20"/>
        </w:rPr>
        <w:t xml:space="preserve"> by </w:t>
      </w:r>
      <w:r w:rsidR="008439C8" w:rsidRPr="002919D4">
        <w:rPr>
          <w:sz w:val="20"/>
        </w:rPr>
        <w:t>ICS</w:t>
      </w:r>
      <w:r w:rsidR="00B8748A" w:rsidRPr="002919D4">
        <w:rPr>
          <w:sz w:val="20"/>
        </w:rPr>
        <w:t xml:space="preserve"> </w:t>
      </w:r>
      <w:r w:rsidR="00064C5E" w:rsidRPr="002919D4">
        <w:rPr>
          <w:sz w:val="20"/>
        </w:rPr>
        <w:t xml:space="preserve">and </w:t>
      </w:r>
      <w:r w:rsidR="009D0E1A" w:rsidRPr="002919D4">
        <w:rPr>
          <w:sz w:val="20"/>
        </w:rPr>
        <w:t>s</w:t>
      </w:r>
      <w:r w:rsidR="00064C5E" w:rsidRPr="002919D4">
        <w:rPr>
          <w:sz w:val="20"/>
        </w:rPr>
        <w:t>tate</w:t>
      </w:r>
      <w:r w:rsidR="00B8748A" w:rsidRPr="002919D4">
        <w:rPr>
          <w:sz w:val="20"/>
        </w:rPr>
        <w:t>, 2014</w:t>
      </w:r>
      <w:r w:rsidR="009D0E1A" w:rsidRPr="002919D4">
        <w:rPr>
          <w:sz w:val="20"/>
        </w:rPr>
        <w:t>–</w:t>
      </w:r>
      <w:r w:rsidR="00B8748A" w:rsidRPr="002919D4">
        <w:rPr>
          <w:sz w:val="20"/>
        </w:rPr>
        <w:t>20</w:t>
      </w:r>
      <w:bookmarkEnd w:id="927"/>
      <w:bookmarkEnd w:id="928"/>
      <w:bookmarkEnd w:id="929"/>
      <w:bookmarkEnd w:id="930"/>
      <w:r w:rsidR="00A61BFB" w:rsidRPr="002919D4">
        <w:rPr>
          <w:sz w:val="20"/>
        </w:rPr>
        <w:t>21</w:t>
      </w:r>
      <w:bookmarkEnd w:id="931"/>
      <w:bookmarkEnd w:id="932"/>
    </w:p>
    <w:p w14:paraId="378A699B" w14:textId="7237F0EB" w:rsidR="00A61BFB" w:rsidRPr="00A61BFB" w:rsidRDefault="00A61BFB" w:rsidP="00E87AAA">
      <w:pPr>
        <w:pStyle w:val="Body"/>
      </w:pPr>
      <w:r>
        <w:rPr>
          <w:noProof/>
        </w:rPr>
        <w:drawing>
          <wp:inline distT="0" distB="0" distL="0" distR="0" wp14:anchorId="67224C5F" wp14:editId="60EDDDD7">
            <wp:extent cx="5836920" cy="4076700"/>
            <wp:effectExtent l="0" t="0" r="0" b="0"/>
            <wp:docPr id="12" name="Picture 12" descr="This figure presents data under the 'Measure 12.14 – Proportion of deaths due to cancer that occur in hospitals'.  The data for this figure for the study period 2014 to 2021 and by Integrated Cancer Service is available in this section - refer to Tabl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is figure presents data under the 'Measure 12.14 – Proportion of deaths due to cancer that occur in hospitals'.  The data for this figure for the study period 2014 to 2021 and by Integrated Cancer Service is available in this section - refer to Table 12.14."/>
                    <pic:cNvPicPr/>
                  </pic:nvPicPr>
                  <pic:blipFill>
                    <a:blip r:embed="rId149"/>
                    <a:stretch>
                      <a:fillRect/>
                    </a:stretch>
                  </pic:blipFill>
                  <pic:spPr>
                    <a:xfrm>
                      <a:off x="0" y="0"/>
                      <a:ext cx="5836920" cy="4076700"/>
                    </a:xfrm>
                    <a:prstGeom prst="rect">
                      <a:avLst/>
                    </a:prstGeom>
                  </pic:spPr>
                </pic:pic>
              </a:graphicData>
            </a:graphic>
          </wp:inline>
        </w:drawing>
      </w:r>
    </w:p>
    <w:p w14:paraId="460A490F" w14:textId="48E59FD7" w:rsidR="005102AD" w:rsidRPr="009C0E06" w:rsidRDefault="005102AD" w:rsidP="00E87AAA">
      <w:pPr>
        <w:pStyle w:val="Body"/>
      </w:pPr>
    </w:p>
    <w:p w14:paraId="5BF30F34" w14:textId="47EB541E" w:rsidR="008F3D73" w:rsidRPr="002919D4" w:rsidRDefault="00257E75" w:rsidP="006C7EA2">
      <w:pPr>
        <w:pStyle w:val="Tablecaption"/>
        <w:ind w:hanging="142"/>
        <w:rPr>
          <w:sz w:val="20"/>
        </w:rPr>
      </w:pPr>
      <w:bookmarkStart w:id="933" w:name="_Toc18908743"/>
      <w:bookmarkStart w:id="934" w:name="_Toc132491542"/>
      <w:bookmarkStart w:id="935" w:name="_Toc140834933"/>
      <w:r w:rsidRPr="002919D4">
        <w:rPr>
          <w:sz w:val="20"/>
        </w:rPr>
        <w:t>Table 12.</w:t>
      </w:r>
      <w:r w:rsidR="001161B8" w:rsidRPr="002919D4">
        <w:rPr>
          <w:sz w:val="20"/>
        </w:rPr>
        <w:t>1</w:t>
      </w:r>
      <w:r w:rsidRPr="002919D4">
        <w:rPr>
          <w:sz w:val="20"/>
        </w:rPr>
        <w:t>4</w:t>
      </w:r>
      <w:r w:rsidR="00D13361" w:rsidRPr="002919D4">
        <w:rPr>
          <w:sz w:val="20"/>
        </w:rPr>
        <w:t>:</w:t>
      </w:r>
      <w:r w:rsidRPr="002919D4">
        <w:rPr>
          <w:sz w:val="20"/>
        </w:rPr>
        <w:t xml:space="preserve"> Proportion</w:t>
      </w:r>
      <w:r w:rsidR="000C63D4" w:rsidRPr="002919D4">
        <w:rPr>
          <w:sz w:val="20"/>
        </w:rPr>
        <w:t>/</w:t>
      </w:r>
      <w:r w:rsidRPr="002919D4">
        <w:rPr>
          <w:sz w:val="20"/>
        </w:rPr>
        <w:t xml:space="preserve">number of deaths </w:t>
      </w:r>
      <w:r w:rsidR="00B572F6" w:rsidRPr="002919D4">
        <w:rPr>
          <w:sz w:val="20"/>
        </w:rPr>
        <w:t>due to cancer that occur in hospitals</w:t>
      </w:r>
      <w:r w:rsidR="00F55896" w:rsidRPr="002919D4">
        <w:rPr>
          <w:sz w:val="20"/>
        </w:rPr>
        <w:t>,</w:t>
      </w:r>
      <w:r w:rsidR="00B572F6" w:rsidRPr="002919D4">
        <w:rPr>
          <w:sz w:val="20"/>
        </w:rPr>
        <w:t xml:space="preserve"> by </w:t>
      </w:r>
      <w:r w:rsidR="008439C8" w:rsidRPr="002919D4">
        <w:rPr>
          <w:sz w:val="20"/>
        </w:rPr>
        <w:t>ICS</w:t>
      </w:r>
      <w:r w:rsidR="00B572F6" w:rsidRPr="002919D4">
        <w:rPr>
          <w:sz w:val="20"/>
        </w:rPr>
        <w:t>, 2014</w:t>
      </w:r>
      <w:r w:rsidR="009D0E1A" w:rsidRPr="002919D4">
        <w:rPr>
          <w:sz w:val="20"/>
        </w:rPr>
        <w:t>–</w:t>
      </w:r>
      <w:r w:rsidR="00B572F6" w:rsidRPr="002919D4">
        <w:rPr>
          <w:sz w:val="20"/>
        </w:rPr>
        <w:t>20</w:t>
      </w:r>
      <w:bookmarkEnd w:id="933"/>
      <w:r w:rsidR="00A61BFB" w:rsidRPr="002919D4">
        <w:rPr>
          <w:sz w:val="20"/>
        </w:rPr>
        <w:t>21</w:t>
      </w:r>
      <w:bookmarkEnd w:id="934"/>
      <w:bookmarkEnd w:id="935"/>
    </w:p>
    <w:tbl>
      <w:tblPr>
        <w:tblStyle w:val="TableGrid"/>
        <w:tblW w:w="11341" w:type="dxa"/>
        <w:tblInd w:w="-993"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ook w:val="04A0" w:firstRow="1" w:lastRow="0" w:firstColumn="1" w:lastColumn="0" w:noHBand="0" w:noVBand="1"/>
      </w:tblPr>
      <w:tblGrid>
        <w:gridCol w:w="796"/>
        <w:gridCol w:w="1242"/>
        <w:gridCol w:w="1274"/>
        <w:gridCol w:w="1273"/>
        <w:gridCol w:w="1228"/>
        <w:gridCol w:w="1276"/>
        <w:gridCol w:w="1422"/>
        <w:gridCol w:w="1417"/>
        <w:gridCol w:w="1413"/>
      </w:tblGrid>
      <w:tr w:rsidR="00496DB8" w:rsidRPr="00496DB8" w14:paraId="595B99E3" w14:textId="2B4FFAAB" w:rsidTr="00C775C3">
        <w:trPr>
          <w:trHeight w:val="419"/>
        </w:trPr>
        <w:tc>
          <w:tcPr>
            <w:tcW w:w="796" w:type="dxa"/>
            <w:shd w:val="clear" w:color="auto" w:fill="EDCDCF"/>
          </w:tcPr>
          <w:p w14:paraId="1FE28DDC" w14:textId="77777777" w:rsidR="00496DB8" w:rsidRPr="00496DB8" w:rsidRDefault="00496DB8" w:rsidP="00DC249B">
            <w:pPr>
              <w:pStyle w:val="Tablecolhead"/>
              <w:rPr>
                <w:sz w:val="12"/>
                <w:szCs w:val="12"/>
              </w:rPr>
            </w:pPr>
            <w:r w:rsidRPr="00496DB8">
              <w:rPr>
                <w:sz w:val="12"/>
                <w:szCs w:val="12"/>
              </w:rPr>
              <w:t>ICS</w:t>
            </w:r>
          </w:p>
        </w:tc>
        <w:tc>
          <w:tcPr>
            <w:tcW w:w="1242" w:type="dxa"/>
            <w:shd w:val="clear" w:color="auto" w:fill="EDCDCF"/>
          </w:tcPr>
          <w:p w14:paraId="42A6F0DA" w14:textId="1F62DA36" w:rsidR="00496DB8" w:rsidRPr="00496DB8" w:rsidRDefault="00496DB8" w:rsidP="00DC249B">
            <w:pPr>
              <w:pStyle w:val="Tablecolhead"/>
              <w:rPr>
                <w:sz w:val="12"/>
                <w:szCs w:val="12"/>
              </w:rPr>
            </w:pPr>
            <w:r w:rsidRPr="00496DB8">
              <w:rPr>
                <w:sz w:val="12"/>
                <w:szCs w:val="12"/>
              </w:rPr>
              <w:t>2014 (</w:t>
            </w:r>
            <w:r w:rsidR="00CA5D25">
              <w:rPr>
                <w:sz w:val="12"/>
                <w:szCs w:val="12"/>
              </w:rPr>
              <w:t>y</w:t>
            </w:r>
            <w:r w:rsidRPr="00496DB8">
              <w:rPr>
                <w:sz w:val="12"/>
                <w:szCs w:val="12"/>
              </w:rPr>
              <w:t>ear of death)</w:t>
            </w:r>
            <w:r w:rsidR="00C775C3">
              <w:rPr>
                <w:sz w:val="12"/>
                <w:szCs w:val="12"/>
              </w:rPr>
              <w:t xml:space="preserve"> </w:t>
            </w:r>
            <w:r w:rsidRPr="00496DB8">
              <w:rPr>
                <w:sz w:val="12"/>
                <w:szCs w:val="12"/>
              </w:rPr>
              <w:t>(%) [n/No.]</w:t>
            </w:r>
          </w:p>
        </w:tc>
        <w:tc>
          <w:tcPr>
            <w:tcW w:w="1274" w:type="dxa"/>
            <w:shd w:val="clear" w:color="auto" w:fill="EDCDCF"/>
          </w:tcPr>
          <w:p w14:paraId="6197C06E" w14:textId="5B747F81" w:rsidR="00496DB8" w:rsidRPr="00496DB8" w:rsidRDefault="00496DB8" w:rsidP="00DC249B">
            <w:pPr>
              <w:pStyle w:val="Tablecolhead"/>
              <w:rPr>
                <w:sz w:val="12"/>
                <w:szCs w:val="12"/>
              </w:rPr>
            </w:pPr>
            <w:r w:rsidRPr="00496DB8">
              <w:rPr>
                <w:sz w:val="12"/>
                <w:szCs w:val="12"/>
              </w:rPr>
              <w:t>2015 (</w:t>
            </w:r>
            <w:r w:rsidR="00CA5D25">
              <w:rPr>
                <w:sz w:val="12"/>
                <w:szCs w:val="12"/>
              </w:rPr>
              <w:t>y</w:t>
            </w:r>
            <w:r w:rsidRPr="00496DB8">
              <w:rPr>
                <w:sz w:val="12"/>
                <w:szCs w:val="12"/>
              </w:rPr>
              <w:t>ear of death)</w:t>
            </w:r>
            <w:r w:rsidR="00C775C3">
              <w:rPr>
                <w:sz w:val="12"/>
                <w:szCs w:val="12"/>
              </w:rPr>
              <w:t xml:space="preserve"> </w:t>
            </w:r>
            <w:r w:rsidRPr="00496DB8">
              <w:rPr>
                <w:sz w:val="12"/>
                <w:szCs w:val="12"/>
              </w:rPr>
              <w:t>(%) [n/No.]</w:t>
            </w:r>
          </w:p>
        </w:tc>
        <w:tc>
          <w:tcPr>
            <w:tcW w:w="1273" w:type="dxa"/>
            <w:shd w:val="clear" w:color="auto" w:fill="EDCDCF"/>
          </w:tcPr>
          <w:p w14:paraId="3ACCAED3" w14:textId="357108BB" w:rsidR="00496DB8" w:rsidRPr="00496DB8" w:rsidRDefault="00496DB8" w:rsidP="00DC249B">
            <w:pPr>
              <w:pStyle w:val="Tablecolhead"/>
              <w:rPr>
                <w:sz w:val="12"/>
                <w:szCs w:val="12"/>
              </w:rPr>
            </w:pPr>
            <w:r w:rsidRPr="00496DB8">
              <w:rPr>
                <w:sz w:val="12"/>
                <w:szCs w:val="12"/>
              </w:rPr>
              <w:t>2016 (</w:t>
            </w:r>
            <w:r w:rsidR="00CA5D25">
              <w:rPr>
                <w:sz w:val="12"/>
                <w:szCs w:val="12"/>
              </w:rPr>
              <w:t>y</w:t>
            </w:r>
            <w:r w:rsidRPr="00496DB8">
              <w:rPr>
                <w:sz w:val="12"/>
                <w:szCs w:val="12"/>
              </w:rPr>
              <w:t>ear of death)</w:t>
            </w:r>
            <w:r w:rsidR="00C775C3">
              <w:rPr>
                <w:sz w:val="12"/>
                <w:szCs w:val="12"/>
              </w:rPr>
              <w:t xml:space="preserve"> </w:t>
            </w:r>
            <w:r w:rsidRPr="00496DB8">
              <w:rPr>
                <w:sz w:val="12"/>
                <w:szCs w:val="12"/>
              </w:rPr>
              <w:t>(%) [n/No.]</w:t>
            </w:r>
          </w:p>
        </w:tc>
        <w:tc>
          <w:tcPr>
            <w:tcW w:w="1228" w:type="dxa"/>
            <w:shd w:val="clear" w:color="auto" w:fill="EDCDCF"/>
          </w:tcPr>
          <w:p w14:paraId="420FD556" w14:textId="5F7C822F" w:rsidR="00496DB8" w:rsidRPr="00496DB8" w:rsidRDefault="00496DB8" w:rsidP="004138AC">
            <w:pPr>
              <w:pStyle w:val="Tablecolhead"/>
              <w:rPr>
                <w:sz w:val="12"/>
                <w:szCs w:val="12"/>
              </w:rPr>
            </w:pPr>
            <w:r w:rsidRPr="00496DB8">
              <w:rPr>
                <w:sz w:val="12"/>
                <w:szCs w:val="12"/>
              </w:rPr>
              <w:t>2017 (</w:t>
            </w:r>
            <w:r w:rsidR="00CA5D25">
              <w:rPr>
                <w:sz w:val="12"/>
                <w:szCs w:val="12"/>
              </w:rPr>
              <w:t>y</w:t>
            </w:r>
            <w:r w:rsidRPr="00496DB8">
              <w:rPr>
                <w:sz w:val="12"/>
                <w:szCs w:val="12"/>
              </w:rPr>
              <w:t>ear of death) (%) [n/No.]</w:t>
            </w:r>
          </w:p>
        </w:tc>
        <w:tc>
          <w:tcPr>
            <w:tcW w:w="1276" w:type="dxa"/>
            <w:shd w:val="clear" w:color="auto" w:fill="EDCDCF"/>
          </w:tcPr>
          <w:p w14:paraId="51BA74C3" w14:textId="5FEF1BCA" w:rsidR="00496DB8" w:rsidRPr="00496DB8" w:rsidRDefault="00496DB8" w:rsidP="004138AC">
            <w:pPr>
              <w:pStyle w:val="Tablecolhead"/>
              <w:rPr>
                <w:sz w:val="12"/>
                <w:szCs w:val="12"/>
              </w:rPr>
            </w:pPr>
            <w:r w:rsidRPr="00496DB8">
              <w:rPr>
                <w:sz w:val="12"/>
                <w:szCs w:val="12"/>
              </w:rPr>
              <w:t>2018 (</w:t>
            </w:r>
            <w:r w:rsidR="00CA5D25">
              <w:rPr>
                <w:sz w:val="12"/>
                <w:szCs w:val="12"/>
              </w:rPr>
              <w:t>y</w:t>
            </w:r>
            <w:r w:rsidRPr="00496DB8">
              <w:rPr>
                <w:sz w:val="12"/>
                <w:szCs w:val="12"/>
              </w:rPr>
              <w:t>ear of death) (%) [n/No.]</w:t>
            </w:r>
          </w:p>
        </w:tc>
        <w:tc>
          <w:tcPr>
            <w:tcW w:w="1422" w:type="dxa"/>
            <w:shd w:val="clear" w:color="auto" w:fill="EDCDCF"/>
          </w:tcPr>
          <w:p w14:paraId="42795F52" w14:textId="0DAA7C32" w:rsidR="00496DB8" w:rsidRPr="00496DB8" w:rsidRDefault="00496DB8" w:rsidP="004138AC">
            <w:pPr>
              <w:pStyle w:val="Tablecolhead"/>
              <w:rPr>
                <w:sz w:val="12"/>
                <w:szCs w:val="12"/>
              </w:rPr>
            </w:pPr>
            <w:r w:rsidRPr="00496DB8">
              <w:rPr>
                <w:sz w:val="12"/>
                <w:szCs w:val="12"/>
              </w:rPr>
              <w:t>2019 (</w:t>
            </w:r>
            <w:r w:rsidR="00CA5D25">
              <w:rPr>
                <w:sz w:val="12"/>
                <w:szCs w:val="12"/>
              </w:rPr>
              <w:t>y</w:t>
            </w:r>
            <w:r w:rsidRPr="00496DB8">
              <w:rPr>
                <w:sz w:val="12"/>
                <w:szCs w:val="12"/>
              </w:rPr>
              <w:t>ear of death) (%) [n/No.]</w:t>
            </w:r>
          </w:p>
        </w:tc>
        <w:tc>
          <w:tcPr>
            <w:tcW w:w="1417" w:type="dxa"/>
            <w:shd w:val="clear" w:color="auto" w:fill="EDCDCF"/>
          </w:tcPr>
          <w:p w14:paraId="0B3DADDF" w14:textId="6C798BD9" w:rsidR="00496DB8" w:rsidRPr="00496DB8" w:rsidRDefault="00496DB8" w:rsidP="004138AC">
            <w:pPr>
              <w:pStyle w:val="Tablecolhead"/>
              <w:rPr>
                <w:sz w:val="12"/>
                <w:szCs w:val="12"/>
              </w:rPr>
            </w:pPr>
            <w:r w:rsidRPr="00496DB8">
              <w:rPr>
                <w:sz w:val="12"/>
                <w:szCs w:val="12"/>
              </w:rPr>
              <w:t>2020 (</w:t>
            </w:r>
            <w:r w:rsidR="00CA5D25">
              <w:rPr>
                <w:sz w:val="12"/>
                <w:szCs w:val="12"/>
              </w:rPr>
              <w:t>y</w:t>
            </w:r>
            <w:r w:rsidRPr="00496DB8">
              <w:rPr>
                <w:sz w:val="12"/>
                <w:szCs w:val="12"/>
              </w:rPr>
              <w:t>ear of death) (%) [n/No.]</w:t>
            </w:r>
          </w:p>
        </w:tc>
        <w:tc>
          <w:tcPr>
            <w:tcW w:w="1413" w:type="dxa"/>
            <w:shd w:val="clear" w:color="auto" w:fill="EDCDCF"/>
          </w:tcPr>
          <w:p w14:paraId="36503C3A" w14:textId="724EC892" w:rsidR="00496DB8" w:rsidRPr="00496DB8" w:rsidRDefault="00496DB8" w:rsidP="004138AC">
            <w:pPr>
              <w:pStyle w:val="Tablecolhead"/>
              <w:rPr>
                <w:sz w:val="12"/>
                <w:szCs w:val="12"/>
              </w:rPr>
            </w:pPr>
            <w:r w:rsidRPr="00496DB8">
              <w:rPr>
                <w:sz w:val="12"/>
                <w:szCs w:val="12"/>
              </w:rPr>
              <w:t>2021 (</w:t>
            </w:r>
            <w:r w:rsidR="00CA5D25">
              <w:rPr>
                <w:sz w:val="12"/>
                <w:szCs w:val="12"/>
              </w:rPr>
              <w:t>y</w:t>
            </w:r>
            <w:r w:rsidRPr="00496DB8">
              <w:rPr>
                <w:sz w:val="12"/>
                <w:szCs w:val="12"/>
              </w:rPr>
              <w:t>ear of death) (%) [n/No.]</w:t>
            </w:r>
          </w:p>
        </w:tc>
      </w:tr>
      <w:tr w:rsidR="005A7035" w:rsidRPr="00496DB8" w14:paraId="3D2B2862" w14:textId="3F234933" w:rsidTr="0020126C">
        <w:trPr>
          <w:trHeight w:val="255"/>
        </w:trPr>
        <w:tc>
          <w:tcPr>
            <w:tcW w:w="796" w:type="dxa"/>
            <w:vAlign w:val="center"/>
          </w:tcPr>
          <w:p w14:paraId="2A2B6D03" w14:textId="77777777" w:rsidR="005A7035" w:rsidRPr="00496DB8" w:rsidRDefault="005A7035" w:rsidP="005A7035">
            <w:pPr>
              <w:pStyle w:val="Tabletext"/>
              <w:rPr>
                <w:rFonts w:cs="Arial"/>
                <w:sz w:val="12"/>
                <w:szCs w:val="12"/>
              </w:rPr>
            </w:pPr>
            <w:r w:rsidRPr="00496DB8">
              <w:rPr>
                <w:sz w:val="12"/>
                <w:szCs w:val="12"/>
              </w:rPr>
              <w:t>NEMICS</w:t>
            </w:r>
          </w:p>
        </w:tc>
        <w:tc>
          <w:tcPr>
            <w:tcW w:w="1242" w:type="dxa"/>
            <w:vAlign w:val="center"/>
          </w:tcPr>
          <w:p w14:paraId="5F01D3DF" w14:textId="6BA28247" w:rsidR="005A7035" w:rsidRPr="00496DB8" w:rsidRDefault="005A7035" w:rsidP="005A7035">
            <w:pPr>
              <w:pStyle w:val="Tabletext"/>
              <w:rPr>
                <w:sz w:val="12"/>
                <w:szCs w:val="12"/>
              </w:rPr>
            </w:pPr>
            <w:r w:rsidRPr="00496DB8">
              <w:rPr>
                <w:sz w:val="12"/>
                <w:szCs w:val="12"/>
              </w:rPr>
              <w:t>(75) [1,4</w:t>
            </w:r>
            <w:r>
              <w:rPr>
                <w:sz w:val="12"/>
                <w:szCs w:val="12"/>
              </w:rPr>
              <w:t>89</w:t>
            </w:r>
            <w:r w:rsidRPr="00496DB8">
              <w:rPr>
                <w:sz w:val="12"/>
                <w:szCs w:val="12"/>
              </w:rPr>
              <w:t>/1,99</w:t>
            </w:r>
            <w:r>
              <w:rPr>
                <w:sz w:val="12"/>
                <w:szCs w:val="12"/>
              </w:rPr>
              <w:t>5</w:t>
            </w:r>
            <w:r w:rsidRPr="00496DB8">
              <w:rPr>
                <w:sz w:val="12"/>
                <w:szCs w:val="12"/>
              </w:rPr>
              <w:t>]</w:t>
            </w:r>
          </w:p>
        </w:tc>
        <w:tc>
          <w:tcPr>
            <w:tcW w:w="1274" w:type="dxa"/>
            <w:vAlign w:val="center"/>
          </w:tcPr>
          <w:p w14:paraId="6429EC4C" w14:textId="2531DE31" w:rsidR="005A7035" w:rsidRPr="00496DB8" w:rsidRDefault="005A7035" w:rsidP="005A7035">
            <w:pPr>
              <w:pStyle w:val="Tabletext"/>
              <w:rPr>
                <w:sz w:val="12"/>
                <w:szCs w:val="12"/>
              </w:rPr>
            </w:pPr>
            <w:r w:rsidRPr="00496DB8">
              <w:rPr>
                <w:sz w:val="12"/>
                <w:szCs w:val="12"/>
              </w:rPr>
              <w:t>(7</w:t>
            </w:r>
            <w:r>
              <w:rPr>
                <w:sz w:val="12"/>
                <w:szCs w:val="12"/>
              </w:rPr>
              <w:t>3</w:t>
            </w:r>
            <w:r w:rsidRPr="00496DB8">
              <w:rPr>
                <w:sz w:val="12"/>
                <w:szCs w:val="12"/>
              </w:rPr>
              <w:t>) [1,52</w:t>
            </w:r>
            <w:r>
              <w:rPr>
                <w:sz w:val="12"/>
                <w:szCs w:val="12"/>
              </w:rPr>
              <w:t>5</w:t>
            </w:r>
            <w:r w:rsidRPr="00496DB8">
              <w:rPr>
                <w:sz w:val="12"/>
                <w:szCs w:val="12"/>
              </w:rPr>
              <w:t>/2,0</w:t>
            </w:r>
            <w:r>
              <w:rPr>
                <w:sz w:val="12"/>
                <w:szCs w:val="12"/>
              </w:rPr>
              <w:t>80</w:t>
            </w:r>
            <w:r w:rsidRPr="00496DB8">
              <w:rPr>
                <w:sz w:val="12"/>
                <w:szCs w:val="12"/>
              </w:rPr>
              <w:t>]</w:t>
            </w:r>
          </w:p>
        </w:tc>
        <w:tc>
          <w:tcPr>
            <w:tcW w:w="1273" w:type="dxa"/>
            <w:vAlign w:val="center"/>
          </w:tcPr>
          <w:p w14:paraId="375B1B18" w14:textId="1ACC8634" w:rsidR="005A7035" w:rsidRPr="00496DB8" w:rsidRDefault="005A7035" w:rsidP="005A7035">
            <w:pPr>
              <w:pStyle w:val="Tabletext"/>
              <w:rPr>
                <w:sz w:val="12"/>
                <w:szCs w:val="12"/>
              </w:rPr>
            </w:pPr>
            <w:r w:rsidRPr="00496DB8">
              <w:rPr>
                <w:sz w:val="12"/>
                <w:szCs w:val="12"/>
              </w:rPr>
              <w:t>(75) [1,</w:t>
            </w:r>
            <w:r>
              <w:rPr>
                <w:sz w:val="12"/>
                <w:szCs w:val="12"/>
              </w:rPr>
              <w:t>591</w:t>
            </w:r>
            <w:r w:rsidRPr="00496DB8">
              <w:rPr>
                <w:sz w:val="12"/>
                <w:szCs w:val="12"/>
              </w:rPr>
              <w:t>/2,13</w:t>
            </w:r>
            <w:r>
              <w:rPr>
                <w:sz w:val="12"/>
                <w:szCs w:val="12"/>
              </w:rPr>
              <w:t>3</w:t>
            </w:r>
            <w:r w:rsidRPr="00496DB8">
              <w:rPr>
                <w:sz w:val="12"/>
                <w:szCs w:val="12"/>
              </w:rPr>
              <w:t>]</w:t>
            </w:r>
          </w:p>
        </w:tc>
        <w:tc>
          <w:tcPr>
            <w:tcW w:w="1228" w:type="dxa"/>
            <w:vAlign w:val="center"/>
          </w:tcPr>
          <w:p w14:paraId="3D411328" w14:textId="28DB6512" w:rsidR="005A7035" w:rsidRPr="00496DB8" w:rsidRDefault="005A7035" w:rsidP="005A7035">
            <w:pPr>
              <w:pStyle w:val="Tabletext"/>
              <w:rPr>
                <w:sz w:val="12"/>
                <w:szCs w:val="12"/>
              </w:rPr>
            </w:pPr>
            <w:r w:rsidRPr="00496DB8">
              <w:rPr>
                <w:sz w:val="12"/>
                <w:szCs w:val="12"/>
              </w:rPr>
              <w:t>(74) [1,57</w:t>
            </w:r>
            <w:r>
              <w:rPr>
                <w:sz w:val="12"/>
                <w:szCs w:val="12"/>
              </w:rPr>
              <w:t>9</w:t>
            </w:r>
            <w:r w:rsidRPr="00496DB8">
              <w:rPr>
                <w:sz w:val="12"/>
                <w:szCs w:val="12"/>
              </w:rPr>
              <w:t>/2,1</w:t>
            </w:r>
            <w:r>
              <w:rPr>
                <w:sz w:val="12"/>
                <w:szCs w:val="12"/>
              </w:rPr>
              <w:t>4</w:t>
            </w:r>
            <w:r w:rsidRPr="00496DB8">
              <w:rPr>
                <w:sz w:val="12"/>
                <w:szCs w:val="12"/>
              </w:rPr>
              <w:t>0]</w:t>
            </w:r>
          </w:p>
        </w:tc>
        <w:tc>
          <w:tcPr>
            <w:tcW w:w="1276" w:type="dxa"/>
            <w:vAlign w:val="center"/>
          </w:tcPr>
          <w:p w14:paraId="16D411F9" w14:textId="57A28A93" w:rsidR="005A7035" w:rsidRPr="00496DB8" w:rsidRDefault="005A7035" w:rsidP="005A7035">
            <w:pPr>
              <w:pStyle w:val="Tabletext"/>
              <w:rPr>
                <w:sz w:val="12"/>
                <w:szCs w:val="12"/>
              </w:rPr>
            </w:pPr>
            <w:r w:rsidRPr="00496DB8">
              <w:rPr>
                <w:sz w:val="12"/>
                <w:szCs w:val="12"/>
              </w:rPr>
              <w:t>(74) [1,5</w:t>
            </w:r>
            <w:r>
              <w:rPr>
                <w:sz w:val="12"/>
                <w:szCs w:val="12"/>
              </w:rPr>
              <w:t>99</w:t>
            </w:r>
            <w:r w:rsidRPr="00496DB8">
              <w:rPr>
                <w:sz w:val="12"/>
                <w:szCs w:val="12"/>
              </w:rPr>
              <w:t>/2,1</w:t>
            </w:r>
            <w:r>
              <w:rPr>
                <w:sz w:val="12"/>
                <w:szCs w:val="12"/>
              </w:rPr>
              <w:t>51</w:t>
            </w:r>
            <w:r w:rsidRPr="00496DB8">
              <w:rPr>
                <w:sz w:val="12"/>
                <w:szCs w:val="12"/>
              </w:rPr>
              <w:t>]</w:t>
            </w:r>
          </w:p>
        </w:tc>
        <w:tc>
          <w:tcPr>
            <w:tcW w:w="1422" w:type="dxa"/>
            <w:vAlign w:val="center"/>
          </w:tcPr>
          <w:p w14:paraId="5BFE3F20" w14:textId="37A41AE1" w:rsidR="005A7035" w:rsidRPr="00496DB8" w:rsidRDefault="005A7035" w:rsidP="005A7035">
            <w:pPr>
              <w:pStyle w:val="Tabletext"/>
              <w:rPr>
                <w:sz w:val="12"/>
                <w:szCs w:val="12"/>
              </w:rPr>
            </w:pPr>
            <w:r w:rsidRPr="00496DB8">
              <w:rPr>
                <w:sz w:val="12"/>
                <w:szCs w:val="12"/>
              </w:rPr>
              <w:t>(73) [1,6</w:t>
            </w:r>
            <w:r>
              <w:rPr>
                <w:sz w:val="12"/>
                <w:szCs w:val="12"/>
              </w:rPr>
              <w:t>6</w:t>
            </w:r>
            <w:r w:rsidRPr="00496DB8">
              <w:rPr>
                <w:sz w:val="12"/>
                <w:szCs w:val="12"/>
              </w:rPr>
              <w:t>3/2,</w:t>
            </w:r>
            <w:r>
              <w:rPr>
                <w:sz w:val="12"/>
                <w:szCs w:val="12"/>
              </w:rPr>
              <w:t>292</w:t>
            </w:r>
            <w:r w:rsidRPr="00496DB8">
              <w:rPr>
                <w:sz w:val="12"/>
                <w:szCs w:val="12"/>
              </w:rPr>
              <w:t>]</w:t>
            </w:r>
          </w:p>
        </w:tc>
        <w:tc>
          <w:tcPr>
            <w:tcW w:w="1417" w:type="dxa"/>
            <w:vAlign w:val="center"/>
          </w:tcPr>
          <w:p w14:paraId="45C1A252" w14:textId="4DEA9A29" w:rsidR="005A7035" w:rsidRPr="00496DB8" w:rsidRDefault="005A7035" w:rsidP="005A7035">
            <w:pPr>
              <w:pStyle w:val="Tabletext"/>
              <w:rPr>
                <w:sz w:val="12"/>
                <w:szCs w:val="12"/>
              </w:rPr>
            </w:pPr>
            <w:r w:rsidRPr="00496DB8">
              <w:rPr>
                <w:sz w:val="12"/>
                <w:szCs w:val="12"/>
              </w:rPr>
              <w:t>(</w:t>
            </w:r>
            <w:r>
              <w:rPr>
                <w:sz w:val="12"/>
                <w:szCs w:val="12"/>
              </w:rPr>
              <w:t>64</w:t>
            </w:r>
            <w:r w:rsidRPr="00496DB8">
              <w:rPr>
                <w:sz w:val="12"/>
                <w:szCs w:val="12"/>
              </w:rPr>
              <w:t>) [1,</w:t>
            </w:r>
            <w:r>
              <w:rPr>
                <w:sz w:val="12"/>
                <w:szCs w:val="12"/>
              </w:rPr>
              <w:t>394</w:t>
            </w:r>
            <w:r w:rsidRPr="00496DB8">
              <w:rPr>
                <w:sz w:val="12"/>
                <w:szCs w:val="12"/>
              </w:rPr>
              <w:t>/2,</w:t>
            </w:r>
            <w:r>
              <w:rPr>
                <w:sz w:val="12"/>
                <w:szCs w:val="12"/>
              </w:rPr>
              <w:t>182</w:t>
            </w:r>
            <w:r w:rsidRPr="00496DB8">
              <w:rPr>
                <w:sz w:val="12"/>
                <w:szCs w:val="12"/>
              </w:rPr>
              <w:t>]</w:t>
            </w:r>
          </w:p>
        </w:tc>
        <w:tc>
          <w:tcPr>
            <w:tcW w:w="1413" w:type="dxa"/>
            <w:vAlign w:val="center"/>
          </w:tcPr>
          <w:p w14:paraId="47BBF1FC" w14:textId="0C00F2F1" w:rsidR="005A7035" w:rsidRPr="00496DB8" w:rsidRDefault="005A7035" w:rsidP="005A7035">
            <w:pPr>
              <w:pStyle w:val="Tabletext"/>
              <w:rPr>
                <w:sz w:val="12"/>
                <w:szCs w:val="12"/>
              </w:rPr>
            </w:pPr>
            <w:r w:rsidRPr="00496DB8">
              <w:rPr>
                <w:sz w:val="12"/>
                <w:szCs w:val="12"/>
              </w:rPr>
              <w:t>(</w:t>
            </w:r>
            <w:r>
              <w:rPr>
                <w:sz w:val="12"/>
                <w:szCs w:val="12"/>
              </w:rPr>
              <w:t>64</w:t>
            </w:r>
            <w:r w:rsidRPr="00496DB8">
              <w:rPr>
                <w:sz w:val="12"/>
                <w:szCs w:val="12"/>
              </w:rPr>
              <w:t>) [1,</w:t>
            </w:r>
            <w:r>
              <w:rPr>
                <w:sz w:val="12"/>
                <w:szCs w:val="12"/>
              </w:rPr>
              <w:t>425</w:t>
            </w:r>
            <w:r w:rsidRPr="00496DB8">
              <w:rPr>
                <w:sz w:val="12"/>
                <w:szCs w:val="12"/>
              </w:rPr>
              <w:t>/2,</w:t>
            </w:r>
            <w:r>
              <w:rPr>
                <w:sz w:val="12"/>
                <w:szCs w:val="12"/>
              </w:rPr>
              <w:t>232</w:t>
            </w:r>
            <w:r w:rsidRPr="00496DB8">
              <w:rPr>
                <w:sz w:val="12"/>
                <w:szCs w:val="12"/>
              </w:rPr>
              <w:t>]</w:t>
            </w:r>
          </w:p>
        </w:tc>
      </w:tr>
      <w:tr w:rsidR="005A7035" w:rsidRPr="00496DB8" w14:paraId="1A86D9D4" w14:textId="103F1CD4" w:rsidTr="0020126C">
        <w:trPr>
          <w:trHeight w:val="255"/>
        </w:trPr>
        <w:tc>
          <w:tcPr>
            <w:tcW w:w="796" w:type="dxa"/>
            <w:vAlign w:val="center"/>
          </w:tcPr>
          <w:p w14:paraId="3BB90813" w14:textId="77777777" w:rsidR="005A7035" w:rsidRPr="00496DB8" w:rsidRDefault="005A7035" w:rsidP="005A7035">
            <w:pPr>
              <w:pStyle w:val="Tabletext"/>
              <w:rPr>
                <w:rFonts w:cs="Arial"/>
                <w:sz w:val="12"/>
                <w:szCs w:val="12"/>
              </w:rPr>
            </w:pPr>
            <w:r w:rsidRPr="00496DB8">
              <w:rPr>
                <w:sz w:val="12"/>
                <w:szCs w:val="12"/>
              </w:rPr>
              <w:t>SMICS</w:t>
            </w:r>
          </w:p>
        </w:tc>
        <w:tc>
          <w:tcPr>
            <w:tcW w:w="1242" w:type="dxa"/>
            <w:vAlign w:val="center"/>
          </w:tcPr>
          <w:p w14:paraId="44779DE3" w14:textId="37704260" w:rsidR="005A7035" w:rsidRPr="00496DB8" w:rsidRDefault="005A7035" w:rsidP="005A7035">
            <w:pPr>
              <w:pStyle w:val="Tabletext"/>
              <w:rPr>
                <w:sz w:val="12"/>
                <w:szCs w:val="12"/>
              </w:rPr>
            </w:pPr>
            <w:r w:rsidRPr="00496DB8">
              <w:rPr>
                <w:sz w:val="12"/>
                <w:szCs w:val="12"/>
              </w:rPr>
              <w:t>(73) [1,7</w:t>
            </w:r>
            <w:r>
              <w:rPr>
                <w:sz w:val="12"/>
                <w:szCs w:val="12"/>
              </w:rPr>
              <w:t>12</w:t>
            </w:r>
            <w:r w:rsidRPr="00496DB8">
              <w:rPr>
                <w:sz w:val="12"/>
                <w:szCs w:val="12"/>
              </w:rPr>
              <w:t>/2,34</w:t>
            </w:r>
            <w:r>
              <w:rPr>
                <w:sz w:val="12"/>
                <w:szCs w:val="12"/>
              </w:rPr>
              <w:t>4</w:t>
            </w:r>
            <w:r w:rsidRPr="00496DB8">
              <w:rPr>
                <w:sz w:val="12"/>
                <w:szCs w:val="12"/>
              </w:rPr>
              <w:t>]</w:t>
            </w:r>
          </w:p>
        </w:tc>
        <w:tc>
          <w:tcPr>
            <w:tcW w:w="1274" w:type="dxa"/>
            <w:vAlign w:val="center"/>
          </w:tcPr>
          <w:p w14:paraId="3BF0F744" w14:textId="478DA25B" w:rsidR="005A7035" w:rsidRPr="00496DB8" w:rsidRDefault="005A7035" w:rsidP="005A7035">
            <w:pPr>
              <w:pStyle w:val="Tabletext"/>
              <w:rPr>
                <w:sz w:val="12"/>
                <w:szCs w:val="12"/>
              </w:rPr>
            </w:pPr>
            <w:r w:rsidRPr="00496DB8">
              <w:rPr>
                <w:sz w:val="12"/>
                <w:szCs w:val="12"/>
              </w:rPr>
              <w:t>(73) [1,83</w:t>
            </w:r>
            <w:r>
              <w:rPr>
                <w:sz w:val="12"/>
                <w:szCs w:val="12"/>
              </w:rPr>
              <w:t>6</w:t>
            </w:r>
            <w:r w:rsidRPr="00496DB8">
              <w:rPr>
                <w:sz w:val="12"/>
                <w:szCs w:val="12"/>
              </w:rPr>
              <w:t>/2,51</w:t>
            </w:r>
            <w:r>
              <w:rPr>
                <w:sz w:val="12"/>
                <w:szCs w:val="12"/>
              </w:rPr>
              <w:t>3</w:t>
            </w:r>
            <w:r w:rsidRPr="00496DB8">
              <w:rPr>
                <w:sz w:val="12"/>
                <w:szCs w:val="12"/>
              </w:rPr>
              <w:t>]</w:t>
            </w:r>
          </w:p>
        </w:tc>
        <w:tc>
          <w:tcPr>
            <w:tcW w:w="1273" w:type="dxa"/>
            <w:vAlign w:val="center"/>
          </w:tcPr>
          <w:p w14:paraId="264AB177" w14:textId="6DA172B6" w:rsidR="005A7035" w:rsidRPr="00496DB8" w:rsidRDefault="005A7035" w:rsidP="005A7035">
            <w:pPr>
              <w:pStyle w:val="Tabletext"/>
              <w:rPr>
                <w:sz w:val="12"/>
                <w:szCs w:val="12"/>
              </w:rPr>
            </w:pPr>
            <w:r w:rsidRPr="00496DB8">
              <w:rPr>
                <w:sz w:val="12"/>
                <w:szCs w:val="12"/>
              </w:rPr>
              <w:t>(</w:t>
            </w:r>
            <w:r>
              <w:rPr>
                <w:sz w:val="12"/>
                <w:szCs w:val="12"/>
              </w:rPr>
              <w:t>69</w:t>
            </w:r>
            <w:r w:rsidRPr="00496DB8">
              <w:rPr>
                <w:sz w:val="12"/>
                <w:szCs w:val="12"/>
              </w:rPr>
              <w:t>) [1,76</w:t>
            </w:r>
            <w:r>
              <w:rPr>
                <w:sz w:val="12"/>
                <w:szCs w:val="12"/>
              </w:rPr>
              <w:t>6</w:t>
            </w:r>
            <w:r w:rsidRPr="00496DB8">
              <w:rPr>
                <w:sz w:val="12"/>
                <w:szCs w:val="12"/>
              </w:rPr>
              <w:t>/2,5</w:t>
            </w:r>
            <w:r>
              <w:rPr>
                <w:sz w:val="12"/>
                <w:szCs w:val="12"/>
              </w:rPr>
              <w:t>44</w:t>
            </w:r>
            <w:r w:rsidRPr="00496DB8">
              <w:rPr>
                <w:sz w:val="12"/>
                <w:szCs w:val="12"/>
              </w:rPr>
              <w:t>]</w:t>
            </w:r>
          </w:p>
        </w:tc>
        <w:tc>
          <w:tcPr>
            <w:tcW w:w="1228" w:type="dxa"/>
            <w:vAlign w:val="center"/>
          </w:tcPr>
          <w:p w14:paraId="0DF7279E" w14:textId="677AE936" w:rsidR="005A7035" w:rsidRPr="00496DB8" w:rsidRDefault="005A7035" w:rsidP="005A7035">
            <w:pPr>
              <w:pStyle w:val="Tabletext"/>
              <w:rPr>
                <w:sz w:val="12"/>
                <w:szCs w:val="12"/>
              </w:rPr>
            </w:pPr>
            <w:r w:rsidRPr="00496DB8">
              <w:rPr>
                <w:sz w:val="12"/>
                <w:szCs w:val="12"/>
              </w:rPr>
              <w:t>(72) [1,74</w:t>
            </w:r>
            <w:r>
              <w:rPr>
                <w:sz w:val="12"/>
                <w:szCs w:val="12"/>
              </w:rPr>
              <w:t>3</w:t>
            </w:r>
            <w:r w:rsidRPr="00496DB8">
              <w:rPr>
                <w:sz w:val="12"/>
                <w:szCs w:val="12"/>
              </w:rPr>
              <w:t>/2,4</w:t>
            </w:r>
            <w:r>
              <w:rPr>
                <w:sz w:val="12"/>
                <w:szCs w:val="12"/>
              </w:rPr>
              <w:t>11</w:t>
            </w:r>
            <w:r w:rsidRPr="00496DB8">
              <w:rPr>
                <w:sz w:val="12"/>
                <w:szCs w:val="12"/>
              </w:rPr>
              <w:t>]</w:t>
            </w:r>
          </w:p>
        </w:tc>
        <w:tc>
          <w:tcPr>
            <w:tcW w:w="1276" w:type="dxa"/>
            <w:vAlign w:val="center"/>
          </w:tcPr>
          <w:p w14:paraId="13A5A077" w14:textId="7AFEECEE" w:rsidR="005A7035" w:rsidRPr="00496DB8" w:rsidRDefault="005A7035" w:rsidP="005A7035">
            <w:pPr>
              <w:pStyle w:val="Tabletext"/>
              <w:rPr>
                <w:sz w:val="12"/>
                <w:szCs w:val="12"/>
              </w:rPr>
            </w:pPr>
            <w:r w:rsidRPr="00496DB8">
              <w:rPr>
                <w:sz w:val="12"/>
                <w:szCs w:val="12"/>
              </w:rPr>
              <w:t>(73) [1,8</w:t>
            </w:r>
            <w:r>
              <w:rPr>
                <w:sz w:val="12"/>
                <w:szCs w:val="12"/>
              </w:rPr>
              <w:t>6</w:t>
            </w:r>
            <w:r w:rsidRPr="00496DB8">
              <w:rPr>
                <w:sz w:val="12"/>
                <w:szCs w:val="12"/>
              </w:rPr>
              <w:t>7/2,5</w:t>
            </w:r>
            <w:r>
              <w:rPr>
                <w:sz w:val="12"/>
                <w:szCs w:val="12"/>
              </w:rPr>
              <w:t>72</w:t>
            </w:r>
            <w:r w:rsidRPr="00496DB8">
              <w:rPr>
                <w:sz w:val="12"/>
                <w:szCs w:val="12"/>
              </w:rPr>
              <w:t>]</w:t>
            </w:r>
          </w:p>
        </w:tc>
        <w:tc>
          <w:tcPr>
            <w:tcW w:w="1422" w:type="dxa"/>
            <w:vAlign w:val="center"/>
          </w:tcPr>
          <w:p w14:paraId="7FE5C65D" w14:textId="47F663A9" w:rsidR="005A7035" w:rsidRPr="00496DB8" w:rsidRDefault="005A7035" w:rsidP="005A7035">
            <w:pPr>
              <w:pStyle w:val="Tabletext"/>
              <w:rPr>
                <w:sz w:val="12"/>
                <w:szCs w:val="12"/>
              </w:rPr>
            </w:pPr>
            <w:r w:rsidRPr="00496DB8">
              <w:rPr>
                <w:sz w:val="12"/>
                <w:szCs w:val="12"/>
              </w:rPr>
              <w:t>(71) [1,8</w:t>
            </w:r>
            <w:r>
              <w:rPr>
                <w:sz w:val="12"/>
                <w:szCs w:val="12"/>
              </w:rPr>
              <w:t>69</w:t>
            </w:r>
            <w:r w:rsidRPr="00496DB8">
              <w:rPr>
                <w:sz w:val="12"/>
                <w:szCs w:val="12"/>
              </w:rPr>
              <w:t>/2,6</w:t>
            </w:r>
            <w:r>
              <w:rPr>
                <w:sz w:val="12"/>
                <w:szCs w:val="12"/>
              </w:rPr>
              <w:t>23</w:t>
            </w:r>
            <w:r w:rsidRPr="00496DB8">
              <w:rPr>
                <w:sz w:val="12"/>
                <w:szCs w:val="12"/>
              </w:rPr>
              <w:t>]</w:t>
            </w:r>
          </w:p>
        </w:tc>
        <w:tc>
          <w:tcPr>
            <w:tcW w:w="1417" w:type="dxa"/>
            <w:vAlign w:val="center"/>
          </w:tcPr>
          <w:p w14:paraId="43ED3440" w14:textId="4CE4B50A" w:rsidR="005A7035" w:rsidRPr="00496DB8" w:rsidRDefault="005A7035" w:rsidP="005A7035">
            <w:pPr>
              <w:pStyle w:val="Tabletext"/>
              <w:rPr>
                <w:sz w:val="12"/>
                <w:szCs w:val="12"/>
              </w:rPr>
            </w:pPr>
            <w:r w:rsidRPr="00496DB8">
              <w:rPr>
                <w:sz w:val="12"/>
                <w:szCs w:val="12"/>
              </w:rPr>
              <w:t>(</w:t>
            </w:r>
            <w:r>
              <w:rPr>
                <w:sz w:val="12"/>
                <w:szCs w:val="12"/>
              </w:rPr>
              <w:t>64</w:t>
            </w:r>
            <w:r w:rsidRPr="00496DB8">
              <w:rPr>
                <w:sz w:val="12"/>
                <w:szCs w:val="12"/>
              </w:rPr>
              <w:t>) [1,</w:t>
            </w:r>
            <w:r>
              <w:rPr>
                <w:sz w:val="12"/>
                <w:szCs w:val="12"/>
              </w:rPr>
              <w:t>594</w:t>
            </w:r>
            <w:r w:rsidRPr="00496DB8">
              <w:rPr>
                <w:sz w:val="12"/>
                <w:szCs w:val="12"/>
              </w:rPr>
              <w:t>/2,</w:t>
            </w:r>
            <w:r>
              <w:rPr>
                <w:sz w:val="12"/>
                <w:szCs w:val="12"/>
              </w:rPr>
              <w:t>499</w:t>
            </w:r>
            <w:r w:rsidRPr="00496DB8">
              <w:rPr>
                <w:sz w:val="12"/>
                <w:szCs w:val="12"/>
              </w:rPr>
              <w:t>]</w:t>
            </w:r>
          </w:p>
        </w:tc>
        <w:tc>
          <w:tcPr>
            <w:tcW w:w="1413" w:type="dxa"/>
            <w:vAlign w:val="center"/>
          </w:tcPr>
          <w:p w14:paraId="6041A10B" w14:textId="13B13411" w:rsidR="005A7035" w:rsidRPr="00496DB8" w:rsidRDefault="005A7035" w:rsidP="005A7035">
            <w:pPr>
              <w:pStyle w:val="Tabletext"/>
              <w:rPr>
                <w:sz w:val="12"/>
                <w:szCs w:val="12"/>
              </w:rPr>
            </w:pPr>
            <w:r w:rsidRPr="00496DB8">
              <w:rPr>
                <w:sz w:val="12"/>
                <w:szCs w:val="12"/>
              </w:rPr>
              <w:t>(</w:t>
            </w:r>
            <w:r>
              <w:rPr>
                <w:sz w:val="12"/>
                <w:szCs w:val="12"/>
              </w:rPr>
              <w:t>67</w:t>
            </w:r>
            <w:r w:rsidRPr="00496DB8">
              <w:rPr>
                <w:sz w:val="12"/>
                <w:szCs w:val="12"/>
              </w:rPr>
              <w:t>) [1,</w:t>
            </w:r>
            <w:r>
              <w:rPr>
                <w:sz w:val="12"/>
                <w:szCs w:val="12"/>
              </w:rPr>
              <w:t>753</w:t>
            </w:r>
            <w:r w:rsidRPr="00496DB8">
              <w:rPr>
                <w:sz w:val="12"/>
                <w:szCs w:val="12"/>
              </w:rPr>
              <w:t>/2,6</w:t>
            </w:r>
            <w:r>
              <w:rPr>
                <w:sz w:val="12"/>
                <w:szCs w:val="12"/>
              </w:rPr>
              <w:t>34</w:t>
            </w:r>
            <w:r w:rsidRPr="00496DB8">
              <w:rPr>
                <w:sz w:val="12"/>
                <w:szCs w:val="12"/>
              </w:rPr>
              <w:t>]</w:t>
            </w:r>
          </w:p>
        </w:tc>
      </w:tr>
      <w:tr w:rsidR="005A7035" w:rsidRPr="00496DB8" w14:paraId="351F196D" w14:textId="50CC0D65" w:rsidTr="0020126C">
        <w:trPr>
          <w:trHeight w:val="255"/>
        </w:trPr>
        <w:tc>
          <w:tcPr>
            <w:tcW w:w="796" w:type="dxa"/>
            <w:vAlign w:val="center"/>
          </w:tcPr>
          <w:p w14:paraId="425F6B50" w14:textId="77777777" w:rsidR="005A7035" w:rsidRPr="00496DB8" w:rsidRDefault="005A7035" w:rsidP="005A7035">
            <w:pPr>
              <w:pStyle w:val="Tabletext"/>
              <w:rPr>
                <w:rFonts w:cs="Arial"/>
                <w:sz w:val="12"/>
                <w:szCs w:val="12"/>
              </w:rPr>
            </w:pPr>
            <w:r w:rsidRPr="00496DB8">
              <w:rPr>
                <w:sz w:val="12"/>
                <w:szCs w:val="12"/>
              </w:rPr>
              <w:t>WCMICS</w:t>
            </w:r>
          </w:p>
        </w:tc>
        <w:tc>
          <w:tcPr>
            <w:tcW w:w="1242" w:type="dxa"/>
            <w:vAlign w:val="center"/>
          </w:tcPr>
          <w:p w14:paraId="61A4B8F9" w14:textId="027827C0" w:rsidR="005A7035" w:rsidRPr="00496DB8" w:rsidRDefault="005A7035" w:rsidP="005A7035">
            <w:pPr>
              <w:pStyle w:val="Tabletext"/>
              <w:rPr>
                <w:sz w:val="12"/>
                <w:szCs w:val="12"/>
              </w:rPr>
            </w:pPr>
            <w:r w:rsidRPr="00496DB8">
              <w:rPr>
                <w:sz w:val="12"/>
                <w:szCs w:val="12"/>
              </w:rPr>
              <w:t>(7</w:t>
            </w:r>
            <w:r>
              <w:rPr>
                <w:sz w:val="12"/>
                <w:szCs w:val="12"/>
              </w:rPr>
              <w:t>5</w:t>
            </w:r>
            <w:r w:rsidRPr="00496DB8">
              <w:rPr>
                <w:sz w:val="12"/>
                <w:szCs w:val="12"/>
              </w:rPr>
              <w:t>) [1,2</w:t>
            </w:r>
            <w:r>
              <w:rPr>
                <w:sz w:val="12"/>
                <w:szCs w:val="12"/>
              </w:rPr>
              <w:t>40</w:t>
            </w:r>
            <w:r w:rsidRPr="00496DB8">
              <w:rPr>
                <w:sz w:val="12"/>
                <w:szCs w:val="12"/>
              </w:rPr>
              <w:t>/1,64</w:t>
            </w:r>
            <w:r>
              <w:rPr>
                <w:sz w:val="12"/>
                <w:szCs w:val="12"/>
              </w:rPr>
              <w:t>4</w:t>
            </w:r>
            <w:r w:rsidRPr="00496DB8">
              <w:rPr>
                <w:sz w:val="12"/>
                <w:szCs w:val="12"/>
              </w:rPr>
              <w:t>]</w:t>
            </w:r>
          </w:p>
        </w:tc>
        <w:tc>
          <w:tcPr>
            <w:tcW w:w="1274" w:type="dxa"/>
            <w:vAlign w:val="center"/>
          </w:tcPr>
          <w:p w14:paraId="07590B4B" w14:textId="5CE53347" w:rsidR="005A7035" w:rsidRPr="00496DB8" w:rsidRDefault="005A7035" w:rsidP="005A7035">
            <w:pPr>
              <w:pStyle w:val="Tabletext"/>
              <w:rPr>
                <w:sz w:val="12"/>
                <w:szCs w:val="12"/>
              </w:rPr>
            </w:pPr>
            <w:r w:rsidRPr="00496DB8">
              <w:rPr>
                <w:sz w:val="12"/>
                <w:szCs w:val="12"/>
              </w:rPr>
              <w:t>(7</w:t>
            </w:r>
            <w:r>
              <w:rPr>
                <w:sz w:val="12"/>
                <w:szCs w:val="12"/>
              </w:rPr>
              <w:t>5</w:t>
            </w:r>
            <w:r w:rsidRPr="00496DB8">
              <w:rPr>
                <w:sz w:val="12"/>
                <w:szCs w:val="12"/>
              </w:rPr>
              <w:t>) [1,2</w:t>
            </w:r>
            <w:r>
              <w:rPr>
                <w:sz w:val="12"/>
                <w:szCs w:val="12"/>
              </w:rPr>
              <w:t>89</w:t>
            </w:r>
            <w:r w:rsidRPr="00496DB8">
              <w:rPr>
                <w:sz w:val="12"/>
                <w:szCs w:val="12"/>
              </w:rPr>
              <w:t>/1,71</w:t>
            </w:r>
            <w:r>
              <w:rPr>
                <w:sz w:val="12"/>
                <w:szCs w:val="12"/>
              </w:rPr>
              <w:t>6</w:t>
            </w:r>
            <w:r w:rsidRPr="00496DB8">
              <w:rPr>
                <w:sz w:val="12"/>
                <w:szCs w:val="12"/>
              </w:rPr>
              <w:t>]</w:t>
            </w:r>
          </w:p>
        </w:tc>
        <w:tc>
          <w:tcPr>
            <w:tcW w:w="1273" w:type="dxa"/>
            <w:vAlign w:val="center"/>
          </w:tcPr>
          <w:p w14:paraId="7E12DFC2" w14:textId="5C7EFFB3" w:rsidR="005A7035" w:rsidRPr="00496DB8" w:rsidRDefault="005A7035" w:rsidP="005A7035">
            <w:pPr>
              <w:pStyle w:val="Tabletext"/>
              <w:rPr>
                <w:sz w:val="12"/>
                <w:szCs w:val="12"/>
              </w:rPr>
            </w:pPr>
            <w:r w:rsidRPr="00496DB8">
              <w:rPr>
                <w:sz w:val="12"/>
                <w:szCs w:val="12"/>
              </w:rPr>
              <w:t>(75) [1,3</w:t>
            </w:r>
            <w:r>
              <w:rPr>
                <w:sz w:val="12"/>
                <w:szCs w:val="12"/>
              </w:rPr>
              <w:t>34</w:t>
            </w:r>
            <w:r w:rsidRPr="00496DB8">
              <w:rPr>
                <w:sz w:val="12"/>
                <w:szCs w:val="12"/>
              </w:rPr>
              <w:t>/1,7</w:t>
            </w:r>
            <w:r>
              <w:rPr>
                <w:sz w:val="12"/>
                <w:szCs w:val="12"/>
              </w:rPr>
              <w:t>8</w:t>
            </w:r>
            <w:r w:rsidRPr="00496DB8">
              <w:rPr>
                <w:sz w:val="12"/>
                <w:szCs w:val="12"/>
              </w:rPr>
              <w:t>7]</w:t>
            </w:r>
          </w:p>
        </w:tc>
        <w:tc>
          <w:tcPr>
            <w:tcW w:w="1228" w:type="dxa"/>
            <w:vAlign w:val="center"/>
          </w:tcPr>
          <w:p w14:paraId="65B75F75" w14:textId="492697E2" w:rsidR="005A7035" w:rsidRPr="00496DB8" w:rsidRDefault="005A7035" w:rsidP="005A7035">
            <w:pPr>
              <w:pStyle w:val="Tabletext"/>
              <w:rPr>
                <w:sz w:val="12"/>
                <w:szCs w:val="12"/>
              </w:rPr>
            </w:pPr>
            <w:r w:rsidRPr="00496DB8">
              <w:rPr>
                <w:sz w:val="12"/>
                <w:szCs w:val="12"/>
              </w:rPr>
              <w:t>(76) [1,37</w:t>
            </w:r>
            <w:r>
              <w:rPr>
                <w:sz w:val="12"/>
                <w:szCs w:val="12"/>
              </w:rPr>
              <w:t>9</w:t>
            </w:r>
            <w:r w:rsidRPr="00496DB8">
              <w:rPr>
                <w:sz w:val="12"/>
                <w:szCs w:val="12"/>
              </w:rPr>
              <w:t>/1,8</w:t>
            </w:r>
            <w:r>
              <w:rPr>
                <w:sz w:val="12"/>
                <w:szCs w:val="12"/>
              </w:rPr>
              <w:t>15</w:t>
            </w:r>
            <w:r w:rsidRPr="00496DB8">
              <w:rPr>
                <w:sz w:val="12"/>
                <w:szCs w:val="12"/>
              </w:rPr>
              <w:t>]</w:t>
            </w:r>
          </w:p>
        </w:tc>
        <w:tc>
          <w:tcPr>
            <w:tcW w:w="1276" w:type="dxa"/>
            <w:vAlign w:val="center"/>
          </w:tcPr>
          <w:p w14:paraId="14FE125F" w14:textId="28874E17" w:rsidR="005A7035" w:rsidRPr="00496DB8" w:rsidRDefault="005A7035" w:rsidP="005A7035">
            <w:pPr>
              <w:pStyle w:val="Tabletext"/>
              <w:rPr>
                <w:sz w:val="12"/>
                <w:szCs w:val="12"/>
              </w:rPr>
            </w:pPr>
            <w:r w:rsidRPr="00496DB8">
              <w:rPr>
                <w:sz w:val="12"/>
                <w:szCs w:val="12"/>
              </w:rPr>
              <w:t>(77) [1,35</w:t>
            </w:r>
            <w:r>
              <w:rPr>
                <w:sz w:val="12"/>
                <w:szCs w:val="12"/>
              </w:rPr>
              <w:t>8</w:t>
            </w:r>
            <w:r w:rsidRPr="00496DB8">
              <w:rPr>
                <w:sz w:val="12"/>
                <w:szCs w:val="12"/>
              </w:rPr>
              <w:t>/1,7</w:t>
            </w:r>
            <w:r>
              <w:rPr>
                <w:sz w:val="12"/>
                <w:szCs w:val="12"/>
              </w:rPr>
              <w:t>5</w:t>
            </w:r>
            <w:r w:rsidRPr="00496DB8">
              <w:rPr>
                <w:sz w:val="12"/>
                <w:szCs w:val="12"/>
              </w:rPr>
              <w:t>7]</w:t>
            </w:r>
          </w:p>
        </w:tc>
        <w:tc>
          <w:tcPr>
            <w:tcW w:w="1422" w:type="dxa"/>
            <w:vAlign w:val="center"/>
          </w:tcPr>
          <w:p w14:paraId="3B768B62" w14:textId="4137F8CC" w:rsidR="005A7035" w:rsidRPr="00496DB8" w:rsidRDefault="005A7035" w:rsidP="005A7035">
            <w:pPr>
              <w:pStyle w:val="Tabletext"/>
              <w:rPr>
                <w:sz w:val="12"/>
                <w:szCs w:val="12"/>
              </w:rPr>
            </w:pPr>
            <w:r w:rsidRPr="00496DB8">
              <w:rPr>
                <w:sz w:val="12"/>
                <w:szCs w:val="12"/>
              </w:rPr>
              <w:t>(75) [1,3</w:t>
            </w:r>
            <w:r>
              <w:rPr>
                <w:sz w:val="12"/>
                <w:szCs w:val="12"/>
              </w:rPr>
              <w:t>47</w:t>
            </w:r>
            <w:r w:rsidRPr="00496DB8">
              <w:rPr>
                <w:sz w:val="12"/>
                <w:szCs w:val="12"/>
              </w:rPr>
              <w:t>/1,7</w:t>
            </w:r>
            <w:r>
              <w:rPr>
                <w:sz w:val="12"/>
                <w:szCs w:val="12"/>
              </w:rPr>
              <w:t>91</w:t>
            </w:r>
            <w:r w:rsidRPr="00496DB8">
              <w:rPr>
                <w:sz w:val="12"/>
                <w:szCs w:val="12"/>
              </w:rPr>
              <w:t>]</w:t>
            </w:r>
          </w:p>
        </w:tc>
        <w:tc>
          <w:tcPr>
            <w:tcW w:w="1417" w:type="dxa"/>
            <w:vAlign w:val="center"/>
          </w:tcPr>
          <w:p w14:paraId="06A23069" w14:textId="5A633A9E" w:rsidR="005A7035" w:rsidRPr="00496DB8" w:rsidRDefault="005A7035" w:rsidP="005A7035">
            <w:pPr>
              <w:pStyle w:val="Tabletext"/>
              <w:rPr>
                <w:sz w:val="12"/>
                <w:szCs w:val="12"/>
              </w:rPr>
            </w:pPr>
            <w:r w:rsidRPr="00496DB8">
              <w:rPr>
                <w:sz w:val="12"/>
                <w:szCs w:val="12"/>
              </w:rPr>
              <w:t>(</w:t>
            </w:r>
            <w:r>
              <w:rPr>
                <w:sz w:val="12"/>
                <w:szCs w:val="12"/>
              </w:rPr>
              <w:t>69</w:t>
            </w:r>
            <w:r w:rsidRPr="00496DB8">
              <w:rPr>
                <w:sz w:val="12"/>
                <w:szCs w:val="12"/>
              </w:rPr>
              <w:t>) [1,</w:t>
            </w:r>
            <w:r>
              <w:rPr>
                <w:sz w:val="12"/>
                <w:szCs w:val="12"/>
              </w:rPr>
              <w:t>272</w:t>
            </w:r>
            <w:r w:rsidRPr="00496DB8">
              <w:rPr>
                <w:sz w:val="12"/>
                <w:szCs w:val="12"/>
              </w:rPr>
              <w:t>/1,</w:t>
            </w:r>
            <w:r>
              <w:rPr>
                <w:sz w:val="12"/>
                <w:szCs w:val="12"/>
              </w:rPr>
              <w:t>850</w:t>
            </w:r>
            <w:r w:rsidRPr="00496DB8">
              <w:rPr>
                <w:sz w:val="12"/>
                <w:szCs w:val="12"/>
              </w:rPr>
              <w:t>]</w:t>
            </w:r>
          </w:p>
        </w:tc>
        <w:tc>
          <w:tcPr>
            <w:tcW w:w="1413" w:type="dxa"/>
            <w:vAlign w:val="center"/>
          </w:tcPr>
          <w:p w14:paraId="3F2AB2D5" w14:textId="744EC30B" w:rsidR="005A7035" w:rsidRPr="00496DB8" w:rsidRDefault="005A7035" w:rsidP="005A7035">
            <w:pPr>
              <w:pStyle w:val="Tabletext"/>
              <w:rPr>
                <w:sz w:val="12"/>
                <w:szCs w:val="12"/>
              </w:rPr>
            </w:pPr>
            <w:r w:rsidRPr="00496DB8">
              <w:rPr>
                <w:sz w:val="12"/>
                <w:szCs w:val="12"/>
              </w:rPr>
              <w:t>(</w:t>
            </w:r>
            <w:r>
              <w:rPr>
                <w:sz w:val="12"/>
                <w:szCs w:val="12"/>
              </w:rPr>
              <w:t>69</w:t>
            </w:r>
            <w:r w:rsidRPr="00496DB8">
              <w:rPr>
                <w:sz w:val="12"/>
                <w:szCs w:val="12"/>
              </w:rPr>
              <w:t>) [1,</w:t>
            </w:r>
            <w:r>
              <w:rPr>
                <w:sz w:val="12"/>
                <w:szCs w:val="12"/>
              </w:rPr>
              <w:t>283</w:t>
            </w:r>
            <w:r w:rsidRPr="00496DB8">
              <w:rPr>
                <w:sz w:val="12"/>
                <w:szCs w:val="12"/>
              </w:rPr>
              <w:t>/1,</w:t>
            </w:r>
            <w:r>
              <w:rPr>
                <w:sz w:val="12"/>
                <w:szCs w:val="12"/>
              </w:rPr>
              <w:t>868</w:t>
            </w:r>
            <w:r w:rsidRPr="00496DB8">
              <w:rPr>
                <w:sz w:val="12"/>
                <w:szCs w:val="12"/>
              </w:rPr>
              <w:t>]</w:t>
            </w:r>
          </w:p>
        </w:tc>
      </w:tr>
      <w:tr w:rsidR="005A7035" w:rsidRPr="00496DB8" w14:paraId="73ECB7C7" w14:textId="641B78BB" w:rsidTr="0020126C">
        <w:trPr>
          <w:trHeight w:val="255"/>
        </w:trPr>
        <w:tc>
          <w:tcPr>
            <w:tcW w:w="796" w:type="dxa"/>
            <w:vAlign w:val="center"/>
          </w:tcPr>
          <w:p w14:paraId="051F3F7F" w14:textId="77777777" w:rsidR="005A7035" w:rsidRPr="00496DB8" w:rsidRDefault="005A7035" w:rsidP="005A7035">
            <w:pPr>
              <w:pStyle w:val="Tabletext"/>
              <w:rPr>
                <w:rFonts w:cs="Arial"/>
                <w:sz w:val="12"/>
                <w:szCs w:val="12"/>
              </w:rPr>
            </w:pPr>
            <w:r w:rsidRPr="00496DB8">
              <w:rPr>
                <w:sz w:val="12"/>
                <w:szCs w:val="12"/>
              </w:rPr>
              <w:t>BSWRICS</w:t>
            </w:r>
          </w:p>
        </w:tc>
        <w:tc>
          <w:tcPr>
            <w:tcW w:w="1242" w:type="dxa"/>
            <w:vAlign w:val="center"/>
          </w:tcPr>
          <w:p w14:paraId="1AD396E6" w14:textId="1ADA3C9F" w:rsidR="005A7035" w:rsidRPr="00496DB8" w:rsidRDefault="005A7035" w:rsidP="005A7035">
            <w:pPr>
              <w:pStyle w:val="Tabletext"/>
              <w:rPr>
                <w:sz w:val="12"/>
                <w:szCs w:val="12"/>
              </w:rPr>
            </w:pPr>
            <w:r w:rsidRPr="00496DB8">
              <w:rPr>
                <w:sz w:val="12"/>
                <w:szCs w:val="12"/>
              </w:rPr>
              <w:t>(6</w:t>
            </w:r>
            <w:r>
              <w:rPr>
                <w:sz w:val="12"/>
                <w:szCs w:val="12"/>
              </w:rPr>
              <w:t>7</w:t>
            </w:r>
            <w:r w:rsidRPr="00496DB8">
              <w:rPr>
                <w:sz w:val="12"/>
                <w:szCs w:val="12"/>
              </w:rPr>
              <w:t>) [4</w:t>
            </w:r>
            <w:r>
              <w:rPr>
                <w:sz w:val="12"/>
                <w:szCs w:val="12"/>
              </w:rPr>
              <w:t>77</w:t>
            </w:r>
            <w:r w:rsidRPr="00496DB8">
              <w:rPr>
                <w:sz w:val="12"/>
                <w:szCs w:val="12"/>
              </w:rPr>
              <w:t>/70</w:t>
            </w:r>
            <w:r>
              <w:rPr>
                <w:sz w:val="12"/>
                <w:szCs w:val="12"/>
              </w:rPr>
              <w:t>7</w:t>
            </w:r>
            <w:r w:rsidRPr="00496DB8">
              <w:rPr>
                <w:sz w:val="12"/>
                <w:szCs w:val="12"/>
              </w:rPr>
              <w:t>]</w:t>
            </w:r>
          </w:p>
        </w:tc>
        <w:tc>
          <w:tcPr>
            <w:tcW w:w="1274" w:type="dxa"/>
            <w:vAlign w:val="center"/>
          </w:tcPr>
          <w:p w14:paraId="4250AC07" w14:textId="7B7DC019" w:rsidR="005A7035" w:rsidRPr="00496DB8" w:rsidRDefault="005A7035" w:rsidP="005A7035">
            <w:pPr>
              <w:pStyle w:val="Tabletext"/>
              <w:rPr>
                <w:sz w:val="12"/>
                <w:szCs w:val="12"/>
              </w:rPr>
            </w:pPr>
            <w:r w:rsidRPr="00496DB8">
              <w:rPr>
                <w:sz w:val="12"/>
                <w:szCs w:val="12"/>
              </w:rPr>
              <w:t>(6</w:t>
            </w:r>
            <w:r>
              <w:rPr>
                <w:sz w:val="12"/>
                <w:szCs w:val="12"/>
              </w:rPr>
              <w:t>6</w:t>
            </w:r>
            <w:r w:rsidRPr="00496DB8">
              <w:rPr>
                <w:sz w:val="12"/>
                <w:szCs w:val="12"/>
              </w:rPr>
              <w:t>) [5</w:t>
            </w:r>
            <w:r>
              <w:rPr>
                <w:sz w:val="12"/>
                <w:szCs w:val="12"/>
              </w:rPr>
              <w:t>39</w:t>
            </w:r>
            <w:r w:rsidRPr="00496DB8">
              <w:rPr>
                <w:sz w:val="12"/>
                <w:szCs w:val="12"/>
              </w:rPr>
              <w:t>/81</w:t>
            </w:r>
            <w:r>
              <w:rPr>
                <w:sz w:val="12"/>
                <w:szCs w:val="12"/>
              </w:rPr>
              <w:t>1]</w:t>
            </w:r>
          </w:p>
        </w:tc>
        <w:tc>
          <w:tcPr>
            <w:tcW w:w="1273" w:type="dxa"/>
            <w:vAlign w:val="center"/>
          </w:tcPr>
          <w:p w14:paraId="2BE46468" w14:textId="34D14A3E" w:rsidR="005A7035" w:rsidRPr="00496DB8" w:rsidRDefault="005A7035" w:rsidP="005A7035">
            <w:pPr>
              <w:pStyle w:val="Tabletext"/>
              <w:rPr>
                <w:sz w:val="12"/>
                <w:szCs w:val="12"/>
              </w:rPr>
            </w:pPr>
            <w:r w:rsidRPr="00496DB8">
              <w:rPr>
                <w:sz w:val="12"/>
                <w:szCs w:val="12"/>
              </w:rPr>
              <w:t>(69) [56</w:t>
            </w:r>
            <w:r>
              <w:rPr>
                <w:sz w:val="12"/>
                <w:szCs w:val="12"/>
              </w:rPr>
              <w:t>4</w:t>
            </w:r>
            <w:r w:rsidRPr="00496DB8">
              <w:rPr>
                <w:sz w:val="12"/>
                <w:szCs w:val="12"/>
              </w:rPr>
              <w:t>/81</w:t>
            </w:r>
            <w:r>
              <w:rPr>
                <w:sz w:val="12"/>
                <w:szCs w:val="12"/>
              </w:rPr>
              <w:t>9</w:t>
            </w:r>
            <w:r w:rsidRPr="00496DB8">
              <w:rPr>
                <w:sz w:val="12"/>
                <w:szCs w:val="12"/>
              </w:rPr>
              <w:t>]</w:t>
            </w:r>
          </w:p>
        </w:tc>
        <w:tc>
          <w:tcPr>
            <w:tcW w:w="1228" w:type="dxa"/>
            <w:vAlign w:val="center"/>
          </w:tcPr>
          <w:p w14:paraId="1BA03B08" w14:textId="313E450F" w:rsidR="005A7035" w:rsidRPr="00496DB8" w:rsidRDefault="005A7035" w:rsidP="005A7035">
            <w:pPr>
              <w:pStyle w:val="Tabletext"/>
              <w:rPr>
                <w:sz w:val="12"/>
                <w:szCs w:val="12"/>
              </w:rPr>
            </w:pPr>
            <w:r w:rsidRPr="00496DB8">
              <w:rPr>
                <w:sz w:val="12"/>
                <w:szCs w:val="12"/>
              </w:rPr>
              <w:t>(72) [54</w:t>
            </w:r>
            <w:r>
              <w:rPr>
                <w:sz w:val="12"/>
                <w:szCs w:val="12"/>
              </w:rPr>
              <w:t>7</w:t>
            </w:r>
            <w:r w:rsidRPr="00496DB8">
              <w:rPr>
                <w:sz w:val="12"/>
                <w:szCs w:val="12"/>
              </w:rPr>
              <w:t>/76</w:t>
            </w:r>
            <w:r>
              <w:rPr>
                <w:sz w:val="12"/>
                <w:szCs w:val="12"/>
              </w:rPr>
              <w:t>2</w:t>
            </w:r>
            <w:r w:rsidRPr="00496DB8">
              <w:rPr>
                <w:sz w:val="12"/>
                <w:szCs w:val="12"/>
              </w:rPr>
              <w:t>]</w:t>
            </w:r>
          </w:p>
        </w:tc>
        <w:tc>
          <w:tcPr>
            <w:tcW w:w="1276" w:type="dxa"/>
            <w:vAlign w:val="center"/>
          </w:tcPr>
          <w:p w14:paraId="73608C5E" w14:textId="0B0C2573" w:rsidR="005A7035" w:rsidRPr="00496DB8" w:rsidRDefault="005A7035" w:rsidP="005A7035">
            <w:pPr>
              <w:pStyle w:val="Tabletext"/>
              <w:rPr>
                <w:sz w:val="12"/>
                <w:szCs w:val="12"/>
              </w:rPr>
            </w:pPr>
            <w:r w:rsidRPr="00496DB8">
              <w:rPr>
                <w:sz w:val="12"/>
                <w:szCs w:val="12"/>
              </w:rPr>
              <w:t>(71) [55</w:t>
            </w:r>
            <w:r>
              <w:rPr>
                <w:sz w:val="12"/>
                <w:szCs w:val="12"/>
              </w:rPr>
              <w:t>5</w:t>
            </w:r>
            <w:r w:rsidRPr="00496DB8">
              <w:rPr>
                <w:sz w:val="12"/>
                <w:szCs w:val="12"/>
              </w:rPr>
              <w:t>/7</w:t>
            </w:r>
            <w:r>
              <w:rPr>
                <w:sz w:val="12"/>
                <w:szCs w:val="12"/>
              </w:rPr>
              <w:t>83</w:t>
            </w:r>
            <w:r w:rsidRPr="00496DB8">
              <w:rPr>
                <w:sz w:val="12"/>
                <w:szCs w:val="12"/>
              </w:rPr>
              <w:t>]</w:t>
            </w:r>
          </w:p>
        </w:tc>
        <w:tc>
          <w:tcPr>
            <w:tcW w:w="1422" w:type="dxa"/>
            <w:vAlign w:val="center"/>
          </w:tcPr>
          <w:p w14:paraId="72BF58E3" w14:textId="503A1F90" w:rsidR="005A7035" w:rsidRPr="00496DB8" w:rsidRDefault="005A7035" w:rsidP="005A7035">
            <w:pPr>
              <w:pStyle w:val="Tabletext"/>
              <w:rPr>
                <w:sz w:val="12"/>
                <w:szCs w:val="12"/>
              </w:rPr>
            </w:pPr>
            <w:r w:rsidRPr="00496DB8">
              <w:rPr>
                <w:sz w:val="12"/>
                <w:szCs w:val="12"/>
              </w:rPr>
              <w:t>(68) [5</w:t>
            </w:r>
            <w:r>
              <w:rPr>
                <w:sz w:val="12"/>
                <w:szCs w:val="12"/>
              </w:rPr>
              <w:t>80</w:t>
            </w:r>
            <w:r w:rsidRPr="00496DB8">
              <w:rPr>
                <w:sz w:val="12"/>
                <w:szCs w:val="12"/>
              </w:rPr>
              <w:t>/85</w:t>
            </w:r>
            <w:r>
              <w:rPr>
                <w:sz w:val="12"/>
                <w:szCs w:val="12"/>
              </w:rPr>
              <w:t>4</w:t>
            </w:r>
            <w:r w:rsidRPr="00496DB8">
              <w:rPr>
                <w:sz w:val="12"/>
                <w:szCs w:val="12"/>
              </w:rPr>
              <w:t>]</w:t>
            </w:r>
          </w:p>
        </w:tc>
        <w:tc>
          <w:tcPr>
            <w:tcW w:w="1417" w:type="dxa"/>
            <w:vAlign w:val="center"/>
          </w:tcPr>
          <w:p w14:paraId="724A0AF2" w14:textId="4AFFF956" w:rsidR="005A7035" w:rsidRPr="00496DB8" w:rsidRDefault="005A7035" w:rsidP="005A7035">
            <w:pPr>
              <w:pStyle w:val="Tabletext"/>
              <w:rPr>
                <w:sz w:val="12"/>
                <w:szCs w:val="12"/>
              </w:rPr>
            </w:pPr>
            <w:r w:rsidRPr="00496DB8">
              <w:rPr>
                <w:sz w:val="12"/>
                <w:szCs w:val="12"/>
              </w:rPr>
              <w:t>(6</w:t>
            </w:r>
            <w:r>
              <w:rPr>
                <w:sz w:val="12"/>
                <w:szCs w:val="12"/>
              </w:rPr>
              <w:t>1</w:t>
            </w:r>
            <w:r w:rsidRPr="00496DB8">
              <w:rPr>
                <w:sz w:val="12"/>
                <w:szCs w:val="12"/>
              </w:rPr>
              <w:t>) [5</w:t>
            </w:r>
            <w:r>
              <w:rPr>
                <w:sz w:val="12"/>
                <w:szCs w:val="12"/>
              </w:rPr>
              <w:t>22</w:t>
            </w:r>
            <w:r w:rsidRPr="00496DB8">
              <w:rPr>
                <w:sz w:val="12"/>
                <w:szCs w:val="12"/>
              </w:rPr>
              <w:t>/85</w:t>
            </w:r>
            <w:r>
              <w:rPr>
                <w:sz w:val="12"/>
                <w:szCs w:val="12"/>
              </w:rPr>
              <w:t>1</w:t>
            </w:r>
            <w:r w:rsidRPr="00496DB8">
              <w:rPr>
                <w:sz w:val="12"/>
                <w:szCs w:val="12"/>
              </w:rPr>
              <w:t>]</w:t>
            </w:r>
          </w:p>
        </w:tc>
        <w:tc>
          <w:tcPr>
            <w:tcW w:w="1413" w:type="dxa"/>
            <w:vAlign w:val="center"/>
          </w:tcPr>
          <w:p w14:paraId="0CF39898" w14:textId="68B7AA47" w:rsidR="005A7035" w:rsidRPr="00496DB8" w:rsidRDefault="005A7035" w:rsidP="005A7035">
            <w:pPr>
              <w:pStyle w:val="Tabletext"/>
              <w:rPr>
                <w:sz w:val="12"/>
                <w:szCs w:val="12"/>
              </w:rPr>
            </w:pPr>
            <w:r w:rsidRPr="00496DB8">
              <w:rPr>
                <w:sz w:val="12"/>
                <w:szCs w:val="12"/>
              </w:rPr>
              <w:t>(6</w:t>
            </w:r>
            <w:r>
              <w:rPr>
                <w:sz w:val="12"/>
                <w:szCs w:val="12"/>
              </w:rPr>
              <w:t>5</w:t>
            </w:r>
            <w:r w:rsidRPr="00496DB8">
              <w:rPr>
                <w:sz w:val="12"/>
                <w:szCs w:val="12"/>
              </w:rPr>
              <w:t>) [5</w:t>
            </w:r>
            <w:r>
              <w:rPr>
                <w:sz w:val="12"/>
                <w:szCs w:val="12"/>
              </w:rPr>
              <w:t>47</w:t>
            </w:r>
            <w:r w:rsidRPr="00496DB8">
              <w:rPr>
                <w:sz w:val="12"/>
                <w:szCs w:val="12"/>
              </w:rPr>
              <w:t>/8</w:t>
            </w:r>
            <w:r>
              <w:rPr>
                <w:sz w:val="12"/>
                <w:szCs w:val="12"/>
              </w:rPr>
              <w:t>44</w:t>
            </w:r>
            <w:r w:rsidRPr="00496DB8">
              <w:rPr>
                <w:sz w:val="12"/>
                <w:szCs w:val="12"/>
              </w:rPr>
              <w:t>]</w:t>
            </w:r>
          </w:p>
        </w:tc>
      </w:tr>
      <w:tr w:rsidR="005A7035" w:rsidRPr="00496DB8" w14:paraId="352A87FD" w14:textId="7831BFF4" w:rsidTr="0020126C">
        <w:trPr>
          <w:trHeight w:val="247"/>
        </w:trPr>
        <w:tc>
          <w:tcPr>
            <w:tcW w:w="796" w:type="dxa"/>
            <w:vAlign w:val="center"/>
          </w:tcPr>
          <w:p w14:paraId="5B5350DE" w14:textId="77777777" w:rsidR="005A7035" w:rsidRPr="00496DB8" w:rsidRDefault="005A7035" w:rsidP="005A7035">
            <w:pPr>
              <w:pStyle w:val="Tabletext"/>
              <w:rPr>
                <w:rFonts w:cs="Arial"/>
                <w:sz w:val="12"/>
                <w:szCs w:val="12"/>
              </w:rPr>
            </w:pPr>
            <w:r w:rsidRPr="00496DB8">
              <w:rPr>
                <w:sz w:val="12"/>
                <w:szCs w:val="12"/>
              </w:rPr>
              <w:t>GRICS</w:t>
            </w:r>
          </w:p>
        </w:tc>
        <w:tc>
          <w:tcPr>
            <w:tcW w:w="1242" w:type="dxa"/>
            <w:vAlign w:val="center"/>
          </w:tcPr>
          <w:p w14:paraId="26522CFE" w14:textId="10324659" w:rsidR="005A7035" w:rsidRPr="00496DB8" w:rsidRDefault="005A7035" w:rsidP="005A7035">
            <w:pPr>
              <w:pStyle w:val="Tabletext"/>
              <w:rPr>
                <w:sz w:val="12"/>
                <w:szCs w:val="12"/>
              </w:rPr>
            </w:pPr>
            <w:r w:rsidRPr="00496DB8">
              <w:rPr>
                <w:sz w:val="12"/>
                <w:szCs w:val="12"/>
              </w:rPr>
              <w:t>(65) [358/55</w:t>
            </w:r>
            <w:r>
              <w:rPr>
                <w:sz w:val="12"/>
                <w:szCs w:val="12"/>
              </w:rPr>
              <w:t>3</w:t>
            </w:r>
            <w:r w:rsidRPr="00496DB8">
              <w:rPr>
                <w:sz w:val="12"/>
                <w:szCs w:val="12"/>
              </w:rPr>
              <w:t>]</w:t>
            </w:r>
          </w:p>
        </w:tc>
        <w:tc>
          <w:tcPr>
            <w:tcW w:w="1274" w:type="dxa"/>
            <w:vAlign w:val="center"/>
          </w:tcPr>
          <w:p w14:paraId="3994C5AB" w14:textId="2C60FAAE" w:rsidR="005A7035" w:rsidRPr="00496DB8" w:rsidRDefault="005A7035" w:rsidP="005A7035">
            <w:pPr>
              <w:pStyle w:val="Tabletext"/>
              <w:rPr>
                <w:sz w:val="12"/>
                <w:szCs w:val="12"/>
              </w:rPr>
            </w:pPr>
            <w:r w:rsidRPr="00496DB8">
              <w:rPr>
                <w:sz w:val="12"/>
                <w:szCs w:val="12"/>
              </w:rPr>
              <w:t>(62) [400/6</w:t>
            </w:r>
            <w:r>
              <w:rPr>
                <w:sz w:val="12"/>
                <w:szCs w:val="12"/>
              </w:rPr>
              <w:t>49</w:t>
            </w:r>
            <w:r w:rsidRPr="00496DB8">
              <w:rPr>
                <w:sz w:val="12"/>
                <w:szCs w:val="12"/>
              </w:rPr>
              <w:t>]</w:t>
            </w:r>
          </w:p>
        </w:tc>
        <w:tc>
          <w:tcPr>
            <w:tcW w:w="1273" w:type="dxa"/>
            <w:vAlign w:val="center"/>
          </w:tcPr>
          <w:p w14:paraId="1B701035" w14:textId="78210308" w:rsidR="005A7035" w:rsidRPr="00496DB8" w:rsidRDefault="005A7035" w:rsidP="005A7035">
            <w:pPr>
              <w:pStyle w:val="Tabletext"/>
              <w:rPr>
                <w:sz w:val="12"/>
                <w:szCs w:val="12"/>
              </w:rPr>
            </w:pPr>
            <w:r w:rsidRPr="00496DB8">
              <w:rPr>
                <w:sz w:val="12"/>
                <w:szCs w:val="12"/>
              </w:rPr>
              <w:t>(62) [4</w:t>
            </w:r>
            <w:r>
              <w:rPr>
                <w:sz w:val="12"/>
                <w:szCs w:val="12"/>
              </w:rPr>
              <w:t>09</w:t>
            </w:r>
            <w:r w:rsidRPr="00496DB8">
              <w:rPr>
                <w:sz w:val="12"/>
                <w:szCs w:val="12"/>
              </w:rPr>
              <w:t>/66</w:t>
            </w:r>
            <w:r>
              <w:rPr>
                <w:sz w:val="12"/>
                <w:szCs w:val="12"/>
              </w:rPr>
              <w:t>4</w:t>
            </w:r>
            <w:r w:rsidRPr="00496DB8">
              <w:rPr>
                <w:sz w:val="12"/>
                <w:szCs w:val="12"/>
              </w:rPr>
              <w:t>]</w:t>
            </w:r>
          </w:p>
        </w:tc>
        <w:tc>
          <w:tcPr>
            <w:tcW w:w="1228" w:type="dxa"/>
            <w:vAlign w:val="center"/>
          </w:tcPr>
          <w:p w14:paraId="053E2D83" w14:textId="75DD4471" w:rsidR="005A7035" w:rsidRPr="00496DB8" w:rsidRDefault="005A7035" w:rsidP="005A7035">
            <w:pPr>
              <w:pStyle w:val="Tabletext"/>
              <w:rPr>
                <w:sz w:val="12"/>
                <w:szCs w:val="12"/>
              </w:rPr>
            </w:pPr>
            <w:r w:rsidRPr="00496DB8">
              <w:rPr>
                <w:sz w:val="12"/>
                <w:szCs w:val="12"/>
              </w:rPr>
              <w:t>(59) [40</w:t>
            </w:r>
            <w:r>
              <w:rPr>
                <w:sz w:val="12"/>
                <w:szCs w:val="12"/>
              </w:rPr>
              <w:t>6</w:t>
            </w:r>
            <w:r w:rsidRPr="00496DB8">
              <w:rPr>
                <w:sz w:val="12"/>
                <w:szCs w:val="12"/>
              </w:rPr>
              <w:t>/6</w:t>
            </w:r>
            <w:r>
              <w:rPr>
                <w:sz w:val="12"/>
                <w:szCs w:val="12"/>
              </w:rPr>
              <w:t>90</w:t>
            </w:r>
            <w:r w:rsidRPr="00496DB8">
              <w:rPr>
                <w:sz w:val="12"/>
                <w:szCs w:val="12"/>
              </w:rPr>
              <w:t>]</w:t>
            </w:r>
          </w:p>
        </w:tc>
        <w:tc>
          <w:tcPr>
            <w:tcW w:w="1276" w:type="dxa"/>
            <w:vAlign w:val="center"/>
          </w:tcPr>
          <w:p w14:paraId="4AE0BE22" w14:textId="565BD002" w:rsidR="005A7035" w:rsidRPr="00496DB8" w:rsidRDefault="005A7035" w:rsidP="005A7035">
            <w:pPr>
              <w:pStyle w:val="Tabletext"/>
              <w:rPr>
                <w:sz w:val="12"/>
                <w:szCs w:val="12"/>
              </w:rPr>
            </w:pPr>
            <w:r w:rsidRPr="00496DB8">
              <w:rPr>
                <w:sz w:val="12"/>
                <w:szCs w:val="12"/>
              </w:rPr>
              <w:t>(5</w:t>
            </w:r>
            <w:r>
              <w:rPr>
                <w:sz w:val="12"/>
                <w:szCs w:val="12"/>
              </w:rPr>
              <w:t>8</w:t>
            </w:r>
            <w:r w:rsidRPr="00496DB8">
              <w:rPr>
                <w:sz w:val="12"/>
                <w:szCs w:val="12"/>
              </w:rPr>
              <w:t>) [40</w:t>
            </w:r>
            <w:r>
              <w:rPr>
                <w:sz w:val="12"/>
                <w:szCs w:val="12"/>
              </w:rPr>
              <w:t>8</w:t>
            </w:r>
            <w:r w:rsidRPr="00496DB8">
              <w:rPr>
                <w:sz w:val="12"/>
                <w:szCs w:val="12"/>
              </w:rPr>
              <w:t>/70</w:t>
            </w:r>
            <w:r>
              <w:rPr>
                <w:sz w:val="12"/>
                <w:szCs w:val="12"/>
              </w:rPr>
              <w:t>9</w:t>
            </w:r>
            <w:r w:rsidRPr="00496DB8">
              <w:rPr>
                <w:sz w:val="12"/>
                <w:szCs w:val="12"/>
              </w:rPr>
              <w:t>]</w:t>
            </w:r>
          </w:p>
        </w:tc>
        <w:tc>
          <w:tcPr>
            <w:tcW w:w="1422" w:type="dxa"/>
            <w:vAlign w:val="center"/>
          </w:tcPr>
          <w:p w14:paraId="76AB8475" w14:textId="1EABAEE8" w:rsidR="005A7035" w:rsidRPr="00496DB8" w:rsidRDefault="005A7035" w:rsidP="005A7035">
            <w:pPr>
              <w:pStyle w:val="Tabletext"/>
              <w:rPr>
                <w:sz w:val="12"/>
                <w:szCs w:val="12"/>
              </w:rPr>
            </w:pPr>
            <w:r w:rsidRPr="00496DB8">
              <w:rPr>
                <w:sz w:val="12"/>
                <w:szCs w:val="12"/>
              </w:rPr>
              <w:t>(62) [45</w:t>
            </w:r>
            <w:r>
              <w:rPr>
                <w:sz w:val="12"/>
                <w:szCs w:val="12"/>
              </w:rPr>
              <w:t>3</w:t>
            </w:r>
            <w:r w:rsidRPr="00496DB8">
              <w:rPr>
                <w:sz w:val="12"/>
                <w:szCs w:val="12"/>
              </w:rPr>
              <w:t>/7</w:t>
            </w:r>
            <w:r>
              <w:rPr>
                <w:sz w:val="12"/>
                <w:szCs w:val="12"/>
              </w:rPr>
              <w:t>30</w:t>
            </w:r>
            <w:r w:rsidRPr="00496DB8">
              <w:rPr>
                <w:sz w:val="12"/>
                <w:szCs w:val="12"/>
              </w:rPr>
              <w:t>]</w:t>
            </w:r>
          </w:p>
        </w:tc>
        <w:tc>
          <w:tcPr>
            <w:tcW w:w="1417" w:type="dxa"/>
            <w:vAlign w:val="center"/>
          </w:tcPr>
          <w:p w14:paraId="24AD4003" w14:textId="3F08B3D7" w:rsidR="005A7035" w:rsidRPr="00496DB8" w:rsidRDefault="005A7035" w:rsidP="005A7035">
            <w:pPr>
              <w:pStyle w:val="Tabletext"/>
              <w:rPr>
                <w:sz w:val="12"/>
                <w:szCs w:val="12"/>
              </w:rPr>
            </w:pPr>
            <w:r w:rsidRPr="00496DB8">
              <w:rPr>
                <w:sz w:val="12"/>
                <w:szCs w:val="12"/>
              </w:rPr>
              <w:t>(</w:t>
            </w:r>
            <w:r>
              <w:rPr>
                <w:sz w:val="12"/>
                <w:szCs w:val="12"/>
              </w:rPr>
              <w:t>55</w:t>
            </w:r>
            <w:r w:rsidRPr="00496DB8">
              <w:rPr>
                <w:sz w:val="12"/>
                <w:szCs w:val="12"/>
              </w:rPr>
              <w:t>) [4</w:t>
            </w:r>
            <w:r>
              <w:rPr>
                <w:sz w:val="12"/>
                <w:szCs w:val="12"/>
              </w:rPr>
              <w:t>10</w:t>
            </w:r>
            <w:r w:rsidRPr="00496DB8">
              <w:rPr>
                <w:sz w:val="12"/>
                <w:szCs w:val="12"/>
              </w:rPr>
              <w:t>/7</w:t>
            </w:r>
            <w:r>
              <w:rPr>
                <w:sz w:val="12"/>
                <w:szCs w:val="12"/>
              </w:rPr>
              <w:t>49</w:t>
            </w:r>
            <w:r w:rsidRPr="00496DB8">
              <w:rPr>
                <w:sz w:val="12"/>
                <w:szCs w:val="12"/>
              </w:rPr>
              <w:t>]</w:t>
            </w:r>
          </w:p>
        </w:tc>
        <w:tc>
          <w:tcPr>
            <w:tcW w:w="1413" w:type="dxa"/>
            <w:vAlign w:val="center"/>
          </w:tcPr>
          <w:p w14:paraId="279DF172" w14:textId="4946DBCB" w:rsidR="005A7035" w:rsidRPr="00496DB8" w:rsidRDefault="005A7035" w:rsidP="005A7035">
            <w:pPr>
              <w:pStyle w:val="Tabletext"/>
              <w:rPr>
                <w:sz w:val="12"/>
                <w:szCs w:val="12"/>
              </w:rPr>
            </w:pPr>
            <w:r w:rsidRPr="00496DB8">
              <w:rPr>
                <w:sz w:val="12"/>
                <w:szCs w:val="12"/>
              </w:rPr>
              <w:t>(</w:t>
            </w:r>
            <w:r>
              <w:rPr>
                <w:sz w:val="12"/>
                <w:szCs w:val="12"/>
              </w:rPr>
              <w:t>5</w:t>
            </w:r>
            <w:r w:rsidRPr="00496DB8">
              <w:rPr>
                <w:sz w:val="12"/>
                <w:szCs w:val="12"/>
              </w:rPr>
              <w:t>2) [</w:t>
            </w:r>
            <w:r>
              <w:rPr>
                <w:sz w:val="12"/>
                <w:szCs w:val="12"/>
              </w:rPr>
              <w:t>369</w:t>
            </w:r>
            <w:r w:rsidRPr="00496DB8">
              <w:rPr>
                <w:sz w:val="12"/>
                <w:szCs w:val="12"/>
              </w:rPr>
              <w:t>/7</w:t>
            </w:r>
            <w:r>
              <w:rPr>
                <w:sz w:val="12"/>
                <w:szCs w:val="12"/>
              </w:rPr>
              <w:t>07</w:t>
            </w:r>
            <w:r w:rsidRPr="00496DB8">
              <w:rPr>
                <w:sz w:val="12"/>
                <w:szCs w:val="12"/>
              </w:rPr>
              <w:t>]</w:t>
            </w:r>
          </w:p>
        </w:tc>
      </w:tr>
      <w:tr w:rsidR="005A7035" w:rsidRPr="00496DB8" w14:paraId="44268515" w14:textId="71447B5A" w:rsidTr="0020126C">
        <w:trPr>
          <w:trHeight w:val="255"/>
        </w:trPr>
        <w:tc>
          <w:tcPr>
            <w:tcW w:w="796" w:type="dxa"/>
            <w:vAlign w:val="center"/>
          </w:tcPr>
          <w:p w14:paraId="3BAFBA5F" w14:textId="77777777" w:rsidR="005A7035" w:rsidRPr="00496DB8" w:rsidRDefault="005A7035" w:rsidP="005A7035">
            <w:pPr>
              <w:pStyle w:val="Tabletext"/>
              <w:rPr>
                <w:rFonts w:cs="Arial"/>
                <w:sz w:val="12"/>
                <w:szCs w:val="12"/>
              </w:rPr>
            </w:pPr>
            <w:r w:rsidRPr="00496DB8">
              <w:rPr>
                <w:sz w:val="12"/>
                <w:szCs w:val="12"/>
              </w:rPr>
              <w:t>HRICS</w:t>
            </w:r>
          </w:p>
        </w:tc>
        <w:tc>
          <w:tcPr>
            <w:tcW w:w="1242" w:type="dxa"/>
            <w:vAlign w:val="center"/>
          </w:tcPr>
          <w:p w14:paraId="5F8D9099" w14:textId="0323DE1E" w:rsidR="005A7035" w:rsidRPr="00496DB8" w:rsidRDefault="005A7035" w:rsidP="005A7035">
            <w:pPr>
              <w:pStyle w:val="Tabletext"/>
              <w:rPr>
                <w:sz w:val="12"/>
                <w:szCs w:val="12"/>
              </w:rPr>
            </w:pPr>
            <w:r w:rsidRPr="00496DB8">
              <w:rPr>
                <w:sz w:val="12"/>
                <w:szCs w:val="12"/>
              </w:rPr>
              <w:t>(63) [297/469]</w:t>
            </w:r>
          </w:p>
        </w:tc>
        <w:tc>
          <w:tcPr>
            <w:tcW w:w="1274" w:type="dxa"/>
            <w:vAlign w:val="center"/>
          </w:tcPr>
          <w:p w14:paraId="54F11F5D" w14:textId="6722396D" w:rsidR="005A7035" w:rsidRPr="00496DB8" w:rsidRDefault="005A7035" w:rsidP="005A7035">
            <w:pPr>
              <w:pStyle w:val="Tabletext"/>
              <w:rPr>
                <w:sz w:val="12"/>
                <w:szCs w:val="12"/>
              </w:rPr>
            </w:pPr>
            <w:r w:rsidRPr="00496DB8">
              <w:rPr>
                <w:sz w:val="12"/>
                <w:szCs w:val="12"/>
              </w:rPr>
              <w:t>(58) [33</w:t>
            </w:r>
            <w:r>
              <w:rPr>
                <w:sz w:val="12"/>
                <w:szCs w:val="12"/>
              </w:rPr>
              <w:t>1</w:t>
            </w:r>
            <w:r w:rsidRPr="00496DB8">
              <w:rPr>
                <w:sz w:val="12"/>
                <w:szCs w:val="12"/>
              </w:rPr>
              <w:t>/56</w:t>
            </w:r>
            <w:r>
              <w:rPr>
                <w:sz w:val="12"/>
                <w:szCs w:val="12"/>
              </w:rPr>
              <w:t>7</w:t>
            </w:r>
            <w:r w:rsidRPr="00496DB8">
              <w:rPr>
                <w:sz w:val="12"/>
                <w:szCs w:val="12"/>
              </w:rPr>
              <w:t>]</w:t>
            </w:r>
          </w:p>
        </w:tc>
        <w:tc>
          <w:tcPr>
            <w:tcW w:w="1273" w:type="dxa"/>
            <w:vAlign w:val="center"/>
          </w:tcPr>
          <w:p w14:paraId="414D0E33" w14:textId="47C842EA" w:rsidR="005A7035" w:rsidRPr="00496DB8" w:rsidRDefault="005A7035" w:rsidP="005A7035">
            <w:pPr>
              <w:pStyle w:val="Tabletext"/>
              <w:rPr>
                <w:sz w:val="12"/>
                <w:szCs w:val="12"/>
              </w:rPr>
            </w:pPr>
            <w:r w:rsidRPr="00496DB8">
              <w:rPr>
                <w:sz w:val="12"/>
                <w:szCs w:val="12"/>
              </w:rPr>
              <w:t>(62) [33</w:t>
            </w:r>
            <w:r>
              <w:rPr>
                <w:sz w:val="12"/>
                <w:szCs w:val="12"/>
              </w:rPr>
              <w:t>7</w:t>
            </w:r>
            <w:r w:rsidRPr="00496DB8">
              <w:rPr>
                <w:sz w:val="12"/>
                <w:szCs w:val="12"/>
              </w:rPr>
              <w:t>/54</w:t>
            </w:r>
            <w:r>
              <w:rPr>
                <w:sz w:val="12"/>
                <w:szCs w:val="12"/>
              </w:rPr>
              <w:t>7</w:t>
            </w:r>
            <w:r w:rsidRPr="00496DB8">
              <w:rPr>
                <w:sz w:val="12"/>
                <w:szCs w:val="12"/>
              </w:rPr>
              <w:t>]</w:t>
            </w:r>
          </w:p>
        </w:tc>
        <w:tc>
          <w:tcPr>
            <w:tcW w:w="1228" w:type="dxa"/>
            <w:vAlign w:val="center"/>
          </w:tcPr>
          <w:p w14:paraId="5B6808FC" w14:textId="0955E0E2" w:rsidR="005A7035" w:rsidRPr="00496DB8" w:rsidRDefault="005A7035" w:rsidP="005A7035">
            <w:pPr>
              <w:pStyle w:val="Tabletext"/>
              <w:rPr>
                <w:sz w:val="12"/>
                <w:szCs w:val="12"/>
              </w:rPr>
            </w:pPr>
            <w:r w:rsidRPr="00496DB8">
              <w:rPr>
                <w:sz w:val="12"/>
                <w:szCs w:val="12"/>
              </w:rPr>
              <w:t>(62) [329/53</w:t>
            </w:r>
            <w:r>
              <w:rPr>
                <w:sz w:val="12"/>
                <w:szCs w:val="12"/>
              </w:rPr>
              <w:t>3</w:t>
            </w:r>
            <w:r w:rsidRPr="00496DB8">
              <w:rPr>
                <w:sz w:val="12"/>
                <w:szCs w:val="12"/>
              </w:rPr>
              <w:t>]</w:t>
            </w:r>
          </w:p>
        </w:tc>
        <w:tc>
          <w:tcPr>
            <w:tcW w:w="1276" w:type="dxa"/>
            <w:vAlign w:val="center"/>
          </w:tcPr>
          <w:p w14:paraId="12A7E854" w14:textId="06C0F717" w:rsidR="005A7035" w:rsidRPr="00496DB8" w:rsidRDefault="005A7035" w:rsidP="005A7035">
            <w:pPr>
              <w:pStyle w:val="Tabletext"/>
              <w:rPr>
                <w:sz w:val="12"/>
                <w:szCs w:val="12"/>
              </w:rPr>
            </w:pPr>
            <w:r w:rsidRPr="00496DB8">
              <w:rPr>
                <w:sz w:val="12"/>
                <w:szCs w:val="12"/>
              </w:rPr>
              <w:t>(68) [37</w:t>
            </w:r>
            <w:r>
              <w:rPr>
                <w:sz w:val="12"/>
                <w:szCs w:val="12"/>
              </w:rPr>
              <w:t>2</w:t>
            </w:r>
            <w:r w:rsidRPr="00496DB8">
              <w:rPr>
                <w:sz w:val="12"/>
                <w:szCs w:val="12"/>
              </w:rPr>
              <w:t>/54</w:t>
            </w:r>
            <w:r>
              <w:rPr>
                <w:sz w:val="12"/>
                <w:szCs w:val="12"/>
              </w:rPr>
              <w:t>9</w:t>
            </w:r>
            <w:r w:rsidRPr="00496DB8">
              <w:rPr>
                <w:sz w:val="12"/>
                <w:szCs w:val="12"/>
              </w:rPr>
              <w:t>]</w:t>
            </w:r>
          </w:p>
        </w:tc>
        <w:tc>
          <w:tcPr>
            <w:tcW w:w="1422" w:type="dxa"/>
            <w:vAlign w:val="center"/>
          </w:tcPr>
          <w:p w14:paraId="472C1676" w14:textId="29783DD4" w:rsidR="005A7035" w:rsidRPr="00496DB8" w:rsidRDefault="005A7035" w:rsidP="005A7035">
            <w:pPr>
              <w:pStyle w:val="Tabletext"/>
              <w:rPr>
                <w:sz w:val="12"/>
                <w:szCs w:val="12"/>
              </w:rPr>
            </w:pPr>
            <w:r w:rsidRPr="00496DB8">
              <w:rPr>
                <w:sz w:val="12"/>
                <w:szCs w:val="12"/>
              </w:rPr>
              <w:t>(</w:t>
            </w:r>
            <w:r>
              <w:rPr>
                <w:sz w:val="12"/>
                <w:szCs w:val="12"/>
              </w:rPr>
              <w:t>59</w:t>
            </w:r>
            <w:r w:rsidRPr="00496DB8">
              <w:rPr>
                <w:sz w:val="12"/>
                <w:szCs w:val="12"/>
              </w:rPr>
              <w:t>) [32</w:t>
            </w:r>
            <w:r>
              <w:rPr>
                <w:sz w:val="12"/>
                <w:szCs w:val="12"/>
              </w:rPr>
              <w:t>1</w:t>
            </w:r>
            <w:r w:rsidRPr="00496DB8">
              <w:rPr>
                <w:sz w:val="12"/>
                <w:szCs w:val="12"/>
              </w:rPr>
              <w:t>/5</w:t>
            </w:r>
            <w:r>
              <w:rPr>
                <w:sz w:val="12"/>
                <w:szCs w:val="12"/>
              </w:rPr>
              <w:t>41</w:t>
            </w:r>
            <w:r w:rsidRPr="00496DB8">
              <w:rPr>
                <w:sz w:val="12"/>
                <w:szCs w:val="12"/>
              </w:rPr>
              <w:t>]</w:t>
            </w:r>
          </w:p>
        </w:tc>
        <w:tc>
          <w:tcPr>
            <w:tcW w:w="1417" w:type="dxa"/>
            <w:vAlign w:val="center"/>
          </w:tcPr>
          <w:p w14:paraId="5BEABFC3" w14:textId="467112FA" w:rsidR="005A7035" w:rsidRPr="00496DB8" w:rsidRDefault="005A7035" w:rsidP="005A7035">
            <w:pPr>
              <w:pStyle w:val="Tabletext"/>
              <w:rPr>
                <w:sz w:val="12"/>
                <w:szCs w:val="12"/>
              </w:rPr>
            </w:pPr>
            <w:r w:rsidRPr="00496DB8">
              <w:rPr>
                <w:sz w:val="12"/>
                <w:szCs w:val="12"/>
              </w:rPr>
              <w:t>(</w:t>
            </w:r>
            <w:r>
              <w:rPr>
                <w:sz w:val="12"/>
                <w:szCs w:val="12"/>
              </w:rPr>
              <w:t>60</w:t>
            </w:r>
            <w:r w:rsidRPr="00496DB8">
              <w:rPr>
                <w:sz w:val="12"/>
                <w:szCs w:val="12"/>
              </w:rPr>
              <w:t>) [3</w:t>
            </w:r>
            <w:r>
              <w:rPr>
                <w:sz w:val="12"/>
                <w:szCs w:val="12"/>
              </w:rPr>
              <w:t>49</w:t>
            </w:r>
            <w:r w:rsidRPr="00496DB8">
              <w:rPr>
                <w:sz w:val="12"/>
                <w:szCs w:val="12"/>
              </w:rPr>
              <w:t>/5</w:t>
            </w:r>
            <w:r>
              <w:rPr>
                <w:sz w:val="12"/>
                <w:szCs w:val="12"/>
              </w:rPr>
              <w:t>85</w:t>
            </w:r>
            <w:r w:rsidRPr="00496DB8">
              <w:rPr>
                <w:sz w:val="12"/>
                <w:szCs w:val="12"/>
              </w:rPr>
              <w:t>]</w:t>
            </w:r>
          </w:p>
        </w:tc>
        <w:tc>
          <w:tcPr>
            <w:tcW w:w="1413" w:type="dxa"/>
            <w:vAlign w:val="center"/>
          </w:tcPr>
          <w:p w14:paraId="6B3D1CD6" w14:textId="5233F7AF" w:rsidR="005A7035" w:rsidRPr="00496DB8" w:rsidRDefault="005A7035" w:rsidP="005A7035">
            <w:pPr>
              <w:pStyle w:val="Tabletext"/>
              <w:rPr>
                <w:sz w:val="12"/>
                <w:szCs w:val="12"/>
              </w:rPr>
            </w:pPr>
            <w:r w:rsidRPr="00496DB8">
              <w:rPr>
                <w:sz w:val="12"/>
                <w:szCs w:val="12"/>
              </w:rPr>
              <w:t>(</w:t>
            </w:r>
            <w:r>
              <w:rPr>
                <w:sz w:val="12"/>
                <w:szCs w:val="12"/>
              </w:rPr>
              <w:t>59</w:t>
            </w:r>
            <w:r w:rsidRPr="00496DB8">
              <w:rPr>
                <w:sz w:val="12"/>
                <w:szCs w:val="12"/>
              </w:rPr>
              <w:t>) [3</w:t>
            </w:r>
            <w:r>
              <w:rPr>
                <w:sz w:val="12"/>
                <w:szCs w:val="12"/>
              </w:rPr>
              <w:t>49</w:t>
            </w:r>
            <w:r w:rsidRPr="00496DB8">
              <w:rPr>
                <w:sz w:val="12"/>
                <w:szCs w:val="12"/>
              </w:rPr>
              <w:t>/5</w:t>
            </w:r>
            <w:r>
              <w:rPr>
                <w:sz w:val="12"/>
                <w:szCs w:val="12"/>
              </w:rPr>
              <w:t>94</w:t>
            </w:r>
            <w:r w:rsidRPr="00496DB8">
              <w:rPr>
                <w:sz w:val="12"/>
                <w:szCs w:val="12"/>
              </w:rPr>
              <w:t>]</w:t>
            </w:r>
          </w:p>
        </w:tc>
      </w:tr>
      <w:tr w:rsidR="005A7035" w:rsidRPr="00496DB8" w14:paraId="4E6F071D" w14:textId="2288225F" w:rsidTr="0020126C">
        <w:trPr>
          <w:trHeight w:val="255"/>
        </w:trPr>
        <w:tc>
          <w:tcPr>
            <w:tcW w:w="796" w:type="dxa"/>
            <w:vAlign w:val="center"/>
          </w:tcPr>
          <w:p w14:paraId="14CC4635" w14:textId="77777777" w:rsidR="005A7035" w:rsidRPr="00496DB8" w:rsidRDefault="005A7035" w:rsidP="005A7035">
            <w:pPr>
              <w:pStyle w:val="Tabletext"/>
              <w:rPr>
                <w:rFonts w:cs="Arial"/>
                <w:sz w:val="12"/>
                <w:szCs w:val="12"/>
              </w:rPr>
            </w:pPr>
            <w:r w:rsidRPr="00496DB8">
              <w:rPr>
                <w:sz w:val="12"/>
                <w:szCs w:val="12"/>
              </w:rPr>
              <w:t>LMICS</w:t>
            </w:r>
          </w:p>
        </w:tc>
        <w:tc>
          <w:tcPr>
            <w:tcW w:w="1242" w:type="dxa"/>
            <w:vAlign w:val="center"/>
          </w:tcPr>
          <w:p w14:paraId="7BAE0EFB" w14:textId="2D71D457" w:rsidR="005A7035" w:rsidRPr="00496DB8" w:rsidRDefault="005A7035" w:rsidP="005A7035">
            <w:pPr>
              <w:pStyle w:val="Tabletext"/>
              <w:rPr>
                <w:sz w:val="12"/>
                <w:szCs w:val="12"/>
              </w:rPr>
            </w:pPr>
            <w:r w:rsidRPr="00496DB8">
              <w:rPr>
                <w:sz w:val="12"/>
                <w:szCs w:val="12"/>
              </w:rPr>
              <w:t>(73) [463/63</w:t>
            </w:r>
            <w:r>
              <w:rPr>
                <w:sz w:val="12"/>
                <w:szCs w:val="12"/>
              </w:rPr>
              <w:t>2</w:t>
            </w:r>
            <w:r w:rsidRPr="00496DB8">
              <w:rPr>
                <w:sz w:val="12"/>
                <w:szCs w:val="12"/>
              </w:rPr>
              <w:t>]</w:t>
            </w:r>
          </w:p>
        </w:tc>
        <w:tc>
          <w:tcPr>
            <w:tcW w:w="1274" w:type="dxa"/>
            <w:vAlign w:val="center"/>
          </w:tcPr>
          <w:p w14:paraId="5F81A812" w14:textId="67BEE2F7" w:rsidR="005A7035" w:rsidRPr="00496DB8" w:rsidRDefault="005A7035" w:rsidP="005A7035">
            <w:pPr>
              <w:pStyle w:val="Tabletext"/>
              <w:rPr>
                <w:sz w:val="12"/>
                <w:szCs w:val="12"/>
              </w:rPr>
            </w:pPr>
            <w:r w:rsidRPr="00496DB8">
              <w:rPr>
                <w:sz w:val="12"/>
                <w:szCs w:val="12"/>
              </w:rPr>
              <w:t>(71) [48</w:t>
            </w:r>
            <w:r>
              <w:rPr>
                <w:sz w:val="12"/>
                <w:szCs w:val="12"/>
              </w:rPr>
              <w:t>4</w:t>
            </w:r>
            <w:r w:rsidRPr="00496DB8">
              <w:rPr>
                <w:sz w:val="12"/>
                <w:szCs w:val="12"/>
              </w:rPr>
              <w:t>/6</w:t>
            </w:r>
            <w:r>
              <w:rPr>
                <w:sz w:val="12"/>
                <w:szCs w:val="12"/>
              </w:rPr>
              <w:t>81</w:t>
            </w:r>
            <w:r w:rsidRPr="00496DB8">
              <w:rPr>
                <w:sz w:val="12"/>
                <w:szCs w:val="12"/>
              </w:rPr>
              <w:t>]</w:t>
            </w:r>
          </w:p>
        </w:tc>
        <w:tc>
          <w:tcPr>
            <w:tcW w:w="1273" w:type="dxa"/>
            <w:vAlign w:val="center"/>
          </w:tcPr>
          <w:p w14:paraId="0C19A22B" w14:textId="06B85FED" w:rsidR="005A7035" w:rsidRPr="00496DB8" w:rsidRDefault="005A7035" w:rsidP="005A7035">
            <w:pPr>
              <w:pStyle w:val="Tabletext"/>
              <w:rPr>
                <w:sz w:val="12"/>
                <w:szCs w:val="12"/>
              </w:rPr>
            </w:pPr>
            <w:r w:rsidRPr="00496DB8">
              <w:rPr>
                <w:sz w:val="12"/>
                <w:szCs w:val="12"/>
              </w:rPr>
              <w:t>(73) [52</w:t>
            </w:r>
            <w:r>
              <w:rPr>
                <w:sz w:val="12"/>
                <w:szCs w:val="12"/>
              </w:rPr>
              <w:t>5</w:t>
            </w:r>
            <w:r w:rsidRPr="00496DB8">
              <w:rPr>
                <w:sz w:val="12"/>
                <w:szCs w:val="12"/>
              </w:rPr>
              <w:t>/72</w:t>
            </w:r>
            <w:r>
              <w:rPr>
                <w:sz w:val="12"/>
                <w:szCs w:val="12"/>
              </w:rPr>
              <w:t>3</w:t>
            </w:r>
            <w:r w:rsidRPr="00496DB8">
              <w:rPr>
                <w:sz w:val="12"/>
                <w:szCs w:val="12"/>
              </w:rPr>
              <w:t>]</w:t>
            </w:r>
          </w:p>
        </w:tc>
        <w:tc>
          <w:tcPr>
            <w:tcW w:w="1228" w:type="dxa"/>
            <w:vAlign w:val="center"/>
          </w:tcPr>
          <w:p w14:paraId="0A2F3AF8" w14:textId="7BD5F39F" w:rsidR="005A7035" w:rsidRPr="00496DB8" w:rsidRDefault="005A7035" w:rsidP="005A7035">
            <w:pPr>
              <w:pStyle w:val="Tabletext"/>
              <w:rPr>
                <w:sz w:val="12"/>
                <w:szCs w:val="12"/>
              </w:rPr>
            </w:pPr>
            <w:r w:rsidRPr="00496DB8">
              <w:rPr>
                <w:sz w:val="12"/>
                <w:szCs w:val="12"/>
              </w:rPr>
              <w:t>(66) [48</w:t>
            </w:r>
            <w:r>
              <w:rPr>
                <w:sz w:val="12"/>
                <w:szCs w:val="12"/>
              </w:rPr>
              <w:t>8</w:t>
            </w:r>
            <w:r w:rsidRPr="00496DB8">
              <w:rPr>
                <w:sz w:val="12"/>
                <w:szCs w:val="12"/>
              </w:rPr>
              <w:t>/73</w:t>
            </w:r>
            <w:r>
              <w:rPr>
                <w:sz w:val="12"/>
                <w:szCs w:val="12"/>
              </w:rPr>
              <w:t>8</w:t>
            </w:r>
            <w:r w:rsidRPr="00496DB8">
              <w:rPr>
                <w:sz w:val="12"/>
                <w:szCs w:val="12"/>
              </w:rPr>
              <w:t>]</w:t>
            </w:r>
          </w:p>
        </w:tc>
        <w:tc>
          <w:tcPr>
            <w:tcW w:w="1276" w:type="dxa"/>
            <w:vAlign w:val="center"/>
          </w:tcPr>
          <w:p w14:paraId="6C40C1CF" w14:textId="4F805357" w:rsidR="005A7035" w:rsidRPr="00496DB8" w:rsidRDefault="005A7035" w:rsidP="005A7035">
            <w:pPr>
              <w:pStyle w:val="Tabletext"/>
              <w:rPr>
                <w:sz w:val="12"/>
                <w:szCs w:val="12"/>
              </w:rPr>
            </w:pPr>
            <w:r w:rsidRPr="00496DB8">
              <w:rPr>
                <w:sz w:val="12"/>
                <w:szCs w:val="12"/>
              </w:rPr>
              <w:t>(69) [5</w:t>
            </w:r>
            <w:r>
              <w:rPr>
                <w:sz w:val="12"/>
                <w:szCs w:val="12"/>
              </w:rPr>
              <w:t>24</w:t>
            </w:r>
            <w:r w:rsidRPr="00496DB8">
              <w:rPr>
                <w:sz w:val="12"/>
                <w:szCs w:val="12"/>
              </w:rPr>
              <w:t>/7</w:t>
            </w:r>
            <w:r>
              <w:rPr>
                <w:sz w:val="12"/>
                <w:szCs w:val="12"/>
              </w:rPr>
              <w:t>6</w:t>
            </w:r>
            <w:r w:rsidRPr="00496DB8">
              <w:rPr>
                <w:sz w:val="12"/>
                <w:szCs w:val="12"/>
              </w:rPr>
              <w:t>1]</w:t>
            </w:r>
          </w:p>
        </w:tc>
        <w:tc>
          <w:tcPr>
            <w:tcW w:w="1422" w:type="dxa"/>
            <w:vAlign w:val="center"/>
          </w:tcPr>
          <w:p w14:paraId="57D72211" w14:textId="034A677D" w:rsidR="005A7035" w:rsidRPr="00496DB8" w:rsidRDefault="005A7035" w:rsidP="005A7035">
            <w:pPr>
              <w:pStyle w:val="Tabletext"/>
              <w:rPr>
                <w:sz w:val="12"/>
                <w:szCs w:val="12"/>
              </w:rPr>
            </w:pPr>
            <w:r w:rsidRPr="00496DB8">
              <w:rPr>
                <w:sz w:val="12"/>
                <w:szCs w:val="12"/>
              </w:rPr>
              <w:t>(</w:t>
            </w:r>
            <w:r>
              <w:rPr>
                <w:sz w:val="12"/>
                <w:szCs w:val="12"/>
              </w:rPr>
              <w:t>70</w:t>
            </w:r>
            <w:r w:rsidRPr="00496DB8">
              <w:rPr>
                <w:sz w:val="12"/>
                <w:szCs w:val="12"/>
              </w:rPr>
              <w:t>) [47</w:t>
            </w:r>
            <w:r>
              <w:rPr>
                <w:sz w:val="12"/>
                <w:szCs w:val="12"/>
              </w:rPr>
              <w:t>9</w:t>
            </w:r>
            <w:r w:rsidRPr="00496DB8">
              <w:rPr>
                <w:sz w:val="12"/>
                <w:szCs w:val="12"/>
              </w:rPr>
              <w:t>/6</w:t>
            </w:r>
            <w:r>
              <w:rPr>
                <w:sz w:val="12"/>
                <w:szCs w:val="12"/>
              </w:rPr>
              <w:t>87</w:t>
            </w:r>
            <w:r w:rsidRPr="00496DB8">
              <w:rPr>
                <w:sz w:val="12"/>
                <w:szCs w:val="12"/>
              </w:rPr>
              <w:t>]</w:t>
            </w:r>
          </w:p>
        </w:tc>
        <w:tc>
          <w:tcPr>
            <w:tcW w:w="1417" w:type="dxa"/>
            <w:vAlign w:val="center"/>
          </w:tcPr>
          <w:p w14:paraId="354E7049" w14:textId="3F1E2931" w:rsidR="005A7035" w:rsidRPr="00496DB8" w:rsidRDefault="005A7035" w:rsidP="005A7035">
            <w:pPr>
              <w:pStyle w:val="Tabletext"/>
              <w:rPr>
                <w:sz w:val="12"/>
                <w:szCs w:val="12"/>
              </w:rPr>
            </w:pPr>
            <w:r w:rsidRPr="00496DB8">
              <w:rPr>
                <w:sz w:val="12"/>
                <w:szCs w:val="12"/>
              </w:rPr>
              <w:t>(</w:t>
            </w:r>
            <w:r>
              <w:rPr>
                <w:sz w:val="12"/>
                <w:szCs w:val="12"/>
              </w:rPr>
              <w:t>60</w:t>
            </w:r>
            <w:r w:rsidRPr="00496DB8">
              <w:rPr>
                <w:sz w:val="12"/>
                <w:szCs w:val="12"/>
              </w:rPr>
              <w:t>) [4</w:t>
            </w:r>
            <w:r>
              <w:rPr>
                <w:sz w:val="12"/>
                <w:szCs w:val="12"/>
              </w:rPr>
              <w:t>46</w:t>
            </w:r>
            <w:r w:rsidRPr="00496DB8">
              <w:rPr>
                <w:sz w:val="12"/>
                <w:szCs w:val="12"/>
              </w:rPr>
              <w:t>/</w:t>
            </w:r>
            <w:r>
              <w:rPr>
                <w:sz w:val="12"/>
                <w:szCs w:val="12"/>
              </w:rPr>
              <w:t>740</w:t>
            </w:r>
            <w:r w:rsidRPr="00496DB8">
              <w:rPr>
                <w:sz w:val="12"/>
                <w:szCs w:val="12"/>
              </w:rPr>
              <w:t>]</w:t>
            </w:r>
          </w:p>
        </w:tc>
        <w:tc>
          <w:tcPr>
            <w:tcW w:w="1413" w:type="dxa"/>
            <w:vAlign w:val="center"/>
          </w:tcPr>
          <w:p w14:paraId="5B9B6E40" w14:textId="4F2CBCA8" w:rsidR="005A7035" w:rsidRPr="00496DB8" w:rsidRDefault="005A7035" w:rsidP="005A7035">
            <w:pPr>
              <w:pStyle w:val="Tabletext"/>
              <w:rPr>
                <w:sz w:val="12"/>
                <w:szCs w:val="12"/>
              </w:rPr>
            </w:pPr>
            <w:r w:rsidRPr="00496DB8">
              <w:rPr>
                <w:sz w:val="12"/>
                <w:szCs w:val="12"/>
              </w:rPr>
              <w:t>(</w:t>
            </w:r>
            <w:r>
              <w:rPr>
                <w:sz w:val="12"/>
                <w:szCs w:val="12"/>
              </w:rPr>
              <w:t>63</w:t>
            </w:r>
            <w:r w:rsidRPr="00496DB8">
              <w:rPr>
                <w:sz w:val="12"/>
                <w:szCs w:val="12"/>
              </w:rPr>
              <w:t>) [4</w:t>
            </w:r>
            <w:r>
              <w:rPr>
                <w:sz w:val="12"/>
                <w:szCs w:val="12"/>
              </w:rPr>
              <w:t>65</w:t>
            </w:r>
            <w:r w:rsidRPr="00496DB8">
              <w:rPr>
                <w:sz w:val="12"/>
                <w:szCs w:val="12"/>
              </w:rPr>
              <w:t>/</w:t>
            </w:r>
            <w:r>
              <w:rPr>
                <w:sz w:val="12"/>
                <w:szCs w:val="12"/>
              </w:rPr>
              <w:t>735</w:t>
            </w:r>
            <w:r w:rsidRPr="00496DB8">
              <w:rPr>
                <w:sz w:val="12"/>
                <w:szCs w:val="12"/>
              </w:rPr>
              <w:t>]</w:t>
            </w:r>
          </w:p>
        </w:tc>
      </w:tr>
      <w:tr w:rsidR="005A7035" w:rsidRPr="00496DB8" w14:paraId="7C307223" w14:textId="74E181FC" w:rsidTr="0020126C">
        <w:trPr>
          <w:trHeight w:val="255"/>
        </w:trPr>
        <w:tc>
          <w:tcPr>
            <w:tcW w:w="796" w:type="dxa"/>
            <w:vAlign w:val="center"/>
          </w:tcPr>
          <w:p w14:paraId="1470C5EB" w14:textId="77777777" w:rsidR="005A7035" w:rsidRPr="00496DB8" w:rsidRDefault="005A7035" w:rsidP="005A7035">
            <w:pPr>
              <w:pStyle w:val="Tabletext"/>
              <w:rPr>
                <w:rFonts w:cs="Arial"/>
                <w:sz w:val="12"/>
                <w:szCs w:val="12"/>
              </w:rPr>
            </w:pPr>
            <w:r w:rsidRPr="00496DB8">
              <w:rPr>
                <w:sz w:val="12"/>
                <w:szCs w:val="12"/>
              </w:rPr>
              <w:t>GICS</w:t>
            </w:r>
          </w:p>
        </w:tc>
        <w:tc>
          <w:tcPr>
            <w:tcW w:w="1242" w:type="dxa"/>
            <w:vAlign w:val="center"/>
          </w:tcPr>
          <w:p w14:paraId="45658ECE" w14:textId="198CED63" w:rsidR="005A7035" w:rsidRPr="00496DB8" w:rsidRDefault="005A7035" w:rsidP="005A7035">
            <w:pPr>
              <w:pStyle w:val="Tabletext"/>
              <w:rPr>
                <w:sz w:val="12"/>
                <w:szCs w:val="12"/>
              </w:rPr>
            </w:pPr>
            <w:r w:rsidRPr="00496DB8">
              <w:rPr>
                <w:sz w:val="12"/>
                <w:szCs w:val="12"/>
              </w:rPr>
              <w:t>(75) [335/44</w:t>
            </w:r>
            <w:r>
              <w:rPr>
                <w:sz w:val="12"/>
                <w:szCs w:val="12"/>
              </w:rPr>
              <w:t>9</w:t>
            </w:r>
            <w:r w:rsidRPr="00496DB8">
              <w:rPr>
                <w:sz w:val="12"/>
                <w:szCs w:val="12"/>
              </w:rPr>
              <w:t>]</w:t>
            </w:r>
          </w:p>
        </w:tc>
        <w:tc>
          <w:tcPr>
            <w:tcW w:w="1274" w:type="dxa"/>
            <w:vAlign w:val="center"/>
          </w:tcPr>
          <w:p w14:paraId="642444C8" w14:textId="2ED37DAF" w:rsidR="005A7035" w:rsidRPr="00496DB8" w:rsidRDefault="005A7035" w:rsidP="005A7035">
            <w:pPr>
              <w:pStyle w:val="Tabletext"/>
              <w:rPr>
                <w:sz w:val="12"/>
                <w:szCs w:val="12"/>
              </w:rPr>
            </w:pPr>
            <w:r w:rsidRPr="00496DB8">
              <w:rPr>
                <w:sz w:val="12"/>
                <w:szCs w:val="12"/>
              </w:rPr>
              <w:t>(71) [3</w:t>
            </w:r>
            <w:r>
              <w:rPr>
                <w:sz w:val="12"/>
                <w:szCs w:val="12"/>
              </w:rPr>
              <w:t>39</w:t>
            </w:r>
            <w:r w:rsidRPr="00496DB8">
              <w:rPr>
                <w:sz w:val="12"/>
                <w:szCs w:val="12"/>
              </w:rPr>
              <w:t>/476]</w:t>
            </w:r>
          </w:p>
        </w:tc>
        <w:tc>
          <w:tcPr>
            <w:tcW w:w="1273" w:type="dxa"/>
            <w:vAlign w:val="center"/>
          </w:tcPr>
          <w:p w14:paraId="5E6FA597" w14:textId="1DF4DDB6" w:rsidR="005A7035" w:rsidRPr="00496DB8" w:rsidRDefault="005A7035" w:rsidP="005A7035">
            <w:pPr>
              <w:pStyle w:val="Tabletext"/>
              <w:rPr>
                <w:sz w:val="12"/>
                <w:szCs w:val="12"/>
              </w:rPr>
            </w:pPr>
            <w:r w:rsidRPr="00496DB8">
              <w:rPr>
                <w:sz w:val="12"/>
                <w:szCs w:val="12"/>
              </w:rPr>
              <w:t>(76) [37</w:t>
            </w:r>
            <w:r>
              <w:rPr>
                <w:sz w:val="12"/>
                <w:szCs w:val="12"/>
              </w:rPr>
              <w:t>6</w:t>
            </w:r>
            <w:r w:rsidRPr="00496DB8">
              <w:rPr>
                <w:sz w:val="12"/>
                <w:szCs w:val="12"/>
              </w:rPr>
              <w:t>/49</w:t>
            </w:r>
            <w:r>
              <w:rPr>
                <w:sz w:val="12"/>
                <w:szCs w:val="12"/>
              </w:rPr>
              <w:t>3</w:t>
            </w:r>
            <w:r w:rsidRPr="00496DB8">
              <w:rPr>
                <w:sz w:val="12"/>
                <w:szCs w:val="12"/>
              </w:rPr>
              <w:t>]</w:t>
            </w:r>
          </w:p>
        </w:tc>
        <w:tc>
          <w:tcPr>
            <w:tcW w:w="1228" w:type="dxa"/>
            <w:vAlign w:val="center"/>
          </w:tcPr>
          <w:p w14:paraId="05818AE3" w14:textId="3F3413E8" w:rsidR="005A7035" w:rsidRPr="00496DB8" w:rsidRDefault="005A7035" w:rsidP="005A7035">
            <w:pPr>
              <w:pStyle w:val="Tabletext"/>
              <w:rPr>
                <w:sz w:val="12"/>
                <w:szCs w:val="12"/>
              </w:rPr>
            </w:pPr>
            <w:r w:rsidRPr="00496DB8">
              <w:rPr>
                <w:sz w:val="12"/>
                <w:szCs w:val="12"/>
              </w:rPr>
              <w:t>(72) [37</w:t>
            </w:r>
            <w:r>
              <w:rPr>
                <w:sz w:val="12"/>
                <w:szCs w:val="12"/>
              </w:rPr>
              <w:t>6</w:t>
            </w:r>
            <w:r w:rsidRPr="00496DB8">
              <w:rPr>
                <w:sz w:val="12"/>
                <w:szCs w:val="12"/>
              </w:rPr>
              <w:t>/52</w:t>
            </w:r>
            <w:r>
              <w:rPr>
                <w:sz w:val="12"/>
                <w:szCs w:val="12"/>
              </w:rPr>
              <w:t>2</w:t>
            </w:r>
            <w:r w:rsidRPr="00496DB8">
              <w:rPr>
                <w:sz w:val="12"/>
                <w:szCs w:val="12"/>
              </w:rPr>
              <w:t>]</w:t>
            </w:r>
          </w:p>
        </w:tc>
        <w:tc>
          <w:tcPr>
            <w:tcW w:w="1276" w:type="dxa"/>
            <w:vAlign w:val="center"/>
          </w:tcPr>
          <w:p w14:paraId="4C49DC7A" w14:textId="4A4618BF" w:rsidR="005A7035" w:rsidRPr="00496DB8" w:rsidRDefault="005A7035" w:rsidP="005A7035">
            <w:pPr>
              <w:pStyle w:val="Tabletext"/>
              <w:rPr>
                <w:sz w:val="12"/>
                <w:szCs w:val="12"/>
              </w:rPr>
            </w:pPr>
            <w:r w:rsidRPr="00496DB8">
              <w:rPr>
                <w:sz w:val="12"/>
                <w:szCs w:val="12"/>
              </w:rPr>
              <w:t>(73) [382/52</w:t>
            </w:r>
            <w:r>
              <w:rPr>
                <w:sz w:val="12"/>
                <w:szCs w:val="12"/>
              </w:rPr>
              <w:t>3</w:t>
            </w:r>
            <w:r w:rsidRPr="00496DB8">
              <w:rPr>
                <w:sz w:val="12"/>
                <w:szCs w:val="12"/>
              </w:rPr>
              <w:t>]</w:t>
            </w:r>
          </w:p>
        </w:tc>
        <w:tc>
          <w:tcPr>
            <w:tcW w:w="1422" w:type="dxa"/>
            <w:vAlign w:val="center"/>
          </w:tcPr>
          <w:p w14:paraId="66456EA0" w14:textId="199852D9" w:rsidR="005A7035" w:rsidRPr="00496DB8" w:rsidRDefault="005A7035" w:rsidP="005A7035">
            <w:pPr>
              <w:pStyle w:val="Tabletext"/>
              <w:rPr>
                <w:sz w:val="12"/>
                <w:szCs w:val="12"/>
              </w:rPr>
            </w:pPr>
            <w:r w:rsidRPr="00496DB8">
              <w:rPr>
                <w:sz w:val="12"/>
                <w:szCs w:val="12"/>
              </w:rPr>
              <w:t>(74) [387/52</w:t>
            </w:r>
            <w:r>
              <w:rPr>
                <w:sz w:val="12"/>
                <w:szCs w:val="12"/>
              </w:rPr>
              <w:t>2</w:t>
            </w:r>
            <w:r w:rsidRPr="00496DB8">
              <w:rPr>
                <w:sz w:val="12"/>
                <w:szCs w:val="12"/>
              </w:rPr>
              <w:t>]</w:t>
            </w:r>
          </w:p>
        </w:tc>
        <w:tc>
          <w:tcPr>
            <w:tcW w:w="1417" w:type="dxa"/>
            <w:vAlign w:val="center"/>
          </w:tcPr>
          <w:p w14:paraId="4E48C9DC" w14:textId="481E85FA" w:rsidR="005A7035" w:rsidRPr="00496DB8" w:rsidRDefault="005A7035" w:rsidP="005A7035">
            <w:pPr>
              <w:pStyle w:val="Tabletext"/>
              <w:rPr>
                <w:sz w:val="12"/>
                <w:szCs w:val="12"/>
              </w:rPr>
            </w:pPr>
            <w:r w:rsidRPr="00496DB8">
              <w:rPr>
                <w:sz w:val="12"/>
                <w:szCs w:val="12"/>
              </w:rPr>
              <w:t>(</w:t>
            </w:r>
            <w:r>
              <w:rPr>
                <w:sz w:val="12"/>
                <w:szCs w:val="12"/>
              </w:rPr>
              <w:t>66</w:t>
            </w:r>
            <w:r w:rsidRPr="00496DB8">
              <w:rPr>
                <w:sz w:val="12"/>
                <w:szCs w:val="12"/>
              </w:rPr>
              <w:t>) [37</w:t>
            </w:r>
            <w:r>
              <w:rPr>
                <w:sz w:val="12"/>
                <w:szCs w:val="12"/>
              </w:rPr>
              <w:t>2</w:t>
            </w:r>
            <w:r w:rsidRPr="00496DB8">
              <w:rPr>
                <w:sz w:val="12"/>
                <w:szCs w:val="12"/>
              </w:rPr>
              <w:t>/5</w:t>
            </w:r>
            <w:r>
              <w:rPr>
                <w:sz w:val="12"/>
                <w:szCs w:val="12"/>
              </w:rPr>
              <w:t>66</w:t>
            </w:r>
            <w:r w:rsidRPr="00496DB8">
              <w:rPr>
                <w:sz w:val="12"/>
                <w:szCs w:val="12"/>
              </w:rPr>
              <w:t>]</w:t>
            </w:r>
          </w:p>
        </w:tc>
        <w:tc>
          <w:tcPr>
            <w:tcW w:w="1413" w:type="dxa"/>
            <w:vAlign w:val="center"/>
          </w:tcPr>
          <w:p w14:paraId="0A44A09A" w14:textId="6795CD14" w:rsidR="005A7035" w:rsidRPr="00496DB8" w:rsidRDefault="005A7035" w:rsidP="005A7035">
            <w:pPr>
              <w:pStyle w:val="Tabletext"/>
              <w:rPr>
                <w:sz w:val="12"/>
                <w:szCs w:val="12"/>
              </w:rPr>
            </w:pPr>
            <w:r w:rsidRPr="00496DB8">
              <w:rPr>
                <w:sz w:val="12"/>
                <w:szCs w:val="12"/>
              </w:rPr>
              <w:t>(</w:t>
            </w:r>
            <w:r>
              <w:rPr>
                <w:sz w:val="12"/>
                <w:szCs w:val="12"/>
              </w:rPr>
              <w:t>66</w:t>
            </w:r>
            <w:r w:rsidRPr="00496DB8">
              <w:rPr>
                <w:sz w:val="12"/>
                <w:szCs w:val="12"/>
              </w:rPr>
              <w:t>) [3</w:t>
            </w:r>
            <w:r>
              <w:rPr>
                <w:sz w:val="12"/>
                <w:szCs w:val="12"/>
              </w:rPr>
              <w:t>62</w:t>
            </w:r>
            <w:r w:rsidRPr="00496DB8">
              <w:rPr>
                <w:sz w:val="12"/>
                <w:szCs w:val="12"/>
              </w:rPr>
              <w:t>/5</w:t>
            </w:r>
            <w:r>
              <w:rPr>
                <w:sz w:val="12"/>
                <w:szCs w:val="12"/>
              </w:rPr>
              <w:t>52</w:t>
            </w:r>
            <w:r w:rsidRPr="00496DB8">
              <w:rPr>
                <w:sz w:val="12"/>
                <w:szCs w:val="12"/>
              </w:rPr>
              <w:t>]</w:t>
            </w:r>
          </w:p>
        </w:tc>
      </w:tr>
      <w:tr w:rsidR="005A7035" w:rsidRPr="00496DB8" w14:paraId="13D2D3AF" w14:textId="05D1F7C2" w:rsidTr="0020126C">
        <w:trPr>
          <w:trHeight w:val="255"/>
        </w:trPr>
        <w:tc>
          <w:tcPr>
            <w:tcW w:w="796" w:type="dxa"/>
            <w:tcBorders>
              <w:top w:val="nil"/>
            </w:tcBorders>
            <w:vAlign w:val="center"/>
          </w:tcPr>
          <w:p w14:paraId="250D8DB2" w14:textId="77777777" w:rsidR="005A7035" w:rsidRPr="00496DB8" w:rsidRDefault="005A7035" w:rsidP="005A7035">
            <w:pPr>
              <w:pStyle w:val="Tabletext"/>
              <w:rPr>
                <w:rFonts w:cs="Arial"/>
                <w:b/>
                <w:bCs/>
                <w:sz w:val="12"/>
                <w:szCs w:val="12"/>
              </w:rPr>
            </w:pPr>
            <w:r w:rsidRPr="00496DB8">
              <w:rPr>
                <w:b/>
                <w:bCs/>
                <w:sz w:val="12"/>
                <w:szCs w:val="12"/>
              </w:rPr>
              <w:t>Victoria</w:t>
            </w:r>
          </w:p>
        </w:tc>
        <w:tc>
          <w:tcPr>
            <w:tcW w:w="1242" w:type="dxa"/>
            <w:tcBorders>
              <w:top w:val="nil"/>
            </w:tcBorders>
            <w:vAlign w:val="center"/>
          </w:tcPr>
          <w:p w14:paraId="1401A8CE" w14:textId="510D3A79" w:rsidR="005A7035" w:rsidRPr="00496DB8" w:rsidRDefault="005A7035" w:rsidP="005A7035">
            <w:pPr>
              <w:pStyle w:val="Tabletext"/>
              <w:rPr>
                <w:b/>
                <w:bCs/>
                <w:sz w:val="12"/>
                <w:szCs w:val="12"/>
              </w:rPr>
            </w:pPr>
            <w:r w:rsidRPr="00496DB8">
              <w:rPr>
                <w:b/>
                <w:bCs/>
                <w:sz w:val="12"/>
                <w:szCs w:val="12"/>
              </w:rPr>
              <w:t>(7</w:t>
            </w:r>
            <w:r>
              <w:rPr>
                <w:b/>
                <w:bCs/>
                <w:sz w:val="12"/>
                <w:szCs w:val="12"/>
              </w:rPr>
              <w:t>2</w:t>
            </w:r>
            <w:r w:rsidRPr="00496DB8">
              <w:rPr>
                <w:b/>
                <w:bCs/>
                <w:sz w:val="12"/>
                <w:szCs w:val="12"/>
              </w:rPr>
              <w:t>) [6,</w:t>
            </w:r>
            <w:r>
              <w:rPr>
                <w:b/>
                <w:bCs/>
                <w:sz w:val="12"/>
                <w:szCs w:val="12"/>
              </w:rPr>
              <w:t>371</w:t>
            </w:r>
            <w:r w:rsidRPr="00496DB8">
              <w:rPr>
                <w:b/>
                <w:bCs/>
                <w:sz w:val="12"/>
                <w:szCs w:val="12"/>
              </w:rPr>
              <w:t>/8,</w:t>
            </w:r>
            <w:r>
              <w:rPr>
                <w:b/>
                <w:bCs/>
                <w:sz w:val="12"/>
                <w:szCs w:val="12"/>
              </w:rPr>
              <w:t>794</w:t>
            </w:r>
            <w:r w:rsidRPr="00496DB8">
              <w:rPr>
                <w:b/>
                <w:bCs/>
                <w:sz w:val="12"/>
                <w:szCs w:val="12"/>
              </w:rPr>
              <w:t>]</w:t>
            </w:r>
          </w:p>
        </w:tc>
        <w:tc>
          <w:tcPr>
            <w:tcW w:w="1274" w:type="dxa"/>
            <w:tcBorders>
              <w:top w:val="nil"/>
            </w:tcBorders>
            <w:vAlign w:val="center"/>
          </w:tcPr>
          <w:p w14:paraId="1EB590B9" w14:textId="234D18C1" w:rsidR="005A7035" w:rsidRPr="00496DB8" w:rsidRDefault="005A7035" w:rsidP="005A7035">
            <w:pPr>
              <w:pStyle w:val="Tabletext"/>
              <w:rPr>
                <w:b/>
                <w:bCs/>
                <w:sz w:val="12"/>
                <w:szCs w:val="12"/>
              </w:rPr>
            </w:pPr>
            <w:r w:rsidRPr="00496DB8">
              <w:rPr>
                <w:b/>
                <w:bCs/>
                <w:sz w:val="12"/>
                <w:szCs w:val="12"/>
              </w:rPr>
              <w:t>(71) [6,7</w:t>
            </w:r>
            <w:r>
              <w:rPr>
                <w:b/>
                <w:bCs/>
                <w:sz w:val="12"/>
                <w:szCs w:val="12"/>
              </w:rPr>
              <w:t>43</w:t>
            </w:r>
            <w:r w:rsidRPr="00496DB8">
              <w:rPr>
                <w:b/>
                <w:bCs/>
                <w:sz w:val="12"/>
                <w:szCs w:val="12"/>
              </w:rPr>
              <w:t>/9,4</w:t>
            </w:r>
            <w:r>
              <w:rPr>
                <w:b/>
                <w:bCs/>
                <w:sz w:val="12"/>
                <w:szCs w:val="12"/>
              </w:rPr>
              <w:t>93</w:t>
            </w:r>
            <w:r w:rsidRPr="00496DB8">
              <w:rPr>
                <w:b/>
                <w:bCs/>
                <w:sz w:val="12"/>
                <w:szCs w:val="12"/>
              </w:rPr>
              <w:t>]</w:t>
            </w:r>
          </w:p>
        </w:tc>
        <w:tc>
          <w:tcPr>
            <w:tcW w:w="1273" w:type="dxa"/>
            <w:tcBorders>
              <w:top w:val="nil"/>
            </w:tcBorders>
            <w:vAlign w:val="center"/>
          </w:tcPr>
          <w:p w14:paraId="367DD14A" w14:textId="54EB0669" w:rsidR="005A7035" w:rsidRPr="00496DB8" w:rsidRDefault="005A7035" w:rsidP="005A7035">
            <w:pPr>
              <w:pStyle w:val="Tabletext"/>
              <w:rPr>
                <w:b/>
                <w:bCs/>
                <w:sz w:val="12"/>
                <w:szCs w:val="12"/>
              </w:rPr>
            </w:pPr>
            <w:r w:rsidRPr="00496DB8">
              <w:rPr>
                <w:b/>
                <w:bCs/>
                <w:sz w:val="12"/>
                <w:szCs w:val="12"/>
              </w:rPr>
              <w:t>(71) [6,90</w:t>
            </w:r>
            <w:r>
              <w:rPr>
                <w:b/>
                <w:bCs/>
                <w:sz w:val="12"/>
                <w:szCs w:val="12"/>
              </w:rPr>
              <w:t>2</w:t>
            </w:r>
            <w:r w:rsidRPr="00496DB8">
              <w:rPr>
                <w:b/>
                <w:bCs/>
                <w:sz w:val="12"/>
                <w:szCs w:val="12"/>
              </w:rPr>
              <w:t>/9,</w:t>
            </w:r>
            <w:r>
              <w:rPr>
                <w:b/>
                <w:bCs/>
                <w:sz w:val="12"/>
                <w:szCs w:val="12"/>
              </w:rPr>
              <w:t>710</w:t>
            </w:r>
            <w:r w:rsidRPr="00496DB8">
              <w:rPr>
                <w:b/>
                <w:bCs/>
                <w:sz w:val="12"/>
                <w:szCs w:val="12"/>
              </w:rPr>
              <w:t>]</w:t>
            </w:r>
          </w:p>
        </w:tc>
        <w:tc>
          <w:tcPr>
            <w:tcW w:w="1228" w:type="dxa"/>
            <w:tcBorders>
              <w:top w:val="nil"/>
            </w:tcBorders>
            <w:vAlign w:val="center"/>
          </w:tcPr>
          <w:p w14:paraId="043B82EA" w14:textId="622B6FA1" w:rsidR="005A7035" w:rsidRPr="00496DB8" w:rsidRDefault="005A7035" w:rsidP="005A7035">
            <w:pPr>
              <w:pStyle w:val="Tabletext"/>
              <w:rPr>
                <w:b/>
                <w:bCs/>
                <w:sz w:val="12"/>
                <w:szCs w:val="12"/>
              </w:rPr>
            </w:pPr>
            <w:r w:rsidRPr="00496DB8">
              <w:rPr>
                <w:b/>
                <w:bCs/>
                <w:sz w:val="12"/>
                <w:szCs w:val="12"/>
              </w:rPr>
              <w:t>(71) [6,8</w:t>
            </w:r>
            <w:r>
              <w:rPr>
                <w:b/>
                <w:bCs/>
                <w:sz w:val="12"/>
                <w:szCs w:val="12"/>
              </w:rPr>
              <w:t>48</w:t>
            </w:r>
            <w:r w:rsidRPr="00496DB8">
              <w:rPr>
                <w:b/>
                <w:bCs/>
                <w:sz w:val="12"/>
                <w:szCs w:val="12"/>
              </w:rPr>
              <w:t>/9,</w:t>
            </w:r>
            <w:r>
              <w:rPr>
                <w:b/>
                <w:bCs/>
                <w:sz w:val="12"/>
                <w:szCs w:val="12"/>
              </w:rPr>
              <w:t>612</w:t>
            </w:r>
            <w:r w:rsidRPr="00496DB8">
              <w:rPr>
                <w:b/>
                <w:bCs/>
                <w:sz w:val="12"/>
                <w:szCs w:val="12"/>
              </w:rPr>
              <w:t>]</w:t>
            </w:r>
          </w:p>
        </w:tc>
        <w:tc>
          <w:tcPr>
            <w:tcW w:w="1276" w:type="dxa"/>
            <w:tcBorders>
              <w:top w:val="nil"/>
            </w:tcBorders>
            <w:vAlign w:val="center"/>
          </w:tcPr>
          <w:p w14:paraId="7ED1F624" w14:textId="705243C1" w:rsidR="005A7035" w:rsidRPr="00496DB8" w:rsidRDefault="005A7035" w:rsidP="005A7035">
            <w:pPr>
              <w:pStyle w:val="Tabletext"/>
              <w:rPr>
                <w:b/>
                <w:bCs/>
                <w:sz w:val="12"/>
                <w:szCs w:val="12"/>
              </w:rPr>
            </w:pPr>
            <w:r w:rsidRPr="00496DB8">
              <w:rPr>
                <w:b/>
                <w:bCs/>
                <w:sz w:val="12"/>
                <w:szCs w:val="12"/>
              </w:rPr>
              <w:t>(72) [7,0</w:t>
            </w:r>
            <w:r>
              <w:rPr>
                <w:b/>
                <w:bCs/>
                <w:sz w:val="12"/>
                <w:szCs w:val="12"/>
              </w:rPr>
              <w:t>66</w:t>
            </w:r>
            <w:r w:rsidRPr="00496DB8">
              <w:rPr>
                <w:b/>
                <w:bCs/>
                <w:sz w:val="12"/>
                <w:szCs w:val="12"/>
              </w:rPr>
              <w:t>/9,</w:t>
            </w:r>
            <w:r>
              <w:rPr>
                <w:b/>
                <w:bCs/>
                <w:sz w:val="12"/>
                <w:szCs w:val="12"/>
              </w:rPr>
              <w:t>806</w:t>
            </w:r>
            <w:r w:rsidRPr="00496DB8">
              <w:rPr>
                <w:b/>
                <w:bCs/>
                <w:sz w:val="12"/>
                <w:szCs w:val="12"/>
              </w:rPr>
              <w:t>]</w:t>
            </w:r>
          </w:p>
        </w:tc>
        <w:tc>
          <w:tcPr>
            <w:tcW w:w="1422" w:type="dxa"/>
            <w:tcBorders>
              <w:top w:val="nil"/>
            </w:tcBorders>
            <w:vAlign w:val="center"/>
          </w:tcPr>
          <w:p w14:paraId="77722240" w14:textId="7A7A69E2" w:rsidR="005A7035" w:rsidRPr="00496DB8" w:rsidRDefault="005A7035" w:rsidP="005A7035">
            <w:pPr>
              <w:pStyle w:val="Tabletext"/>
              <w:rPr>
                <w:b/>
                <w:bCs/>
                <w:sz w:val="12"/>
                <w:szCs w:val="12"/>
              </w:rPr>
            </w:pPr>
            <w:r w:rsidRPr="00496DB8">
              <w:rPr>
                <w:b/>
                <w:bCs/>
                <w:sz w:val="12"/>
                <w:szCs w:val="12"/>
              </w:rPr>
              <w:t>(71) [7,</w:t>
            </w:r>
            <w:r>
              <w:rPr>
                <w:b/>
                <w:bCs/>
                <w:sz w:val="12"/>
                <w:szCs w:val="12"/>
              </w:rPr>
              <w:t>102</w:t>
            </w:r>
            <w:r w:rsidRPr="00496DB8">
              <w:rPr>
                <w:b/>
                <w:bCs/>
                <w:sz w:val="12"/>
                <w:szCs w:val="12"/>
              </w:rPr>
              <w:t>/10,00</w:t>
            </w:r>
            <w:r>
              <w:rPr>
                <w:b/>
                <w:bCs/>
                <w:sz w:val="12"/>
                <w:szCs w:val="12"/>
              </w:rPr>
              <w:t>45</w:t>
            </w:r>
            <w:r w:rsidRPr="00496DB8">
              <w:rPr>
                <w:b/>
                <w:bCs/>
                <w:sz w:val="12"/>
                <w:szCs w:val="12"/>
              </w:rPr>
              <w:t>]</w:t>
            </w:r>
          </w:p>
        </w:tc>
        <w:tc>
          <w:tcPr>
            <w:tcW w:w="1417" w:type="dxa"/>
            <w:tcBorders>
              <w:top w:val="nil"/>
            </w:tcBorders>
            <w:vAlign w:val="center"/>
          </w:tcPr>
          <w:p w14:paraId="741D5477" w14:textId="40BD6461" w:rsidR="005A7035" w:rsidRPr="00496DB8" w:rsidRDefault="005A7035" w:rsidP="005A7035">
            <w:pPr>
              <w:pStyle w:val="Tabletext"/>
              <w:rPr>
                <w:b/>
                <w:bCs/>
                <w:sz w:val="12"/>
                <w:szCs w:val="12"/>
              </w:rPr>
            </w:pPr>
            <w:r w:rsidRPr="00496DB8">
              <w:rPr>
                <w:b/>
                <w:bCs/>
                <w:sz w:val="12"/>
                <w:szCs w:val="12"/>
              </w:rPr>
              <w:t>(</w:t>
            </w:r>
            <w:r>
              <w:rPr>
                <w:b/>
                <w:bCs/>
                <w:sz w:val="12"/>
                <w:szCs w:val="12"/>
              </w:rPr>
              <w:t>63</w:t>
            </w:r>
            <w:r w:rsidRPr="00496DB8">
              <w:rPr>
                <w:b/>
                <w:bCs/>
                <w:sz w:val="12"/>
                <w:szCs w:val="12"/>
              </w:rPr>
              <w:t>) [</w:t>
            </w:r>
            <w:r>
              <w:rPr>
                <w:b/>
                <w:bCs/>
                <w:sz w:val="12"/>
                <w:szCs w:val="12"/>
              </w:rPr>
              <w:t>6</w:t>
            </w:r>
            <w:r w:rsidRPr="00496DB8">
              <w:rPr>
                <w:b/>
                <w:bCs/>
                <w:sz w:val="12"/>
                <w:szCs w:val="12"/>
              </w:rPr>
              <w:t>,</w:t>
            </w:r>
            <w:r>
              <w:rPr>
                <w:b/>
                <w:bCs/>
                <w:sz w:val="12"/>
                <w:szCs w:val="12"/>
              </w:rPr>
              <w:t>375</w:t>
            </w:r>
            <w:r w:rsidRPr="00496DB8">
              <w:rPr>
                <w:b/>
                <w:bCs/>
                <w:sz w:val="12"/>
                <w:szCs w:val="12"/>
              </w:rPr>
              <w:t>/10,00</w:t>
            </w:r>
            <w:r>
              <w:rPr>
                <w:b/>
                <w:bCs/>
                <w:sz w:val="12"/>
                <w:szCs w:val="12"/>
              </w:rPr>
              <w:t>41</w:t>
            </w:r>
            <w:r w:rsidRPr="00496DB8">
              <w:rPr>
                <w:b/>
                <w:bCs/>
                <w:sz w:val="12"/>
                <w:szCs w:val="12"/>
              </w:rPr>
              <w:t>]</w:t>
            </w:r>
          </w:p>
        </w:tc>
        <w:tc>
          <w:tcPr>
            <w:tcW w:w="1413" w:type="dxa"/>
            <w:tcBorders>
              <w:top w:val="nil"/>
            </w:tcBorders>
            <w:vAlign w:val="center"/>
          </w:tcPr>
          <w:p w14:paraId="631A8FB6" w14:textId="1FE3DB9E" w:rsidR="005A7035" w:rsidRPr="00496DB8" w:rsidRDefault="005A7035" w:rsidP="005A7035">
            <w:pPr>
              <w:pStyle w:val="Tabletext"/>
              <w:rPr>
                <w:b/>
                <w:bCs/>
                <w:sz w:val="12"/>
                <w:szCs w:val="12"/>
              </w:rPr>
            </w:pPr>
            <w:r w:rsidRPr="00496DB8">
              <w:rPr>
                <w:b/>
                <w:bCs/>
                <w:sz w:val="12"/>
                <w:szCs w:val="12"/>
              </w:rPr>
              <w:t>(</w:t>
            </w:r>
            <w:r>
              <w:rPr>
                <w:b/>
                <w:bCs/>
                <w:sz w:val="12"/>
                <w:szCs w:val="12"/>
              </w:rPr>
              <w:t>64</w:t>
            </w:r>
            <w:r w:rsidRPr="00496DB8">
              <w:rPr>
                <w:b/>
                <w:bCs/>
                <w:sz w:val="12"/>
                <w:szCs w:val="12"/>
              </w:rPr>
              <w:t>) [</w:t>
            </w:r>
            <w:r>
              <w:rPr>
                <w:b/>
                <w:bCs/>
                <w:sz w:val="12"/>
                <w:szCs w:val="12"/>
              </w:rPr>
              <w:t>6</w:t>
            </w:r>
            <w:r w:rsidRPr="00496DB8">
              <w:rPr>
                <w:b/>
                <w:bCs/>
                <w:sz w:val="12"/>
                <w:szCs w:val="12"/>
              </w:rPr>
              <w:t>,</w:t>
            </w:r>
            <w:r>
              <w:rPr>
                <w:b/>
                <w:bCs/>
                <w:sz w:val="12"/>
                <w:szCs w:val="12"/>
              </w:rPr>
              <w:t>562</w:t>
            </w:r>
            <w:r w:rsidRPr="00496DB8">
              <w:rPr>
                <w:b/>
                <w:bCs/>
                <w:sz w:val="12"/>
                <w:szCs w:val="12"/>
              </w:rPr>
              <w:t>/10,0</w:t>
            </w:r>
            <w:r>
              <w:rPr>
                <w:b/>
                <w:bCs/>
                <w:sz w:val="12"/>
                <w:szCs w:val="12"/>
              </w:rPr>
              <w:t>184</w:t>
            </w:r>
            <w:r w:rsidRPr="00496DB8">
              <w:rPr>
                <w:b/>
                <w:bCs/>
                <w:sz w:val="12"/>
                <w:szCs w:val="12"/>
              </w:rPr>
              <w:t>]</w:t>
            </w:r>
          </w:p>
        </w:tc>
      </w:tr>
    </w:tbl>
    <w:p w14:paraId="0B9465FA" w14:textId="3D4799B1" w:rsidR="0068548D" w:rsidRPr="0068548D" w:rsidRDefault="0068548D" w:rsidP="007C7F00">
      <w:pPr>
        <w:pStyle w:val="Heading4"/>
      </w:pPr>
      <w:r w:rsidRPr="00E43803">
        <w:t>Measure assessment</w:t>
      </w:r>
    </w:p>
    <w:p w14:paraId="2B6EFA93" w14:textId="1A69A6C7" w:rsidR="00026CF2" w:rsidRPr="0097280A" w:rsidRDefault="00FA728B" w:rsidP="00606436">
      <w:pPr>
        <w:pStyle w:val="Body"/>
      </w:pPr>
      <w:r w:rsidRPr="00AA5C60">
        <w:t>Traffic light rating:</w:t>
      </w:r>
      <w:r w:rsidRPr="00B504AD">
        <w:rPr>
          <w:color w:val="AF272F"/>
        </w:rPr>
        <w:t xml:space="preserve"> </w:t>
      </w:r>
      <w:r w:rsidR="002B07A5" w:rsidRPr="00186A8A">
        <w:rPr>
          <w:b/>
          <w:color w:val="C5511A"/>
        </w:rPr>
        <w:t>Amber</w:t>
      </w:r>
      <w:r w:rsidR="00026CF2">
        <w:rPr>
          <w:b/>
        </w:rPr>
        <w:t xml:space="preserve"> </w:t>
      </w:r>
      <w:r w:rsidR="00026CF2" w:rsidRPr="00EA3932">
        <w:t>(desired result not yet evident)</w:t>
      </w:r>
    </w:p>
    <w:p w14:paraId="65BB1C8F" w14:textId="6530FE78" w:rsidR="00FA728B" w:rsidRPr="00AC5428" w:rsidRDefault="00FA728B" w:rsidP="00606436">
      <w:pPr>
        <w:pStyle w:val="Body"/>
      </w:pPr>
      <w:r w:rsidRPr="004A40F7">
        <w:t xml:space="preserve">Overall trend: </w:t>
      </w:r>
      <w:r w:rsidR="004A40F7" w:rsidRPr="004A40F7">
        <w:t>Static o</w:t>
      </w:r>
      <w:r w:rsidR="001D4982">
        <w:t>r</w:t>
      </w:r>
      <w:r w:rsidR="004A40F7" w:rsidRPr="004A40F7">
        <w:t xml:space="preserve"> unchanging</w:t>
      </w:r>
    </w:p>
    <w:p w14:paraId="21A477EA" w14:textId="4EA0AB68" w:rsidR="00656A1B" w:rsidRPr="00656A1B" w:rsidRDefault="00FA728B" w:rsidP="00E87AAA">
      <w:pPr>
        <w:pStyle w:val="Body"/>
      </w:pPr>
      <w:r w:rsidRPr="004A40F7">
        <w:rPr>
          <w:rFonts w:cs="Arial"/>
        </w:rPr>
        <w:t>Commentary:</w:t>
      </w:r>
      <w:r w:rsidR="000D6E12" w:rsidRPr="004A40F7">
        <w:rPr>
          <w:rFonts w:cs="Arial"/>
        </w:rPr>
        <w:t xml:space="preserve"> </w:t>
      </w:r>
      <w:r w:rsidR="00656A1B" w:rsidRPr="00656A1B">
        <w:t xml:space="preserve">In 2016 the </w:t>
      </w:r>
      <w:r w:rsidR="00CA5D25">
        <w:t>g</w:t>
      </w:r>
      <w:r w:rsidR="00656A1B" w:rsidRPr="00656A1B">
        <w:t xml:space="preserve">overnment released the </w:t>
      </w:r>
      <w:r w:rsidR="00656A1B" w:rsidRPr="00656A1B">
        <w:rPr>
          <w:i/>
        </w:rPr>
        <w:t>Victoria’s end</w:t>
      </w:r>
      <w:r w:rsidR="00AF0F53">
        <w:rPr>
          <w:i/>
        </w:rPr>
        <w:t>-</w:t>
      </w:r>
      <w:r w:rsidR="00656A1B" w:rsidRPr="00656A1B">
        <w:rPr>
          <w:i/>
        </w:rPr>
        <w:t>of</w:t>
      </w:r>
      <w:r w:rsidR="00AF0F53">
        <w:rPr>
          <w:i/>
        </w:rPr>
        <w:t>-</w:t>
      </w:r>
      <w:r w:rsidR="00656A1B" w:rsidRPr="00656A1B">
        <w:rPr>
          <w:i/>
        </w:rPr>
        <w:t>life and palliative care framework</w:t>
      </w:r>
      <w:r w:rsidR="00C67210">
        <w:t xml:space="preserve">, </w:t>
      </w:r>
      <w:r w:rsidR="00656A1B" w:rsidRPr="00656A1B">
        <w:t>which aims to move towards deliver</w:t>
      </w:r>
      <w:r w:rsidR="00CA5D25">
        <w:t>ing</w:t>
      </w:r>
      <w:r w:rsidR="00656A1B" w:rsidRPr="00656A1B">
        <w:t xml:space="preserve"> </w:t>
      </w:r>
      <w:r w:rsidR="00291990">
        <w:t xml:space="preserve">a more person-centred approach </w:t>
      </w:r>
      <w:r w:rsidR="00656A1B" w:rsidRPr="00656A1B">
        <w:t xml:space="preserve">that respects people and their preferences, </w:t>
      </w:r>
      <w:r w:rsidR="00AD6D7E" w:rsidRPr="00656A1B">
        <w:t>considering</w:t>
      </w:r>
      <w:r w:rsidR="00656A1B" w:rsidRPr="00656A1B">
        <w:t xml:space="preserve"> the whole person and what they value as important.</w:t>
      </w:r>
      <w:r w:rsidR="00952FC7">
        <w:t xml:space="preserve"> </w:t>
      </w:r>
      <w:r w:rsidR="00656A1B" w:rsidRPr="00656A1B">
        <w:t xml:space="preserve">This </w:t>
      </w:r>
      <w:r w:rsidR="00656A1B" w:rsidRPr="00656A1B">
        <w:lastRenderedPageBreak/>
        <w:t xml:space="preserve">includes </w:t>
      </w:r>
      <w:r w:rsidR="00656A1B" w:rsidRPr="00656A1B">
        <w:rPr>
          <w:lang w:val="en"/>
        </w:rPr>
        <w:t xml:space="preserve">consultancy </w:t>
      </w:r>
      <w:r w:rsidR="00CA5D25">
        <w:rPr>
          <w:lang w:val="en"/>
        </w:rPr>
        <w:t>with</w:t>
      </w:r>
      <w:r w:rsidR="00CA5D25" w:rsidRPr="00656A1B">
        <w:rPr>
          <w:lang w:val="en"/>
        </w:rPr>
        <w:t xml:space="preserve"> </w:t>
      </w:r>
      <w:r w:rsidR="00656A1B" w:rsidRPr="00656A1B">
        <w:rPr>
          <w:lang w:val="en"/>
        </w:rPr>
        <w:t>people who require symptom and pain management or end</w:t>
      </w:r>
      <w:r w:rsidR="00AF0F53">
        <w:rPr>
          <w:lang w:val="en"/>
        </w:rPr>
        <w:t>-</w:t>
      </w:r>
      <w:r w:rsidR="00656A1B" w:rsidRPr="00656A1B">
        <w:rPr>
          <w:lang w:val="en"/>
        </w:rPr>
        <w:t>of</w:t>
      </w:r>
      <w:r w:rsidR="00AF0F53">
        <w:rPr>
          <w:lang w:val="en"/>
        </w:rPr>
        <w:t>-</w:t>
      </w:r>
      <w:r w:rsidR="00656A1B" w:rsidRPr="00656A1B">
        <w:rPr>
          <w:lang w:val="en"/>
        </w:rPr>
        <w:t>life care within hospitals alongside other care.</w:t>
      </w:r>
    </w:p>
    <w:p w14:paraId="6D8D8F83" w14:textId="49B9BFDA" w:rsidR="005C15AA" w:rsidRPr="00F60ED8" w:rsidRDefault="000D6E12" w:rsidP="006440FA">
      <w:pPr>
        <w:pStyle w:val="Body"/>
        <w:rPr>
          <w:rStyle w:val="Heading2Char"/>
        </w:rPr>
      </w:pPr>
      <w:r w:rsidRPr="00E16121">
        <w:t>Monitoring where people die due to cancer is key to ensuring that</w:t>
      </w:r>
      <w:r w:rsidR="00EB0E72" w:rsidRPr="00E16121">
        <w:t xml:space="preserve"> end-of-life care and </w:t>
      </w:r>
      <w:r w:rsidRPr="00E16121">
        <w:t xml:space="preserve">palliative care is provided in a responsive and integrated way. The need for </w:t>
      </w:r>
      <w:r w:rsidR="00EB0E72" w:rsidRPr="00E16121">
        <w:t xml:space="preserve">such </w:t>
      </w:r>
      <w:r w:rsidRPr="00E16121">
        <w:t>appropriate</w:t>
      </w:r>
      <w:r w:rsidR="00860701" w:rsidRPr="00E16121">
        <w:t xml:space="preserve"> care</w:t>
      </w:r>
      <w:r w:rsidRPr="00E16121">
        <w:t xml:space="preserve"> </w:t>
      </w:r>
      <w:r w:rsidR="00EB0E72" w:rsidRPr="00E16121">
        <w:t>is important given that Victoria’s population is both growing and ageing.</w:t>
      </w:r>
      <w:r w:rsidR="00952FC7">
        <w:t xml:space="preserve"> </w:t>
      </w:r>
      <w:r w:rsidR="006E2DDE" w:rsidRPr="00E16121">
        <w:t>Figure</w:t>
      </w:r>
      <w:r w:rsidR="00AE11E9" w:rsidRPr="00E16121">
        <w:t xml:space="preserve"> 12.</w:t>
      </w:r>
      <w:r w:rsidR="00F17F33" w:rsidRPr="00E16121">
        <w:t>1</w:t>
      </w:r>
      <w:r w:rsidR="00AE11E9" w:rsidRPr="00E16121">
        <w:t xml:space="preserve">4 shows </w:t>
      </w:r>
      <w:r w:rsidR="00D634A7" w:rsidRPr="00E16121">
        <w:t>that</w:t>
      </w:r>
      <w:r w:rsidR="00C67210">
        <w:t>,</w:t>
      </w:r>
      <w:r w:rsidR="00D634A7" w:rsidRPr="00E16121">
        <w:t xml:space="preserve"> </w:t>
      </w:r>
      <w:r w:rsidR="00D634A7" w:rsidRPr="00E16121">
        <w:rPr>
          <w:lang w:val="en"/>
        </w:rPr>
        <w:t xml:space="preserve">although </w:t>
      </w:r>
      <w:r w:rsidR="00B41AED" w:rsidRPr="00E16121">
        <w:rPr>
          <w:lang w:val="en"/>
        </w:rPr>
        <w:t xml:space="preserve">a </w:t>
      </w:r>
      <w:r w:rsidR="00D634A7" w:rsidRPr="00E16121">
        <w:rPr>
          <w:lang w:val="en"/>
        </w:rPr>
        <w:t>hospital is still the most common place of death due to cancer, the percentage of cancer patients who die</w:t>
      </w:r>
      <w:r w:rsidR="0010091F" w:rsidRPr="00E16121">
        <w:rPr>
          <w:lang w:val="en"/>
        </w:rPr>
        <w:t>d</w:t>
      </w:r>
      <w:r w:rsidR="00D634A7" w:rsidRPr="00E16121">
        <w:rPr>
          <w:lang w:val="en"/>
        </w:rPr>
        <w:t xml:space="preserve"> in hospital </w:t>
      </w:r>
      <w:r w:rsidR="006F7644" w:rsidRPr="00E16121">
        <w:rPr>
          <w:lang w:val="en"/>
        </w:rPr>
        <w:t>between 2014 and 20</w:t>
      </w:r>
      <w:r w:rsidR="00D6559D">
        <w:rPr>
          <w:lang w:val="en"/>
        </w:rPr>
        <w:t>21</w:t>
      </w:r>
      <w:r w:rsidR="006F7644" w:rsidRPr="00E16121">
        <w:rPr>
          <w:lang w:val="en"/>
        </w:rPr>
        <w:t xml:space="preserve"> </w:t>
      </w:r>
      <w:r w:rsidR="00202769">
        <w:rPr>
          <w:lang w:val="en"/>
        </w:rPr>
        <w:t xml:space="preserve">fluctuated during the study period but generally decreased from the baseline year </w:t>
      </w:r>
      <w:r w:rsidR="00D634A7" w:rsidRPr="00E16121">
        <w:rPr>
          <w:lang w:val="en"/>
        </w:rPr>
        <w:t>between regions of Victoria when compared b</w:t>
      </w:r>
      <w:r w:rsidR="00D023A7" w:rsidRPr="00E16121">
        <w:rPr>
          <w:lang w:val="en"/>
        </w:rPr>
        <w:t>y</w:t>
      </w:r>
      <w:r w:rsidR="00D634A7" w:rsidRPr="00E16121">
        <w:rPr>
          <w:lang w:val="en"/>
        </w:rPr>
        <w:t xml:space="preserve"> ICS regions and for Victoria as a whole</w:t>
      </w:r>
      <w:r w:rsidR="007371CA">
        <w:rPr>
          <w:lang w:val="en"/>
        </w:rPr>
        <w:t xml:space="preserve">. </w:t>
      </w:r>
      <w:r w:rsidR="00D6559D">
        <w:rPr>
          <w:lang w:val="en"/>
        </w:rPr>
        <w:t>For all of Victoria there was a noticeable decrease for reported deaths in hospitals from 72</w:t>
      </w:r>
      <w:r w:rsidR="0054537F">
        <w:rPr>
          <w:lang w:val="en"/>
        </w:rPr>
        <w:t>%</w:t>
      </w:r>
      <w:r w:rsidR="00D6559D">
        <w:rPr>
          <w:lang w:val="en"/>
        </w:rPr>
        <w:t xml:space="preserve"> in 2014 to 64</w:t>
      </w:r>
      <w:r w:rsidR="0054537F">
        <w:rPr>
          <w:lang w:val="en"/>
        </w:rPr>
        <w:t>%</w:t>
      </w:r>
      <w:r w:rsidR="00D6559D">
        <w:rPr>
          <w:lang w:val="en"/>
        </w:rPr>
        <w:t xml:space="preserve"> in 2021. </w:t>
      </w:r>
      <w:r w:rsidR="00F34D0F">
        <w:rPr>
          <w:lang w:val="en"/>
        </w:rPr>
        <w:t xml:space="preserve">This may relate to the impact of the COVID-19 pandemic and associated social restrictions which could have added complexity to the dying period. </w:t>
      </w:r>
      <w:r w:rsidR="00E12568" w:rsidRPr="00E16121">
        <w:t>These differences in proportion</w:t>
      </w:r>
      <w:r w:rsidR="003A5809">
        <w:t xml:space="preserve"> </w:t>
      </w:r>
      <w:r w:rsidR="003A5809" w:rsidRPr="003A5809">
        <w:t>of deaths due to cancer that occur in hospitals</w:t>
      </w:r>
      <w:r w:rsidR="003A5809">
        <w:t xml:space="preserve"> </w:t>
      </w:r>
      <w:r w:rsidR="000863CA" w:rsidRPr="00E16121">
        <w:t xml:space="preserve">between ICSs </w:t>
      </w:r>
      <w:r w:rsidR="00E12568" w:rsidRPr="00E16121">
        <w:t>may reflect variations in population composition</w:t>
      </w:r>
      <w:r w:rsidR="004855C5" w:rsidRPr="00E16121">
        <w:t xml:space="preserve"> and changes in palliative care </w:t>
      </w:r>
      <w:r w:rsidR="00C67210">
        <w:t xml:space="preserve">that </w:t>
      </w:r>
      <w:r w:rsidR="004855C5" w:rsidRPr="00E16121">
        <w:t>is meeting people’s wishes to die at home or in a more homelike environment</w:t>
      </w:r>
      <w:r w:rsidR="00360F8E" w:rsidRPr="00E16121">
        <w:t xml:space="preserve"> rather than in a hospital</w:t>
      </w:r>
      <w:r w:rsidR="004855C5" w:rsidRPr="00E16121">
        <w:t>.</w:t>
      </w:r>
      <w:r w:rsidR="00952FC7">
        <w:t xml:space="preserve"> </w:t>
      </w:r>
      <w:r w:rsidR="00A10536" w:rsidRPr="00E16121">
        <w:t xml:space="preserve">For </w:t>
      </w:r>
      <w:r w:rsidR="00DC7655">
        <w:t>A</w:t>
      </w:r>
      <w:r w:rsidR="00A10536" w:rsidRPr="00E16121">
        <w:t xml:space="preserve">boriginal </w:t>
      </w:r>
      <w:r w:rsidR="00AF0F53" w:rsidRPr="00E16121">
        <w:t>Victorian</w:t>
      </w:r>
      <w:r w:rsidR="00AF0F53">
        <w:t>s</w:t>
      </w:r>
      <w:r w:rsidR="00AF0F53" w:rsidRPr="00E16121">
        <w:t xml:space="preserve"> </w:t>
      </w:r>
      <w:r w:rsidR="00A10536" w:rsidRPr="00E16121">
        <w:t xml:space="preserve">in particular, the </w:t>
      </w:r>
      <w:r w:rsidR="00B27CA9" w:rsidRPr="00E16121">
        <w:rPr>
          <w:rFonts w:eastAsia="SimSun"/>
          <w:noProof/>
        </w:rPr>
        <w:t>need to ‘return to country’ before the end of life, or at the end of life</w:t>
      </w:r>
      <w:r w:rsidR="00C67210">
        <w:rPr>
          <w:rFonts w:eastAsia="SimSun"/>
          <w:noProof/>
        </w:rPr>
        <w:t>,</w:t>
      </w:r>
      <w:r w:rsidR="00B27CA9" w:rsidRPr="00E16121">
        <w:rPr>
          <w:rFonts w:eastAsia="SimSun"/>
          <w:noProof/>
        </w:rPr>
        <w:t xml:space="preserve"> can be both culturally and spiritually significant. </w:t>
      </w:r>
      <w:r w:rsidR="007371CA">
        <w:rPr>
          <w:rFonts w:eastAsia="SimSun"/>
          <w:noProof/>
        </w:rPr>
        <w:t>Furthermore</w:t>
      </w:r>
      <w:r w:rsidR="00E16121" w:rsidRPr="00E16121">
        <w:rPr>
          <w:rFonts w:eastAsia="SimSun"/>
          <w:noProof/>
        </w:rPr>
        <w:t xml:space="preserve">, </w:t>
      </w:r>
      <w:r w:rsidR="00E16121" w:rsidRPr="00E16121">
        <w:t>i</w:t>
      </w:r>
      <w:r w:rsidR="00265BAB" w:rsidRPr="00E16121">
        <w:t>t is also important to note that the low</w:t>
      </w:r>
      <w:r w:rsidR="0096407D">
        <w:t>er</w:t>
      </w:r>
      <w:r w:rsidR="00265BAB" w:rsidRPr="00E16121">
        <w:t xml:space="preserve"> percentage </w:t>
      </w:r>
      <w:r w:rsidR="0096407D">
        <w:t xml:space="preserve">of deaths by </w:t>
      </w:r>
      <w:r w:rsidR="00265BAB" w:rsidRPr="00E16121">
        <w:t>H</w:t>
      </w:r>
      <w:r w:rsidR="00B16BB6" w:rsidRPr="00E16121">
        <w:t>R</w:t>
      </w:r>
      <w:r w:rsidR="00265BAB" w:rsidRPr="00E16121">
        <w:t xml:space="preserve">ICS </w:t>
      </w:r>
      <w:r w:rsidR="0096407D">
        <w:t xml:space="preserve">region </w:t>
      </w:r>
      <w:r w:rsidR="00265BAB" w:rsidRPr="00E16121">
        <w:t>could be due to</w:t>
      </w:r>
      <w:r w:rsidR="00CB12E5">
        <w:t xml:space="preserve"> th</w:t>
      </w:r>
      <w:r w:rsidR="0096407D">
        <w:t>e</w:t>
      </w:r>
      <w:r w:rsidR="00CB12E5">
        <w:t xml:space="preserve"> unavailability o</w:t>
      </w:r>
      <w:r w:rsidR="0096407D">
        <w:t>f</w:t>
      </w:r>
      <w:r w:rsidR="00265BAB" w:rsidRPr="00E16121">
        <w:t xml:space="preserve"> inpatient data for Albury (New South Wales) </w:t>
      </w:r>
      <w:r w:rsidR="0096407D">
        <w:t xml:space="preserve">since it is </w:t>
      </w:r>
      <w:r w:rsidR="00265BAB" w:rsidRPr="00E16121">
        <w:t>not included in the VAED and thus could be underestimated.</w:t>
      </w:r>
      <w:r w:rsidR="00656A1B">
        <w:br w:type="page"/>
      </w:r>
      <w:bookmarkStart w:id="936" w:name="_Toc19008153"/>
      <w:r w:rsidR="005C15AA" w:rsidRPr="00F60ED8">
        <w:rPr>
          <w:rStyle w:val="Heading2Char"/>
        </w:rPr>
        <w:lastRenderedPageBreak/>
        <w:t>Key result: Increase one- and five-year survival</w:t>
      </w:r>
      <w:bookmarkEnd w:id="936"/>
    </w:p>
    <w:p w14:paraId="31043101" w14:textId="77777777" w:rsidR="00E26C44" w:rsidRPr="00B0112C" w:rsidRDefault="00E26C44" w:rsidP="00E87AAA">
      <w:pPr>
        <w:pStyle w:val="Body"/>
      </w:pPr>
      <w:r>
        <w:t>Survival from cancer is a key measure of cancer prognosis, control and treatment. It refers to the probability of being alive for a given amount of time after diagnosis and reflects the severity of a cancer diagnosis.</w:t>
      </w:r>
    </w:p>
    <w:p w14:paraId="6A083AB1" w14:textId="2C493387" w:rsidR="0090060B" w:rsidRPr="0090060B" w:rsidRDefault="00366E56" w:rsidP="00E87AAA">
      <w:pPr>
        <w:pStyle w:val="Body"/>
        <w:rPr>
          <w:lang w:val="en"/>
        </w:rPr>
      </w:pPr>
      <w:r w:rsidRPr="00366E56">
        <w:rPr>
          <w:lang w:val="en"/>
        </w:rPr>
        <w:t xml:space="preserve">Globally there are two commonly recognised measures of cancer survival: relative survival and observed survival. </w:t>
      </w:r>
      <w:r w:rsidR="001B66DD">
        <w:rPr>
          <w:lang w:val="en"/>
        </w:rPr>
        <w:t xml:space="preserve">For the purposes of </w:t>
      </w:r>
      <w:r w:rsidRPr="00366E56">
        <w:rPr>
          <w:lang w:val="en"/>
        </w:rPr>
        <w:t>this report,</w:t>
      </w:r>
      <w:r>
        <w:rPr>
          <w:lang w:val="en"/>
        </w:rPr>
        <w:t xml:space="preserve"> </w:t>
      </w:r>
      <w:r w:rsidRPr="00366E56">
        <w:rPr>
          <w:lang w:val="en"/>
        </w:rPr>
        <w:t>relative survival</w:t>
      </w:r>
      <w:r>
        <w:rPr>
          <w:lang w:val="en"/>
        </w:rPr>
        <w:t xml:space="preserve"> is used</w:t>
      </w:r>
      <w:r w:rsidRPr="00366E56">
        <w:rPr>
          <w:lang w:val="en"/>
        </w:rPr>
        <w:t>, which adjusts for normal life expectancy by comparing survival among cancer patients with that of the general population, controlling for age, sex</w:t>
      </w:r>
      <w:r w:rsidR="00265BAB">
        <w:rPr>
          <w:lang w:val="en"/>
        </w:rPr>
        <w:t xml:space="preserve"> and year of diagnosis</w:t>
      </w:r>
      <w:r w:rsidRPr="00366E56">
        <w:rPr>
          <w:lang w:val="en"/>
        </w:rPr>
        <w:t>.</w:t>
      </w:r>
      <w:r w:rsidR="00323C12">
        <w:rPr>
          <w:lang w:val="en"/>
        </w:rPr>
        <w:t xml:space="preserve"> Survival trends are presented for all cancers and other tumour streams by single years (2010</w:t>
      </w:r>
      <w:r w:rsidR="009D0E1A">
        <w:rPr>
          <w:lang w:val="en"/>
        </w:rPr>
        <w:t>–</w:t>
      </w:r>
      <w:r w:rsidR="00323C12">
        <w:rPr>
          <w:lang w:val="en"/>
        </w:rPr>
        <w:t>20</w:t>
      </w:r>
      <w:r w:rsidR="00237EDE">
        <w:rPr>
          <w:lang w:val="en"/>
        </w:rPr>
        <w:t>2</w:t>
      </w:r>
      <w:r w:rsidR="001253B5">
        <w:rPr>
          <w:lang w:val="en"/>
        </w:rPr>
        <w:t>1</w:t>
      </w:r>
      <w:r w:rsidR="00323C12">
        <w:rPr>
          <w:lang w:val="en"/>
        </w:rPr>
        <w:t>) (Measures 13.1</w:t>
      </w:r>
      <w:r w:rsidR="009D0E1A">
        <w:rPr>
          <w:lang w:val="en"/>
        </w:rPr>
        <w:t>–</w:t>
      </w:r>
      <w:r w:rsidR="00323C12">
        <w:rPr>
          <w:lang w:val="en"/>
        </w:rPr>
        <w:t>13.8) and a five-year period (2010</w:t>
      </w:r>
      <w:r w:rsidR="009D0E1A">
        <w:rPr>
          <w:lang w:val="en"/>
        </w:rPr>
        <w:t>–</w:t>
      </w:r>
      <w:r w:rsidR="00323C12">
        <w:rPr>
          <w:lang w:val="en"/>
        </w:rPr>
        <w:t>2014</w:t>
      </w:r>
      <w:r w:rsidR="00237EDE">
        <w:rPr>
          <w:lang w:val="en"/>
        </w:rPr>
        <w:t xml:space="preserve"> and 2015–2019</w:t>
      </w:r>
      <w:r w:rsidR="00323C12">
        <w:rPr>
          <w:lang w:val="en"/>
        </w:rPr>
        <w:t>) (Measures 13.9</w:t>
      </w:r>
      <w:r w:rsidR="009D0E1A">
        <w:rPr>
          <w:lang w:val="en"/>
        </w:rPr>
        <w:t>–</w:t>
      </w:r>
      <w:r w:rsidR="00323C12">
        <w:rPr>
          <w:lang w:val="en"/>
        </w:rPr>
        <w:t>13.16).</w:t>
      </w:r>
      <w:r w:rsidR="00DE7A19">
        <w:rPr>
          <w:lang w:val="en"/>
        </w:rPr>
        <w:t xml:space="preserve"> One-year survival is an important measure</w:t>
      </w:r>
      <w:r w:rsidR="0090060B">
        <w:rPr>
          <w:lang w:val="en"/>
        </w:rPr>
        <w:t xml:space="preserve"> </w:t>
      </w:r>
      <w:r w:rsidR="009031CF">
        <w:rPr>
          <w:lang w:val="en"/>
        </w:rPr>
        <w:t xml:space="preserve">because </w:t>
      </w:r>
      <w:r w:rsidR="0090060B" w:rsidRPr="0090060B">
        <w:rPr>
          <w:lang w:val="en"/>
        </w:rPr>
        <w:t xml:space="preserve">it </w:t>
      </w:r>
      <w:r w:rsidR="0090060B" w:rsidRPr="0090060B">
        <w:t xml:space="preserve">may more closely reflect </w:t>
      </w:r>
      <w:r w:rsidR="005F2639">
        <w:t xml:space="preserve">timely </w:t>
      </w:r>
      <w:r w:rsidR="0090060B" w:rsidRPr="0090060B">
        <w:t>access to care than five-year survival. It is also able to more quickly reflect changes in both access and quality of care, including new treatments.</w:t>
      </w:r>
    </w:p>
    <w:p w14:paraId="6A8E76D0" w14:textId="0F4BF7C7" w:rsidR="00E26C44" w:rsidRDefault="00B0112C" w:rsidP="00E87AAA">
      <w:pPr>
        <w:pStyle w:val="Body"/>
      </w:pPr>
      <w:r>
        <w:t xml:space="preserve">This report does not focus on international trends as it relates to different cancer streams </w:t>
      </w:r>
      <w:r w:rsidR="009031CF">
        <w:t xml:space="preserve">because </w:t>
      </w:r>
      <w:r>
        <w:t>survival differences may be attributable to differences in stage at diagnosis, reflecting delays in diagnosis or differences in staging procedures, or to differences in stage-specific survival, which could indicate differences in treatment, staging or comorbidity.</w:t>
      </w:r>
    </w:p>
    <w:p w14:paraId="6AC78129" w14:textId="573D6288" w:rsidR="005C15AA" w:rsidRPr="00457BB6" w:rsidRDefault="005C15AA" w:rsidP="00A451D4">
      <w:pPr>
        <w:pStyle w:val="Heading3"/>
        <w:rPr>
          <w:b/>
          <w:bCs w:val="0"/>
        </w:rPr>
      </w:pPr>
      <w:bookmarkStart w:id="937" w:name="_Measure_13.1_–"/>
      <w:bookmarkStart w:id="938" w:name="_Toc19008154"/>
      <w:bookmarkEnd w:id="937"/>
      <w:r w:rsidRPr="00457BB6">
        <w:rPr>
          <w:b/>
          <w:bCs w:val="0"/>
        </w:rPr>
        <w:lastRenderedPageBreak/>
        <w:t xml:space="preserve">Measure 13.1 – One-year </w:t>
      </w:r>
      <w:r w:rsidR="003D7785">
        <w:rPr>
          <w:b/>
          <w:bCs w:val="0"/>
        </w:rPr>
        <w:t xml:space="preserve">relative </w:t>
      </w:r>
      <w:r w:rsidRPr="00457BB6">
        <w:rPr>
          <w:b/>
          <w:bCs w:val="0"/>
        </w:rPr>
        <w:t>survival from all cancers</w:t>
      </w:r>
      <w:bookmarkEnd w:id="938"/>
    </w:p>
    <w:p w14:paraId="48484507" w14:textId="014FCB3C" w:rsidR="00416D08" w:rsidRPr="0039036B" w:rsidRDefault="00416D08" w:rsidP="00441D5B">
      <w:pPr>
        <w:pStyle w:val="Figurecaption"/>
        <w:rPr>
          <w:sz w:val="20"/>
        </w:rPr>
      </w:pPr>
      <w:bookmarkStart w:id="939" w:name="_Toc19008155"/>
      <w:bookmarkStart w:id="940" w:name="_Toc19008362"/>
      <w:bookmarkStart w:id="941" w:name="_Toc19008509"/>
      <w:bookmarkStart w:id="942" w:name="_Toc19008656"/>
      <w:bookmarkStart w:id="943" w:name="_Toc132553086"/>
      <w:bookmarkStart w:id="944" w:name="_Toc140827699"/>
      <w:r w:rsidRPr="0039036B">
        <w:rPr>
          <w:sz w:val="20"/>
        </w:rPr>
        <w:t>Figure 13.1</w:t>
      </w:r>
      <w:r w:rsidR="003B391F" w:rsidRPr="0039036B">
        <w:rPr>
          <w:sz w:val="20"/>
        </w:rPr>
        <w:t>:</w:t>
      </w:r>
      <w:r w:rsidRPr="0039036B">
        <w:rPr>
          <w:sz w:val="20"/>
        </w:rPr>
        <w:t xml:space="preserve"> Trends in one-year relative survival</w:t>
      </w:r>
      <w:r w:rsidR="00621D62" w:rsidRPr="0039036B">
        <w:rPr>
          <w:sz w:val="20"/>
        </w:rPr>
        <w:t xml:space="preserve"> from all cancers</w:t>
      </w:r>
      <w:r w:rsidR="00774EDC" w:rsidRPr="0039036B">
        <w:rPr>
          <w:sz w:val="20"/>
        </w:rPr>
        <w:t xml:space="preserve"> (combined) overall (A) and by sex (B), age (C), remoteness (D) and </w:t>
      </w:r>
      <w:r w:rsidR="008439C8" w:rsidRPr="0039036B">
        <w:rPr>
          <w:sz w:val="20"/>
        </w:rPr>
        <w:t>ICS</w:t>
      </w:r>
      <w:r w:rsidR="00774EDC" w:rsidRPr="0039036B">
        <w:rPr>
          <w:sz w:val="20"/>
        </w:rPr>
        <w:t xml:space="preserve"> (E)</w:t>
      </w:r>
      <w:r w:rsidRPr="0039036B">
        <w:rPr>
          <w:sz w:val="20"/>
        </w:rPr>
        <w:t>, Victoria</w:t>
      </w:r>
      <w:r w:rsidR="003127BF" w:rsidRPr="0039036B">
        <w:rPr>
          <w:sz w:val="20"/>
        </w:rPr>
        <w:t>,</w:t>
      </w:r>
      <w:r w:rsidRPr="0039036B">
        <w:rPr>
          <w:sz w:val="20"/>
        </w:rPr>
        <w:t xml:space="preserve"> by year, 2010</w:t>
      </w:r>
      <w:r w:rsidR="009D0E1A" w:rsidRPr="0039036B">
        <w:rPr>
          <w:sz w:val="20"/>
        </w:rPr>
        <w:t>–</w:t>
      </w:r>
      <w:r w:rsidRPr="0039036B">
        <w:rPr>
          <w:sz w:val="20"/>
        </w:rPr>
        <w:t>20</w:t>
      </w:r>
      <w:bookmarkEnd w:id="939"/>
      <w:bookmarkEnd w:id="940"/>
      <w:bookmarkEnd w:id="941"/>
      <w:bookmarkEnd w:id="942"/>
      <w:r w:rsidR="00075A4C" w:rsidRPr="0039036B">
        <w:rPr>
          <w:sz w:val="20"/>
        </w:rPr>
        <w:t>2</w:t>
      </w:r>
      <w:r w:rsidR="00E27C1D" w:rsidRPr="0039036B">
        <w:rPr>
          <w:sz w:val="20"/>
        </w:rPr>
        <w:t>1</w:t>
      </w:r>
      <w:bookmarkEnd w:id="943"/>
      <w:bookmarkEnd w:id="944"/>
    </w:p>
    <w:p w14:paraId="1145D292" w14:textId="647B48FE" w:rsidR="00E27C1D" w:rsidRPr="00E27C1D" w:rsidRDefault="00E27C1D" w:rsidP="00E87AAA">
      <w:pPr>
        <w:pStyle w:val="Body"/>
      </w:pPr>
      <w:r>
        <w:rPr>
          <w:noProof/>
        </w:rPr>
        <w:drawing>
          <wp:inline distT="0" distB="0" distL="0" distR="0" wp14:anchorId="68AC1961" wp14:editId="1F53EE37">
            <wp:extent cx="6094043" cy="5191200"/>
            <wp:effectExtent l="0" t="0" r="2540" b="0"/>
            <wp:docPr id="396" name="Picture 396" descr="This figure shows a data summary of 'Measure 13.1 – One-year relative survival from all cancers'. Specially this figure focuses on the trends in one-year relative survival from all cancers (combined) overall and by sex, age remoteness and Integrated Cancer Service for the study period 2010-2021. The data set is available under 'Measure 13.1 – One-year relative survival from all cancers'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This figure shows a data summary of 'Measure 13.1 – One-year relative survival from all cancers'. Specially this figure focuses on the trends in one-year relative survival from all cancers (combined) overall and by sex, age remoteness and Integrated Cancer Service for the study period 2010-2021. The data set is available under 'Measure 13.1 – One-year relative survival from all cancers' in a separate volume, the Victorian cancer plan monitoring and evaluation framework: baseline progress report: Appendix 2: Datasets available on Cancer care &lt;https://www.health.vic.gov.au/health-strategies/cancer-care&gt;."/>
                    <pic:cNvPicPr/>
                  </pic:nvPicPr>
                  <pic:blipFill>
                    <a:blip r:embed="rId150"/>
                    <a:stretch>
                      <a:fillRect/>
                    </a:stretch>
                  </pic:blipFill>
                  <pic:spPr>
                    <a:xfrm>
                      <a:off x="0" y="0"/>
                      <a:ext cx="6123069" cy="5215926"/>
                    </a:xfrm>
                    <a:prstGeom prst="rect">
                      <a:avLst/>
                    </a:prstGeom>
                  </pic:spPr>
                </pic:pic>
              </a:graphicData>
            </a:graphic>
          </wp:inline>
        </w:drawing>
      </w:r>
    </w:p>
    <w:p w14:paraId="0F164473" w14:textId="31617288" w:rsidR="00075A4C" w:rsidRDefault="00075A4C" w:rsidP="00E87AAA">
      <w:pPr>
        <w:pStyle w:val="Body"/>
        <w:sectPr w:rsidR="00075A4C" w:rsidSect="009302EB">
          <w:type w:val="continuous"/>
          <w:pgSz w:w="11906" w:h="16838"/>
          <w:pgMar w:top="1411" w:right="1310" w:bottom="1138" w:left="1310" w:header="454" w:footer="510" w:gutter="0"/>
          <w:cols w:space="720"/>
          <w:docGrid w:linePitch="360"/>
        </w:sectPr>
      </w:pPr>
    </w:p>
    <w:p w14:paraId="7C0E1D23" w14:textId="0B9345FE" w:rsidR="0073300D" w:rsidRPr="0039036B" w:rsidRDefault="0073300D" w:rsidP="0073300D">
      <w:pPr>
        <w:pStyle w:val="Tablefigurenote"/>
        <w:rPr>
          <w:i/>
          <w:iCs/>
          <w:sz w:val="18"/>
          <w:szCs w:val="18"/>
        </w:rPr>
      </w:pPr>
      <w:r w:rsidRPr="0039036B">
        <w:rPr>
          <w:i/>
          <w:iCs/>
          <w:sz w:val="18"/>
          <w:szCs w:val="18"/>
        </w:rPr>
        <w:t>Note: Appendix 2 provides the dataset</w:t>
      </w:r>
      <w:r w:rsidR="00DC2D82" w:rsidRPr="0039036B">
        <w:rPr>
          <w:i/>
          <w:iCs/>
          <w:sz w:val="18"/>
          <w:szCs w:val="18"/>
        </w:rPr>
        <w:t>.</w:t>
      </w:r>
    </w:p>
    <w:p w14:paraId="66CBE636" w14:textId="6477B974" w:rsidR="002E08FF" w:rsidRPr="005A4EC0" w:rsidRDefault="00774EDC" w:rsidP="00C03D95">
      <w:pPr>
        <w:pStyle w:val="Heading4"/>
        <w:rPr>
          <w:lang w:eastAsia="en-AU"/>
        </w:rPr>
      </w:pPr>
      <w:r w:rsidRPr="001253B5">
        <w:t>M</w:t>
      </w:r>
      <w:r w:rsidR="002E08FF" w:rsidRPr="001253B5">
        <w:t>easure assessment</w:t>
      </w:r>
    </w:p>
    <w:p w14:paraId="1B6090C0" w14:textId="31E02D65" w:rsidR="00026CF2" w:rsidRPr="003A15F7" w:rsidRDefault="002E08FF" w:rsidP="00606436">
      <w:pPr>
        <w:pStyle w:val="Body"/>
      </w:pPr>
      <w:r w:rsidRPr="005A4EC0">
        <w:t>Traffic light rating:</w:t>
      </w:r>
      <w:r w:rsidRPr="00B504AD">
        <w:rPr>
          <w:color w:val="AF272F"/>
        </w:rPr>
        <w:t xml:space="preserve"> </w:t>
      </w:r>
      <w:r w:rsidR="00DB0EB4" w:rsidRPr="00DD3D63">
        <w:rPr>
          <w:b/>
          <w:color w:val="C5511A"/>
        </w:rPr>
        <w:t xml:space="preserve">Amber </w:t>
      </w:r>
      <w:r w:rsidR="00DB0EB4" w:rsidRPr="00744FAD">
        <w:t>(desired result not yet evident)</w:t>
      </w:r>
    </w:p>
    <w:p w14:paraId="2EF08BEB" w14:textId="085EBEBB" w:rsidR="00DB0EB4" w:rsidRPr="005A4EC0" w:rsidRDefault="002E08FF" w:rsidP="00606436">
      <w:pPr>
        <w:pStyle w:val="Body"/>
      </w:pPr>
      <w:r w:rsidRPr="005A4EC0">
        <w:t xml:space="preserve">Overall trend: </w:t>
      </w:r>
      <w:r w:rsidR="00946AFA" w:rsidRPr="005A4EC0">
        <w:t>Moving in the right direction</w:t>
      </w:r>
      <w:r w:rsidR="003A15F7">
        <w:t xml:space="preserve"> </w:t>
      </w:r>
      <w:r w:rsidR="00DB0EB4">
        <w:t xml:space="preserve">but impacts of the </w:t>
      </w:r>
      <w:r w:rsidR="00AA44E0">
        <w:t xml:space="preserve">COVID </w:t>
      </w:r>
      <w:r w:rsidR="00DB0EB4">
        <w:t xml:space="preserve">pandemic on one-year survival </w:t>
      </w:r>
      <w:r w:rsidR="002649EC">
        <w:t xml:space="preserve">is </w:t>
      </w:r>
      <w:r w:rsidR="00DB0EB4">
        <w:t>uncertain</w:t>
      </w:r>
    </w:p>
    <w:p w14:paraId="246392C4" w14:textId="4D11DFDF" w:rsidR="00946AFA" w:rsidRDefault="002E08FF" w:rsidP="00E87AAA">
      <w:pPr>
        <w:pStyle w:val="Body"/>
      </w:pPr>
      <w:r w:rsidRPr="005A4EC0">
        <w:rPr>
          <w:lang w:eastAsia="en-AU"/>
        </w:rPr>
        <w:t>Commentary:</w:t>
      </w:r>
      <w:r w:rsidR="0034686B" w:rsidRPr="005A4EC0">
        <w:t xml:space="preserve"> </w:t>
      </w:r>
      <w:r w:rsidR="00946AFA" w:rsidRPr="005A4EC0">
        <w:t>Figure 13.1(A) shows that from 2010</w:t>
      </w:r>
      <w:r w:rsidR="009031CF">
        <w:t xml:space="preserve"> to </w:t>
      </w:r>
      <w:r w:rsidR="00946AFA" w:rsidRPr="005A4EC0">
        <w:t>20</w:t>
      </w:r>
      <w:r w:rsidR="005A4EC0" w:rsidRPr="005A4EC0">
        <w:t>2</w:t>
      </w:r>
      <w:r w:rsidR="001253B5">
        <w:t>1</w:t>
      </w:r>
      <w:r w:rsidR="00946AFA" w:rsidRPr="005A4EC0">
        <w:t xml:space="preserve">, one-year relative survival </w:t>
      </w:r>
      <w:r w:rsidR="00550F31" w:rsidRPr="005A4EC0">
        <w:t>for all cancers combined (</w:t>
      </w:r>
      <w:r w:rsidR="003031A4" w:rsidRPr="005A4EC0">
        <w:t>C00–</w:t>
      </w:r>
      <w:r w:rsidR="00550F31" w:rsidRPr="005A4EC0">
        <w:t xml:space="preserve">C97, D45–D46, D47.1, D47.3) </w:t>
      </w:r>
      <w:r w:rsidR="00946AFA" w:rsidRPr="005A4EC0">
        <w:t>increas</w:t>
      </w:r>
      <w:r w:rsidR="00265BAB" w:rsidRPr="005A4EC0">
        <w:t>ed</w:t>
      </w:r>
      <w:r w:rsidR="00946AFA" w:rsidRPr="005A4EC0">
        <w:t xml:space="preserve"> slightly from 8</w:t>
      </w:r>
      <w:r w:rsidR="005A4EC0" w:rsidRPr="005A4EC0">
        <w:t>2</w:t>
      </w:r>
      <w:r w:rsidR="00946AFA" w:rsidRPr="005A4EC0">
        <w:t>.</w:t>
      </w:r>
      <w:r w:rsidR="001253B5">
        <w:t>7</w:t>
      </w:r>
      <w:r w:rsidR="0054537F">
        <w:t>%</w:t>
      </w:r>
      <w:r w:rsidR="00946AFA" w:rsidRPr="005A4EC0">
        <w:t xml:space="preserve"> in 2010 to 8</w:t>
      </w:r>
      <w:r w:rsidR="005A4EC0" w:rsidRPr="005A4EC0">
        <w:t>5</w:t>
      </w:r>
      <w:r w:rsidR="00946AFA" w:rsidRPr="005A4EC0">
        <w:t>.</w:t>
      </w:r>
      <w:r w:rsidR="001253B5">
        <w:t>3</w:t>
      </w:r>
      <w:r w:rsidR="0054537F">
        <w:t>%</w:t>
      </w:r>
      <w:r w:rsidR="00550F31" w:rsidRPr="005A4EC0">
        <w:t xml:space="preserve"> in 20</w:t>
      </w:r>
      <w:r w:rsidR="005A4EC0" w:rsidRPr="005A4EC0">
        <w:t>2</w:t>
      </w:r>
      <w:r w:rsidR="001253B5">
        <w:t>1</w:t>
      </w:r>
      <w:r w:rsidR="00550F31" w:rsidRPr="005A4EC0">
        <w:t>.</w:t>
      </w:r>
      <w:r w:rsidR="00952FC7" w:rsidRPr="005A4EC0">
        <w:t xml:space="preserve"> </w:t>
      </w:r>
      <w:r w:rsidR="00A74380" w:rsidRPr="00632A19">
        <w:t>Females</w:t>
      </w:r>
      <w:r w:rsidR="00550F31" w:rsidRPr="00632A19">
        <w:t xml:space="preserve"> tended to have higher one-year relative survival rates</w:t>
      </w:r>
      <w:r w:rsidR="00A74380" w:rsidRPr="00632A19">
        <w:t xml:space="preserve"> than males overall</w:t>
      </w:r>
      <w:r w:rsidR="00355EB7" w:rsidRPr="00632A19">
        <w:t>,</w:t>
      </w:r>
      <w:r w:rsidR="00314164" w:rsidRPr="00632A19">
        <w:t xml:space="preserve"> which is also widening</w:t>
      </w:r>
      <w:r w:rsidR="00A74380" w:rsidRPr="00632A19">
        <w:t xml:space="preserve"> (Figure 13.1 (B)).</w:t>
      </w:r>
      <w:r w:rsidR="00952FC7" w:rsidRPr="00632A19">
        <w:t xml:space="preserve"> </w:t>
      </w:r>
      <w:r w:rsidR="00A74380" w:rsidRPr="005A4EC0">
        <w:t>However</w:t>
      </w:r>
      <w:r w:rsidR="00ED4719" w:rsidRPr="005A4EC0">
        <w:t>,</w:t>
      </w:r>
      <w:r w:rsidR="00A74380" w:rsidRPr="005A4EC0">
        <w:t xml:space="preserve"> this varied with age.</w:t>
      </w:r>
      <w:r w:rsidR="00952FC7" w:rsidRPr="005A4EC0">
        <w:t xml:space="preserve"> </w:t>
      </w:r>
      <w:r w:rsidR="00A74380" w:rsidRPr="005A4EC0">
        <w:t xml:space="preserve">Figure 13.1 (C) shows that survival was highest for people under </w:t>
      </w:r>
      <w:r w:rsidR="005A4EC0" w:rsidRPr="005A4EC0">
        <w:t>44</w:t>
      </w:r>
      <w:r w:rsidR="00A74380" w:rsidRPr="005A4EC0">
        <w:t xml:space="preserve"> years of age and decreased with age</w:t>
      </w:r>
      <w:r w:rsidR="00756888" w:rsidRPr="005A4EC0">
        <w:t>,</w:t>
      </w:r>
      <w:r w:rsidR="00A74380" w:rsidRPr="005A4EC0">
        <w:t xml:space="preserve"> so it was the lowest for those aged 75 years </w:t>
      </w:r>
      <w:r w:rsidR="001B50BF" w:rsidRPr="005A4EC0">
        <w:t>or older</w:t>
      </w:r>
      <w:r w:rsidR="00A74380" w:rsidRPr="005A4EC0">
        <w:t>. This age-related pattern of survival is characteristic</w:t>
      </w:r>
      <w:r w:rsidR="00431ABA" w:rsidRPr="005A4EC0">
        <w:t xml:space="preserve"> of most individual cancer streams</w:t>
      </w:r>
      <w:r w:rsidR="00A74380" w:rsidRPr="005A4EC0">
        <w:t xml:space="preserve"> presented in this </w:t>
      </w:r>
      <w:r w:rsidR="00431ABA" w:rsidRPr="005A4EC0">
        <w:t xml:space="preserve">baseline </w:t>
      </w:r>
      <w:r w:rsidR="00E86883" w:rsidRPr="005A4EC0">
        <w:t xml:space="preserve">report. The reduction in </w:t>
      </w:r>
      <w:r w:rsidR="00A74380" w:rsidRPr="005A4EC0">
        <w:t>survival with age was more pronounced in the second half of the life span</w:t>
      </w:r>
      <w:r w:rsidR="00756888" w:rsidRPr="005A4EC0">
        <w:t xml:space="preserve"> – </w:t>
      </w:r>
      <w:r w:rsidR="00A74380" w:rsidRPr="005A4EC0">
        <w:t>for almost all types of cancers, one-year survival was lowest in older people.</w:t>
      </w:r>
    </w:p>
    <w:p w14:paraId="1B022F6A" w14:textId="0C470C23" w:rsidR="00946AFA" w:rsidRPr="00B76B9A" w:rsidRDefault="00E86883" w:rsidP="00E87AAA">
      <w:pPr>
        <w:pStyle w:val="Body"/>
      </w:pPr>
      <w:r w:rsidRPr="00B76B9A">
        <w:lastRenderedPageBreak/>
        <w:t>Figure 13.1 (D) shows that for each recorded year, one-year relative survival decreased with greater remoteness</w:t>
      </w:r>
      <w:r w:rsidR="00756888" w:rsidRPr="00B76B9A">
        <w:t>,</w:t>
      </w:r>
      <w:r w:rsidRPr="00B76B9A">
        <w:t xml:space="preserve"> although the differences were small</w:t>
      </w:r>
      <w:r w:rsidR="00756888" w:rsidRPr="00B76B9A">
        <w:t>,</w:t>
      </w:r>
      <w:r w:rsidRPr="00B76B9A">
        <w:t xml:space="preserve"> ranging from </w:t>
      </w:r>
      <w:r w:rsidR="00AC0A42" w:rsidRPr="00B76B9A">
        <w:t>8</w:t>
      </w:r>
      <w:r w:rsidR="00B76B9A" w:rsidRPr="00B76B9A">
        <w:t>3</w:t>
      </w:r>
      <w:r w:rsidR="00AC0A42" w:rsidRPr="00B76B9A">
        <w:t>.</w:t>
      </w:r>
      <w:r w:rsidR="001253B5">
        <w:t>6</w:t>
      </w:r>
      <w:r w:rsidR="0054537F">
        <w:t>%</w:t>
      </w:r>
      <w:r w:rsidR="00AC0A42" w:rsidRPr="00B76B9A">
        <w:t xml:space="preserve"> (2010</w:t>
      </w:r>
      <w:r w:rsidR="00756888" w:rsidRPr="00B76B9A">
        <w:t>)</w:t>
      </w:r>
      <w:r w:rsidR="00AC0A42" w:rsidRPr="00B76B9A">
        <w:t xml:space="preserve"> and 8</w:t>
      </w:r>
      <w:r w:rsidR="001253B5">
        <w:t>5</w:t>
      </w:r>
      <w:r w:rsidR="00AC0A42" w:rsidRPr="00B76B9A">
        <w:t>.</w:t>
      </w:r>
      <w:r w:rsidR="001253B5">
        <w:t>6</w:t>
      </w:r>
      <w:r w:rsidR="0054537F">
        <w:t>%</w:t>
      </w:r>
      <w:r w:rsidR="00AC0A42" w:rsidRPr="00B76B9A">
        <w:t xml:space="preserve"> (20</w:t>
      </w:r>
      <w:r w:rsidR="00B76B9A" w:rsidRPr="00B76B9A">
        <w:t>2</w:t>
      </w:r>
      <w:r w:rsidR="001253B5">
        <w:t>1</w:t>
      </w:r>
      <w:r w:rsidR="00AC0A42" w:rsidRPr="00B76B9A">
        <w:t xml:space="preserve">) in major cities compared </w:t>
      </w:r>
      <w:r w:rsidR="001B50BF" w:rsidRPr="00B76B9A">
        <w:t xml:space="preserve">with </w:t>
      </w:r>
      <w:r w:rsidR="00B76B9A" w:rsidRPr="00B76B9A">
        <w:t>80</w:t>
      </w:r>
      <w:r w:rsidR="00AC0A42" w:rsidRPr="00B76B9A">
        <w:t>.</w:t>
      </w:r>
      <w:r w:rsidR="001253B5">
        <w:t>5</w:t>
      </w:r>
      <w:r w:rsidR="0054537F">
        <w:t>%</w:t>
      </w:r>
      <w:r w:rsidR="00AC0A42" w:rsidRPr="00B76B9A">
        <w:t xml:space="preserve"> (2010) an</w:t>
      </w:r>
      <w:r w:rsidR="00B76B9A" w:rsidRPr="00B76B9A">
        <w:t>d</w:t>
      </w:r>
      <w:r w:rsidR="00AC0A42" w:rsidRPr="00B76B9A">
        <w:t xml:space="preserve"> </w:t>
      </w:r>
      <w:r w:rsidR="00B76B9A" w:rsidRPr="00B76B9A">
        <w:t>82</w:t>
      </w:r>
      <w:r w:rsidR="00AC0A42" w:rsidRPr="00B76B9A">
        <w:t>.</w:t>
      </w:r>
      <w:r w:rsidR="001253B5">
        <w:t>7</w:t>
      </w:r>
      <w:r w:rsidR="0054537F">
        <w:t>%</w:t>
      </w:r>
      <w:r w:rsidR="00AC0A42" w:rsidRPr="00B76B9A">
        <w:t xml:space="preserve"> </w:t>
      </w:r>
      <w:r w:rsidR="0040020C" w:rsidRPr="00B76B9A">
        <w:t>(20</w:t>
      </w:r>
      <w:r w:rsidR="00B76B9A" w:rsidRPr="00B76B9A">
        <w:t>2</w:t>
      </w:r>
      <w:r w:rsidR="001253B5">
        <w:t>1</w:t>
      </w:r>
      <w:r w:rsidR="0040020C" w:rsidRPr="00B76B9A">
        <w:t>)</w:t>
      </w:r>
      <w:r w:rsidR="00075A4C" w:rsidRPr="00B76B9A">
        <w:t xml:space="preserve"> </w:t>
      </w:r>
      <w:r w:rsidR="00AC0A42" w:rsidRPr="00B76B9A">
        <w:t>in outer regional/remote Victorian areas.</w:t>
      </w:r>
      <w:r w:rsidR="00952FC7" w:rsidRPr="00B76B9A">
        <w:t xml:space="preserve"> </w:t>
      </w:r>
      <w:r w:rsidR="00AC0A42" w:rsidRPr="00B76B9A">
        <w:t xml:space="preserve">Similarly, there was a gradient of decreasing one-year relative survival rates </w:t>
      </w:r>
      <w:r w:rsidR="00852AEF" w:rsidRPr="00B76B9A">
        <w:t>by ICS region</w:t>
      </w:r>
      <w:r w:rsidR="00756888" w:rsidRPr="00B76B9A">
        <w:t>,</w:t>
      </w:r>
      <w:r w:rsidR="00852AEF" w:rsidRPr="00B76B9A">
        <w:t xml:space="preserve"> with metropolitan ICSs such as NE</w:t>
      </w:r>
      <w:r w:rsidR="005B248D" w:rsidRPr="00B76B9A">
        <w:t>M</w:t>
      </w:r>
      <w:r w:rsidR="00852AEF" w:rsidRPr="00B76B9A">
        <w:t xml:space="preserve">ICS and </w:t>
      </w:r>
      <w:r w:rsidR="005B248D" w:rsidRPr="00B76B9A">
        <w:t>SM</w:t>
      </w:r>
      <w:r w:rsidR="00852AEF" w:rsidRPr="00B76B9A">
        <w:t xml:space="preserve">ICS reporting </w:t>
      </w:r>
      <w:r w:rsidR="00B76B9A" w:rsidRPr="00B76B9A">
        <w:t xml:space="preserve">slightly </w:t>
      </w:r>
      <w:r w:rsidR="00852AEF" w:rsidRPr="00B76B9A">
        <w:t xml:space="preserve">higher survival rates compared </w:t>
      </w:r>
      <w:r w:rsidR="001B50BF" w:rsidRPr="00B76B9A">
        <w:t xml:space="preserve">with </w:t>
      </w:r>
      <w:r w:rsidR="00852AEF" w:rsidRPr="00B76B9A">
        <w:t xml:space="preserve">rural and regional ICS such as </w:t>
      </w:r>
      <w:r w:rsidR="005B248D" w:rsidRPr="00B76B9A">
        <w:t>GR</w:t>
      </w:r>
      <w:r w:rsidR="00852AEF" w:rsidRPr="00B76B9A">
        <w:t xml:space="preserve">ICS and </w:t>
      </w:r>
      <w:r w:rsidR="00255EA6" w:rsidRPr="00B76B9A">
        <w:t>L</w:t>
      </w:r>
      <w:r w:rsidR="00852AEF" w:rsidRPr="00B76B9A">
        <w:t>MICS</w:t>
      </w:r>
      <w:r w:rsidR="00756888" w:rsidRPr="00B76B9A">
        <w:t>,</w:t>
      </w:r>
      <w:r w:rsidR="003031A4" w:rsidRPr="00B76B9A">
        <w:t xml:space="preserve"> which generally reported the lowest survival rate for each recorded year</w:t>
      </w:r>
      <w:r w:rsidR="00852AEF" w:rsidRPr="00B76B9A">
        <w:t xml:space="preserve"> (Figure 13.1 (E)</w:t>
      </w:r>
      <w:r w:rsidR="00B76B9A" w:rsidRPr="00B76B9A">
        <w:t>; refer to Tables 13.1a</w:t>
      </w:r>
      <w:r w:rsidR="003B391F">
        <w:t>–</w:t>
      </w:r>
      <w:r w:rsidR="00B76B9A" w:rsidRPr="00B76B9A">
        <w:t>c, Appendix 2</w:t>
      </w:r>
      <w:r w:rsidR="00852AEF" w:rsidRPr="00B76B9A">
        <w:t>).</w:t>
      </w:r>
    </w:p>
    <w:p w14:paraId="13D984A9" w14:textId="581054D0" w:rsidR="002E08FF" w:rsidRPr="001A2A05" w:rsidRDefault="00E26C44" w:rsidP="00E87AAA">
      <w:pPr>
        <w:pStyle w:val="Body"/>
      </w:pPr>
      <w:r w:rsidRPr="00B76B9A">
        <w:t xml:space="preserve">The target for this measure </w:t>
      </w:r>
      <w:r w:rsidR="003A15F7">
        <w:t xml:space="preserve">set out in the data dictionary </w:t>
      </w:r>
      <w:r w:rsidRPr="00B76B9A">
        <w:t>is to double the improvement in one-year survival by 2040 from the baseline (2010).</w:t>
      </w:r>
      <w:r w:rsidR="00952FC7" w:rsidRPr="00B76B9A">
        <w:t xml:space="preserve"> </w:t>
      </w:r>
      <w:r w:rsidR="00EF593A" w:rsidRPr="003A15F7">
        <w:t xml:space="preserve">The </w:t>
      </w:r>
      <w:r w:rsidR="00320D61" w:rsidRPr="003A15F7">
        <w:t>target</w:t>
      </w:r>
      <w:r w:rsidR="00EF593A" w:rsidRPr="003A15F7">
        <w:t xml:space="preserve"> of doubli</w:t>
      </w:r>
      <w:r w:rsidR="006E008E" w:rsidRPr="003A15F7">
        <w:t>ng the improvement in one-year survival will be met if the improvement in relative survival between the periods 2030</w:t>
      </w:r>
      <w:r w:rsidR="009D0E1A" w:rsidRPr="003A15F7">
        <w:t>–</w:t>
      </w:r>
      <w:r w:rsidR="006E008E" w:rsidRPr="003A15F7">
        <w:t>2034 and 2035</w:t>
      </w:r>
      <w:r w:rsidR="009D0E1A" w:rsidRPr="003A15F7">
        <w:t>–</w:t>
      </w:r>
      <w:r w:rsidR="006E008E" w:rsidRPr="003A15F7">
        <w:t>2039 is twice that of the improvement between the periods 2005</w:t>
      </w:r>
      <w:r w:rsidR="009D0E1A" w:rsidRPr="003A15F7">
        <w:t>–</w:t>
      </w:r>
      <w:r w:rsidR="006E008E" w:rsidRPr="003A15F7">
        <w:t>2009 and 2010</w:t>
      </w:r>
      <w:r w:rsidR="009D0E1A" w:rsidRPr="003A15F7">
        <w:t>–</w:t>
      </w:r>
      <w:r w:rsidR="006E008E" w:rsidRPr="003A15F7">
        <w:t xml:space="preserve">2014. </w:t>
      </w:r>
      <w:r w:rsidR="002649EC">
        <w:t xml:space="preserve">It is important to note that while </w:t>
      </w:r>
      <w:r w:rsidR="0077307E" w:rsidRPr="003A15F7">
        <w:t xml:space="preserve">Figure 13.1 (A) shows Victoria </w:t>
      </w:r>
      <w:r w:rsidR="00632D3A" w:rsidRPr="003A15F7">
        <w:t>is</w:t>
      </w:r>
      <w:r w:rsidR="003A15F7" w:rsidRPr="003A15F7">
        <w:t xml:space="preserve"> moving in the right direction </w:t>
      </w:r>
      <w:r w:rsidR="00141D95">
        <w:t>it is</w:t>
      </w:r>
      <w:r w:rsidR="00DB0EB4">
        <w:t xml:space="preserve"> anticipated that eventually a ceiling effect will be reached and each incremental increase in one-year survival will become </w:t>
      </w:r>
      <w:r w:rsidR="002649EC">
        <w:t>more</w:t>
      </w:r>
      <w:r w:rsidR="00DB0EB4">
        <w:t xml:space="preserve"> difficult to achieve</w:t>
      </w:r>
      <w:r w:rsidR="0077307E" w:rsidRPr="003A15F7">
        <w:t>.</w:t>
      </w:r>
      <w:r w:rsidR="002E08FF">
        <w:rPr>
          <w:lang w:eastAsia="en-AU"/>
        </w:rPr>
        <w:br w:type="page"/>
      </w:r>
    </w:p>
    <w:p w14:paraId="02B2E361" w14:textId="2717C664" w:rsidR="005C15AA" w:rsidRPr="00457BB6" w:rsidRDefault="005C15AA" w:rsidP="00A451D4">
      <w:pPr>
        <w:pStyle w:val="Heading3"/>
        <w:rPr>
          <w:b/>
          <w:bCs w:val="0"/>
        </w:rPr>
      </w:pPr>
      <w:bookmarkStart w:id="945" w:name="_Measure_13.2_–"/>
      <w:bookmarkStart w:id="946" w:name="_Toc19008156"/>
      <w:bookmarkEnd w:id="945"/>
      <w:r w:rsidRPr="00457BB6">
        <w:rPr>
          <w:b/>
          <w:bCs w:val="0"/>
        </w:rPr>
        <w:lastRenderedPageBreak/>
        <w:t xml:space="preserve">Measure 13.2 – One-year </w:t>
      </w:r>
      <w:r w:rsidR="003D7785">
        <w:rPr>
          <w:b/>
          <w:bCs w:val="0"/>
        </w:rPr>
        <w:t xml:space="preserve">relative </w:t>
      </w:r>
      <w:r w:rsidRPr="00457BB6">
        <w:rPr>
          <w:b/>
          <w:bCs w:val="0"/>
        </w:rPr>
        <w:t>survival from</w:t>
      </w:r>
      <w:r w:rsidR="00A4158A" w:rsidRPr="00457BB6">
        <w:rPr>
          <w:b/>
          <w:bCs w:val="0"/>
        </w:rPr>
        <w:t xml:space="preserve"> lung cancer</w:t>
      </w:r>
      <w:bookmarkEnd w:id="946"/>
    </w:p>
    <w:p w14:paraId="08DC8F51" w14:textId="5C03A66C" w:rsidR="006339EF" w:rsidRPr="0039036B" w:rsidRDefault="00186FD9" w:rsidP="00441D5B">
      <w:pPr>
        <w:pStyle w:val="Figurecaption"/>
        <w:rPr>
          <w:sz w:val="20"/>
        </w:rPr>
      </w:pPr>
      <w:bookmarkStart w:id="947" w:name="_Toc19008157"/>
      <w:bookmarkStart w:id="948" w:name="_Toc19008363"/>
      <w:bookmarkStart w:id="949" w:name="_Toc19008510"/>
      <w:bookmarkStart w:id="950" w:name="_Toc19008657"/>
      <w:bookmarkStart w:id="951" w:name="_Toc132553087"/>
      <w:bookmarkStart w:id="952" w:name="_Toc140827700"/>
      <w:r w:rsidRPr="0039036B">
        <w:rPr>
          <w:sz w:val="20"/>
        </w:rPr>
        <w:t>Figure 13.2</w:t>
      </w:r>
      <w:r w:rsidR="003B391F" w:rsidRPr="0039036B">
        <w:rPr>
          <w:sz w:val="20"/>
        </w:rPr>
        <w:t>:</w:t>
      </w:r>
      <w:r w:rsidRPr="0039036B">
        <w:rPr>
          <w:sz w:val="20"/>
        </w:rPr>
        <w:t xml:space="preserve"> </w:t>
      </w:r>
      <w:r w:rsidR="00902210" w:rsidRPr="0039036B">
        <w:rPr>
          <w:sz w:val="20"/>
        </w:rPr>
        <w:t xml:space="preserve">Trends in one-year relative survival from lung cancer overall (A) and by sex (B), age (C), remoteness (D) and </w:t>
      </w:r>
      <w:r w:rsidR="008439C8" w:rsidRPr="0039036B">
        <w:rPr>
          <w:sz w:val="20"/>
        </w:rPr>
        <w:t>ICS</w:t>
      </w:r>
      <w:r w:rsidR="00902210" w:rsidRPr="0039036B">
        <w:rPr>
          <w:sz w:val="20"/>
        </w:rPr>
        <w:t xml:space="preserve"> (E), Victoria, by year, 2010</w:t>
      </w:r>
      <w:r w:rsidR="009D0E1A" w:rsidRPr="0039036B">
        <w:rPr>
          <w:sz w:val="20"/>
        </w:rPr>
        <w:t>–</w:t>
      </w:r>
      <w:r w:rsidR="00902210" w:rsidRPr="0039036B">
        <w:rPr>
          <w:sz w:val="20"/>
        </w:rPr>
        <w:t>20</w:t>
      </w:r>
      <w:bookmarkEnd w:id="947"/>
      <w:bookmarkEnd w:id="948"/>
      <w:bookmarkEnd w:id="949"/>
      <w:bookmarkEnd w:id="950"/>
      <w:r w:rsidR="00075A4C" w:rsidRPr="0039036B">
        <w:rPr>
          <w:sz w:val="20"/>
        </w:rPr>
        <w:t>2</w:t>
      </w:r>
      <w:r w:rsidR="00E27C1D" w:rsidRPr="0039036B">
        <w:rPr>
          <w:sz w:val="20"/>
        </w:rPr>
        <w:t>1</w:t>
      </w:r>
      <w:bookmarkEnd w:id="951"/>
      <w:bookmarkEnd w:id="952"/>
    </w:p>
    <w:p w14:paraId="0ED8AB10" w14:textId="61313A58" w:rsidR="00E27C1D" w:rsidRPr="00E27C1D" w:rsidRDefault="00E27C1D" w:rsidP="00E87AAA">
      <w:pPr>
        <w:pStyle w:val="Body"/>
      </w:pPr>
      <w:r>
        <w:rPr>
          <w:noProof/>
        </w:rPr>
        <w:drawing>
          <wp:inline distT="0" distB="0" distL="0" distR="0" wp14:anchorId="38983BBA" wp14:editId="0DE939D7">
            <wp:extent cx="6040800" cy="5145846"/>
            <wp:effectExtent l="0" t="0" r="0" b="0"/>
            <wp:docPr id="397" name="Picture 397" descr="This figure shows a data summary of 'Measure 13.2 – One-year relative survival from lung cancer'. Specially this figure focuses on the trends in one-year relative survival from all cancers (combined) overall and by sex, age remoteness and Integrated Cancer Service for the study period 2010-2021. The data set is available under 'Measure 13.2 – One-year relative survival from lung cancer'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descr="This figure shows a data summary of 'Measure 13.2 – One-year relative survival from lung cancer'. Specially this figure focuses on the trends in one-year relative survival from all cancers (combined) overall and by sex, age remoteness and Integrated Cancer Service for the study period 2010-2021. The data set is available under 'Measure 13.2 – One-year relative survival from lung cancer' in a separate volume, the Victorian cancer plan monitoring and evaluation framework: baseline progress report: Appendix 2: Datasets available on Cancer care &lt;https://www.health.vic.gov.au/health-strategies/cancer-care&gt;."/>
                    <pic:cNvPicPr/>
                  </pic:nvPicPr>
                  <pic:blipFill>
                    <a:blip r:embed="rId151"/>
                    <a:stretch>
                      <a:fillRect/>
                    </a:stretch>
                  </pic:blipFill>
                  <pic:spPr>
                    <a:xfrm>
                      <a:off x="0" y="0"/>
                      <a:ext cx="6058947" cy="5161304"/>
                    </a:xfrm>
                    <a:prstGeom prst="rect">
                      <a:avLst/>
                    </a:prstGeom>
                  </pic:spPr>
                </pic:pic>
              </a:graphicData>
            </a:graphic>
          </wp:inline>
        </w:drawing>
      </w:r>
    </w:p>
    <w:p w14:paraId="77DE62E6" w14:textId="66770DC8" w:rsidR="004732EF" w:rsidRDefault="004732EF" w:rsidP="00E87AAA">
      <w:pPr>
        <w:pStyle w:val="Body"/>
        <w:sectPr w:rsidR="004732EF" w:rsidSect="009302EB">
          <w:type w:val="continuous"/>
          <w:pgSz w:w="11906" w:h="16838"/>
          <w:pgMar w:top="1411" w:right="1310" w:bottom="1138" w:left="1310" w:header="454" w:footer="510" w:gutter="0"/>
          <w:cols w:space="720"/>
          <w:docGrid w:linePitch="360"/>
        </w:sectPr>
      </w:pPr>
    </w:p>
    <w:p w14:paraId="4FC5D7DE" w14:textId="2BF0E9CE" w:rsidR="0073300D" w:rsidRPr="0039036B" w:rsidRDefault="0073300D" w:rsidP="0073300D">
      <w:pPr>
        <w:pStyle w:val="Tablefigurenote"/>
        <w:rPr>
          <w:i/>
          <w:iCs/>
          <w:sz w:val="18"/>
          <w:szCs w:val="18"/>
        </w:rPr>
      </w:pPr>
      <w:r w:rsidRPr="0039036B">
        <w:rPr>
          <w:i/>
          <w:iCs/>
          <w:sz w:val="18"/>
          <w:szCs w:val="18"/>
        </w:rPr>
        <w:t>Note: Appendix 2 provides the dataset</w:t>
      </w:r>
      <w:r w:rsidR="00DC2D82" w:rsidRPr="0039036B">
        <w:rPr>
          <w:i/>
          <w:iCs/>
          <w:sz w:val="18"/>
          <w:szCs w:val="18"/>
        </w:rPr>
        <w:t>.</w:t>
      </w:r>
    </w:p>
    <w:p w14:paraId="6B11B78B" w14:textId="112F8DE8" w:rsidR="002E08FF" w:rsidRPr="0073184C" w:rsidRDefault="002E08FF" w:rsidP="00C03D95">
      <w:pPr>
        <w:pStyle w:val="Heading4"/>
      </w:pPr>
      <w:r w:rsidRPr="0083425B">
        <w:t>Measure assessment</w:t>
      </w:r>
    </w:p>
    <w:p w14:paraId="21BB4ECD" w14:textId="55DB4570" w:rsidR="002E08FF" w:rsidRPr="0073184C" w:rsidRDefault="002E08FF" w:rsidP="00606436">
      <w:pPr>
        <w:pStyle w:val="Body"/>
        <w:rPr>
          <w:color w:val="00B050"/>
        </w:rPr>
      </w:pPr>
      <w:r w:rsidRPr="0073184C">
        <w:t xml:space="preserve">Traffic light rating: </w:t>
      </w:r>
      <w:r w:rsidR="00890645" w:rsidRPr="00D207B2">
        <w:rPr>
          <w:b/>
          <w:color w:val="007B4B"/>
        </w:rPr>
        <w:t>Green</w:t>
      </w:r>
      <w:r w:rsidR="00061321" w:rsidRPr="0073184C">
        <w:t xml:space="preserve"> (satisfactory result)</w:t>
      </w:r>
    </w:p>
    <w:p w14:paraId="29CAD954" w14:textId="1CF2FC15" w:rsidR="002E08FF" w:rsidRPr="0073184C" w:rsidRDefault="002E08FF" w:rsidP="00606436">
      <w:pPr>
        <w:pStyle w:val="Body"/>
      </w:pPr>
      <w:r w:rsidRPr="0073184C">
        <w:t xml:space="preserve">Overall trend: </w:t>
      </w:r>
      <w:r w:rsidR="00890645" w:rsidRPr="0073184C">
        <w:t>Moving in the right direction</w:t>
      </w:r>
    </w:p>
    <w:p w14:paraId="1EB3F4CD" w14:textId="1CA94906" w:rsidR="006F0B3F" w:rsidRPr="007514B8" w:rsidRDefault="002E08FF" w:rsidP="00E87AAA">
      <w:pPr>
        <w:pStyle w:val="Body"/>
        <w:rPr>
          <w:highlight w:val="yellow"/>
        </w:rPr>
      </w:pPr>
      <w:r w:rsidRPr="00BF2DAB">
        <w:rPr>
          <w:rFonts w:cs="Arial"/>
          <w:lang w:eastAsia="en-AU"/>
        </w:rPr>
        <w:t>Commentary:</w:t>
      </w:r>
      <w:r w:rsidR="001F771E" w:rsidRPr="00BF2DAB">
        <w:rPr>
          <w:rFonts w:cs="Arial"/>
          <w:lang w:eastAsia="en-AU"/>
        </w:rPr>
        <w:t xml:space="preserve"> </w:t>
      </w:r>
      <w:r w:rsidR="00265BAB" w:rsidRPr="00BF2DAB">
        <w:rPr>
          <w:rFonts w:cs="Arial"/>
          <w:lang w:eastAsia="en-AU"/>
        </w:rPr>
        <w:t>R</w:t>
      </w:r>
      <w:r w:rsidR="00F9162C" w:rsidRPr="00BF2DAB">
        <w:t>elative to other tumour stream</w:t>
      </w:r>
      <w:r w:rsidR="00AA63B9" w:rsidRPr="00BF2DAB">
        <w:t>s</w:t>
      </w:r>
      <w:r w:rsidR="00F9162C" w:rsidRPr="00BF2DAB">
        <w:t>, lung cancer has a low survival r</w:t>
      </w:r>
      <w:r w:rsidR="00AA63B9" w:rsidRPr="00BF2DAB">
        <w:t>ate nationally</w:t>
      </w:r>
      <w:r w:rsidR="003354D1" w:rsidRPr="00BF2DAB">
        <w:t>,</w:t>
      </w:r>
      <w:r w:rsidR="00AA63B9" w:rsidRPr="00BF2DAB">
        <w:t xml:space="preserve"> with only </w:t>
      </w:r>
      <w:r w:rsidR="00BF2DAB" w:rsidRPr="00BF2DAB">
        <w:t>22</w:t>
      </w:r>
      <w:r w:rsidR="0054537F">
        <w:t>%</w:t>
      </w:r>
      <w:r w:rsidR="00AA63B9" w:rsidRPr="00BF2DAB">
        <w:t xml:space="preserve"> of those diagnosed with lung cancer surviving </w:t>
      </w:r>
      <w:r w:rsidR="008869C1" w:rsidRPr="00BF2DAB">
        <w:t>five</w:t>
      </w:r>
      <w:r w:rsidR="00AA63B9" w:rsidRPr="00BF2DAB">
        <w:t xml:space="preserve"> years after diagnosis.</w:t>
      </w:r>
      <w:r w:rsidR="00BF2DAB" w:rsidRPr="00BF2DAB">
        <w:rPr>
          <w:rStyle w:val="FootnoteReference"/>
        </w:rPr>
        <w:footnoteReference w:id="181"/>
      </w:r>
      <w:r w:rsidR="00952FC7" w:rsidRPr="00BF2DAB">
        <w:t xml:space="preserve"> </w:t>
      </w:r>
      <w:r w:rsidR="00AA63B9" w:rsidRPr="00BF2DAB">
        <w:t xml:space="preserve">This poor survival rate is due in part to the relatively high number of cases </w:t>
      </w:r>
      <w:r w:rsidR="00123214" w:rsidRPr="00BF2DAB">
        <w:t>diagnosed</w:t>
      </w:r>
      <w:r w:rsidR="00AA63B9" w:rsidRPr="00BF2DAB">
        <w:t xml:space="preserve"> at an advanced stage</w:t>
      </w:r>
      <w:r w:rsidR="00123214" w:rsidRPr="00BF2DAB">
        <w:t xml:space="preserve"> (with late</w:t>
      </w:r>
      <w:r w:rsidR="003357A9" w:rsidRPr="00BF2DAB">
        <w:t>-</w:t>
      </w:r>
      <w:r w:rsidR="00123214" w:rsidRPr="00BF2DAB">
        <w:t>stage disease)</w:t>
      </w:r>
      <w:r w:rsidR="0072493B" w:rsidRPr="00BF2DAB">
        <w:t xml:space="preserve"> and because it is associated with other smoking-related comorbidities.</w:t>
      </w:r>
      <w:r w:rsidR="0072493B" w:rsidRPr="00BF2DAB">
        <w:rPr>
          <w:rStyle w:val="FootnoteReference"/>
        </w:rPr>
        <w:footnoteReference w:id="182"/>
      </w:r>
      <w:r w:rsidR="00AA63B9" w:rsidRPr="00BF2DAB">
        <w:t xml:space="preserve"> </w:t>
      </w:r>
    </w:p>
    <w:p w14:paraId="285A837C" w14:textId="681193E3" w:rsidR="00BD6260" w:rsidRPr="007514B8" w:rsidRDefault="00090DCE" w:rsidP="00E87AAA">
      <w:pPr>
        <w:pStyle w:val="Body"/>
        <w:rPr>
          <w:highlight w:val="yellow"/>
        </w:rPr>
      </w:pPr>
      <w:r w:rsidRPr="0073184C">
        <w:lastRenderedPageBreak/>
        <w:t>In Victoria</w:t>
      </w:r>
      <w:r w:rsidR="006F0B3F" w:rsidRPr="0073184C">
        <w:t xml:space="preserve"> the </w:t>
      </w:r>
      <w:r w:rsidR="00A9247E" w:rsidRPr="0073184C">
        <w:t>one</w:t>
      </w:r>
      <w:r w:rsidR="006F0B3F" w:rsidRPr="0073184C">
        <w:t xml:space="preserve">-year relative survival </w:t>
      </w:r>
      <w:r w:rsidR="00123214" w:rsidRPr="0073184C">
        <w:t>for lung cancer increased</w:t>
      </w:r>
      <w:r w:rsidRPr="0073184C">
        <w:t xml:space="preserve"> from 4</w:t>
      </w:r>
      <w:r w:rsidR="0083425B">
        <w:t>5.8</w:t>
      </w:r>
      <w:r w:rsidR="0054537F">
        <w:t>%</w:t>
      </w:r>
      <w:r w:rsidRPr="0073184C">
        <w:t xml:space="preserve"> in 2010 to</w:t>
      </w:r>
      <w:r w:rsidR="0072493B" w:rsidRPr="0073184C">
        <w:t xml:space="preserve"> </w:t>
      </w:r>
      <w:r w:rsidR="0073184C" w:rsidRPr="0073184C">
        <w:t>5</w:t>
      </w:r>
      <w:r w:rsidR="0083425B">
        <w:t>8</w:t>
      </w:r>
      <w:r w:rsidR="0073184C" w:rsidRPr="0073184C">
        <w:t>.</w:t>
      </w:r>
      <w:r w:rsidR="0083425B">
        <w:t>1</w:t>
      </w:r>
      <w:r w:rsidR="0054537F">
        <w:t>%</w:t>
      </w:r>
      <w:r w:rsidR="0072493B" w:rsidRPr="0073184C">
        <w:t xml:space="preserve"> in 20</w:t>
      </w:r>
      <w:r w:rsidR="0073184C" w:rsidRPr="0073184C">
        <w:t>2</w:t>
      </w:r>
      <w:r w:rsidR="00514F33">
        <w:t>1</w:t>
      </w:r>
      <w:r w:rsidR="0073184C" w:rsidRPr="0073184C">
        <w:t xml:space="preserve"> </w:t>
      </w:r>
      <w:r w:rsidR="004609CB" w:rsidRPr="0073184C">
        <w:t>(Figure 13.2</w:t>
      </w:r>
      <w:r w:rsidR="000563A9" w:rsidRPr="0073184C">
        <w:t xml:space="preserve"> (A</w:t>
      </w:r>
      <w:r w:rsidR="004609CB" w:rsidRPr="0073184C">
        <w:t>)</w:t>
      </w:r>
      <w:r w:rsidR="000563A9" w:rsidRPr="0073184C">
        <w:t>)</w:t>
      </w:r>
      <w:r w:rsidR="004609CB" w:rsidRPr="0073184C">
        <w:t>.</w:t>
      </w:r>
      <w:r w:rsidR="00952FC7" w:rsidRPr="0073184C">
        <w:t xml:space="preserve"> </w:t>
      </w:r>
      <w:r w:rsidR="000563A9" w:rsidRPr="00476EA2">
        <w:t>Survival was higher for females than for males between 2010 and 20</w:t>
      </w:r>
      <w:r w:rsidR="0073184C" w:rsidRPr="00476EA2">
        <w:t>20</w:t>
      </w:r>
      <w:r w:rsidR="003354D1" w:rsidRPr="00476EA2">
        <w:t>,</w:t>
      </w:r>
      <w:r w:rsidR="00314164" w:rsidRPr="00476EA2">
        <w:t xml:space="preserve"> with the gender </w:t>
      </w:r>
      <w:r w:rsidR="00B83A50" w:rsidRPr="00476EA2">
        <w:t xml:space="preserve">gap gradually </w:t>
      </w:r>
      <w:r w:rsidR="00314164" w:rsidRPr="00476EA2">
        <w:t>widening</w:t>
      </w:r>
      <w:r w:rsidR="00481E96" w:rsidRPr="00476EA2">
        <w:t xml:space="preserve"> (Figure 13.2 (B))</w:t>
      </w:r>
      <w:r w:rsidR="00B83A50" w:rsidRPr="00476EA2">
        <w:t>.</w:t>
      </w:r>
      <w:r w:rsidR="00952FC7" w:rsidRPr="00476EA2">
        <w:t xml:space="preserve"> </w:t>
      </w:r>
      <w:r w:rsidR="00B83A50" w:rsidRPr="00476EA2">
        <w:t>The</w:t>
      </w:r>
      <w:r w:rsidR="00481E96" w:rsidRPr="00476EA2">
        <w:t xml:space="preserve"> one-year relative survival rate </w:t>
      </w:r>
      <w:r w:rsidR="00B83A50" w:rsidRPr="00476EA2">
        <w:t xml:space="preserve">was </w:t>
      </w:r>
      <w:r w:rsidR="00481E96" w:rsidRPr="00476EA2">
        <w:t>significantly higher for those aged under 44 years compared with all older age groups (Figure 13.</w:t>
      </w:r>
      <w:r w:rsidR="00953179" w:rsidRPr="00476EA2">
        <w:t>2</w:t>
      </w:r>
      <w:r w:rsidR="00481E96" w:rsidRPr="00476EA2">
        <w:t xml:space="preserve"> (C)).</w:t>
      </w:r>
      <w:r w:rsidR="00952FC7" w:rsidRPr="00476EA2">
        <w:t xml:space="preserve"> </w:t>
      </w:r>
      <w:r w:rsidR="00B4267E" w:rsidRPr="00476EA2">
        <w:t xml:space="preserve">Survival fell sharply with age for those aged 75 years </w:t>
      </w:r>
      <w:r w:rsidR="001B50BF" w:rsidRPr="00476EA2">
        <w:t>or older</w:t>
      </w:r>
      <w:r w:rsidR="00B4267E" w:rsidRPr="00476EA2">
        <w:t>.</w:t>
      </w:r>
    </w:p>
    <w:p w14:paraId="64C2A0C9" w14:textId="68642251" w:rsidR="0028366E" w:rsidRPr="00476EA2" w:rsidRDefault="0028366E" w:rsidP="00E87AAA">
      <w:pPr>
        <w:pStyle w:val="Body"/>
      </w:pPr>
      <w:r w:rsidRPr="00476EA2">
        <w:t>Survival varied by remoteness</w:t>
      </w:r>
      <w:r w:rsidR="003354D1" w:rsidRPr="00476EA2">
        <w:t>,</w:t>
      </w:r>
      <w:r w:rsidRPr="00476EA2">
        <w:t xml:space="preserve"> with one-year survival generally higher in </w:t>
      </w:r>
      <w:r w:rsidR="00840304" w:rsidRPr="00476EA2">
        <w:t>m</w:t>
      </w:r>
      <w:r w:rsidRPr="00476EA2">
        <w:t xml:space="preserve">ajor cities for most years </w:t>
      </w:r>
      <w:r w:rsidR="000B7662" w:rsidRPr="00476EA2">
        <w:t>apart from</w:t>
      </w:r>
      <w:r w:rsidRPr="00476EA2">
        <w:t xml:space="preserve"> 201</w:t>
      </w:r>
      <w:r w:rsidR="00476EA2" w:rsidRPr="00476EA2">
        <w:t>5</w:t>
      </w:r>
      <w:r w:rsidR="000B7662" w:rsidRPr="00476EA2">
        <w:t xml:space="preserve"> where </w:t>
      </w:r>
      <w:r w:rsidR="003354D1" w:rsidRPr="00476EA2">
        <w:t>o</w:t>
      </w:r>
      <w:r w:rsidR="000B7662" w:rsidRPr="00476EA2">
        <w:t>uter regional</w:t>
      </w:r>
      <w:r w:rsidR="003354D1" w:rsidRPr="00476EA2">
        <w:t>/</w:t>
      </w:r>
      <w:r w:rsidR="000B7662" w:rsidRPr="00476EA2">
        <w:t>remote areas had the highest survival rate by remoteness</w:t>
      </w:r>
      <w:r w:rsidR="00123214" w:rsidRPr="00476EA2">
        <w:t xml:space="preserve"> but complete overlap of confidence intervals</w:t>
      </w:r>
      <w:r w:rsidR="000B7662" w:rsidRPr="00476EA2">
        <w:t>.</w:t>
      </w:r>
      <w:r w:rsidR="00952FC7" w:rsidRPr="00476EA2">
        <w:t xml:space="preserve"> </w:t>
      </w:r>
      <w:r w:rsidR="005D7A08" w:rsidRPr="00476EA2">
        <w:t>However,</w:t>
      </w:r>
      <w:r w:rsidRPr="00476EA2">
        <w:t xml:space="preserve"> </w:t>
      </w:r>
      <w:r w:rsidR="00983711" w:rsidRPr="00476EA2">
        <w:t xml:space="preserve">caution should be taken when interpreting this result </w:t>
      </w:r>
      <w:r w:rsidR="003354D1" w:rsidRPr="00476EA2">
        <w:t xml:space="preserve">because of </w:t>
      </w:r>
      <w:r w:rsidRPr="00476EA2">
        <w:t xml:space="preserve">the </w:t>
      </w:r>
      <w:r w:rsidR="00AE40A6" w:rsidRPr="00476EA2">
        <w:t>wide</w:t>
      </w:r>
      <w:r w:rsidRPr="00476EA2">
        <w:t xml:space="preserve"> confidence inter</w:t>
      </w:r>
      <w:r w:rsidR="005D7A08" w:rsidRPr="00476EA2">
        <w:t>val</w:t>
      </w:r>
      <w:r w:rsidR="00123214" w:rsidRPr="00476EA2">
        <w:t>s</w:t>
      </w:r>
      <w:r w:rsidR="0086237E" w:rsidRPr="00476EA2">
        <w:t xml:space="preserve"> (Figure 13.</w:t>
      </w:r>
      <w:r w:rsidR="00ED4719" w:rsidRPr="00476EA2">
        <w:t>3</w:t>
      </w:r>
      <w:r w:rsidR="0086237E" w:rsidRPr="00476EA2">
        <w:t xml:space="preserve"> (D)</w:t>
      </w:r>
      <w:r w:rsidR="00476EA2" w:rsidRPr="00476EA2">
        <w:t>; refer to Tables 13.2a</w:t>
      </w:r>
      <w:r w:rsidR="009031CF">
        <w:t>–</w:t>
      </w:r>
      <w:r w:rsidR="00476EA2" w:rsidRPr="00476EA2">
        <w:t>c in Appendix 2</w:t>
      </w:r>
      <w:r w:rsidR="0086237E" w:rsidRPr="00476EA2">
        <w:t>)</w:t>
      </w:r>
      <w:r w:rsidR="00983711" w:rsidRPr="00476EA2">
        <w:t>.</w:t>
      </w:r>
    </w:p>
    <w:p w14:paraId="7863FD70" w14:textId="559A09AB" w:rsidR="00E363CC" w:rsidRPr="00476EA2" w:rsidRDefault="00E363CC" w:rsidP="00E87AAA">
      <w:pPr>
        <w:pStyle w:val="Body"/>
      </w:pPr>
      <w:r w:rsidRPr="00476EA2">
        <w:t xml:space="preserve">One-year survival rates </w:t>
      </w:r>
      <w:r w:rsidR="00ED4719" w:rsidRPr="00476EA2">
        <w:t xml:space="preserve">did not </w:t>
      </w:r>
      <w:r w:rsidRPr="00476EA2">
        <w:t>var</w:t>
      </w:r>
      <w:r w:rsidR="00ED4719" w:rsidRPr="00476EA2">
        <w:t>y</w:t>
      </w:r>
      <w:r w:rsidRPr="00476EA2">
        <w:t xml:space="preserve"> between regions when compared by ICS</w:t>
      </w:r>
      <w:r w:rsidR="00771EAD" w:rsidRPr="00476EA2">
        <w:t xml:space="preserve"> between 2010 and 20</w:t>
      </w:r>
      <w:r w:rsidR="00476EA2" w:rsidRPr="00476EA2">
        <w:t>2</w:t>
      </w:r>
      <w:r w:rsidR="0083425B">
        <w:t>1</w:t>
      </w:r>
      <w:r w:rsidR="003354D1" w:rsidRPr="00476EA2">
        <w:t xml:space="preserve"> and</w:t>
      </w:r>
      <w:r w:rsidR="00771EAD" w:rsidRPr="00476EA2">
        <w:t xml:space="preserve"> were generally higher in the metropolitan ICSs</w:t>
      </w:r>
      <w:r w:rsidR="00DF4D88" w:rsidRPr="00476EA2">
        <w:t>.</w:t>
      </w:r>
      <w:r w:rsidR="00952FC7" w:rsidRPr="00476EA2">
        <w:t xml:space="preserve"> </w:t>
      </w:r>
      <w:r w:rsidR="00DF4D88" w:rsidRPr="00476EA2">
        <w:t xml:space="preserve">Higher rates of survival observed for </w:t>
      </w:r>
      <w:r w:rsidR="00610E37" w:rsidRPr="00476EA2">
        <w:t xml:space="preserve">regional </w:t>
      </w:r>
      <w:r w:rsidR="00DF4D88" w:rsidRPr="00476EA2">
        <w:t>ICS</w:t>
      </w:r>
      <w:r w:rsidR="00695FEC" w:rsidRPr="00476EA2">
        <w:t>s</w:t>
      </w:r>
      <w:r w:rsidR="00DF4D88" w:rsidRPr="00476EA2">
        <w:t xml:space="preserve"> such as HRICS</w:t>
      </w:r>
      <w:r w:rsidR="009031CF">
        <w:t>,</w:t>
      </w:r>
      <w:r w:rsidR="00DF4D88" w:rsidRPr="00476EA2">
        <w:t xml:space="preserve"> </w:t>
      </w:r>
      <w:r w:rsidR="00476EA2" w:rsidRPr="00476EA2">
        <w:t>particularly in 2020</w:t>
      </w:r>
      <w:r w:rsidR="009031CF">
        <w:t>,</w:t>
      </w:r>
      <w:r w:rsidR="00476EA2" w:rsidRPr="00476EA2">
        <w:t xml:space="preserve"> </w:t>
      </w:r>
      <w:r w:rsidR="00DF4D88" w:rsidRPr="00476EA2">
        <w:t>should be interpreted with caution because of the wide con</w:t>
      </w:r>
      <w:r w:rsidR="00AE40A6" w:rsidRPr="00476EA2">
        <w:t>fidence interval.</w:t>
      </w:r>
    </w:p>
    <w:p w14:paraId="450DCF76" w14:textId="66591C28" w:rsidR="002E08FF" w:rsidRPr="008441D3" w:rsidRDefault="00890645" w:rsidP="00606436">
      <w:pPr>
        <w:pStyle w:val="Body"/>
      </w:pPr>
      <w:r w:rsidRPr="0073184C">
        <w:t>While no target has been set for th</w:t>
      </w:r>
      <w:r w:rsidR="00695FEC" w:rsidRPr="0073184C">
        <w:t>is</w:t>
      </w:r>
      <w:r w:rsidRPr="0073184C">
        <w:t xml:space="preserve"> measure</w:t>
      </w:r>
      <w:r w:rsidR="003354D1" w:rsidRPr="0073184C">
        <w:t>,</w:t>
      </w:r>
      <w:r w:rsidRPr="0073184C">
        <w:t xml:space="preserve"> the one-year survival rate for those </w:t>
      </w:r>
      <w:r w:rsidR="00205849" w:rsidRPr="0073184C">
        <w:t xml:space="preserve">patients diagnosed with </w:t>
      </w:r>
      <w:r w:rsidR="00215602" w:rsidRPr="0073184C">
        <w:t>lung</w:t>
      </w:r>
      <w:r w:rsidR="00205849" w:rsidRPr="0073184C">
        <w:t xml:space="preserve"> cancer</w:t>
      </w:r>
      <w:r w:rsidR="00023F04" w:rsidRPr="0073184C">
        <w:t xml:space="preserve"> between 2010 and 20</w:t>
      </w:r>
      <w:r w:rsidR="0073184C" w:rsidRPr="0073184C">
        <w:t>2</w:t>
      </w:r>
      <w:r w:rsidR="0083425B">
        <w:t>1</w:t>
      </w:r>
      <w:r w:rsidR="00205849" w:rsidRPr="0073184C">
        <w:t xml:space="preserve"> </w:t>
      </w:r>
      <w:r w:rsidR="00023F04" w:rsidRPr="0073184C">
        <w:t xml:space="preserve">shows there has been a </w:t>
      </w:r>
      <w:r w:rsidR="002F1CCD">
        <w:t>gradual</w:t>
      </w:r>
      <w:r w:rsidR="0073184C" w:rsidRPr="0073184C">
        <w:t xml:space="preserve"> </w:t>
      </w:r>
      <w:r w:rsidR="00023F04" w:rsidRPr="0073184C">
        <w:t>improvement in the</w:t>
      </w:r>
      <w:r w:rsidR="00205849" w:rsidRPr="0073184C">
        <w:t xml:space="preserve"> proportion </w:t>
      </w:r>
      <w:r w:rsidR="00023F04" w:rsidRPr="0073184C">
        <w:t xml:space="preserve">of those </w:t>
      </w:r>
      <w:r w:rsidR="00205849" w:rsidRPr="0073184C">
        <w:t>surviving the on</w:t>
      </w:r>
      <w:r w:rsidR="008441D3" w:rsidRPr="0073184C">
        <w:t>e</w:t>
      </w:r>
      <w:r w:rsidR="00205849" w:rsidRPr="0073184C">
        <w:t>-year period.</w:t>
      </w:r>
      <w:r w:rsidR="00205849">
        <w:t xml:space="preserve"> </w:t>
      </w:r>
      <w:r w:rsidR="002E08FF" w:rsidRPr="00890645">
        <w:br w:type="page"/>
      </w:r>
    </w:p>
    <w:p w14:paraId="23C9BFDB" w14:textId="56365852" w:rsidR="005C15AA" w:rsidRPr="00457BB6" w:rsidRDefault="005C15AA" w:rsidP="00A451D4">
      <w:pPr>
        <w:pStyle w:val="Heading3"/>
        <w:rPr>
          <w:b/>
          <w:bCs w:val="0"/>
        </w:rPr>
      </w:pPr>
      <w:bookmarkStart w:id="953" w:name="_Measure_13.3_–"/>
      <w:bookmarkStart w:id="954" w:name="_Toc19008158"/>
      <w:bookmarkEnd w:id="953"/>
      <w:r w:rsidRPr="00457BB6">
        <w:rPr>
          <w:b/>
          <w:bCs w:val="0"/>
        </w:rPr>
        <w:lastRenderedPageBreak/>
        <w:t xml:space="preserve">Measure 13.3 – One-year </w:t>
      </w:r>
      <w:r w:rsidR="003D7785">
        <w:rPr>
          <w:b/>
          <w:bCs w:val="0"/>
        </w:rPr>
        <w:t xml:space="preserve">relative </w:t>
      </w:r>
      <w:r w:rsidRPr="00457BB6">
        <w:rPr>
          <w:b/>
          <w:bCs w:val="0"/>
        </w:rPr>
        <w:t>survival from pancrea</w:t>
      </w:r>
      <w:r w:rsidR="002627CE" w:rsidRPr="00457BB6">
        <w:rPr>
          <w:b/>
          <w:bCs w:val="0"/>
        </w:rPr>
        <w:t>tic</w:t>
      </w:r>
      <w:r w:rsidRPr="00457BB6">
        <w:rPr>
          <w:b/>
          <w:bCs w:val="0"/>
        </w:rPr>
        <w:t xml:space="preserve"> cancer</w:t>
      </w:r>
      <w:bookmarkEnd w:id="954"/>
    </w:p>
    <w:p w14:paraId="1F8402FE" w14:textId="63D29FEE" w:rsidR="0047495E" w:rsidRPr="0039036B" w:rsidRDefault="007A59AC" w:rsidP="00441D5B">
      <w:pPr>
        <w:pStyle w:val="Figurecaption"/>
        <w:rPr>
          <w:sz w:val="20"/>
        </w:rPr>
      </w:pPr>
      <w:bookmarkStart w:id="955" w:name="_Toc19008159"/>
      <w:bookmarkStart w:id="956" w:name="_Toc19008364"/>
      <w:bookmarkStart w:id="957" w:name="_Toc19008511"/>
      <w:bookmarkStart w:id="958" w:name="_Toc19008658"/>
      <w:bookmarkStart w:id="959" w:name="_Toc132553088"/>
      <w:bookmarkStart w:id="960" w:name="_Toc140827701"/>
      <w:r w:rsidRPr="0039036B">
        <w:rPr>
          <w:sz w:val="20"/>
        </w:rPr>
        <w:t>Figure 13.3</w:t>
      </w:r>
      <w:r w:rsidR="00C47F9A" w:rsidRPr="0039036B">
        <w:rPr>
          <w:sz w:val="20"/>
        </w:rPr>
        <w:t>:</w:t>
      </w:r>
      <w:r w:rsidRPr="0039036B">
        <w:rPr>
          <w:sz w:val="20"/>
        </w:rPr>
        <w:t xml:space="preserve"> </w:t>
      </w:r>
      <w:r w:rsidR="0047495E" w:rsidRPr="0039036B">
        <w:rPr>
          <w:sz w:val="20"/>
        </w:rPr>
        <w:t xml:space="preserve">Trends in one-year relative survival from pancreatic cancer overall (A) and by sex (B), age (C), remoteness (D) and </w:t>
      </w:r>
      <w:r w:rsidR="008439C8" w:rsidRPr="0039036B">
        <w:rPr>
          <w:sz w:val="20"/>
        </w:rPr>
        <w:t>ICS</w:t>
      </w:r>
      <w:r w:rsidR="0047495E" w:rsidRPr="0039036B">
        <w:rPr>
          <w:sz w:val="20"/>
        </w:rPr>
        <w:t xml:space="preserve"> (E), Victoria, by year, 2010</w:t>
      </w:r>
      <w:r w:rsidR="009D0E1A" w:rsidRPr="0039036B">
        <w:rPr>
          <w:sz w:val="20"/>
        </w:rPr>
        <w:t>–</w:t>
      </w:r>
      <w:r w:rsidR="0047495E" w:rsidRPr="0039036B">
        <w:rPr>
          <w:sz w:val="20"/>
        </w:rPr>
        <w:t>20</w:t>
      </w:r>
      <w:bookmarkEnd w:id="955"/>
      <w:bookmarkEnd w:id="956"/>
      <w:bookmarkEnd w:id="957"/>
      <w:bookmarkEnd w:id="958"/>
      <w:r w:rsidR="007514B8" w:rsidRPr="0039036B">
        <w:rPr>
          <w:sz w:val="20"/>
        </w:rPr>
        <w:t>2</w:t>
      </w:r>
      <w:r w:rsidR="00E27C1D" w:rsidRPr="0039036B">
        <w:rPr>
          <w:sz w:val="20"/>
        </w:rPr>
        <w:t>1</w:t>
      </w:r>
      <w:bookmarkEnd w:id="959"/>
      <w:bookmarkEnd w:id="960"/>
    </w:p>
    <w:p w14:paraId="4267ADB3" w14:textId="36438ABD" w:rsidR="007514B8" w:rsidRDefault="00E27C1D" w:rsidP="00E87AAA">
      <w:pPr>
        <w:pStyle w:val="Body"/>
      </w:pPr>
      <w:r>
        <w:rPr>
          <w:noProof/>
        </w:rPr>
        <w:drawing>
          <wp:inline distT="0" distB="0" distL="0" distR="0" wp14:anchorId="1CE42C4C" wp14:editId="7BC18F18">
            <wp:extent cx="5923747" cy="5148000"/>
            <wp:effectExtent l="0" t="0" r="1270" b="0"/>
            <wp:docPr id="398" name="Picture 398" descr="This figure shows a data summary of 'Measure 13.3 – One-year relative survival from pancreatic cancer'. Specially this figure focuses on the trends in one-year relative survival overall and by sex, age remoteness and Integrated Cancer Service for the study period 2010-2021. The data set is available under 'Measure 13.3 – One-year relative survival from pancreatic cancers'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descr="This figure shows a data summary of 'Measure 13.3 – One-year relative survival from pancreatic cancer'. Specially this figure focuses on the trends in one-year relative survival overall and by sex, age remoteness and Integrated Cancer Service for the study period 2010-2021. The data set is available under 'Measure 13.3 – One-year relative survival from pancreatic cancers' in a separate volume, the Victorian cancer plan monitoring and evaluation framework: baseline progress report: Appendix 2: Datasets available on Cancer care &lt;https://www.health.vic.gov.au/health-strategies/cancer-care&gt;."/>
                    <pic:cNvPicPr/>
                  </pic:nvPicPr>
                  <pic:blipFill>
                    <a:blip r:embed="rId152"/>
                    <a:stretch>
                      <a:fillRect/>
                    </a:stretch>
                  </pic:blipFill>
                  <pic:spPr>
                    <a:xfrm>
                      <a:off x="0" y="0"/>
                      <a:ext cx="5936734" cy="5159286"/>
                    </a:xfrm>
                    <a:prstGeom prst="rect">
                      <a:avLst/>
                    </a:prstGeom>
                  </pic:spPr>
                </pic:pic>
              </a:graphicData>
            </a:graphic>
          </wp:inline>
        </w:drawing>
      </w:r>
    </w:p>
    <w:p w14:paraId="7D01F759" w14:textId="54465715" w:rsidR="0073300D" w:rsidRPr="0039036B" w:rsidRDefault="0073300D" w:rsidP="0073300D">
      <w:pPr>
        <w:pStyle w:val="Tablefigurenote"/>
        <w:rPr>
          <w:i/>
          <w:iCs/>
          <w:sz w:val="18"/>
          <w:szCs w:val="18"/>
        </w:rPr>
      </w:pPr>
      <w:r w:rsidRPr="0039036B">
        <w:rPr>
          <w:i/>
          <w:iCs/>
          <w:sz w:val="18"/>
          <w:szCs w:val="18"/>
        </w:rPr>
        <w:t>Note: Appendix 2 provides the dataset</w:t>
      </w:r>
      <w:r w:rsidR="00DC2D82" w:rsidRPr="0039036B">
        <w:rPr>
          <w:i/>
          <w:iCs/>
          <w:sz w:val="18"/>
          <w:szCs w:val="18"/>
        </w:rPr>
        <w:t>.</w:t>
      </w:r>
    </w:p>
    <w:p w14:paraId="548AC96F" w14:textId="511C3E77" w:rsidR="002E08FF" w:rsidRPr="00210B21" w:rsidRDefault="002E08FF" w:rsidP="007C7F00">
      <w:pPr>
        <w:pStyle w:val="Heading4"/>
      </w:pPr>
      <w:r w:rsidRPr="0083425B">
        <w:t>Measure assessment</w:t>
      </w:r>
    </w:p>
    <w:p w14:paraId="03D50284" w14:textId="77777777" w:rsidR="00AA44E0" w:rsidRPr="003A15F7" w:rsidRDefault="00AA44E0" w:rsidP="00AA44E0">
      <w:pPr>
        <w:pStyle w:val="Body"/>
      </w:pPr>
      <w:r w:rsidRPr="005A4EC0">
        <w:t>Traffic light rating:</w:t>
      </w:r>
      <w:r w:rsidRPr="00B504AD">
        <w:rPr>
          <w:color w:val="AF272F"/>
        </w:rPr>
        <w:t xml:space="preserve"> </w:t>
      </w:r>
      <w:r w:rsidRPr="00DD3D63">
        <w:rPr>
          <w:b/>
          <w:color w:val="C5511A"/>
        </w:rPr>
        <w:t xml:space="preserve">Amber </w:t>
      </w:r>
      <w:r w:rsidRPr="00744FAD">
        <w:t>(desired result not yet evident)</w:t>
      </w:r>
    </w:p>
    <w:p w14:paraId="1DCE373B" w14:textId="1477A3B3" w:rsidR="00AA44E0" w:rsidRPr="005A4EC0" w:rsidRDefault="00AA44E0" w:rsidP="00AA44E0">
      <w:pPr>
        <w:pStyle w:val="Body"/>
      </w:pPr>
      <w:r w:rsidRPr="005A4EC0">
        <w:t>Overall trend: Moving in the right direction</w:t>
      </w:r>
      <w:r>
        <w:t xml:space="preserve"> but impacts of the COVID pandemic on one-year survival is uncertain</w:t>
      </w:r>
    </w:p>
    <w:p w14:paraId="0E3AEBE1" w14:textId="05636C92" w:rsidR="00B626FA" w:rsidRPr="00210B21" w:rsidRDefault="002E08FF" w:rsidP="00E87AAA">
      <w:pPr>
        <w:pStyle w:val="Body"/>
        <w:rPr>
          <w:lang w:val="en-US"/>
        </w:rPr>
      </w:pPr>
      <w:r w:rsidRPr="00210B21">
        <w:rPr>
          <w:lang w:eastAsia="en-AU"/>
        </w:rPr>
        <w:t>Commentary:</w:t>
      </w:r>
      <w:r w:rsidR="00EE6F47" w:rsidRPr="00210B21">
        <w:rPr>
          <w:lang w:eastAsia="en-AU"/>
        </w:rPr>
        <w:t xml:space="preserve"> </w:t>
      </w:r>
      <w:r w:rsidR="00EE6F47" w:rsidRPr="00210B21">
        <w:rPr>
          <w:rStyle w:val="e24kjd"/>
          <w:rFonts w:cs="Arial"/>
        </w:rPr>
        <w:t xml:space="preserve">While </w:t>
      </w:r>
      <w:r w:rsidR="00EE6F47" w:rsidRPr="76BE792E">
        <w:rPr>
          <w:rStyle w:val="e24kjd"/>
          <w:rFonts w:cs="Arial"/>
        </w:rPr>
        <w:t>pancreatic cancer survival rates</w:t>
      </w:r>
      <w:r w:rsidR="00EE6F47" w:rsidRPr="00210B21">
        <w:rPr>
          <w:rStyle w:val="e24kjd"/>
          <w:rFonts w:cs="Arial"/>
        </w:rPr>
        <w:t xml:space="preserve"> have been improving from decade to decade, the disease is still considered largely incurable globally.</w:t>
      </w:r>
      <w:r w:rsidR="00B626FA" w:rsidRPr="00210B21">
        <w:rPr>
          <w:rStyle w:val="e24kjd"/>
          <w:rFonts w:cs="Arial"/>
        </w:rPr>
        <w:t xml:space="preserve"> In Australia pancreatic cancer </w:t>
      </w:r>
      <w:r w:rsidR="00EE6F47" w:rsidRPr="00210B21">
        <w:rPr>
          <w:rStyle w:val="Strong"/>
          <w:rFonts w:cs="Arial"/>
          <w:b w:val="0"/>
          <w:bCs w:val="0"/>
          <w:lang w:val="en-US"/>
        </w:rPr>
        <w:t>accounts for</w:t>
      </w:r>
      <w:r w:rsidR="00EE6F47" w:rsidRPr="00210B21">
        <w:rPr>
          <w:rStyle w:val="Strong"/>
          <w:rFonts w:cs="Arial"/>
          <w:lang w:val="en-US"/>
        </w:rPr>
        <w:t xml:space="preserve"> </w:t>
      </w:r>
      <w:r w:rsidR="00EE6F47" w:rsidRPr="00210B21">
        <w:rPr>
          <w:rStyle w:val="Strong"/>
          <w:rFonts w:cs="Arial"/>
          <w:b w:val="0"/>
          <w:bCs w:val="0"/>
          <w:lang w:val="en-US"/>
        </w:rPr>
        <w:t>2.</w:t>
      </w:r>
      <w:r w:rsidR="00210B21" w:rsidRPr="00210B21">
        <w:rPr>
          <w:rStyle w:val="Strong"/>
          <w:rFonts w:cs="Arial"/>
          <w:b w:val="0"/>
          <w:bCs w:val="0"/>
          <w:lang w:val="en-US"/>
        </w:rPr>
        <w:t>5</w:t>
      </w:r>
      <w:r w:rsidR="0054537F">
        <w:rPr>
          <w:rStyle w:val="Strong"/>
          <w:rFonts w:cs="Arial"/>
          <w:b w:val="0"/>
          <w:bCs w:val="0"/>
          <w:lang w:val="en-US"/>
        </w:rPr>
        <w:t>%</w:t>
      </w:r>
      <w:r w:rsidR="00EE6F47" w:rsidRPr="00210B21">
        <w:rPr>
          <w:rStyle w:val="Strong"/>
          <w:rFonts w:cs="Arial"/>
          <w:b w:val="0"/>
          <w:bCs w:val="0"/>
          <w:lang w:val="en-US"/>
        </w:rPr>
        <w:t xml:space="preserve"> of all new cancer</w:t>
      </w:r>
      <w:r w:rsidR="00EE6F47" w:rsidRPr="00210B21">
        <w:rPr>
          <w:rStyle w:val="Strong"/>
          <w:rFonts w:cs="Arial"/>
          <w:lang w:val="en-US"/>
        </w:rPr>
        <w:t xml:space="preserve"> </w:t>
      </w:r>
      <w:r w:rsidR="00EE6F47" w:rsidRPr="00210B21">
        <w:rPr>
          <w:rStyle w:val="Strong"/>
          <w:rFonts w:cs="Arial"/>
          <w:b w:val="0"/>
          <w:bCs w:val="0"/>
          <w:lang w:val="en-US"/>
        </w:rPr>
        <w:t>diagnoses</w:t>
      </w:r>
      <w:r w:rsidR="00B626FA" w:rsidRPr="00210B21">
        <w:rPr>
          <w:rStyle w:val="Strong"/>
          <w:rFonts w:cs="Arial"/>
          <w:b w:val="0"/>
          <w:bCs w:val="0"/>
          <w:lang w:val="en-US"/>
        </w:rPr>
        <w:t>.</w:t>
      </w:r>
      <w:r w:rsidR="00952FC7" w:rsidRPr="00210B21">
        <w:rPr>
          <w:rStyle w:val="Strong"/>
          <w:rFonts w:cs="Arial"/>
          <w:lang w:val="en-US"/>
        </w:rPr>
        <w:t xml:space="preserve"> </w:t>
      </w:r>
      <w:r w:rsidR="00B626FA" w:rsidRPr="00210B21">
        <w:rPr>
          <w:rStyle w:val="Strong"/>
          <w:rFonts w:cs="Arial"/>
          <w:b w:val="0"/>
          <w:bCs w:val="0"/>
          <w:lang w:val="en-US"/>
        </w:rPr>
        <w:t>The poor</w:t>
      </w:r>
      <w:r w:rsidR="00B626FA" w:rsidRPr="00210B21">
        <w:rPr>
          <w:rStyle w:val="Strong"/>
          <w:rFonts w:cs="Arial"/>
          <w:lang w:val="en-US"/>
        </w:rPr>
        <w:t xml:space="preserve"> </w:t>
      </w:r>
      <w:r w:rsidR="00B626FA" w:rsidRPr="00210B21">
        <w:rPr>
          <w:rStyle w:val="Strong"/>
          <w:rFonts w:cs="Arial"/>
          <w:b w:val="0"/>
          <w:bCs w:val="0"/>
          <w:lang w:val="en-US"/>
        </w:rPr>
        <w:t>survival rates</w:t>
      </w:r>
      <w:r w:rsidR="00B626FA" w:rsidRPr="00210B21">
        <w:rPr>
          <w:rStyle w:val="Strong"/>
          <w:rFonts w:cs="Arial"/>
          <w:lang w:val="en-US"/>
        </w:rPr>
        <w:t xml:space="preserve"> </w:t>
      </w:r>
      <w:r w:rsidR="00B626FA" w:rsidRPr="00210B21">
        <w:rPr>
          <w:rStyle w:val="Strong"/>
          <w:rFonts w:cs="Arial"/>
          <w:b w:val="0"/>
          <w:bCs w:val="0"/>
          <w:lang w:val="en-US"/>
        </w:rPr>
        <w:t xml:space="preserve">for this cancer have only marginally improved in Australia over a </w:t>
      </w:r>
      <w:r w:rsidR="00B11493" w:rsidRPr="00210B21">
        <w:rPr>
          <w:rStyle w:val="Strong"/>
          <w:rFonts w:cs="Arial"/>
          <w:b w:val="0"/>
          <w:bCs w:val="0"/>
          <w:lang w:val="en-US"/>
        </w:rPr>
        <w:t>40</w:t>
      </w:r>
      <w:r w:rsidR="00B626FA" w:rsidRPr="00210B21">
        <w:rPr>
          <w:rStyle w:val="Strong"/>
          <w:rFonts w:cs="Arial"/>
          <w:b w:val="0"/>
          <w:bCs w:val="0"/>
          <w:lang w:val="en-US"/>
        </w:rPr>
        <w:t>-year</w:t>
      </w:r>
      <w:r w:rsidR="00B626FA" w:rsidRPr="00210B21">
        <w:rPr>
          <w:rStyle w:val="Strong"/>
          <w:rFonts w:cs="Arial"/>
          <w:lang w:val="en-US"/>
        </w:rPr>
        <w:t xml:space="preserve"> </w:t>
      </w:r>
      <w:r w:rsidR="00B626FA" w:rsidRPr="00210B21">
        <w:rPr>
          <w:rStyle w:val="Strong"/>
          <w:rFonts w:cs="Arial"/>
          <w:b w:val="0"/>
          <w:bCs w:val="0"/>
          <w:lang w:val="en-US"/>
        </w:rPr>
        <w:t>period.</w:t>
      </w:r>
      <w:r w:rsidR="00952FC7" w:rsidRPr="00210B21">
        <w:rPr>
          <w:rStyle w:val="Strong"/>
          <w:rFonts w:cs="Arial"/>
          <w:b w:val="0"/>
          <w:bCs w:val="0"/>
          <w:lang w:val="en-US"/>
        </w:rPr>
        <w:t xml:space="preserve"> </w:t>
      </w:r>
      <w:r w:rsidR="00B626FA" w:rsidRPr="00210B21">
        <w:rPr>
          <w:rStyle w:val="Strong"/>
          <w:rFonts w:cs="Arial"/>
          <w:b w:val="0"/>
          <w:bCs w:val="0"/>
          <w:lang w:val="en-US"/>
        </w:rPr>
        <w:t>This poor prognosis is directly related</w:t>
      </w:r>
      <w:r w:rsidR="00B626FA" w:rsidRPr="00210B21">
        <w:rPr>
          <w:rStyle w:val="Strong"/>
          <w:rFonts w:cs="Arial"/>
          <w:lang w:val="en-US"/>
        </w:rPr>
        <w:t xml:space="preserve"> </w:t>
      </w:r>
      <w:r w:rsidR="00B626FA" w:rsidRPr="00210B21">
        <w:rPr>
          <w:lang w:val="en-US"/>
        </w:rPr>
        <w:t>to late diagnosis, when the disease is often locally advanced or metastatic.</w:t>
      </w:r>
      <w:r w:rsidR="00B626FA" w:rsidRPr="00210B21">
        <w:rPr>
          <w:rStyle w:val="FootnoteReference"/>
          <w:rFonts w:cs="Arial"/>
          <w:lang w:val="en-US"/>
        </w:rPr>
        <w:footnoteReference w:id="183"/>
      </w:r>
    </w:p>
    <w:p w14:paraId="30B8A533" w14:textId="4E434BD3" w:rsidR="00B24BC3" w:rsidRPr="00BC07AA" w:rsidRDefault="00B24BC3" w:rsidP="00E87AAA">
      <w:pPr>
        <w:pStyle w:val="Body"/>
        <w:rPr>
          <w:highlight w:val="yellow"/>
        </w:rPr>
      </w:pPr>
      <w:r w:rsidRPr="00210B21">
        <w:t>In Victoria, for people diagnosed with pancreatic cancer between 2010 and 20</w:t>
      </w:r>
      <w:r w:rsidR="00210B21" w:rsidRPr="00210B21">
        <w:t>2</w:t>
      </w:r>
      <w:r w:rsidR="0083425B">
        <w:t>1</w:t>
      </w:r>
      <w:r w:rsidRPr="00210B21">
        <w:t xml:space="preserve">, the one-year relative survival ranged from </w:t>
      </w:r>
      <w:r w:rsidR="00210B21" w:rsidRPr="00210B21">
        <w:t>31</w:t>
      </w:r>
      <w:r w:rsidRPr="00210B21">
        <w:t>.</w:t>
      </w:r>
      <w:r w:rsidR="0083425B">
        <w:t>7</w:t>
      </w:r>
      <w:r w:rsidR="0054537F">
        <w:t>%</w:t>
      </w:r>
      <w:r w:rsidRPr="00210B21">
        <w:t xml:space="preserve"> in 2010 to </w:t>
      </w:r>
      <w:r w:rsidR="00210B21" w:rsidRPr="00210B21">
        <w:t>4</w:t>
      </w:r>
      <w:r w:rsidR="0083425B">
        <w:t>2</w:t>
      </w:r>
      <w:r w:rsidRPr="00210B21">
        <w:t>.</w:t>
      </w:r>
      <w:r w:rsidR="0083425B">
        <w:t>7</w:t>
      </w:r>
      <w:r w:rsidR="0054537F">
        <w:t>%</w:t>
      </w:r>
      <w:r w:rsidRPr="00210B21">
        <w:t xml:space="preserve"> in 20</w:t>
      </w:r>
      <w:r w:rsidR="00210B21" w:rsidRPr="00210B21">
        <w:t>2</w:t>
      </w:r>
      <w:r w:rsidR="0083425B">
        <w:t>1</w:t>
      </w:r>
      <w:r w:rsidRPr="00210B21">
        <w:t xml:space="preserve"> (Figure 13.3 (A)).</w:t>
      </w:r>
      <w:r w:rsidR="00952FC7" w:rsidRPr="00210B21">
        <w:t xml:space="preserve"> </w:t>
      </w:r>
      <w:r w:rsidRPr="008F6EC3">
        <w:t xml:space="preserve">Survival </w:t>
      </w:r>
      <w:r w:rsidR="00953179" w:rsidRPr="008F6EC3">
        <w:t xml:space="preserve">showed </w:t>
      </w:r>
      <w:r w:rsidR="00953179" w:rsidRPr="008F6EC3">
        <w:lastRenderedPageBreak/>
        <w:t xml:space="preserve">very little variation </w:t>
      </w:r>
      <w:r w:rsidRPr="008F6EC3">
        <w:t>between the genders</w:t>
      </w:r>
      <w:r w:rsidR="00210B21" w:rsidRPr="008F6EC3">
        <w:t xml:space="preserve"> with males at a slightly higher risk than females over</w:t>
      </w:r>
      <w:r w:rsidR="00B564A8">
        <w:t>all</w:t>
      </w:r>
      <w:r w:rsidR="00210B21" w:rsidRPr="008F6EC3">
        <w:t xml:space="preserve"> except</w:t>
      </w:r>
      <w:r w:rsidR="00B564A8">
        <w:t xml:space="preserve"> for</w:t>
      </w:r>
      <w:r w:rsidR="00210B21" w:rsidRPr="008F6EC3">
        <w:t xml:space="preserve"> some years such as 2015</w:t>
      </w:r>
      <w:r w:rsidR="00953179" w:rsidRPr="008F6EC3">
        <w:t xml:space="preserve"> (Figure 13.3 (B))</w:t>
      </w:r>
      <w:r w:rsidR="008F6EC3" w:rsidRPr="008F6EC3">
        <w:t>. T</w:t>
      </w:r>
      <w:r w:rsidRPr="008F6EC3">
        <w:t xml:space="preserve">he one-year relative survival rate </w:t>
      </w:r>
      <w:r w:rsidR="008F6EC3" w:rsidRPr="008F6EC3">
        <w:t>was</w:t>
      </w:r>
      <w:r w:rsidRPr="008F6EC3">
        <w:t xml:space="preserve"> higher for those aged under </w:t>
      </w:r>
      <w:r w:rsidR="00953179" w:rsidRPr="008F6EC3">
        <w:t>5</w:t>
      </w:r>
      <w:r w:rsidRPr="008F6EC3">
        <w:t>4 years compared with all older age groups (Figure 13.</w:t>
      </w:r>
      <w:r w:rsidR="00953179" w:rsidRPr="008F6EC3">
        <w:t>3</w:t>
      </w:r>
      <w:r w:rsidRPr="008F6EC3">
        <w:t xml:space="preserve"> (C)).</w:t>
      </w:r>
      <w:r w:rsidR="00952FC7" w:rsidRPr="008F6EC3">
        <w:t xml:space="preserve"> </w:t>
      </w:r>
      <w:r w:rsidRPr="008F6EC3">
        <w:t xml:space="preserve">Survival </w:t>
      </w:r>
      <w:r w:rsidR="008F6EC3" w:rsidRPr="008F6EC3">
        <w:t>decreased</w:t>
      </w:r>
      <w:r w:rsidRPr="008F6EC3">
        <w:t xml:space="preserve"> </w:t>
      </w:r>
      <w:r w:rsidR="008F6EC3">
        <w:t>markedly</w:t>
      </w:r>
      <w:r w:rsidRPr="008F6EC3">
        <w:t xml:space="preserve"> with age for those aged 75 years </w:t>
      </w:r>
      <w:r w:rsidR="001B50BF" w:rsidRPr="008F6EC3">
        <w:t>or older</w:t>
      </w:r>
      <w:r w:rsidRPr="008F6EC3">
        <w:t>.</w:t>
      </w:r>
    </w:p>
    <w:p w14:paraId="36A66C85" w14:textId="06C0B061" w:rsidR="00B24BC3" w:rsidRPr="008F6EC3" w:rsidRDefault="00B24BC3" w:rsidP="00E87AAA">
      <w:pPr>
        <w:pStyle w:val="Body"/>
      </w:pPr>
      <w:r w:rsidRPr="008F6EC3">
        <w:t>Survival varied by remoteness</w:t>
      </w:r>
      <w:r w:rsidR="003B0CBD" w:rsidRPr="008F6EC3">
        <w:t>,</w:t>
      </w:r>
      <w:r w:rsidRPr="008F6EC3">
        <w:t xml:space="preserve"> with one-year survival generally higher in </w:t>
      </w:r>
      <w:r w:rsidR="00840304" w:rsidRPr="008F6EC3">
        <w:t>m</w:t>
      </w:r>
      <w:r w:rsidRPr="008F6EC3">
        <w:t>ajor cities for most years apart from 201</w:t>
      </w:r>
      <w:r w:rsidR="008F6EC3" w:rsidRPr="008F6EC3">
        <w:t>2, 2013 and 2017</w:t>
      </w:r>
      <w:r w:rsidRPr="008F6EC3">
        <w:t xml:space="preserve"> where </w:t>
      </w:r>
      <w:r w:rsidR="003B0CBD" w:rsidRPr="008F6EC3">
        <w:t>o</w:t>
      </w:r>
      <w:r w:rsidRPr="008F6EC3">
        <w:t>uter regional</w:t>
      </w:r>
      <w:r w:rsidR="009031CF">
        <w:t>/</w:t>
      </w:r>
      <w:r w:rsidRPr="008F6EC3">
        <w:t>remote areas had the highest survival rate by remoteness.</w:t>
      </w:r>
      <w:r w:rsidR="00952FC7" w:rsidRPr="008F6EC3">
        <w:t xml:space="preserve"> </w:t>
      </w:r>
      <w:r w:rsidRPr="008F6EC3">
        <w:t xml:space="preserve">However, caution should be taken when interpreting this result </w:t>
      </w:r>
      <w:r w:rsidR="00D168B6" w:rsidRPr="008F6EC3">
        <w:t>due to</w:t>
      </w:r>
      <w:r w:rsidRPr="008F6EC3">
        <w:t xml:space="preserve"> the wide confidence interval</w:t>
      </w:r>
      <w:r w:rsidR="00D168B6" w:rsidRPr="008F6EC3">
        <w:t>s</w:t>
      </w:r>
      <w:r w:rsidR="00123214" w:rsidRPr="008F6EC3">
        <w:t>.</w:t>
      </w:r>
      <w:r w:rsidR="00952FC7" w:rsidRPr="008F6EC3">
        <w:t xml:space="preserve"> </w:t>
      </w:r>
      <w:r w:rsidR="00123214" w:rsidRPr="008F6EC3">
        <w:t>The large 95</w:t>
      </w:r>
      <w:r w:rsidR="0054537F">
        <w:t>%</w:t>
      </w:r>
      <w:r w:rsidR="00123214" w:rsidRPr="008F6EC3">
        <w:t xml:space="preserve"> confidence interval</w:t>
      </w:r>
      <w:r w:rsidR="00251A7A" w:rsidRPr="008F6EC3">
        <w:t>s</w:t>
      </w:r>
      <w:r w:rsidR="00123214" w:rsidRPr="008F6EC3">
        <w:t xml:space="preserve"> reflect the confidence around the estimated value.</w:t>
      </w:r>
      <w:r w:rsidR="00952FC7" w:rsidRPr="008F6EC3">
        <w:t xml:space="preserve"> </w:t>
      </w:r>
      <w:r w:rsidR="008F6EC3" w:rsidRPr="008F6EC3">
        <w:t>Nevertheless, it</w:t>
      </w:r>
      <w:r w:rsidR="00123214" w:rsidRPr="008F6EC3">
        <w:t xml:space="preserve"> can still be representative to the population.</w:t>
      </w:r>
      <w:r w:rsidR="00952FC7" w:rsidRPr="008F6EC3">
        <w:t xml:space="preserve"> </w:t>
      </w:r>
      <w:r w:rsidR="00123214" w:rsidRPr="008F6EC3">
        <w:t xml:space="preserve">The figure is large because there are few pancreatic patients living in Victorian </w:t>
      </w:r>
      <w:r w:rsidR="003B0CBD" w:rsidRPr="008F6EC3">
        <w:t>o</w:t>
      </w:r>
      <w:r w:rsidR="00123214" w:rsidRPr="008F6EC3">
        <w:t>uter regional/remote areas</w:t>
      </w:r>
      <w:r w:rsidRPr="008F6EC3">
        <w:t xml:space="preserve"> (Figure 13.2 (D)).</w:t>
      </w:r>
    </w:p>
    <w:p w14:paraId="299DFFBD" w14:textId="455534C7" w:rsidR="00B24BC3" w:rsidRPr="008F6EC3" w:rsidRDefault="00B24BC3" w:rsidP="00E87AAA">
      <w:pPr>
        <w:pStyle w:val="Body"/>
      </w:pPr>
      <w:r w:rsidRPr="008F6EC3">
        <w:t>One-year survival rates varied between regions when compared by ICS between 2010 and 20</w:t>
      </w:r>
      <w:r w:rsidR="008F6EC3" w:rsidRPr="008F6EC3">
        <w:t>2</w:t>
      </w:r>
      <w:r w:rsidR="0083425B">
        <w:t>1</w:t>
      </w:r>
      <w:r w:rsidR="003B0CBD" w:rsidRPr="008F6EC3">
        <w:t>; they</w:t>
      </w:r>
      <w:r w:rsidRPr="008F6EC3">
        <w:t xml:space="preserve"> were generally higher in the metropolitan ICSs</w:t>
      </w:r>
      <w:r w:rsidR="00215602" w:rsidRPr="008F6EC3">
        <w:t xml:space="preserve">. </w:t>
      </w:r>
      <w:r w:rsidRPr="008F6EC3">
        <w:t xml:space="preserve">Higher rates of survival observed for </w:t>
      </w:r>
      <w:r w:rsidR="00215602" w:rsidRPr="008F6EC3">
        <w:t xml:space="preserve">regional </w:t>
      </w:r>
      <w:r w:rsidRPr="008F6EC3">
        <w:t xml:space="preserve">ICSs such as HRICS </w:t>
      </w:r>
      <w:r w:rsidR="00215602" w:rsidRPr="008F6EC3">
        <w:t>in 2016</w:t>
      </w:r>
      <w:r w:rsidR="008F6EC3" w:rsidRPr="008F6EC3">
        <w:t xml:space="preserve"> and 2019</w:t>
      </w:r>
      <w:r w:rsidR="00215602" w:rsidRPr="008F6EC3">
        <w:t xml:space="preserve"> </w:t>
      </w:r>
      <w:r w:rsidRPr="008F6EC3">
        <w:t>should be interpreted with caution because of the wide confidence interval</w:t>
      </w:r>
      <w:r w:rsidR="00251A7A" w:rsidRPr="008F6EC3">
        <w:t>s</w:t>
      </w:r>
      <w:r w:rsidR="000B2341" w:rsidRPr="008F6EC3">
        <w:t xml:space="preserve"> (Figure 13.3 (E)).</w:t>
      </w:r>
    </w:p>
    <w:p w14:paraId="55FD78BD" w14:textId="6B3EA8CD" w:rsidR="002E08FF" w:rsidRPr="001A2A05" w:rsidRDefault="00B24BC3" w:rsidP="00E87AAA">
      <w:pPr>
        <w:pStyle w:val="Body"/>
        <w:rPr>
          <w:color w:val="222222"/>
        </w:rPr>
      </w:pPr>
      <w:r w:rsidRPr="008F6EC3">
        <w:t>While no target has been set for this measure</w:t>
      </w:r>
      <w:r w:rsidR="003B0CBD" w:rsidRPr="008F6EC3">
        <w:t>,</w:t>
      </w:r>
      <w:r w:rsidRPr="008F6EC3">
        <w:t xml:space="preserve"> the one-year survival rate for those patients diagnosed with </w:t>
      </w:r>
      <w:r w:rsidR="00215602" w:rsidRPr="008F6EC3">
        <w:t>pancreatic cancer remains low</w:t>
      </w:r>
      <w:r w:rsidRPr="008F6EC3">
        <w:t xml:space="preserve"> </w:t>
      </w:r>
      <w:r w:rsidR="00215602" w:rsidRPr="008F6EC3">
        <w:t xml:space="preserve">despite </w:t>
      </w:r>
      <w:r w:rsidRPr="008F6EC3">
        <w:t>a</w:t>
      </w:r>
      <w:r w:rsidR="003F372E" w:rsidRPr="008F6EC3">
        <w:t xml:space="preserve"> gradual</w:t>
      </w:r>
      <w:r w:rsidRPr="008F6EC3">
        <w:t xml:space="preserve"> improvement in the proportion of those surviving the one-year period</w:t>
      </w:r>
      <w:r w:rsidR="00215602" w:rsidRPr="008F6EC3">
        <w:t xml:space="preserve"> during the analysis period</w:t>
      </w:r>
      <w:r w:rsidRPr="008F6EC3">
        <w:t xml:space="preserve">. </w:t>
      </w:r>
      <w:r w:rsidR="00215602" w:rsidRPr="008F6EC3">
        <w:t>However, due to small numbers, survival rates for pancreatic cancer are unstable and should be interpreted with caution.</w:t>
      </w:r>
      <w:r w:rsidR="002E08FF">
        <w:br w:type="page"/>
      </w:r>
    </w:p>
    <w:p w14:paraId="0DD1F035" w14:textId="141A1341" w:rsidR="005C15AA" w:rsidRPr="00457BB6" w:rsidRDefault="005C15AA" w:rsidP="00A451D4">
      <w:pPr>
        <w:pStyle w:val="Heading3"/>
        <w:rPr>
          <w:b/>
          <w:bCs w:val="0"/>
        </w:rPr>
      </w:pPr>
      <w:bookmarkStart w:id="961" w:name="_Measure_13.4_–"/>
      <w:bookmarkStart w:id="962" w:name="_Toc19008160"/>
      <w:bookmarkEnd w:id="961"/>
      <w:r w:rsidRPr="00457BB6">
        <w:rPr>
          <w:b/>
          <w:bCs w:val="0"/>
        </w:rPr>
        <w:lastRenderedPageBreak/>
        <w:t xml:space="preserve">Measure 13.4 – One-year </w:t>
      </w:r>
      <w:r w:rsidR="003D7785">
        <w:rPr>
          <w:b/>
          <w:bCs w:val="0"/>
        </w:rPr>
        <w:t xml:space="preserve">relative </w:t>
      </w:r>
      <w:r w:rsidRPr="00457BB6">
        <w:rPr>
          <w:b/>
          <w:bCs w:val="0"/>
        </w:rPr>
        <w:t>survival from ovar</w:t>
      </w:r>
      <w:r w:rsidR="00E23DEB" w:rsidRPr="00457BB6">
        <w:rPr>
          <w:b/>
          <w:bCs w:val="0"/>
        </w:rPr>
        <w:t>ian</w:t>
      </w:r>
      <w:r w:rsidRPr="00457BB6">
        <w:rPr>
          <w:b/>
          <w:bCs w:val="0"/>
        </w:rPr>
        <w:t xml:space="preserve"> cancer</w:t>
      </w:r>
      <w:r w:rsidR="003176C9" w:rsidRPr="00457BB6">
        <w:rPr>
          <w:b/>
          <w:bCs w:val="0"/>
        </w:rPr>
        <w:t xml:space="preserve"> (C56)</w:t>
      </w:r>
      <w:bookmarkEnd w:id="962"/>
    </w:p>
    <w:p w14:paraId="1F7D13BD" w14:textId="029B891F" w:rsidR="0047495E" w:rsidRPr="0039036B" w:rsidRDefault="00D87D7C" w:rsidP="00441D5B">
      <w:pPr>
        <w:pStyle w:val="Figurecaption"/>
        <w:rPr>
          <w:sz w:val="20"/>
        </w:rPr>
      </w:pPr>
      <w:bookmarkStart w:id="963" w:name="_Toc19008161"/>
      <w:bookmarkStart w:id="964" w:name="_Toc19008365"/>
      <w:bookmarkStart w:id="965" w:name="_Toc19008512"/>
      <w:bookmarkStart w:id="966" w:name="_Toc19008659"/>
      <w:bookmarkStart w:id="967" w:name="_Toc132553089"/>
      <w:bookmarkStart w:id="968" w:name="_Toc140827702"/>
      <w:r w:rsidRPr="0039036B">
        <w:rPr>
          <w:sz w:val="20"/>
        </w:rPr>
        <w:t>Figure 13.</w:t>
      </w:r>
      <w:r w:rsidR="00AC476D" w:rsidRPr="0039036B">
        <w:rPr>
          <w:sz w:val="20"/>
        </w:rPr>
        <w:t>4</w:t>
      </w:r>
      <w:r w:rsidR="00C47F9A" w:rsidRPr="0039036B">
        <w:rPr>
          <w:sz w:val="20"/>
        </w:rPr>
        <w:t>:</w:t>
      </w:r>
      <w:r w:rsidRPr="0039036B">
        <w:rPr>
          <w:sz w:val="20"/>
        </w:rPr>
        <w:t xml:space="preserve"> </w:t>
      </w:r>
      <w:r w:rsidR="0047495E" w:rsidRPr="0039036B">
        <w:rPr>
          <w:sz w:val="20"/>
        </w:rPr>
        <w:t>Trends in one-year relative survival from ovarian cancer overall (A) and by</w:t>
      </w:r>
      <w:r w:rsidR="00117359" w:rsidRPr="0039036B">
        <w:rPr>
          <w:sz w:val="20"/>
        </w:rPr>
        <w:t xml:space="preserve"> age</w:t>
      </w:r>
      <w:r w:rsidR="0047495E" w:rsidRPr="0039036B">
        <w:rPr>
          <w:sz w:val="20"/>
        </w:rPr>
        <w:t xml:space="preserve"> (B</w:t>
      </w:r>
      <w:r w:rsidR="00117359" w:rsidRPr="0039036B">
        <w:rPr>
          <w:sz w:val="20"/>
        </w:rPr>
        <w:t>), remoteness (C</w:t>
      </w:r>
      <w:r w:rsidR="0047495E" w:rsidRPr="0039036B">
        <w:rPr>
          <w:sz w:val="20"/>
        </w:rPr>
        <w:t xml:space="preserve">) and </w:t>
      </w:r>
      <w:r w:rsidR="008439C8" w:rsidRPr="0039036B">
        <w:rPr>
          <w:sz w:val="20"/>
        </w:rPr>
        <w:t>ICS</w:t>
      </w:r>
      <w:r w:rsidR="00117359" w:rsidRPr="0039036B">
        <w:rPr>
          <w:sz w:val="20"/>
        </w:rPr>
        <w:t xml:space="preserve"> (D</w:t>
      </w:r>
      <w:r w:rsidR="0047495E" w:rsidRPr="0039036B">
        <w:rPr>
          <w:sz w:val="20"/>
        </w:rPr>
        <w:t>), Victoria, by year, 2010</w:t>
      </w:r>
      <w:r w:rsidR="009D0E1A" w:rsidRPr="0039036B">
        <w:rPr>
          <w:sz w:val="20"/>
        </w:rPr>
        <w:t>–</w:t>
      </w:r>
      <w:r w:rsidR="0047495E" w:rsidRPr="0039036B">
        <w:rPr>
          <w:sz w:val="20"/>
        </w:rPr>
        <w:t>20</w:t>
      </w:r>
      <w:bookmarkEnd w:id="963"/>
      <w:bookmarkEnd w:id="964"/>
      <w:bookmarkEnd w:id="965"/>
      <w:bookmarkEnd w:id="966"/>
      <w:r w:rsidR="00BC07AA" w:rsidRPr="0039036B">
        <w:rPr>
          <w:sz w:val="20"/>
        </w:rPr>
        <w:t>2</w:t>
      </w:r>
      <w:r w:rsidR="00E27C1D" w:rsidRPr="0039036B">
        <w:rPr>
          <w:sz w:val="20"/>
        </w:rPr>
        <w:t>1</w:t>
      </w:r>
      <w:bookmarkEnd w:id="967"/>
      <w:bookmarkEnd w:id="968"/>
    </w:p>
    <w:p w14:paraId="56C6B24B" w14:textId="28DCACB3" w:rsidR="00E27C1D" w:rsidRPr="00E27C1D" w:rsidRDefault="00E27C1D" w:rsidP="00E87AAA">
      <w:pPr>
        <w:pStyle w:val="Body"/>
      </w:pPr>
      <w:r>
        <w:rPr>
          <w:noProof/>
        </w:rPr>
        <w:drawing>
          <wp:inline distT="0" distB="0" distL="0" distR="0" wp14:anchorId="34DA1157" wp14:editId="3B484F9B">
            <wp:extent cx="5992616" cy="5104800"/>
            <wp:effectExtent l="0" t="0" r="8255" b="635"/>
            <wp:docPr id="399" name="Picture 399" descr="This figure shows a data summary of 'Measure 13.4 – One-year relative survival from ovarian cancer'. Specially this figure focuses on the trends in one-year relative survival overall and by sex, age remoteness and Integrated Cancer Service for the study period 2010-2021. The data set is available under 'Measure 13.4 – One-year relative survival from ovarian cancer'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descr="This figure shows a data summary of 'Measure 13.4 – One-year relative survival from ovarian cancer'. Specially this figure focuses on the trends in one-year relative survival overall and by sex, age remoteness and Integrated Cancer Service for the study period 2010-2021. The data set is available under 'Measure 13.4 – One-year relative survival from ovarian cancer' in a separate volume, the Victorian cancer plan monitoring and evaluation framework: baseline progress report: Appendix 2: Datasets available on Cancer care &lt;https://www.health.vic.gov.au/health-strategies/cancer-care&gt;."/>
                    <pic:cNvPicPr/>
                  </pic:nvPicPr>
                  <pic:blipFill>
                    <a:blip r:embed="rId153"/>
                    <a:stretch>
                      <a:fillRect/>
                    </a:stretch>
                  </pic:blipFill>
                  <pic:spPr>
                    <a:xfrm>
                      <a:off x="0" y="0"/>
                      <a:ext cx="6006297" cy="5116454"/>
                    </a:xfrm>
                    <a:prstGeom prst="rect">
                      <a:avLst/>
                    </a:prstGeom>
                  </pic:spPr>
                </pic:pic>
              </a:graphicData>
            </a:graphic>
          </wp:inline>
        </w:drawing>
      </w:r>
    </w:p>
    <w:p w14:paraId="3A82F7C4" w14:textId="58D281A5" w:rsidR="0073300D" w:rsidRPr="0039036B" w:rsidRDefault="0073300D" w:rsidP="00C03D95">
      <w:pPr>
        <w:pStyle w:val="Tablefigurenote"/>
        <w:rPr>
          <w:i/>
          <w:iCs/>
          <w:sz w:val="18"/>
          <w:szCs w:val="18"/>
        </w:rPr>
      </w:pPr>
      <w:r w:rsidRPr="0039036B">
        <w:rPr>
          <w:i/>
          <w:iCs/>
          <w:sz w:val="18"/>
          <w:szCs w:val="18"/>
        </w:rPr>
        <w:t>Note: Appendix 2 provides the dataset</w:t>
      </w:r>
      <w:r w:rsidR="00DC2D82" w:rsidRPr="0039036B">
        <w:rPr>
          <w:i/>
          <w:iCs/>
          <w:sz w:val="18"/>
          <w:szCs w:val="18"/>
        </w:rPr>
        <w:t>.</w:t>
      </w:r>
    </w:p>
    <w:p w14:paraId="2382AC0F" w14:textId="73A0F8CF" w:rsidR="002E08FF" w:rsidRPr="00C845E1" w:rsidRDefault="002E08FF" w:rsidP="007C7F00">
      <w:pPr>
        <w:pStyle w:val="Heading4"/>
      </w:pPr>
      <w:r w:rsidRPr="008B33C3">
        <w:t>Measure assessment</w:t>
      </w:r>
    </w:p>
    <w:p w14:paraId="54E99DFE" w14:textId="77777777" w:rsidR="00C845E1" w:rsidRPr="00C845E1" w:rsidRDefault="002E08FF" w:rsidP="00606436">
      <w:pPr>
        <w:pStyle w:val="Body"/>
        <w:rPr>
          <w:color w:val="00B050"/>
        </w:rPr>
      </w:pPr>
      <w:r w:rsidRPr="00C845E1">
        <w:t xml:space="preserve">Traffic light rating: </w:t>
      </w:r>
      <w:r w:rsidR="00C845E1" w:rsidRPr="00D207B2">
        <w:rPr>
          <w:b/>
          <w:color w:val="007B4B"/>
        </w:rPr>
        <w:t>Green</w:t>
      </w:r>
      <w:r w:rsidR="00C845E1" w:rsidRPr="00C845E1">
        <w:t xml:space="preserve"> (satisfactory result)</w:t>
      </w:r>
    </w:p>
    <w:p w14:paraId="57333F5A" w14:textId="2CCC3C56" w:rsidR="002E08FF" w:rsidRPr="00C845E1" w:rsidRDefault="002E08FF" w:rsidP="00606436">
      <w:pPr>
        <w:pStyle w:val="Body"/>
      </w:pPr>
      <w:r w:rsidRPr="00C845E1">
        <w:t xml:space="preserve">Overall trend: </w:t>
      </w:r>
      <w:r w:rsidR="00C845E1" w:rsidRPr="00C845E1">
        <w:t>Moving in the right direction</w:t>
      </w:r>
    </w:p>
    <w:p w14:paraId="2CD2D1AC" w14:textId="4E7A823D" w:rsidR="00BB1BEE" w:rsidRPr="00650E57" w:rsidRDefault="002E08FF" w:rsidP="00606436">
      <w:pPr>
        <w:pStyle w:val="Body"/>
        <w:rPr>
          <w:highlight w:val="yellow"/>
        </w:rPr>
      </w:pPr>
      <w:r w:rsidRPr="00C845E1">
        <w:t>Commentary:</w:t>
      </w:r>
      <w:r w:rsidR="00BB1BEE" w:rsidRPr="00C845E1">
        <w:t xml:space="preserve"> </w:t>
      </w:r>
      <w:r w:rsidR="000E14CA" w:rsidRPr="00C845E1">
        <w:rPr>
          <w:lang w:val="en"/>
        </w:rPr>
        <w:t>Ovarian cancer is a collective term for invasive cancers derived from different tissues.</w:t>
      </w:r>
      <w:r w:rsidR="000E14CA" w:rsidRPr="00C845E1">
        <w:rPr>
          <w:rStyle w:val="FootnoteReference"/>
          <w:rFonts w:cs="Arial"/>
          <w:lang w:val="en"/>
        </w:rPr>
        <w:footnoteReference w:id="184"/>
      </w:r>
      <w:r w:rsidR="00952FC7" w:rsidRPr="00C845E1">
        <w:rPr>
          <w:lang w:val="en"/>
        </w:rPr>
        <w:t xml:space="preserve"> </w:t>
      </w:r>
      <w:r w:rsidR="000E14CA" w:rsidRPr="00C845E1">
        <w:t>It</w:t>
      </w:r>
      <w:r w:rsidR="001A37B6" w:rsidRPr="00C845E1">
        <w:t xml:space="preserve"> is</w:t>
      </w:r>
      <w:r w:rsidR="00BB1BEE" w:rsidRPr="00C845E1">
        <w:t xml:space="preserve"> mainly a disease of postmenopausal women</w:t>
      </w:r>
      <w:r w:rsidR="003B0CBD" w:rsidRPr="00C845E1">
        <w:t>,</w:t>
      </w:r>
      <w:r w:rsidR="00BB1BEE" w:rsidRPr="00C845E1">
        <w:t xml:space="preserve"> the average age at diagnosis </w:t>
      </w:r>
      <w:r w:rsidR="000E14CA" w:rsidRPr="00C845E1">
        <w:t>being</w:t>
      </w:r>
      <w:r w:rsidR="00BB1BEE" w:rsidRPr="00C845E1">
        <w:t xml:space="preserve"> 6</w:t>
      </w:r>
      <w:r w:rsidR="00264621" w:rsidRPr="00C845E1">
        <w:t>4</w:t>
      </w:r>
      <w:r w:rsidR="00BB1BEE" w:rsidRPr="00C845E1">
        <w:t xml:space="preserve"> years</w:t>
      </w:r>
      <w:r w:rsidR="00C47F9A">
        <w:t>.</w:t>
      </w:r>
      <w:r w:rsidR="00BB1BEE" w:rsidRPr="00C845E1">
        <w:t xml:space="preserve"> </w:t>
      </w:r>
      <w:r w:rsidR="00C47F9A">
        <w:t>T</w:t>
      </w:r>
      <w:r w:rsidR="00BB1BEE" w:rsidRPr="00C845E1">
        <w:t>he risk of ovarian cancer increase</w:t>
      </w:r>
      <w:r w:rsidR="000E14CA" w:rsidRPr="00C845E1">
        <w:t>s</w:t>
      </w:r>
      <w:r w:rsidR="00BB1BEE" w:rsidRPr="00C845E1">
        <w:t xml:space="preserve"> with age. It is often diagnosed at a stage where the </w:t>
      </w:r>
      <w:r w:rsidR="00BB1BEE" w:rsidRPr="00C845E1">
        <w:lastRenderedPageBreak/>
        <w:t xml:space="preserve">cancer has spread beyond the ovary, which </w:t>
      </w:r>
      <w:r w:rsidR="001A37B6" w:rsidRPr="00C845E1">
        <w:t xml:space="preserve">in turn </w:t>
      </w:r>
      <w:r w:rsidR="00BB1BEE" w:rsidRPr="00C845E1">
        <w:t>is associated with a poorer prognosis</w:t>
      </w:r>
      <w:r w:rsidR="00C63AC5" w:rsidRPr="00C845E1">
        <w:t xml:space="preserve"> and treatment.</w:t>
      </w:r>
      <w:r w:rsidR="001A37B6" w:rsidRPr="00C845E1">
        <w:rPr>
          <w:rStyle w:val="FootnoteReference"/>
          <w:rFonts w:cs="Arial"/>
        </w:rPr>
        <w:footnoteReference w:id="185"/>
      </w:r>
      <w:r w:rsidR="00BB1BEE" w:rsidRPr="00C845E1">
        <w:t xml:space="preserve"> </w:t>
      </w:r>
      <w:r w:rsidR="000E14CA" w:rsidRPr="00C845E1">
        <w:t>In Australia ovarian cancer has the lowest survival rate of any women’s cancer</w:t>
      </w:r>
      <w:r w:rsidR="00940CE5" w:rsidRPr="00C845E1">
        <w:t>.</w:t>
      </w:r>
      <w:r w:rsidR="00940CE5" w:rsidRPr="00C845E1">
        <w:rPr>
          <w:rStyle w:val="FootnoteReference"/>
          <w:rFonts w:cs="Arial"/>
        </w:rPr>
        <w:footnoteReference w:id="186"/>
      </w:r>
    </w:p>
    <w:p w14:paraId="1D3B7615" w14:textId="5B7D5930" w:rsidR="00F3402F" w:rsidRPr="00C845E1" w:rsidRDefault="00F3402F" w:rsidP="00E87AAA">
      <w:pPr>
        <w:pStyle w:val="Body"/>
        <w:rPr>
          <w:rFonts w:cs="Arial"/>
        </w:rPr>
      </w:pPr>
      <w:r w:rsidRPr="00C845E1">
        <w:t>In Victoria, for people diagnosed with ovarian cancer between 2010 and 20</w:t>
      </w:r>
      <w:r w:rsidR="00264621" w:rsidRPr="00C845E1">
        <w:t>2</w:t>
      </w:r>
      <w:r w:rsidR="004B6D33">
        <w:t>1</w:t>
      </w:r>
      <w:r w:rsidRPr="00C845E1">
        <w:t>, the one-year relative survival ranged from 7</w:t>
      </w:r>
      <w:r w:rsidR="004B6D33">
        <w:t>8</w:t>
      </w:r>
      <w:r w:rsidRPr="00C845E1">
        <w:t>.</w:t>
      </w:r>
      <w:r w:rsidR="004B6D33">
        <w:t>4</w:t>
      </w:r>
      <w:r w:rsidR="0054537F">
        <w:t>%</w:t>
      </w:r>
      <w:r w:rsidRPr="00C845E1">
        <w:t xml:space="preserve"> in 2010 to </w:t>
      </w:r>
      <w:r w:rsidR="004B6D33">
        <w:t>83</w:t>
      </w:r>
      <w:r w:rsidRPr="00C845E1">
        <w:t>.</w:t>
      </w:r>
      <w:r w:rsidR="004B6D33">
        <w:t>9</w:t>
      </w:r>
      <w:r w:rsidR="0054537F">
        <w:t>%</w:t>
      </w:r>
      <w:r w:rsidRPr="00C845E1">
        <w:t xml:space="preserve"> in 20</w:t>
      </w:r>
      <w:r w:rsidR="00264621" w:rsidRPr="00C845E1">
        <w:t>2</w:t>
      </w:r>
      <w:r w:rsidR="004B6D33">
        <w:t>1</w:t>
      </w:r>
      <w:r w:rsidRPr="00C845E1">
        <w:t xml:space="preserve"> (Figure 13.4 (A)).</w:t>
      </w:r>
      <w:r w:rsidR="00952FC7" w:rsidRPr="00C845E1">
        <w:t xml:space="preserve"> </w:t>
      </w:r>
      <w:r w:rsidRPr="00C845E1">
        <w:t xml:space="preserve">Figure 13.4 (B) shows that </w:t>
      </w:r>
      <w:r w:rsidRPr="00C845E1">
        <w:rPr>
          <w:rFonts w:cs="Arial"/>
        </w:rPr>
        <w:t xml:space="preserve">survival dropped with each older age group but </w:t>
      </w:r>
      <w:r w:rsidR="00264621" w:rsidRPr="00C845E1">
        <w:rPr>
          <w:rFonts w:cs="Arial"/>
        </w:rPr>
        <w:t>decreased markedly</w:t>
      </w:r>
      <w:r w:rsidRPr="00C845E1">
        <w:rPr>
          <w:rFonts w:cs="Arial"/>
        </w:rPr>
        <w:t xml:space="preserve"> for women aged 75 years </w:t>
      </w:r>
      <w:r w:rsidR="001B50BF" w:rsidRPr="00C845E1">
        <w:rPr>
          <w:rFonts w:cs="Arial"/>
        </w:rPr>
        <w:t>or older</w:t>
      </w:r>
      <w:r w:rsidRPr="00C845E1">
        <w:rPr>
          <w:rFonts w:cs="Arial"/>
        </w:rPr>
        <w:t>.</w:t>
      </w:r>
    </w:p>
    <w:p w14:paraId="1401D042" w14:textId="3A16E0EB" w:rsidR="00F576F8" w:rsidRPr="00C845E1" w:rsidRDefault="00F576F8" w:rsidP="00E87AAA">
      <w:pPr>
        <w:pStyle w:val="Body"/>
      </w:pPr>
      <w:r w:rsidRPr="00C845E1">
        <w:t xml:space="preserve">There was no difference between survival and remoteness (Figure 13.4 (C)) and </w:t>
      </w:r>
      <w:r w:rsidR="008439C8" w:rsidRPr="00C845E1">
        <w:t>ICS</w:t>
      </w:r>
      <w:r w:rsidRPr="00C845E1">
        <w:t xml:space="preserve"> (Figure 13.4 (D))</w:t>
      </w:r>
      <w:r w:rsidR="003357A9" w:rsidRPr="00C845E1">
        <w:t>,</w:t>
      </w:r>
      <w:r w:rsidRPr="00C845E1">
        <w:t xml:space="preserve"> although caution should be taken when interpreting these results</w:t>
      </w:r>
      <w:r w:rsidR="00C47F9A">
        <w:t>,</w:t>
      </w:r>
      <w:r w:rsidRPr="00C845E1">
        <w:t xml:space="preserve"> </w:t>
      </w:r>
      <w:r w:rsidR="00C845E1" w:rsidRPr="00C845E1">
        <w:t>particularly for outer regional/remote areas and regional ICSs</w:t>
      </w:r>
      <w:r w:rsidR="00C47F9A">
        <w:t>,</w:t>
      </w:r>
      <w:r w:rsidR="00C845E1" w:rsidRPr="00C845E1">
        <w:t xml:space="preserve"> </w:t>
      </w:r>
      <w:r w:rsidR="003B0CBD" w:rsidRPr="00C845E1">
        <w:t xml:space="preserve">because </w:t>
      </w:r>
      <w:r w:rsidRPr="00C845E1">
        <w:t>the wide confidence intervals denote a small sample size that may not represent</w:t>
      </w:r>
      <w:r w:rsidR="003B0CBD" w:rsidRPr="00C845E1">
        <w:t xml:space="preserve"> </w:t>
      </w:r>
      <w:r w:rsidRPr="00C845E1">
        <w:t>the population</w:t>
      </w:r>
      <w:r w:rsidR="00C845E1" w:rsidRPr="00C845E1">
        <w:t xml:space="preserve"> (refer to Tables 13.4a</w:t>
      </w:r>
      <w:r w:rsidR="00C47F9A">
        <w:t>–</w:t>
      </w:r>
      <w:r w:rsidR="00C845E1" w:rsidRPr="00C845E1">
        <w:t>c in Appendix 2)</w:t>
      </w:r>
      <w:r w:rsidR="0007013E" w:rsidRPr="00C845E1">
        <w:t>.</w:t>
      </w:r>
    </w:p>
    <w:p w14:paraId="44466804" w14:textId="413E812E" w:rsidR="002E08FF" w:rsidRPr="001A2A05" w:rsidRDefault="00F3402F" w:rsidP="00606436">
      <w:pPr>
        <w:pStyle w:val="Body"/>
      </w:pPr>
      <w:r w:rsidRPr="00264621">
        <w:t>While no target has been set for this measure</w:t>
      </w:r>
      <w:r w:rsidR="00874EAB" w:rsidRPr="00264621">
        <w:t>,</w:t>
      </w:r>
      <w:r w:rsidRPr="00264621">
        <w:t xml:space="preserve"> the one-year survival rate for those patients diagnosed with </w:t>
      </w:r>
      <w:r w:rsidR="006C7BF7" w:rsidRPr="00264621">
        <w:t xml:space="preserve">ovarian </w:t>
      </w:r>
      <w:r w:rsidRPr="00264621">
        <w:t>cancer between 2010 and 20</w:t>
      </w:r>
      <w:r w:rsidR="00092D68">
        <w:t>2</w:t>
      </w:r>
      <w:r w:rsidR="004B6D33">
        <w:t>1</w:t>
      </w:r>
      <w:r w:rsidRPr="00264621">
        <w:t xml:space="preserve"> </w:t>
      </w:r>
      <w:r w:rsidR="00264621" w:rsidRPr="00264621">
        <w:t>in</w:t>
      </w:r>
      <w:r w:rsidR="006C7BF7" w:rsidRPr="00264621">
        <w:t>crease</w:t>
      </w:r>
      <w:r w:rsidR="00AA35AF" w:rsidRPr="00264621">
        <w:t>d</w:t>
      </w:r>
      <w:r w:rsidR="00E645CF" w:rsidRPr="00264621">
        <w:t>.</w:t>
      </w:r>
      <w:r w:rsidR="002E08FF">
        <w:br w:type="page"/>
      </w:r>
    </w:p>
    <w:p w14:paraId="49F8DBD9" w14:textId="221E796A" w:rsidR="005C15AA" w:rsidRPr="00DD3D63" w:rsidRDefault="005C15AA" w:rsidP="00A451D4">
      <w:pPr>
        <w:pStyle w:val="Heading3"/>
        <w:rPr>
          <w:b/>
          <w:bCs w:val="0"/>
        </w:rPr>
      </w:pPr>
      <w:bookmarkStart w:id="969" w:name="_Measure_13.5_–"/>
      <w:bookmarkStart w:id="970" w:name="_Toc19008162"/>
      <w:bookmarkEnd w:id="969"/>
      <w:r w:rsidRPr="00DD3D63">
        <w:rPr>
          <w:b/>
          <w:bCs w:val="0"/>
        </w:rPr>
        <w:lastRenderedPageBreak/>
        <w:t xml:space="preserve">Measure 13.5 – One-year </w:t>
      </w:r>
      <w:r w:rsidR="003D7785">
        <w:rPr>
          <w:b/>
          <w:bCs w:val="0"/>
        </w:rPr>
        <w:t xml:space="preserve">relative </w:t>
      </w:r>
      <w:r w:rsidRPr="00DD3D63">
        <w:rPr>
          <w:b/>
          <w:bCs w:val="0"/>
        </w:rPr>
        <w:t xml:space="preserve">survival from </w:t>
      </w:r>
      <w:bookmarkStart w:id="971" w:name="_Hlk139554377"/>
      <w:r w:rsidRPr="00DD3D63">
        <w:rPr>
          <w:b/>
          <w:bCs w:val="0"/>
        </w:rPr>
        <w:t>colorectal</w:t>
      </w:r>
      <w:bookmarkEnd w:id="971"/>
      <w:r w:rsidRPr="00DD3D63">
        <w:rPr>
          <w:b/>
          <w:bCs w:val="0"/>
        </w:rPr>
        <w:t xml:space="preserve"> cancer</w:t>
      </w:r>
      <w:bookmarkEnd w:id="970"/>
    </w:p>
    <w:p w14:paraId="4BC46981" w14:textId="684C80D0" w:rsidR="00834BD5" w:rsidRPr="0039036B" w:rsidRDefault="00AC476D" w:rsidP="00441D5B">
      <w:pPr>
        <w:pStyle w:val="Figurecaption"/>
        <w:rPr>
          <w:sz w:val="20"/>
        </w:rPr>
      </w:pPr>
      <w:bookmarkStart w:id="972" w:name="_Toc19008163"/>
      <w:bookmarkStart w:id="973" w:name="_Toc19008366"/>
      <w:bookmarkStart w:id="974" w:name="_Toc19008513"/>
      <w:bookmarkStart w:id="975" w:name="_Toc19008660"/>
      <w:bookmarkStart w:id="976" w:name="_Toc132553090"/>
      <w:bookmarkStart w:id="977" w:name="_Toc140827703"/>
      <w:r w:rsidRPr="0039036B">
        <w:rPr>
          <w:sz w:val="20"/>
        </w:rPr>
        <w:t>Figure 13.</w:t>
      </w:r>
      <w:r w:rsidR="00AD7B6E" w:rsidRPr="0039036B">
        <w:rPr>
          <w:sz w:val="20"/>
        </w:rPr>
        <w:t>5</w:t>
      </w:r>
      <w:r w:rsidR="00C47F9A" w:rsidRPr="0039036B">
        <w:rPr>
          <w:sz w:val="20"/>
        </w:rPr>
        <w:t>:</w:t>
      </w:r>
      <w:r w:rsidRPr="0039036B">
        <w:rPr>
          <w:sz w:val="20"/>
        </w:rPr>
        <w:t xml:space="preserve"> </w:t>
      </w:r>
      <w:r w:rsidR="00834BD5" w:rsidRPr="0039036B">
        <w:rPr>
          <w:sz w:val="20"/>
        </w:rPr>
        <w:t xml:space="preserve">Trends in one-year relative survival from colorectal cancer overall (A) and by sex (B), age (C), remoteness (D) and </w:t>
      </w:r>
      <w:r w:rsidR="008439C8" w:rsidRPr="0039036B">
        <w:rPr>
          <w:sz w:val="20"/>
        </w:rPr>
        <w:t>ICS</w:t>
      </w:r>
      <w:r w:rsidR="00834BD5" w:rsidRPr="0039036B">
        <w:rPr>
          <w:sz w:val="20"/>
        </w:rPr>
        <w:t xml:space="preserve"> (E), Victoria, by year, 2010</w:t>
      </w:r>
      <w:r w:rsidR="009D0E1A" w:rsidRPr="0039036B">
        <w:rPr>
          <w:sz w:val="20"/>
        </w:rPr>
        <w:t>–</w:t>
      </w:r>
      <w:r w:rsidR="00834BD5" w:rsidRPr="0039036B">
        <w:rPr>
          <w:sz w:val="20"/>
        </w:rPr>
        <w:t>20</w:t>
      </w:r>
      <w:bookmarkEnd w:id="972"/>
      <w:bookmarkEnd w:id="973"/>
      <w:bookmarkEnd w:id="974"/>
      <w:bookmarkEnd w:id="975"/>
      <w:r w:rsidR="00650E57" w:rsidRPr="0039036B">
        <w:rPr>
          <w:sz w:val="20"/>
        </w:rPr>
        <w:t>2</w:t>
      </w:r>
      <w:r w:rsidR="00E27C1D" w:rsidRPr="0039036B">
        <w:rPr>
          <w:sz w:val="20"/>
        </w:rPr>
        <w:t>1</w:t>
      </w:r>
      <w:bookmarkEnd w:id="976"/>
      <w:bookmarkEnd w:id="977"/>
    </w:p>
    <w:p w14:paraId="7025D1AE" w14:textId="2C7AE9F0" w:rsidR="00E27C1D" w:rsidRPr="00E27C1D" w:rsidRDefault="00E27C1D" w:rsidP="00E87AAA">
      <w:pPr>
        <w:pStyle w:val="Body"/>
      </w:pPr>
      <w:r>
        <w:rPr>
          <w:noProof/>
        </w:rPr>
        <w:drawing>
          <wp:inline distT="0" distB="0" distL="0" distR="0" wp14:anchorId="026D7595" wp14:editId="5E1A9937">
            <wp:extent cx="5958807" cy="5076000"/>
            <wp:effectExtent l="0" t="0" r="4445" b="0"/>
            <wp:docPr id="400" name="Picture 400" descr="This figure shows a data summary of 'Measure 13.5 – One-year relative survival from colorectal cancer'. Specially this figure focuses on the trends in one-year relative survival overall and by sex, age remoteness and Integrated Cancer Service for the study period 2010-2021. The data set is available under 'Measure 13.5 – One-year relative survival from colorectal cancer'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400" descr="This figure shows a data summary of 'Measure 13.5 – One-year relative survival from colorectal cancer'. Specially this figure focuses on the trends in one-year relative survival overall and by sex, age remoteness and Integrated Cancer Service for the study period 2010-2021. The data set is available under 'Measure 13.5 – One-year relative survival from colorectal cancer' in a separate volume, the Victorian cancer plan monitoring and evaluation framework: baseline progress report: Appendix 2: Datasets available on Cancer care &lt;https://www.health.vic.gov.au/health-strategies/cancer-care&gt;."/>
                    <pic:cNvPicPr/>
                  </pic:nvPicPr>
                  <pic:blipFill>
                    <a:blip r:embed="rId154"/>
                    <a:stretch>
                      <a:fillRect/>
                    </a:stretch>
                  </pic:blipFill>
                  <pic:spPr>
                    <a:xfrm>
                      <a:off x="0" y="0"/>
                      <a:ext cx="5964712" cy="5081030"/>
                    </a:xfrm>
                    <a:prstGeom prst="rect">
                      <a:avLst/>
                    </a:prstGeom>
                  </pic:spPr>
                </pic:pic>
              </a:graphicData>
            </a:graphic>
          </wp:inline>
        </w:drawing>
      </w:r>
    </w:p>
    <w:p w14:paraId="18273318" w14:textId="0B2CC87C" w:rsidR="0073300D" w:rsidRPr="0039036B" w:rsidRDefault="0073300D" w:rsidP="00C03D95">
      <w:pPr>
        <w:pStyle w:val="Tablefigurenote"/>
        <w:rPr>
          <w:i/>
          <w:iCs/>
          <w:sz w:val="18"/>
          <w:szCs w:val="18"/>
        </w:rPr>
      </w:pPr>
      <w:r w:rsidRPr="0039036B">
        <w:rPr>
          <w:i/>
          <w:iCs/>
          <w:sz w:val="18"/>
          <w:szCs w:val="18"/>
        </w:rPr>
        <w:t>Note: Appendix 2 provides the dataset</w:t>
      </w:r>
      <w:r w:rsidR="00DC2D82" w:rsidRPr="0039036B">
        <w:rPr>
          <w:i/>
          <w:iCs/>
          <w:sz w:val="18"/>
          <w:szCs w:val="18"/>
        </w:rPr>
        <w:t>.</w:t>
      </w:r>
    </w:p>
    <w:p w14:paraId="0928A0F3" w14:textId="18F8412E" w:rsidR="002E08FF" w:rsidRPr="00671C7A" w:rsidRDefault="002E08FF" w:rsidP="007C7F00">
      <w:pPr>
        <w:pStyle w:val="Heading4"/>
      </w:pPr>
      <w:r w:rsidRPr="004B6D33">
        <w:t>Measure assessment</w:t>
      </w:r>
    </w:p>
    <w:p w14:paraId="08F379E7" w14:textId="44572D34" w:rsidR="00026CF2" w:rsidRPr="007F3B2C" w:rsidRDefault="002E08FF" w:rsidP="00606436">
      <w:pPr>
        <w:pStyle w:val="Body"/>
      </w:pPr>
      <w:r w:rsidRPr="007F3B2C">
        <w:t>Traffic light rating:</w:t>
      </w:r>
      <w:r w:rsidRPr="00B504AD">
        <w:rPr>
          <w:color w:val="AF272F"/>
        </w:rPr>
        <w:t xml:space="preserve"> </w:t>
      </w:r>
      <w:r w:rsidR="00092D68" w:rsidRPr="00B504AD">
        <w:rPr>
          <w:b/>
          <w:color w:val="AF272F"/>
        </w:rPr>
        <w:t xml:space="preserve">Red </w:t>
      </w:r>
      <w:r w:rsidR="00092D68" w:rsidRPr="00B416BE">
        <w:t>(result is of concern)</w:t>
      </w:r>
    </w:p>
    <w:p w14:paraId="4C7ABCCA" w14:textId="5F6E0419" w:rsidR="00092D68" w:rsidRPr="00650E57" w:rsidRDefault="002E08FF" w:rsidP="00606436">
      <w:pPr>
        <w:pStyle w:val="Body"/>
        <w:rPr>
          <w:highlight w:val="yellow"/>
        </w:rPr>
      </w:pPr>
      <w:r w:rsidRPr="007F3B2C">
        <w:t xml:space="preserve">Overall trend: </w:t>
      </w:r>
      <w:r w:rsidR="005F7E72" w:rsidRPr="007F3B2C">
        <w:t>Static or unchanging</w:t>
      </w:r>
    </w:p>
    <w:p w14:paraId="3D697832" w14:textId="20521023" w:rsidR="006C50CE" w:rsidRPr="007F3B2C" w:rsidRDefault="002E08FF" w:rsidP="00E87AAA">
      <w:pPr>
        <w:pStyle w:val="Body"/>
      </w:pPr>
      <w:r w:rsidRPr="007F3B2C">
        <w:rPr>
          <w:lang w:eastAsia="en-AU"/>
        </w:rPr>
        <w:t>Commentary:</w:t>
      </w:r>
      <w:r w:rsidR="00A85C5C" w:rsidRPr="007F3B2C">
        <w:rPr>
          <w:lang w:eastAsia="en-AU"/>
        </w:rPr>
        <w:t xml:space="preserve"> </w:t>
      </w:r>
      <w:r w:rsidR="0012510C">
        <w:rPr>
          <w:lang w:eastAsia="en-AU"/>
        </w:rPr>
        <w:t>Colorectal cancer (</w:t>
      </w:r>
      <w:r w:rsidR="004C102D" w:rsidRPr="007F3B2C">
        <w:rPr>
          <w:lang w:eastAsia="en-AU"/>
        </w:rPr>
        <w:t>CRC</w:t>
      </w:r>
      <w:r w:rsidR="0012510C">
        <w:rPr>
          <w:lang w:eastAsia="en-AU"/>
        </w:rPr>
        <w:t>)</w:t>
      </w:r>
      <w:r w:rsidR="005F7E72" w:rsidRPr="007F3B2C">
        <w:rPr>
          <w:lang w:eastAsia="en-AU"/>
        </w:rPr>
        <w:t xml:space="preserve"> </w:t>
      </w:r>
      <w:r w:rsidR="004C102D" w:rsidRPr="007F3B2C">
        <w:rPr>
          <w:lang w:eastAsia="en-AU"/>
        </w:rPr>
        <w:t xml:space="preserve">is a disease characterised by </w:t>
      </w:r>
      <w:r w:rsidR="008336E6" w:rsidRPr="007F3B2C">
        <w:rPr>
          <w:lang w:eastAsia="en-AU"/>
        </w:rPr>
        <w:t xml:space="preserve">abnormal cells </w:t>
      </w:r>
      <w:r w:rsidR="00AA35AF" w:rsidRPr="007F3B2C">
        <w:rPr>
          <w:lang w:eastAsia="en-AU"/>
        </w:rPr>
        <w:t xml:space="preserve">that </w:t>
      </w:r>
      <w:r w:rsidR="008336E6" w:rsidRPr="007F3B2C">
        <w:rPr>
          <w:lang w:eastAsia="en-AU"/>
        </w:rPr>
        <w:t xml:space="preserve">grow </w:t>
      </w:r>
      <w:r w:rsidR="004C102D" w:rsidRPr="007F3B2C">
        <w:rPr>
          <w:lang w:eastAsia="en-AU"/>
        </w:rPr>
        <w:t>in the colon or rectum</w:t>
      </w:r>
      <w:r w:rsidR="008336E6" w:rsidRPr="007F3B2C">
        <w:rPr>
          <w:lang w:eastAsia="en-AU"/>
        </w:rPr>
        <w:t>.</w:t>
      </w:r>
      <w:r w:rsidR="008336E6" w:rsidRPr="007F3B2C">
        <w:t xml:space="preserve"> Survival depends on the stage of the tumour at detection. </w:t>
      </w:r>
      <w:r w:rsidR="004649B7" w:rsidRPr="007F3B2C">
        <w:t>However,</w:t>
      </w:r>
      <w:r w:rsidR="008336E6" w:rsidRPr="007F3B2C">
        <w:t xml:space="preserve"> because CRC often produces symptoms at an early enough stage</w:t>
      </w:r>
      <w:r w:rsidR="00AA35AF" w:rsidRPr="007F3B2C">
        <w:t xml:space="preserve"> </w:t>
      </w:r>
      <w:r w:rsidR="008336E6" w:rsidRPr="007F3B2C">
        <w:t xml:space="preserve">that </w:t>
      </w:r>
      <w:r w:rsidR="00AA35AF" w:rsidRPr="007F3B2C">
        <w:t>is</w:t>
      </w:r>
      <w:r w:rsidR="008336E6" w:rsidRPr="007F3B2C">
        <w:t xml:space="preserve"> treatable, survival rates are relatively high.</w:t>
      </w:r>
      <w:r w:rsidR="008336E6" w:rsidRPr="007F3B2C">
        <w:rPr>
          <w:rStyle w:val="FootnoteReference"/>
          <w:rFonts w:cs="Arial"/>
        </w:rPr>
        <w:footnoteReference w:id="187"/>
      </w:r>
    </w:p>
    <w:p w14:paraId="46C7299C" w14:textId="797E04E0" w:rsidR="0086462E" w:rsidRDefault="005F7E72" w:rsidP="00E87AAA">
      <w:pPr>
        <w:pStyle w:val="Body"/>
      </w:pPr>
      <w:r w:rsidRPr="00FD0B80">
        <w:t xml:space="preserve">In Australia survival for people diagnosed with </w:t>
      </w:r>
      <w:r w:rsidR="00CC5CC5" w:rsidRPr="00FD0B80">
        <w:t>CRC</w:t>
      </w:r>
      <w:r w:rsidRPr="00FD0B80">
        <w:t xml:space="preserve"> in 2011 was 8</w:t>
      </w:r>
      <w:r w:rsidR="00E86123" w:rsidRPr="00FD0B80">
        <w:t>5.8</w:t>
      </w:r>
      <w:r w:rsidR="0054537F">
        <w:t>%</w:t>
      </w:r>
      <w:r w:rsidRPr="00FD0B80">
        <w:t xml:space="preserve"> at one year from diagnosis.</w:t>
      </w:r>
      <w:r w:rsidRPr="00FD0B80">
        <w:rPr>
          <w:rStyle w:val="FootnoteReference"/>
          <w:rFonts w:cs="Arial"/>
          <w:lang w:eastAsia="en-AU"/>
        </w:rPr>
        <w:footnoteReference w:id="188"/>
      </w:r>
      <w:r w:rsidR="006C50CE" w:rsidRPr="00FD0B80">
        <w:t xml:space="preserve"> </w:t>
      </w:r>
      <w:r w:rsidR="008336E6" w:rsidRPr="00FD0B80">
        <w:t xml:space="preserve">Figure 13.5 </w:t>
      </w:r>
      <w:r w:rsidRPr="00FD0B80">
        <w:t xml:space="preserve">(A) </w:t>
      </w:r>
      <w:r w:rsidR="008336E6" w:rsidRPr="00FD0B80">
        <w:t>shows that</w:t>
      </w:r>
      <w:r w:rsidRPr="00FD0B80">
        <w:t xml:space="preserve"> in Victoria</w:t>
      </w:r>
      <w:r w:rsidR="008336E6" w:rsidRPr="00FD0B80">
        <w:t xml:space="preserve"> the relative survival rate for CRC </w:t>
      </w:r>
      <w:r w:rsidR="006C50CE" w:rsidRPr="00FD0B80">
        <w:t xml:space="preserve">was similar to the national figure </w:t>
      </w:r>
      <w:r w:rsidR="008336E6" w:rsidRPr="00FD0B80">
        <w:t xml:space="preserve">at one year following diagnosis </w:t>
      </w:r>
      <w:r w:rsidR="006C50CE" w:rsidRPr="00FD0B80">
        <w:t xml:space="preserve">ranging </w:t>
      </w:r>
      <w:r w:rsidRPr="00FD0B80">
        <w:t>from 8</w:t>
      </w:r>
      <w:r w:rsidR="00092D68" w:rsidRPr="00FD0B80">
        <w:t>6</w:t>
      </w:r>
      <w:r w:rsidRPr="00FD0B80">
        <w:t>.</w:t>
      </w:r>
      <w:r w:rsidR="004B6D33">
        <w:t>5</w:t>
      </w:r>
      <w:r w:rsidR="0054537F">
        <w:t>%</w:t>
      </w:r>
      <w:r w:rsidRPr="00FD0B80">
        <w:t xml:space="preserve"> (2010) to 8</w:t>
      </w:r>
      <w:r w:rsidR="00092D68" w:rsidRPr="00FD0B80">
        <w:t>7</w:t>
      </w:r>
      <w:r w:rsidRPr="00FD0B80">
        <w:t>.</w:t>
      </w:r>
      <w:r w:rsidR="004B6D33">
        <w:t>2</w:t>
      </w:r>
      <w:r w:rsidR="0054537F">
        <w:t>%</w:t>
      </w:r>
      <w:r w:rsidR="006C50CE" w:rsidRPr="00FD0B80">
        <w:t xml:space="preserve"> (20</w:t>
      </w:r>
      <w:r w:rsidR="00092D68" w:rsidRPr="00FD0B80">
        <w:t>2</w:t>
      </w:r>
      <w:r w:rsidR="004B6D33">
        <w:t>1</w:t>
      </w:r>
      <w:r w:rsidRPr="00FD0B80">
        <w:t>).</w:t>
      </w:r>
      <w:r w:rsidR="00952FC7" w:rsidRPr="00FD0B80">
        <w:t xml:space="preserve"> </w:t>
      </w:r>
      <w:r w:rsidR="0086462E" w:rsidRPr="00FD0B80">
        <w:lastRenderedPageBreak/>
        <w:t>Table 13.5c</w:t>
      </w:r>
      <w:r w:rsidR="00C47F9A">
        <w:t xml:space="preserve"> in</w:t>
      </w:r>
      <w:r w:rsidR="0086462E" w:rsidRPr="00FD0B80">
        <w:t xml:space="preserve"> Appendix 2 shows that the one-year relative survival rate in 2020 (COVID</w:t>
      </w:r>
      <w:r w:rsidR="00C47F9A">
        <w:t>-19</w:t>
      </w:r>
      <w:r w:rsidR="0086462E" w:rsidRPr="00FD0B80">
        <w:t xml:space="preserve"> period) was not significantly different among Victorians diagnosed in </w:t>
      </w:r>
      <w:r w:rsidR="00FD0B80" w:rsidRPr="00FD0B80">
        <w:t>20</w:t>
      </w:r>
      <w:r w:rsidR="0086462E" w:rsidRPr="00FD0B80">
        <w:t>19 (pre-COVID period)</w:t>
      </w:r>
      <w:r w:rsidR="00FD0B80" w:rsidRPr="00FD0B80">
        <w:t>. Relative one-year survival after a CRC cancer diagnosis in 2019 was 88.</w:t>
      </w:r>
      <w:r w:rsidR="00635F6F">
        <w:t>5</w:t>
      </w:r>
      <w:r w:rsidR="00FD0B80" w:rsidRPr="00FD0B80">
        <w:t xml:space="preserve"> (87.</w:t>
      </w:r>
      <w:r w:rsidR="00B629DD">
        <w:t>4</w:t>
      </w:r>
      <w:r w:rsidR="00FD0B80" w:rsidRPr="00FD0B80">
        <w:t>–89.</w:t>
      </w:r>
      <w:r w:rsidR="00B629DD">
        <w:t>6</w:t>
      </w:r>
      <w:r w:rsidR="00FD0B80" w:rsidRPr="00FD0B80">
        <w:t xml:space="preserve">) and decreased </w:t>
      </w:r>
      <w:r w:rsidR="00B629DD">
        <w:t xml:space="preserve">slightly </w:t>
      </w:r>
      <w:r w:rsidR="00FD0B80" w:rsidRPr="00FD0B80">
        <w:t>87.</w:t>
      </w:r>
      <w:r w:rsidR="00B629DD">
        <w:t>2</w:t>
      </w:r>
      <w:r w:rsidR="00FD0B80" w:rsidRPr="00FD0B80">
        <w:t xml:space="preserve"> (86.</w:t>
      </w:r>
      <w:r w:rsidR="00B629DD">
        <w:t>0</w:t>
      </w:r>
      <w:r w:rsidR="00FD0B80" w:rsidRPr="00FD0B80">
        <w:t>–88.</w:t>
      </w:r>
      <w:r w:rsidR="00B629DD">
        <w:t>4</w:t>
      </w:r>
      <w:r w:rsidR="00FD0B80" w:rsidRPr="00FD0B80">
        <w:t>) in 202</w:t>
      </w:r>
      <w:r w:rsidR="00B629DD">
        <w:t>1</w:t>
      </w:r>
      <w:r w:rsidR="00FD0B80" w:rsidRPr="00FD0B80">
        <w:t>. This indicates that Victorians were not disadvantaged in terms of survival</w:t>
      </w:r>
      <w:r w:rsidR="009A0F5B">
        <w:t xml:space="preserve"> for CRC</w:t>
      </w:r>
      <w:r w:rsidR="00FD0B80" w:rsidRPr="00FD0B80">
        <w:t>.</w:t>
      </w:r>
    </w:p>
    <w:p w14:paraId="6310078D" w14:textId="16A7FA26" w:rsidR="008336E6" w:rsidRPr="00650E57" w:rsidRDefault="004649B7" w:rsidP="00E87AAA">
      <w:pPr>
        <w:pStyle w:val="Body"/>
        <w:rPr>
          <w:highlight w:val="yellow"/>
        </w:rPr>
      </w:pPr>
      <w:r w:rsidRPr="007F3B2C">
        <w:t>Survival did not vary between the genders</w:t>
      </w:r>
      <w:r w:rsidR="00AA35AF" w:rsidRPr="007F3B2C">
        <w:t>,</w:t>
      </w:r>
      <w:r w:rsidRPr="007F3B2C">
        <w:t xml:space="preserve"> although in 2016 females had higher survival than males (Figure 13.5 (B)).</w:t>
      </w:r>
      <w:r w:rsidR="00952FC7" w:rsidRPr="007F3B2C">
        <w:t xml:space="preserve"> </w:t>
      </w:r>
      <w:r w:rsidR="007C5CD7">
        <w:t>In addition, s</w:t>
      </w:r>
      <w:r w:rsidRPr="007F3B2C">
        <w:t>urvival did not</w:t>
      </w:r>
      <w:r w:rsidR="00CC5CC5" w:rsidRPr="007F3B2C">
        <w:t xml:space="preserve"> </w:t>
      </w:r>
      <w:r w:rsidRPr="007F3B2C">
        <w:t xml:space="preserve">vary much </w:t>
      </w:r>
      <w:r w:rsidR="007F3B2C" w:rsidRPr="007F3B2C">
        <w:t xml:space="preserve">for those aged </w:t>
      </w:r>
      <w:r w:rsidRPr="007F3B2C">
        <w:t>74 years</w:t>
      </w:r>
      <w:r w:rsidR="007F3B2C" w:rsidRPr="007F3B2C">
        <w:t xml:space="preserve"> </w:t>
      </w:r>
      <w:r w:rsidR="00C47F9A">
        <w:t>or younger</w:t>
      </w:r>
      <w:r w:rsidRPr="007F3B2C">
        <w:t xml:space="preserve"> but d</w:t>
      </w:r>
      <w:r w:rsidR="00710006" w:rsidRPr="007F3B2C">
        <w:t>ecreased</w:t>
      </w:r>
      <w:r w:rsidRPr="007F3B2C">
        <w:t xml:space="preserve"> for those aged 75 years </w:t>
      </w:r>
      <w:r w:rsidR="001B50BF" w:rsidRPr="007F3B2C">
        <w:t xml:space="preserve">or </w:t>
      </w:r>
      <w:r w:rsidRPr="007F3B2C">
        <w:t>older.</w:t>
      </w:r>
    </w:p>
    <w:p w14:paraId="01035A67" w14:textId="6BA7A0AF" w:rsidR="004649B7" w:rsidRPr="007F3B2C" w:rsidRDefault="004649B7" w:rsidP="00E87AAA">
      <w:pPr>
        <w:pStyle w:val="Body"/>
      </w:pPr>
      <w:r w:rsidRPr="007F3B2C">
        <w:t>There was no difference between survival and remoteness (Figure 13.</w:t>
      </w:r>
      <w:r w:rsidR="009868BC" w:rsidRPr="007F3B2C">
        <w:t>5</w:t>
      </w:r>
      <w:r w:rsidRPr="007F3B2C">
        <w:t xml:space="preserve"> (C)) and </w:t>
      </w:r>
      <w:r w:rsidR="008439C8" w:rsidRPr="007F3B2C">
        <w:t>ICS</w:t>
      </w:r>
      <w:r w:rsidRPr="007F3B2C">
        <w:t xml:space="preserve"> (Figure 13.</w:t>
      </w:r>
      <w:r w:rsidR="009868BC" w:rsidRPr="007F3B2C">
        <w:t>5</w:t>
      </w:r>
      <w:r w:rsidRPr="007F3B2C">
        <w:t xml:space="preserve"> (D))</w:t>
      </w:r>
      <w:r w:rsidR="00CA067E" w:rsidRPr="007F3B2C">
        <w:t>. However,</w:t>
      </w:r>
      <w:r w:rsidRPr="007F3B2C">
        <w:t xml:space="preserve"> caution should be taken when interpreting these results </w:t>
      </w:r>
      <w:r w:rsidR="00AA35AF" w:rsidRPr="007F3B2C">
        <w:t xml:space="preserve">because </w:t>
      </w:r>
      <w:r w:rsidRPr="007F3B2C">
        <w:t>the wide confidence intervals denote a small sample size that may not represent</w:t>
      </w:r>
      <w:r w:rsidR="00AA35AF" w:rsidRPr="007F3B2C">
        <w:t xml:space="preserve"> </w:t>
      </w:r>
      <w:r w:rsidRPr="007F3B2C">
        <w:t>the population</w:t>
      </w:r>
      <w:r w:rsidR="007F3B2C" w:rsidRPr="007F3B2C">
        <w:t xml:space="preserve"> (refer to Table</w:t>
      </w:r>
      <w:r w:rsidR="007E74F2">
        <w:t>s</w:t>
      </w:r>
      <w:r w:rsidR="007F3B2C" w:rsidRPr="007F3B2C">
        <w:t xml:space="preserve"> 13.5a</w:t>
      </w:r>
      <w:r w:rsidR="00D13361">
        <w:t>–</w:t>
      </w:r>
      <w:r w:rsidR="007F3B2C" w:rsidRPr="007F3B2C">
        <w:t>c, Appendix 2)</w:t>
      </w:r>
      <w:r w:rsidR="005B248D" w:rsidRPr="007F3B2C">
        <w:t>.</w:t>
      </w:r>
    </w:p>
    <w:p w14:paraId="1B7B852A" w14:textId="4821C33B" w:rsidR="002E08FF" w:rsidRDefault="004649B7" w:rsidP="00606436">
      <w:pPr>
        <w:pStyle w:val="Body"/>
        <w:rPr>
          <w:rFonts w:eastAsia="MS Gothic"/>
          <w:b/>
          <w:bCs/>
          <w:sz w:val="24"/>
          <w:szCs w:val="26"/>
        </w:rPr>
      </w:pPr>
      <w:r w:rsidRPr="00092D68">
        <w:t>While no target has been set for this measure</w:t>
      </w:r>
      <w:r w:rsidR="00AA35AF" w:rsidRPr="00092D68">
        <w:t>,</w:t>
      </w:r>
      <w:r w:rsidRPr="00092D68">
        <w:t xml:space="preserve"> the </w:t>
      </w:r>
      <w:r w:rsidR="009868BC" w:rsidRPr="00092D68">
        <w:t xml:space="preserve">higher </w:t>
      </w:r>
      <w:r w:rsidRPr="00092D68">
        <w:t>one-year survival rate</w:t>
      </w:r>
      <w:r w:rsidR="009868BC" w:rsidRPr="00092D68">
        <w:t>s</w:t>
      </w:r>
      <w:r w:rsidRPr="00092D68">
        <w:t xml:space="preserve"> for those patients diagnosed with</w:t>
      </w:r>
      <w:r w:rsidR="009868BC" w:rsidRPr="00092D68">
        <w:t xml:space="preserve"> </w:t>
      </w:r>
      <w:r w:rsidR="00CC5CC5" w:rsidRPr="00092D68">
        <w:t>CRC</w:t>
      </w:r>
      <w:r w:rsidRPr="00092D68">
        <w:t xml:space="preserve"> between 2010 and 20</w:t>
      </w:r>
      <w:r w:rsidR="00092D68" w:rsidRPr="00092D68">
        <w:t>2</w:t>
      </w:r>
      <w:r w:rsidR="004B6D33">
        <w:t>1</w:t>
      </w:r>
      <w:r w:rsidRPr="00092D68">
        <w:t xml:space="preserve"> </w:t>
      </w:r>
      <w:r w:rsidR="009868BC" w:rsidRPr="00092D68">
        <w:t xml:space="preserve">compared </w:t>
      </w:r>
      <w:r w:rsidR="001B50BF" w:rsidRPr="00092D68">
        <w:t xml:space="preserve">with </w:t>
      </w:r>
      <w:r w:rsidR="009868BC" w:rsidRPr="00092D68">
        <w:t xml:space="preserve">other cancers </w:t>
      </w:r>
      <w:r w:rsidR="00092D68" w:rsidRPr="00092D68">
        <w:t>only shows a slight</w:t>
      </w:r>
      <w:r w:rsidRPr="00092D68">
        <w:t xml:space="preserve"> improvement in the proportion of those surviving the one-year period</w:t>
      </w:r>
      <w:r w:rsidR="00ED144E" w:rsidRPr="00092D68">
        <w:t xml:space="preserve"> over time</w:t>
      </w:r>
      <w:r w:rsidRPr="00092D68">
        <w:t>.</w:t>
      </w:r>
      <w:r w:rsidR="002E08FF">
        <w:br w:type="page"/>
      </w:r>
    </w:p>
    <w:p w14:paraId="6B16EF51" w14:textId="07B30987" w:rsidR="005C15AA" w:rsidRPr="00DD3D63" w:rsidRDefault="005C15AA" w:rsidP="00A451D4">
      <w:pPr>
        <w:pStyle w:val="Heading3"/>
        <w:rPr>
          <w:b/>
          <w:bCs w:val="0"/>
        </w:rPr>
      </w:pPr>
      <w:bookmarkStart w:id="978" w:name="_Measure_13.6_–"/>
      <w:bookmarkStart w:id="979" w:name="_Toc19008164"/>
      <w:bookmarkEnd w:id="978"/>
      <w:r w:rsidRPr="00DD3D63">
        <w:rPr>
          <w:b/>
          <w:bCs w:val="0"/>
        </w:rPr>
        <w:lastRenderedPageBreak/>
        <w:t xml:space="preserve">Measure 13.6 – One-year </w:t>
      </w:r>
      <w:r w:rsidR="003D7785">
        <w:rPr>
          <w:b/>
          <w:bCs w:val="0"/>
        </w:rPr>
        <w:t xml:space="preserve">relative </w:t>
      </w:r>
      <w:r w:rsidRPr="00DD3D63">
        <w:rPr>
          <w:b/>
          <w:bCs w:val="0"/>
        </w:rPr>
        <w:t>survival from brain cancer</w:t>
      </w:r>
      <w:r w:rsidR="007A0ACC" w:rsidRPr="00DD3D63">
        <w:rPr>
          <w:b/>
          <w:bCs w:val="0"/>
        </w:rPr>
        <w:t xml:space="preserve"> (C70</w:t>
      </w:r>
      <w:r w:rsidR="00AA35AF" w:rsidRPr="00DD3D63">
        <w:rPr>
          <w:b/>
          <w:bCs w:val="0"/>
        </w:rPr>
        <w:t>–</w:t>
      </w:r>
      <w:r w:rsidR="007A0ACC" w:rsidRPr="00DD3D63">
        <w:rPr>
          <w:b/>
          <w:bCs w:val="0"/>
        </w:rPr>
        <w:t>C72)</w:t>
      </w:r>
      <w:bookmarkEnd w:id="979"/>
    </w:p>
    <w:p w14:paraId="0671E9BF" w14:textId="187C7B82" w:rsidR="00661DD8" w:rsidRPr="0039036B" w:rsidRDefault="00CA0CDB" w:rsidP="00441D5B">
      <w:pPr>
        <w:pStyle w:val="Figurecaption"/>
        <w:rPr>
          <w:sz w:val="20"/>
        </w:rPr>
      </w:pPr>
      <w:bookmarkStart w:id="980" w:name="_Toc19008165"/>
      <w:bookmarkStart w:id="981" w:name="_Toc19008367"/>
      <w:bookmarkStart w:id="982" w:name="_Toc19008514"/>
      <w:bookmarkStart w:id="983" w:name="_Toc19008661"/>
      <w:bookmarkStart w:id="984" w:name="_Toc132553091"/>
      <w:bookmarkStart w:id="985" w:name="_Toc140827704"/>
      <w:r w:rsidRPr="0039036B">
        <w:rPr>
          <w:sz w:val="20"/>
        </w:rPr>
        <w:t>Figure 13.6</w:t>
      </w:r>
      <w:r w:rsidR="00C03D95" w:rsidRPr="0039036B">
        <w:rPr>
          <w:sz w:val="20"/>
        </w:rPr>
        <w:t>:</w:t>
      </w:r>
      <w:r w:rsidR="00661DD8" w:rsidRPr="0039036B">
        <w:rPr>
          <w:sz w:val="20"/>
        </w:rPr>
        <w:t xml:space="preserve"> Trends in one-year relative survival from brain cancer overall (A) and by sex (B), age (C), remoteness (D) and </w:t>
      </w:r>
      <w:r w:rsidR="008439C8" w:rsidRPr="0039036B">
        <w:rPr>
          <w:sz w:val="20"/>
        </w:rPr>
        <w:t>ICS</w:t>
      </w:r>
      <w:r w:rsidR="00661DD8" w:rsidRPr="0039036B">
        <w:rPr>
          <w:sz w:val="20"/>
        </w:rPr>
        <w:t xml:space="preserve"> (E), Victoria, by year, 2010</w:t>
      </w:r>
      <w:r w:rsidR="009D0E1A" w:rsidRPr="0039036B">
        <w:rPr>
          <w:sz w:val="20"/>
        </w:rPr>
        <w:t>–</w:t>
      </w:r>
      <w:r w:rsidR="00661DD8" w:rsidRPr="0039036B">
        <w:rPr>
          <w:sz w:val="20"/>
        </w:rPr>
        <w:t>20</w:t>
      </w:r>
      <w:bookmarkEnd w:id="980"/>
      <w:bookmarkEnd w:id="981"/>
      <w:bookmarkEnd w:id="982"/>
      <w:bookmarkEnd w:id="983"/>
      <w:r w:rsidR="00650E57" w:rsidRPr="0039036B">
        <w:rPr>
          <w:sz w:val="20"/>
        </w:rPr>
        <w:t>2</w:t>
      </w:r>
      <w:r w:rsidR="00E27C1D" w:rsidRPr="0039036B">
        <w:rPr>
          <w:sz w:val="20"/>
        </w:rPr>
        <w:t>1</w:t>
      </w:r>
      <w:bookmarkEnd w:id="984"/>
      <w:bookmarkEnd w:id="985"/>
    </w:p>
    <w:p w14:paraId="483A12DD" w14:textId="4F29664C" w:rsidR="00E27C1D" w:rsidRPr="00E27C1D" w:rsidRDefault="00E27C1D" w:rsidP="00E87AAA">
      <w:pPr>
        <w:pStyle w:val="Body"/>
      </w:pPr>
      <w:r>
        <w:rPr>
          <w:noProof/>
        </w:rPr>
        <w:drawing>
          <wp:inline distT="0" distB="0" distL="0" distR="0" wp14:anchorId="02465CD6" wp14:editId="243A4E2C">
            <wp:extent cx="5899642" cy="5025600"/>
            <wp:effectExtent l="0" t="0" r="6350" b="3810"/>
            <wp:docPr id="401" name="Picture 401" descr="This figure shows a data summary of 'Measure 13.6 – One-year relative survival from brain cancer'. Specially this figure focuses on the trends in one-year relative survival overall and by sex, age remoteness and Integrated Cancer Service for the study period 2010-2021. The data set is available under 'Measure 13.6 – One-year relative survival from brain cancer'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401" descr="This figure shows a data summary of 'Measure 13.6 – One-year relative survival from brain cancer'. Specially this figure focuses on the trends in one-year relative survival overall and by sex, age remoteness and Integrated Cancer Service for the study period 2010-2021. The data set is available under 'Measure 13.6 – One-year relative survival from brain cancer' in a separate volume, the Victorian cancer plan monitoring and evaluation framework: baseline progress report: Appendix 2: Datasets available on Cancer care &lt;https://www.health.vic.gov.au/health-strategies/cancer-care&gt;."/>
                    <pic:cNvPicPr/>
                  </pic:nvPicPr>
                  <pic:blipFill>
                    <a:blip r:embed="rId155"/>
                    <a:stretch>
                      <a:fillRect/>
                    </a:stretch>
                  </pic:blipFill>
                  <pic:spPr>
                    <a:xfrm>
                      <a:off x="0" y="0"/>
                      <a:ext cx="5904795" cy="5029990"/>
                    </a:xfrm>
                    <a:prstGeom prst="rect">
                      <a:avLst/>
                    </a:prstGeom>
                  </pic:spPr>
                </pic:pic>
              </a:graphicData>
            </a:graphic>
          </wp:inline>
        </w:drawing>
      </w:r>
    </w:p>
    <w:p w14:paraId="4A8DB08C" w14:textId="6E22C111" w:rsidR="00DC2D82" w:rsidRPr="0039036B" w:rsidRDefault="00DC2D82" w:rsidP="00C03D95">
      <w:pPr>
        <w:pStyle w:val="Tablefigurenote"/>
        <w:rPr>
          <w:i/>
          <w:iCs/>
          <w:sz w:val="18"/>
          <w:szCs w:val="18"/>
        </w:rPr>
      </w:pPr>
      <w:r w:rsidRPr="0039036B">
        <w:rPr>
          <w:i/>
          <w:iCs/>
          <w:sz w:val="18"/>
          <w:szCs w:val="18"/>
        </w:rPr>
        <w:t>Note: Appendix 2 provides the dataset.</w:t>
      </w:r>
    </w:p>
    <w:p w14:paraId="55CA5706" w14:textId="68A88816" w:rsidR="002E08FF" w:rsidRPr="00671C7A" w:rsidRDefault="002E08FF" w:rsidP="007C7F00">
      <w:pPr>
        <w:pStyle w:val="Heading4"/>
      </w:pPr>
      <w:r w:rsidRPr="007A1BAB">
        <w:t>Measure assessment</w:t>
      </w:r>
    </w:p>
    <w:p w14:paraId="4E797551" w14:textId="1577485F" w:rsidR="002E08FF" w:rsidRPr="00744FAD" w:rsidRDefault="002E08FF" w:rsidP="00606436">
      <w:pPr>
        <w:pStyle w:val="Body"/>
        <w:rPr>
          <w:color w:val="00B050"/>
        </w:rPr>
      </w:pPr>
      <w:r w:rsidRPr="00744FAD">
        <w:t>Traffic light rating:</w:t>
      </w:r>
      <w:r w:rsidRPr="00B504AD">
        <w:rPr>
          <w:color w:val="AF272F"/>
        </w:rPr>
        <w:t xml:space="preserve"> </w:t>
      </w:r>
      <w:r w:rsidR="00AB1639" w:rsidRPr="00DD3D63">
        <w:rPr>
          <w:b/>
          <w:color w:val="C5511A"/>
        </w:rPr>
        <w:t xml:space="preserve">Amber </w:t>
      </w:r>
      <w:r w:rsidR="00AB1639" w:rsidRPr="00744FAD">
        <w:t>(desired result not yet evident)</w:t>
      </w:r>
    </w:p>
    <w:p w14:paraId="24969319" w14:textId="07CCCC22" w:rsidR="002E08FF" w:rsidRPr="00744FAD" w:rsidRDefault="002E08FF" w:rsidP="00606436">
      <w:pPr>
        <w:pStyle w:val="Body"/>
      </w:pPr>
      <w:r w:rsidRPr="00744FAD">
        <w:t xml:space="preserve">Overall trend: </w:t>
      </w:r>
      <w:r w:rsidR="00AB1639" w:rsidRPr="00744FAD">
        <w:t>Static or unchanging</w:t>
      </w:r>
    </w:p>
    <w:p w14:paraId="6CFA9BDF" w14:textId="728DF132" w:rsidR="00BF5AF1" w:rsidRPr="00744FAD" w:rsidRDefault="002E08FF" w:rsidP="00E87AAA">
      <w:pPr>
        <w:pStyle w:val="Body"/>
        <w:rPr>
          <w:lang w:val="en-GB"/>
        </w:rPr>
      </w:pPr>
      <w:r w:rsidRPr="007C5CD7">
        <w:rPr>
          <w:lang w:eastAsia="en-AU"/>
        </w:rPr>
        <w:t>Commentary:</w:t>
      </w:r>
      <w:r w:rsidR="006059EB" w:rsidRPr="007C5CD7">
        <w:rPr>
          <w:lang w:eastAsia="en-AU"/>
        </w:rPr>
        <w:t xml:space="preserve"> </w:t>
      </w:r>
      <w:r w:rsidR="006059EB" w:rsidRPr="007C5CD7">
        <w:rPr>
          <w:lang w:val="en-GB"/>
        </w:rPr>
        <w:t>Brain cancers include primary brain tumours, which start in the brain and almost never spread to other parts of the body, and secondary tumours (or metastases), which are caused by cancers that have begun in another part of the body</w:t>
      </w:r>
      <w:r w:rsidR="006059EB" w:rsidRPr="00744FAD">
        <w:rPr>
          <w:lang w:val="en-GB"/>
        </w:rPr>
        <w:t>.</w:t>
      </w:r>
      <w:r w:rsidR="006059EB" w:rsidRPr="00744FAD">
        <w:rPr>
          <w:rStyle w:val="FootnoteReference"/>
          <w:rFonts w:cs="Arial"/>
          <w:lang w:val="en-GB"/>
        </w:rPr>
        <w:footnoteReference w:id="189"/>
      </w:r>
      <w:r w:rsidR="00952FC7" w:rsidRPr="00744FAD">
        <w:rPr>
          <w:lang w:val="en-GB"/>
        </w:rPr>
        <w:t xml:space="preserve"> </w:t>
      </w:r>
      <w:r w:rsidR="00BF5AF1" w:rsidRPr="00744FAD">
        <w:rPr>
          <w:lang w:val="en-GB"/>
        </w:rPr>
        <w:t>In Australia brain cancer accounts for 1.4</w:t>
      </w:r>
      <w:r w:rsidR="0054537F">
        <w:rPr>
          <w:lang w:val="en-GB"/>
        </w:rPr>
        <w:t>%</w:t>
      </w:r>
      <w:r w:rsidR="00BF5AF1" w:rsidRPr="00744FAD">
        <w:rPr>
          <w:lang w:val="en-GB"/>
        </w:rPr>
        <w:t xml:space="preserve"> of all cancers and is one of the most </w:t>
      </w:r>
      <w:r w:rsidR="00BF5AF1" w:rsidRPr="00744FAD">
        <w:t>common cancers and leading causes of cancer death in young Australians.</w:t>
      </w:r>
      <w:r w:rsidR="00BF5AF1" w:rsidRPr="00744FAD">
        <w:rPr>
          <w:rStyle w:val="FootnoteReference"/>
        </w:rPr>
        <w:footnoteReference w:id="190"/>
      </w:r>
      <w:r w:rsidR="00BF5AF1" w:rsidRPr="00744FAD">
        <w:t xml:space="preserve"> B</w:t>
      </w:r>
      <w:r w:rsidR="002945F6" w:rsidRPr="00744FAD">
        <w:t xml:space="preserve">rain cancer survival rates are low and have hardly changed for 30 years, despite significant increases in survival for Australians diagnosed with other types of cancer such as </w:t>
      </w:r>
      <w:r w:rsidR="002945F6" w:rsidRPr="00744FAD">
        <w:lastRenderedPageBreak/>
        <w:t xml:space="preserve">prostate and breast cancer. Treatment is challenging because it affects the most </w:t>
      </w:r>
      <w:r w:rsidR="00364AEA">
        <w:t xml:space="preserve">essential </w:t>
      </w:r>
      <w:r w:rsidR="00466AF1" w:rsidRPr="00744FAD">
        <w:t xml:space="preserve">human </w:t>
      </w:r>
      <w:r w:rsidR="002945F6" w:rsidRPr="00744FAD">
        <w:t>organ</w:t>
      </w:r>
      <w:r w:rsidR="00466AF1" w:rsidRPr="00744FAD">
        <w:t xml:space="preserve"> – the brain</w:t>
      </w:r>
      <w:r w:rsidR="002945F6" w:rsidRPr="00744FAD">
        <w:t>.</w:t>
      </w:r>
      <w:r w:rsidR="002945F6" w:rsidRPr="00744FAD">
        <w:rPr>
          <w:rStyle w:val="FootnoteReference"/>
          <w:rFonts w:cs="Arial"/>
        </w:rPr>
        <w:footnoteReference w:id="191"/>
      </w:r>
    </w:p>
    <w:p w14:paraId="3DF6750C" w14:textId="04138FC4" w:rsidR="00BF5AF1" w:rsidRPr="007A470C" w:rsidRDefault="00BF5AF1" w:rsidP="00E87AAA">
      <w:pPr>
        <w:pStyle w:val="Body"/>
      </w:pPr>
      <w:r w:rsidRPr="007A470C">
        <w:t>In Victoria, for people diagnosed with brain cancer between 2010 and 20</w:t>
      </w:r>
      <w:r w:rsidR="007A470C" w:rsidRPr="007A470C">
        <w:t>2</w:t>
      </w:r>
      <w:r w:rsidR="007A1BAB">
        <w:t>1</w:t>
      </w:r>
      <w:r w:rsidRPr="007A470C">
        <w:t>, the one-year relative survival ranged from 5</w:t>
      </w:r>
      <w:r w:rsidR="007A470C" w:rsidRPr="007A470C">
        <w:t>6</w:t>
      </w:r>
      <w:r w:rsidRPr="007A470C">
        <w:t>.9</w:t>
      </w:r>
      <w:r w:rsidR="0054537F">
        <w:t>%</w:t>
      </w:r>
      <w:r w:rsidRPr="007A470C">
        <w:t xml:space="preserve"> in 2010 to </w:t>
      </w:r>
      <w:r w:rsidR="00C0633A">
        <w:t>60</w:t>
      </w:r>
      <w:r w:rsidRPr="007A470C">
        <w:t>.</w:t>
      </w:r>
      <w:r w:rsidR="00C0633A">
        <w:t>9</w:t>
      </w:r>
      <w:r w:rsidR="0054537F">
        <w:t>%</w:t>
      </w:r>
      <w:r w:rsidRPr="007A470C">
        <w:t xml:space="preserve"> in 20</w:t>
      </w:r>
      <w:r w:rsidR="007A470C" w:rsidRPr="007A470C">
        <w:t>2</w:t>
      </w:r>
      <w:r w:rsidR="00C0633A">
        <w:t>1</w:t>
      </w:r>
      <w:r w:rsidRPr="007A470C">
        <w:t xml:space="preserve"> (Figure 13.6 (A)).</w:t>
      </w:r>
      <w:r w:rsidR="00952FC7" w:rsidRPr="007A470C">
        <w:t xml:space="preserve"> </w:t>
      </w:r>
      <w:r w:rsidRPr="007A470C">
        <w:t>Survival was slight</w:t>
      </w:r>
      <w:r w:rsidR="00122D8D" w:rsidRPr="007A470C">
        <w:t>ly</w:t>
      </w:r>
      <w:r w:rsidRPr="007A470C">
        <w:t xml:space="preserve"> higher for females than for males </w:t>
      </w:r>
      <w:r w:rsidR="00122D8D" w:rsidRPr="007A470C">
        <w:t>during the analysis period</w:t>
      </w:r>
      <w:r w:rsidRPr="007A470C">
        <w:t xml:space="preserve"> (Figure 13.</w:t>
      </w:r>
      <w:r w:rsidR="00122D8D" w:rsidRPr="007A470C">
        <w:t>6</w:t>
      </w:r>
      <w:r w:rsidRPr="007A470C">
        <w:t xml:space="preserve"> (B))</w:t>
      </w:r>
      <w:r w:rsidR="00122D8D" w:rsidRPr="007A470C">
        <w:t xml:space="preserve">. </w:t>
      </w:r>
      <w:r w:rsidRPr="007A470C">
        <w:t xml:space="preserve">Survival </w:t>
      </w:r>
      <w:r w:rsidR="007A470C" w:rsidRPr="007A470C">
        <w:t>decreased markedly</w:t>
      </w:r>
      <w:r w:rsidRPr="007A470C">
        <w:t xml:space="preserve"> with </w:t>
      </w:r>
      <w:r w:rsidR="00122D8D" w:rsidRPr="007A470C">
        <w:t xml:space="preserve">all </w:t>
      </w:r>
      <w:r w:rsidRPr="007A470C">
        <w:t>age</w:t>
      </w:r>
      <w:r w:rsidR="00122D8D" w:rsidRPr="007A470C">
        <w:t xml:space="preserve"> categories</w:t>
      </w:r>
      <w:r w:rsidR="007A470C" w:rsidRPr="007A470C">
        <w:t xml:space="preserve"> (except in 2020)</w:t>
      </w:r>
      <w:r w:rsidR="00122D8D" w:rsidRPr="007A470C">
        <w:t xml:space="preserve"> but was more pronounced</w:t>
      </w:r>
      <w:r w:rsidRPr="007A470C">
        <w:t xml:space="preserve"> for those aged 75 years </w:t>
      </w:r>
      <w:r w:rsidR="001B50BF" w:rsidRPr="007A470C">
        <w:t>or older</w:t>
      </w:r>
      <w:r w:rsidR="00122D8D" w:rsidRPr="007A470C">
        <w:t xml:space="preserve"> (Figure 13.6 (C)).</w:t>
      </w:r>
    </w:p>
    <w:p w14:paraId="32F52CE5" w14:textId="6B578AF1" w:rsidR="00BF5AF1" w:rsidRPr="00744FAD" w:rsidRDefault="00BF5AF1" w:rsidP="00E87AAA">
      <w:pPr>
        <w:pStyle w:val="Body"/>
      </w:pPr>
      <w:r w:rsidRPr="00744FAD">
        <w:t>Survival varied by remoteness</w:t>
      </w:r>
      <w:r w:rsidR="006E2C2B" w:rsidRPr="00744FAD">
        <w:t>,</w:t>
      </w:r>
      <w:r w:rsidRPr="00744FAD">
        <w:t xml:space="preserve"> with one-year survival higher in </w:t>
      </w:r>
      <w:r w:rsidR="00840304" w:rsidRPr="00744FAD">
        <w:t>m</w:t>
      </w:r>
      <w:r w:rsidRPr="00744FAD">
        <w:t xml:space="preserve">ajor cities for most years </w:t>
      </w:r>
      <w:r w:rsidR="00122D8D" w:rsidRPr="00744FAD">
        <w:t>except for 201</w:t>
      </w:r>
      <w:r w:rsidR="00744FAD" w:rsidRPr="00744FAD">
        <w:t>3</w:t>
      </w:r>
      <w:r w:rsidR="00122D8D" w:rsidRPr="00744FAD">
        <w:t xml:space="preserve"> when </w:t>
      </w:r>
      <w:r w:rsidR="006E2C2B" w:rsidRPr="00744FAD">
        <w:t>i</w:t>
      </w:r>
      <w:r w:rsidR="00122D8D" w:rsidRPr="00744FAD">
        <w:t xml:space="preserve">nner </w:t>
      </w:r>
      <w:r w:rsidR="006E2C2B" w:rsidRPr="00744FAD">
        <w:t>r</w:t>
      </w:r>
      <w:r w:rsidR="00122D8D" w:rsidRPr="00744FAD">
        <w:t xml:space="preserve">egional areas </w:t>
      </w:r>
      <w:r w:rsidRPr="00744FAD">
        <w:t xml:space="preserve">had </w:t>
      </w:r>
      <w:r w:rsidR="00122D8D" w:rsidRPr="00744FAD">
        <w:t>a slightly</w:t>
      </w:r>
      <w:r w:rsidRPr="00744FAD">
        <w:t xml:space="preserve"> highe</w:t>
      </w:r>
      <w:r w:rsidR="00122D8D" w:rsidRPr="00744FAD">
        <w:t>r</w:t>
      </w:r>
      <w:r w:rsidRPr="00744FAD">
        <w:t xml:space="preserve"> survival rate.</w:t>
      </w:r>
      <w:r w:rsidR="00952FC7" w:rsidRPr="00744FAD">
        <w:t xml:space="preserve"> </w:t>
      </w:r>
      <w:r w:rsidR="00122D8D" w:rsidRPr="00744FAD">
        <w:t>As with other measures</w:t>
      </w:r>
      <w:r w:rsidRPr="00744FAD">
        <w:t xml:space="preserve">, caution should be taken when interpreting this result </w:t>
      </w:r>
      <w:r w:rsidR="006E2C2B" w:rsidRPr="00744FAD">
        <w:t xml:space="preserve">because </w:t>
      </w:r>
      <w:r w:rsidRPr="00744FAD">
        <w:t>the wide confidence interval</w:t>
      </w:r>
      <w:r w:rsidR="003D335F" w:rsidRPr="00744FAD">
        <w:t>s</w:t>
      </w:r>
      <w:r w:rsidRPr="00744FAD">
        <w:t xml:space="preserve"> shown for </w:t>
      </w:r>
      <w:r w:rsidR="00122D8D" w:rsidRPr="00744FAD">
        <w:t>one-year survival rates</w:t>
      </w:r>
      <w:r w:rsidR="007E74F2">
        <w:t>,</w:t>
      </w:r>
      <w:r w:rsidR="003357A9" w:rsidRPr="00744FAD">
        <w:t xml:space="preserve"> particularly as they relate to inner regional outer regional/remote </w:t>
      </w:r>
      <w:r w:rsidR="00122D8D" w:rsidRPr="00744FAD">
        <w:t>areas</w:t>
      </w:r>
      <w:r w:rsidR="007E74F2">
        <w:t>,</w:t>
      </w:r>
      <w:r w:rsidR="00122D8D" w:rsidRPr="00744FAD">
        <w:t xml:space="preserve"> denotes </w:t>
      </w:r>
      <w:r w:rsidRPr="00744FAD">
        <w:t>a small sample size that may not represent</w:t>
      </w:r>
      <w:r w:rsidR="006E2C2B" w:rsidRPr="00744FAD">
        <w:t xml:space="preserve"> </w:t>
      </w:r>
      <w:r w:rsidRPr="00744FAD">
        <w:t>the population (Figure 13.</w:t>
      </w:r>
      <w:r w:rsidR="00ED502F" w:rsidRPr="00744FAD">
        <w:t>6</w:t>
      </w:r>
      <w:r w:rsidR="00EB13A5" w:rsidRPr="00744FAD">
        <w:t xml:space="preserve"> </w:t>
      </w:r>
      <w:r w:rsidRPr="00744FAD">
        <w:t>(D)).</w:t>
      </w:r>
    </w:p>
    <w:p w14:paraId="02C81760" w14:textId="5A7E9A69" w:rsidR="00BF5AF1" w:rsidRPr="00744FAD" w:rsidRDefault="00BF5AF1" w:rsidP="00E87AAA">
      <w:pPr>
        <w:pStyle w:val="Body"/>
      </w:pPr>
      <w:r w:rsidRPr="00744FAD">
        <w:t>One-year survival rates varied between regions when compared by ICS between 2010 and 20</w:t>
      </w:r>
      <w:r w:rsidR="00744FAD" w:rsidRPr="00744FAD">
        <w:t>2</w:t>
      </w:r>
      <w:r w:rsidR="007A1BAB">
        <w:t>1</w:t>
      </w:r>
      <w:r w:rsidR="00C37676" w:rsidRPr="00744FAD">
        <w:t xml:space="preserve">. </w:t>
      </w:r>
      <w:r w:rsidR="00744FAD" w:rsidRPr="00744FAD">
        <w:t>Fluctuating h</w:t>
      </w:r>
      <w:r w:rsidRPr="00744FAD">
        <w:t xml:space="preserve">igher rates of survival </w:t>
      </w:r>
      <w:r w:rsidR="007E74F2">
        <w:t>seen in</w:t>
      </w:r>
      <w:r w:rsidRPr="00744FAD">
        <w:t xml:space="preserve"> </w:t>
      </w:r>
      <w:r w:rsidR="00C37676" w:rsidRPr="00744FAD">
        <w:t xml:space="preserve">regional and rural </w:t>
      </w:r>
      <w:r w:rsidRPr="00744FAD">
        <w:t xml:space="preserve">ICSs such as </w:t>
      </w:r>
      <w:r w:rsidR="00C37676" w:rsidRPr="00744FAD">
        <w:t>LMICS and GICS</w:t>
      </w:r>
      <w:r w:rsidR="005B248D" w:rsidRPr="00744FAD">
        <w:t xml:space="preserve"> </w:t>
      </w:r>
      <w:r w:rsidRPr="00744FAD">
        <w:t>should be interpreted with caution because of the wide confidence interval</w:t>
      </w:r>
      <w:r w:rsidR="00C37676" w:rsidRPr="00744FAD">
        <w:t>s due to small sample sizes (Figure 13.6 (E)).</w:t>
      </w:r>
      <w:r w:rsidR="00744FAD">
        <w:t xml:space="preserve"> The full dataset is available in Appendix 2 – refer to Tables 13.6a</w:t>
      </w:r>
      <w:r w:rsidR="007E74F2">
        <w:t>–</w:t>
      </w:r>
      <w:r w:rsidR="00744FAD">
        <w:t>c.</w:t>
      </w:r>
    </w:p>
    <w:p w14:paraId="42F570B6" w14:textId="7FCEDC65" w:rsidR="002E08FF" w:rsidRPr="001A2A05" w:rsidRDefault="00BF5AF1" w:rsidP="00E87AAA">
      <w:pPr>
        <w:pStyle w:val="Body"/>
      </w:pPr>
      <w:r w:rsidRPr="00744FAD">
        <w:t>While no target has been set for this measure</w:t>
      </w:r>
      <w:r w:rsidR="006E2C2B" w:rsidRPr="00744FAD">
        <w:t>,</w:t>
      </w:r>
      <w:r w:rsidRPr="00744FAD">
        <w:t xml:space="preserve"> the one-year survival rate for those patients diagnosed with </w:t>
      </w:r>
      <w:r w:rsidR="00536D5F" w:rsidRPr="00744FAD">
        <w:t>brain</w:t>
      </w:r>
      <w:r w:rsidRPr="00744FAD">
        <w:t xml:space="preserve"> cancer between 2010 and 20</w:t>
      </w:r>
      <w:r w:rsidR="007C5CD7" w:rsidRPr="00744FAD">
        <w:t>2</w:t>
      </w:r>
      <w:r w:rsidR="007A1BAB">
        <w:t>1</w:t>
      </w:r>
      <w:r w:rsidRPr="00744FAD">
        <w:t xml:space="preserve"> shows a </w:t>
      </w:r>
      <w:r w:rsidR="00ED144E" w:rsidRPr="00744FAD">
        <w:t xml:space="preserve">gradual </w:t>
      </w:r>
      <w:r w:rsidRPr="00744FAD">
        <w:t>improvement in the proportion of those surviving the one-year period</w:t>
      </w:r>
      <w:r w:rsidR="00ED144E" w:rsidRPr="00744FAD">
        <w:t xml:space="preserve"> over time</w:t>
      </w:r>
      <w:r w:rsidRPr="00744FAD">
        <w:t>.</w:t>
      </w:r>
      <w:r>
        <w:t xml:space="preserve"> </w:t>
      </w:r>
      <w:r w:rsidR="002E08FF" w:rsidRPr="00466AF1">
        <w:br w:type="page"/>
      </w:r>
    </w:p>
    <w:p w14:paraId="69E7EE4F" w14:textId="6F991531" w:rsidR="005C15AA" w:rsidRPr="00DD3D63" w:rsidRDefault="005C15AA" w:rsidP="00A451D4">
      <w:pPr>
        <w:pStyle w:val="Heading3"/>
        <w:rPr>
          <w:b/>
          <w:bCs w:val="0"/>
        </w:rPr>
      </w:pPr>
      <w:bookmarkStart w:id="986" w:name="_Measure_13.7_–"/>
      <w:bookmarkStart w:id="987" w:name="_Toc19008166"/>
      <w:bookmarkEnd w:id="986"/>
      <w:r w:rsidRPr="00DD3D63">
        <w:rPr>
          <w:b/>
          <w:bCs w:val="0"/>
        </w:rPr>
        <w:lastRenderedPageBreak/>
        <w:t xml:space="preserve">Measure 13.7 – One-year </w:t>
      </w:r>
      <w:r w:rsidR="003D7785">
        <w:rPr>
          <w:b/>
          <w:bCs w:val="0"/>
        </w:rPr>
        <w:t xml:space="preserve">relative </w:t>
      </w:r>
      <w:r w:rsidRPr="00DD3D63">
        <w:rPr>
          <w:b/>
          <w:bCs w:val="0"/>
        </w:rPr>
        <w:t xml:space="preserve">survival from </w:t>
      </w:r>
      <w:bookmarkStart w:id="988" w:name="_Hlk139554516"/>
      <w:r w:rsidRPr="00DD3D63">
        <w:rPr>
          <w:b/>
          <w:bCs w:val="0"/>
        </w:rPr>
        <w:t>oesophag</w:t>
      </w:r>
      <w:r w:rsidR="00583BC7" w:rsidRPr="00DD3D63">
        <w:rPr>
          <w:b/>
          <w:bCs w:val="0"/>
        </w:rPr>
        <w:t>eal</w:t>
      </w:r>
      <w:r w:rsidRPr="00DD3D63">
        <w:rPr>
          <w:b/>
          <w:bCs w:val="0"/>
        </w:rPr>
        <w:t xml:space="preserve"> </w:t>
      </w:r>
      <w:bookmarkEnd w:id="988"/>
      <w:r w:rsidRPr="00DD3D63">
        <w:rPr>
          <w:b/>
          <w:bCs w:val="0"/>
        </w:rPr>
        <w:t>cancer</w:t>
      </w:r>
      <w:bookmarkEnd w:id="987"/>
    </w:p>
    <w:p w14:paraId="46307D85" w14:textId="3F555E47" w:rsidR="00661DD8" w:rsidRPr="00F60ED8" w:rsidRDefault="00856C1B" w:rsidP="00441D5B">
      <w:pPr>
        <w:pStyle w:val="Figurecaption"/>
        <w:rPr>
          <w:sz w:val="20"/>
        </w:rPr>
      </w:pPr>
      <w:bookmarkStart w:id="989" w:name="_Toc19008167"/>
      <w:bookmarkStart w:id="990" w:name="_Toc19008368"/>
      <w:bookmarkStart w:id="991" w:name="_Toc19008515"/>
      <w:bookmarkStart w:id="992" w:name="_Toc19008662"/>
      <w:bookmarkStart w:id="993" w:name="_Toc132553092"/>
      <w:bookmarkStart w:id="994" w:name="_Toc140827705"/>
      <w:r w:rsidRPr="00F60ED8">
        <w:rPr>
          <w:sz w:val="20"/>
        </w:rPr>
        <w:t>Figure 13.7</w:t>
      </w:r>
      <w:r w:rsidR="00C03D95" w:rsidRPr="00F60ED8">
        <w:rPr>
          <w:sz w:val="20"/>
        </w:rPr>
        <w:t>:</w:t>
      </w:r>
      <w:r w:rsidRPr="00F60ED8">
        <w:rPr>
          <w:sz w:val="20"/>
        </w:rPr>
        <w:t xml:space="preserve"> Trends in </w:t>
      </w:r>
      <w:r w:rsidR="00661DD8" w:rsidRPr="00F60ED8">
        <w:rPr>
          <w:sz w:val="20"/>
        </w:rPr>
        <w:t>one-year relative survival from oesophag</w:t>
      </w:r>
      <w:r w:rsidR="00583BC7" w:rsidRPr="00F60ED8">
        <w:rPr>
          <w:sz w:val="20"/>
        </w:rPr>
        <w:t>eal</w:t>
      </w:r>
      <w:r w:rsidR="00661DD8" w:rsidRPr="00F60ED8">
        <w:rPr>
          <w:sz w:val="20"/>
        </w:rPr>
        <w:t xml:space="preserve"> cancer overall (A) and by sex (B), age (C), remoteness (D) and </w:t>
      </w:r>
      <w:r w:rsidR="008439C8" w:rsidRPr="00F60ED8">
        <w:rPr>
          <w:sz w:val="20"/>
        </w:rPr>
        <w:t>ICS</w:t>
      </w:r>
      <w:r w:rsidR="00661DD8" w:rsidRPr="00F60ED8">
        <w:rPr>
          <w:sz w:val="20"/>
        </w:rPr>
        <w:t xml:space="preserve"> (E), Victoria, by year, 2010</w:t>
      </w:r>
      <w:r w:rsidR="009D0E1A" w:rsidRPr="00F60ED8">
        <w:rPr>
          <w:sz w:val="20"/>
        </w:rPr>
        <w:t>–</w:t>
      </w:r>
      <w:r w:rsidR="00661DD8" w:rsidRPr="00F60ED8">
        <w:rPr>
          <w:sz w:val="20"/>
        </w:rPr>
        <w:t>20</w:t>
      </w:r>
      <w:bookmarkEnd w:id="989"/>
      <w:bookmarkEnd w:id="990"/>
      <w:bookmarkEnd w:id="991"/>
      <w:bookmarkEnd w:id="992"/>
      <w:r w:rsidR="00A5187A" w:rsidRPr="00F60ED8">
        <w:rPr>
          <w:sz w:val="20"/>
        </w:rPr>
        <w:t>2</w:t>
      </w:r>
      <w:r w:rsidR="00E27C1D" w:rsidRPr="00F60ED8">
        <w:rPr>
          <w:sz w:val="20"/>
        </w:rPr>
        <w:t>1</w:t>
      </w:r>
      <w:bookmarkEnd w:id="993"/>
      <w:bookmarkEnd w:id="994"/>
    </w:p>
    <w:p w14:paraId="462EDE57" w14:textId="205FDDCE" w:rsidR="00E27C1D" w:rsidRPr="00E27C1D" w:rsidRDefault="00E27C1D" w:rsidP="00E87AAA">
      <w:pPr>
        <w:pStyle w:val="Body"/>
      </w:pPr>
      <w:r>
        <w:rPr>
          <w:noProof/>
        </w:rPr>
        <w:drawing>
          <wp:inline distT="0" distB="0" distL="0" distR="0" wp14:anchorId="18CCF65D" wp14:editId="48E8D78F">
            <wp:extent cx="5891189" cy="5018400"/>
            <wp:effectExtent l="0" t="0" r="0" b="0"/>
            <wp:docPr id="402" name="Picture 402" descr="This figure shows a data summary of 'Measure 13.7 – One-year relative survival from oesophageal cancer'. Specially this figure focuses on the trends in one-year relative survival overall and by sex, age remoteness and Integrated Cancer Service for the study period 2010-2021. The data set is available under 'Measure 13.7 – One-year relative survival from oesophageal cancer'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Picture 402" descr="This figure shows a data summary of 'Measure 13.7 – One-year relative survival from oesophageal cancer'. Specially this figure focuses on the trends in one-year relative survival overall and by sex, age remoteness and Integrated Cancer Service for the study period 2010-2021. The data set is available under 'Measure 13.7 – One-year relative survival from oesophageal cancer' in a separate volume, the Victorian cancer plan monitoring and evaluation framework: baseline progress report: Appendix 2: Datasets available on Cancer care &lt;https://www.health.vic.gov.au/health-strategies/cancer-care&gt;."/>
                    <pic:cNvPicPr/>
                  </pic:nvPicPr>
                  <pic:blipFill>
                    <a:blip r:embed="rId156"/>
                    <a:stretch>
                      <a:fillRect/>
                    </a:stretch>
                  </pic:blipFill>
                  <pic:spPr>
                    <a:xfrm>
                      <a:off x="0" y="0"/>
                      <a:ext cx="5897530" cy="5023802"/>
                    </a:xfrm>
                    <a:prstGeom prst="rect">
                      <a:avLst/>
                    </a:prstGeom>
                  </pic:spPr>
                </pic:pic>
              </a:graphicData>
            </a:graphic>
          </wp:inline>
        </w:drawing>
      </w:r>
    </w:p>
    <w:p w14:paraId="229AAB5A" w14:textId="3B7E883A" w:rsidR="00E9049F" w:rsidRPr="0039036B" w:rsidRDefault="00DC2D82" w:rsidP="00C03D95">
      <w:pPr>
        <w:pStyle w:val="Tablefigurenote"/>
        <w:rPr>
          <w:i/>
          <w:iCs/>
          <w:sz w:val="18"/>
          <w:szCs w:val="18"/>
        </w:rPr>
      </w:pPr>
      <w:r w:rsidRPr="0039036B">
        <w:rPr>
          <w:i/>
          <w:iCs/>
          <w:sz w:val="18"/>
          <w:szCs w:val="18"/>
        </w:rPr>
        <w:t>Note: Appendix 2 provides the dataset.</w:t>
      </w:r>
    </w:p>
    <w:p w14:paraId="278C5165" w14:textId="1913AB2D" w:rsidR="002E08FF" w:rsidRPr="00671C7A" w:rsidRDefault="002E08FF" w:rsidP="007C7F00">
      <w:pPr>
        <w:pStyle w:val="Heading4"/>
      </w:pPr>
      <w:r w:rsidRPr="00C0633A">
        <w:t>Measure assessment</w:t>
      </w:r>
    </w:p>
    <w:p w14:paraId="755A9C34" w14:textId="77777777" w:rsidR="00AA44E0" w:rsidRPr="003A15F7" w:rsidRDefault="00AA44E0" w:rsidP="00AA44E0">
      <w:pPr>
        <w:pStyle w:val="Body"/>
      </w:pPr>
      <w:r w:rsidRPr="005A4EC0">
        <w:t>Traffic light rating:</w:t>
      </w:r>
      <w:r w:rsidRPr="00B504AD">
        <w:rPr>
          <w:color w:val="AF272F"/>
        </w:rPr>
        <w:t xml:space="preserve"> </w:t>
      </w:r>
      <w:r w:rsidRPr="00DD3D63">
        <w:rPr>
          <w:b/>
          <w:color w:val="C5511A"/>
        </w:rPr>
        <w:t xml:space="preserve">Amber </w:t>
      </w:r>
      <w:r w:rsidRPr="00744FAD">
        <w:t>(desired result not yet evident)</w:t>
      </w:r>
    </w:p>
    <w:p w14:paraId="302761AA" w14:textId="3720C052" w:rsidR="00AA44E0" w:rsidRPr="005A4EC0" w:rsidRDefault="00AA44E0" w:rsidP="00AA44E0">
      <w:pPr>
        <w:pStyle w:val="Body"/>
      </w:pPr>
      <w:r w:rsidRPr="005A4EC0">
        <w:t>Overall trend: Moving in the right direction</w:t>
      </w:r>
      <w:r>
        <w:t xml:space="preserve"> but impacts of the COVID pandemic on one-year survival is uncertain</w:t>
      </w:r>
    </w:p>
    <w:p w14:paraId="53C6BA1A" w14:textId="14AA8CA2" w:rsidR="00A408A8" w:rsidRDefault="002E08FF" w:rsidP="00E87AAA">
      <w:pPr>
        <w:pStyle w:val="Body"/>
        <w:rPr>
          <w:lang w:val="en-GB"/>
        </w:rPr>
      </w:pPr>
      <w:r w:rsidRPr="00F1758D">
        <w:rPr>
          <w:rFonts w:cs="Arial"/>
          <w:lang w:eastAsia="en-AU"/>
        </w:rPr>
        <w:t>Commentary:</w:t>
      </w:r>
      <w:r w:rsidR="00717BDD" w:rsidRPr="00F1758D">
        <w:rPr>
          <w:rFonts w:cs="Arial"/>
          <w:lang w:eastAsia="en-AU"/>
        </w:rPr>
        <w:t xml:space="preserve"> </w:t>
      </w:r>
      <w:r w:rsidR="00401577" w:rsidRPr="00F1758D">
        <w:rPr>
          <w:lang w:val="en-GB"/>
        </w:rPr>
        <w:t>C</w:t>
      </w:r>
      <w:r w:rsidR="00A408A8" w:rsidRPr="00F1758D">
        <w:rPr>
          <w:lang w:val="en-GB"/>
        </w:rPr>
        <w:t>ancer</w:t>
      </w:r>
      <w:r w:rsidR="00401577" w:rsidRPr="00F1758D">
        <w:rPr>
          <w:lang w:val="en-GB"/>
        </w:rPr>
        <w:t xml:space="preserve"> of the oesophagus (stomach cancer)</w:t>
      </w:r>
      <w:r w:rsidR="00F66562">
        <w:rPr>
          <w:lang w:val="en-GB"/>
        </w:rPr>
        <w:t xml:space="preserve"> is a multifactorial disease</w:t>
      </w:r>
      <w:r w:rsidR="00861D3E">
        <w:rPr>
          <w:rStyle w:val="FootnoteReference"/>
          <w:lang w:val="en-GB"/>
        </w:rPr>
        <w:footnoteReference w:id="192"/>
      </w:r>
      <w:r w:rsidR="0089381C">
        <w:rPr>
          <w:lang w:val="en-GB"/>
        </w:rPr>
        <w:t xml:space="preserve"> </w:t>
      </w:r>
      <w:r w:rsidR="00132BE0">
        <w:rPr>
          <w:lang w:val="en-GB"/>
        </w:rPr>
        <w:t>and</w:t>
      </w:r>
      <w:r w:rsidR="00132BE0" w:rsidRPr="00F1758D">
        <w:rPr>
          <w:lang w:val="en-GB"/>
        </w:rPr>
        <w:t xml:space="preserve"> </w:t>
      </w:r>
      <w:r w:rsidR="00A408A8" w:rsidRPr="00F1758D">
        <w:rPr>
          <w:lang w:val="en-GB"/>
        </w:rPr>
        <w:t xml:space="preserve">is relatively common in Australia. Nationally it is rare in people under 50 years of age and affects more </w:t>
      </w:r>
      <w:r w:rsidR="00A408A8" w:rsidRPr="00F1758D">
        <w:rPr>
          <w:lang w:val="en-GB"/>
        </w:rPr>
        <w:lastRenderedPageBreak/>
        <w:t>men than women.</w:t>
      </w:r>
      <w:r w:rsidR="00A408A8" w:rsidRPr="00F1758D">
        <w:rPr>
          <w:rStyle w:val="FootnoteReference"/>
          <w:lang w:val="en-GB"/>
        </w:rPr>
        <w:footnoteReference w:id="193"/>
      </w:r>
      <w:r w:rsidR="00F1758D">
        <w:rPr>
          <w:lang w:val="en-GB"/>
        </w:rPr>
        <w:t xml:space="preserve"> </w:t>
      </w:r>
      <w:r w:rsidR="00F1758D">
        <w:t>The absence of specific symptoms or a marker for early detection often leads to diagnosis when the tumo</w:t>
      </w:r>
      <w:r w:rsidR="00F66562">
        <w:t>u</w:t>
      </w:r>
      <w:r w:rsidR="00F1758D">
        <w:t>r is already locally advanced or met.</w:t>
      </w:r>
      <w:r w:rsidR="00F1758D">
        <w:rPr>
          <w:rStyle w:val="FootnoteReference"/>
        </w:rPr>
        <w:footnoteReference w:id="194"/>
      </w:r>
    </w:p>
    <w:p w14:paraId="78F53BE7" w14:textId="4FB1B466" w:rsidR="003D335F" w:rsidRPr="00A5187A" w:rsidRDefault="00717BDD" w:rsidP="00E87AAA">
      <w:pPr>
        <w:pStyle w:val="Body"/>
        <w:rPr>
          <w:highlight w:val="yellow"/>
        </w:rPr>
      </w:pPr>
      <w:r w:rsidRPr="0029250E">
        <w:t>In Victoria, for people diagnosed with oesophag</w:t>
      </w:r>
      <w:r w:rsidR="00583BC7">
        <w:t>eal</w:t>
      </w:r>
      <w:r w:rsidRPr="0029250E">
        <w:t xml:space="preserve"> cancer between 2010 and 20</w:t>
      </w:r>
      <w:r w:rsidR="00873662" w:rsidRPr="0029250E">
        <w:t>2</w:t>
      </w:r>
      <w:r w:rsidR="00C0633A">
        <w:t>1</w:t>
      </w:r>
      <w:r w:rsidRPr="0029250E">
        <w:t xml:space="preserve">, the one-year relative survival </w:t>
      </w:r>
      <w:r w:rsidR="003D335F" w:rsidRPr="0029250E">
        <w:t>showed very little change</w:t>
      </w:r>
      <w:r w:rsidR="00A6081D" w:rsidRPr="0029250E">
        <w:t>,</w:t>
      </w:r>
      <w:r w:rsidR="003D335F" w:rsidRPr="0029250E">
        <w:t xml:space="preserve"> </w:t>
      </w:r>
      <w:r w:rsidRPr="0029250E">
        <w:t>rang</w:t>
      </w:r>
      <w:r w:rsidR="003D335F" w:rsidRPr="0029250E">
        <w:t>ing</w:t>
      </w:r>
      <w:r w:rsidRPr="0029250E">
        <w:t xml:space="preserve"> from </w:t>
      </w:r>
      <w:r w:rsidR="00873662" w:rsidRPr="0029250E">
        <w:t>50</w:t>
      </w:r>
      <w:r w:rsidRPr="0029250E">
        <w:t>.</w:t>
      </w:r>
      <w:r w:rsidR="00C0633A">
        <w:t>7</w:t>
      </w:r>
      <w:r w:rsidR="0054537F">
        <w:t>%</w:t>
      </w:r>
      <w:r w:rsidRPr="0029250E">
        <w:t xml:space="preserve"> in 2010 to </w:t>
      </w:r>
      <w:r w:rsidR="0029250E" w:rsidRPr="0029250E">
        <w:t>5</w:t>
      </w:r>
      <w:r w:rsidR="00C0633A">
        <w:t>3</w:t>
      </w:r>
      <w:r w:rsidRPr="0029250E">
        <w:t>.</w:t>
      </w:r>
      <w:r w:rsidR="00C0633A">
        <w:t>1</w:t>
      </w:r>
      <w:r w:rsidR="0054537F">
        <w:t>%</w:t>
      </w:r>
      <w:r w:rsidRPr="0029250E">
        <w:t xml:space="preserve"> in 20</w:t>
      </w:r>
      <w:r w:rsidR="0029250E" w:rsidRPr="0029250E">
        <w:t>2</w:t>
      </w:r>
      <w:r w:rsidR="00C0633A">
        <w:t>1</w:t>
      </w:r>
      <w:r w:rsidRPr="0029250E">
        <w:t xml:space="preserve"> (Figure 13.</w:t>
      </w:r>
      <w:r w:rsidR="003D335F" w:rsidRPr="0029250E">
        <w:t>7</w:t>
      </w:r>
      <w:r w:rsidRPr="0029250E">
        <w:t xml:space="preserve"> (A)).</w:t>
      </w:r>
      <w:r w:rsidR="00952FC7" w:rsidRPr="0029250E">
        <w:t xml:space="preserve"> </w:t>
      </w:r>
      <w:r w:rsidRPr="0029250E">
        <w:t xml:space="preserve">Survival </w:t>
      </w:r>
      <w:r w:rsidR="003D335F" w:rsidRPr="0029250E">
        <w:t>fluctuated between genders</w:t>
      </w:r>
      <w:r w:rsidR="00A6081D" w:rsidRPr="0029250E">
        <w:t>,</w:t>
      </w:r>
      <w:r w:rsidR="003D335F" w:rsidRPr="0029250E">
        <w:t xml:space="preserve"> although it </w:t>
      </w:r>
      <w:r w:rsidRPr="0029250E">
        <w:t xml:space="preserve">was slightly higher for females than for males </w:t>
      </w:r>
      <w:r w:rsidR="003D335F" w:rsidRPr="0029250E">
        <w:t>in 2012, 2014</w:t>
      </w:r>
      <w:r w:rsidR="0029250E" w:rsidRPr="0029250E">
        <w:t xml:space="preserve">, </w:t>
      </w:r>
      <w:r w:rsidR="003D335F" w:rsidRPr="0029250E">
        <w:t xml:space="preserve">2016 </w:t>
      </w:r>
      <w:r w:rsidR="0029250E" w:rsidRPr="0029250E">
        <w:t xml:space="preserve">and 2020 </w:t>
      </w:r>
      <w:r w:rsidRPr="0029250E">
        <w:t>during the analysis period (Figure 13.</w:t>
      </w:r>
      <w:r w:rsidR="003D335F" w:rsidRPr="0029250E">
        <w:t>7</w:t>
      </w:r>
      <w:r w:rsidRPr="0029250E">
        <w:t xml:space="preserve"> (B)). Survival </w:t>
      </w:r>
      <w:r w:rsidR="003D335F" w:rsidRPr="0029250E">
        <w:t xml:space="preserve">was generally higher for those aged </w:t>
      </w:r>
      <w:r w:rsidR="0029250E" w:rsidRPr="0029250E">
        <w:t>74</w:t>
      </w:r>
      <w:r w:rsidR="003D335F" w:rsidRPr="0029250E">
        <w:t xml:space="preserve"> years</w:t>
      </w:r>
      <w:r w:rsidR="0029250E" w:rsidRPr="0029250E">
        <w:t xml:space="preserve"> </w:t>
      </w:r>
      <w:r w:rsidR="00132BE0">
        <w:t>or</w:t>
      </w:r>
      <w:r w:rsidR="00132BE0" w:rsidRPr="0029250E">
        <w:t xml:space="preserve"> </w:t>
      </w:r>
      <w:r w:rsidR="0029250E" w:rsidRPr="0029250E">
        <w:t>under</w:t>
      </w:r>
      <w:r w:rsidR="00A6081D" w:rsidRPr="0029250E">
        <w:t>,</w:t>
      </w:r>
      <w:r w:rsidR="003D335F" w:rsidRPr="0029250E">
        <w:t xml:space="preserve"> although wide confidence intervals infer the likelihood of a small sample size </w:t>
      </w:r>
      <w:r w:rsidR="001E73C8" w:rsidRPr="0029250E">
        <w:t xml:space="preserve">that </w:t>
      </w:r>
      <w:r w:rsidR="003D335F" w:rsidRPr="0029250E">
        <w:t>may not represent</w:t>
      </w:r>
      <w:r w:rsidR="001E73C8" w:rsidRPr="0029250E">
        <w:t xml:space="preserve"> </w:t>
      </w:r>
      <w:r w:rsidR="003D335F" w:rsidRPr="0029250E">
        <w:t>the respective age categories (0</w:t>
      </w:r>
      <w:r w:rsidR="009D0E1A" w:rsidRPr="0029250E">
        <w:t>–</w:t>
      </w:r>
      <w:r w:rsidR="003D335F" w:rsidRPr="0029250E">
        <w:t>54 and 55</w:t>
      </w:r>
      <w:r w:rsidR="009D0E1A" w:rsidRPr="0029250E">
        <w:t>–</w:t>
      </w:r>
      <w:r w:rsidR="003D335F" w:rsidRPr="0029250E">
        <w:t>64).</w:t>
      </w:r>
      <w:r w:rsidR="00952FC7" w:rsidRPr="0029250E">
        <w:t xml:space="preserve"> </w:t>
      </w:r>
      <w:r w:rsidR="003D335F" w:rsidRPr="0029250E">
        <w:t xml:space="preserve">However, survival </w:t>
      </w:r>
      <w:r w:rsidR="0029250E" w:rsidRPr="0029250E">
        <w:t>decreased</w:t>
      </w:r>
      <w:r w:rsidR="003D335F" w:rsidRPr="0029250E">
        <w:t xml:space="preserve"> for those aged 75 years </w:t>
      </w:r>
      <w:r w:rsidR="001B50BF" w:rsidRPr="0029250E">
        <w:t xml:space="preserve">or </w:t>
      </w:r>
      <w:r w:rsidR="003D335F" w:rsidRPr="0029250E">
        <w:t>older for each of the reporting years (Figure 13.7 (C)).</w:t>
      </w:r>
    </w:p>
    <w:p w14:paraId="79BEEB00" w14:textId="7C104CB6" w:rsidR="00717BDD" w:rsidRPr="0029250E" w:rsidRDefault="00717BDD" w:rsidP="00E87AAA">
      <w:pPr>
        <w:pStyle w:val="Body"/>
      </w:pPr>
      <w:r w:rsidRPr="0029250E">
        <w:t>Survival varied by remoteness</w:t>
      </w:r>
      <w:r w:rsidR="001E73C8" w:rsidRPr="0029250E">
        <w:t>,</w:t>
      </w:r>
      <w:r w:rsidRPr="0029250E">
        <w:t xml:space="preserve"> with one-year survival </w:t>
      </w:r>
      <w:r w:rsidR="003D335F" w:rsidRPr="0029250E">
        <w:t xml:space="preserve">generally </w:t>
      </w:r>
      <w:r w:rsidRPr="0029250E">
        <w:t xml:space="preserve">higher in </w:t>
      </w:r>
      <w:r w:rsidR="001B50BF" w:rsidRPr="0029250E">
        <w:t>m</w:t>
      </w:r>
      <w:r w:rsidRPr="0029250E">
        <w:t xml:space="preserve">ajor cities for most years </w:t>
      </w:r>
      <w:r w:rsidR="003D335F" w:rsidRPr="0029250E">
        <w:t>reported</w:t>
      </w:r>
      <w:r w:rsidR="00CA067E" w:rsidRPr="0029250E">
        <w:t>.</w:t>
      </w:r>
      <w:r w:rsidR="003D335F" w:rsidRPr="0029250E">
        <w:t xml:space="preserve"> </w:t>
      </w:r>
      <w:r w:rsidR="00CA067E" w:rsidRPr="0029250E">
        <w:t xml:space="preserve">However, </w:t>
      </w:r>
      <w:r w:rsidR="003D335F" w:rsidRPr="0029250E">
        <w:t>a</w:t>
      </w:r>
      <w:r w:rsidRPr="0029250E">
        <w:t>s with other measures</w:t>
      </w:r>
      <w:r w:rsidR="0029250E" w:rsidRPr="0029250E">
        <w:t xml:space="preserve"> specific to one-year survival rates</w:t>
      </w:r>
      <w:r w:rsidRPr="0029250E">
        <w:t>, caution should be taken when interpreting th</w:t>
      </w:r>
      <w:r w:rsidR="003D335F" w:rsidRPr="0029250E">
        <w:t>ese</w:t>
      </w:r>
      <w:r w:rsidRPr="0029250E">
        <w:t xml:space="preserve"> result</w:t>
      </w:r>
      <w:r w:rsidR="003D335F" w:rsidRPr="0029250E">
        <w:t>s</w:t>
      </w:r>
      <w:r w:rsidRPr="0029250E">
        <w:t xml:space="preserve"> </w:t>
      </w:r>
      <w:r w:rsidR="001E73C8" w:rsidRPr="0029250E">
        <w:t xml:space="preserve">because </w:t>
      </w:r>
      <w:r w:rsidRPr="0029250E">
        <w:t>the wide confidence interval</w:t>
      </w:r>
      <w:r w:rsidR="003D335F" w:rsidRPr="0029250E">
        <w:t>s</w:t>
      </w:r>
      <w:r w:rsidRPr="0029250E">
        <w:t xml:space="preserve"> shown for one-year survival rates</w:t>
      </w:r>
      <w:r w:rsidR="00132BE0">
        <w:t>,</w:t>
      </w:r>
      <w:r w:rsidRPr="0029250E">
        <w:t xml:space="preserve"> </w:t>
      </w:r>
      <w:r w:rsidR="00536D5F" w:rsidRPr="0029250E">
        <w:t xml:space="preserve">particularly </w:t>
      </w:r>
      <w:r w:rsidRPr="0029250E">
        <w:t>as they re</w:t>
      </w:r>
      <w:r w:rsidR="00536D5F" w:rsidRPr="0029250E">
        <w:t xml:space="preserve">late to </w:t>
      </w:r>
      <w:r w:rsidR="001E73C8" w:rsidRPr="0029250E">
        <w:t>o</w:t>
      </w:r>
      <w:r w:rsidRPr="0029250E">
        <w:t xml:space="preserve">uter </w:t>
      </w:r>
      <w:r w:rsidR="001E73C8" w:rsidRPr="0029250E">
        <w:t>r</w:t>
      </w:r>
      <w:r w:rsidRPr="0029250E">
        <w:t>egional/</w:t>
      </w:r>
      <w:r w:rsidR="001E73C8" w:rsidRPr="0029250E">
        <w:t>r</w:t>
      </w:r>
      <w:r w:rsidRPr="0029250E">
        <w:t>emote areas</w:t>
      </w:r>
      <w:r w:rsidR="00132BE0">
        <w:t>,</w:t>
      </w:r>
      <w:r w:rsidRPr="0029250E">
        <w:t xml:space="preserve"> denotes a small sample size that may not represent the population (Figure 13.</w:t>
      </w:r>
      <w:r w:rsidR="00536D5F" w:rsidRPr="0029250E">
        <w:t>7</w:t>
      </w:r>
      <w:r w:rsidRPr="0029250E">
        <w:t xml:space="preserve"> (D)).</w:t>
      </w:r>
    </w:p>
    <w:p w14:paraId="2C4A4F2B" w14:textId="6EEBEAEC" w:rsidR="00717BDD" w:rsidRPr="0029250E" w:rsidRDefault="00717BDD" w:rsidP="00E87AAA">
      <w:pPr>
        <w:pStyle w:val="Body"/>
      </w:pPr>
      <w:r w:rsidRPr="007338DB">
        <w:t>One-year survival rates varied between regions when compared by ICS between 2010 and 20</w:t>
      </w:r>
      <w:r w:rsidR="0029250E" w:rsidRPr="007338DB">
        <w:t>2</w:t>
      </w:r>
      <w:r w:rsidR="00C0633A">
        <w:t>1</w:t>
      </w:r>
      <w:r w:rsidR="001E73C8" w:rsidRPr="007338DB">
        <w:t>,</w:t>
      </w:r>
      <w:r w:rsidR="00536D5F" w:rsidRPr="007338DB">
        <w:t xml:space="preserve"> with higher rates generally </w:t>
      </w:r>
      <w:r w:rsidR="00132BE0">
        <w:t>seen</w:t>
      </w:r>
      <w:r w:rsidR="00132BE0" w:rsidRPr="007338DB">
        <w:t xml:space="preserve"> </w:t>
      </w:r>
      <w:r w:rsidR="00536D5F" w:rsidRPr="007338DB">
        <w:t>in metropolitan ICSs such as NE</w:t>
      </w:r>
      <w:r w:rsidR="005B248D" w:rsidRPr="007338DB">
        <w:t>M</w:t>
      </w:r>
      <w:r w:rsidR="00536D5F" w:rsidRPr="007338DB">
        <w:t>ICS and SMICS</w:t>
      </w:r>
      <w:r w:rsidRPr="007338DB">
        <w:t xml:space="preserve">. </w:t>
      </w:r>
      <w:r w:rsidR="00536D5F" w:rsidRPr="007338DB">
        <w:t xml:space="preserve">Survival </w:t>
      </w:r>
      <w:r w:rsidRPr="007338DB">
        <w:t>rates observed for regional and rural ICSs should be interpreted with caution because of the wide confidence intervals due to small sample sizes</w:t>
      </w:r>
      <w:r w:rsidR="00536D5F" w:rsidRPr="007338DB">
        <w:t xml:space="preserve"> for these categories</w:t>
      </w:r>
      <w:r w:rsidR="00132BE0">
        <w:t xml:space="preserve"> –</w:t>
      </w:r>
      <w:r w:rsidR="007338DB" w:rsidRPr="007338DB">
        <w:t xml:space="preserve"> for example</w:t>
      </w:r>
      <w:r w:rsidR="00132BE0">
        <w:t>,</w:t>
      </w:r>
      <w:r w:rsidR="007338DB" w:rsidRPr="007338DB">
        <w:t xml:space="preserve"> HRICS (2016)</w:t>
      </w:r>
      <w:r w:rsidRPr="007338DB">
        <w:t xml:space="preserve"> (Figure 13.</w:t>
      </w:r>
      <w:r w:rsidR="00536D5F" w:rsidRPr="007338DB">
        <w:t>7</w:t>
      </w:r>
      <w:r w:rsidRPr="007338DB">
        <w:t xml:space="preserve"> (E)).</w:t>
      </w:r>
      <w:r w:rsidR="0029250E" w:rsidRPr="007338DB">
        <w:t xml:space="preserve"> The full dataset is available in Appendix 2 – refer to Tables 13.</w:t>
      </w:r>
      <w:r w:rsidR="00E405B0">
        <w:t>7</w:t>
      </w:r>
      <w:r w:rsidR="0029250E" w:rsidRPr="007338DB">
        <w:t>a</w:t>
      </w:r>
      <w:r w:rsidR="008C547E">
        <w:t>–</w:t>
      </w:r>
      <w:r w:rsidR="0029250E" w:rsidRPr="007338DB">
        <w:t>c.</w:t>
      </w:r>
    </w:p>
    <w:p w14:paraId="22E032AD" w14:textId="60E39E23" w:rsidR="007666D2" w:rsidRPr="001A2A05" w:rsidRDefault="00717BDD" w:rsidP="00E87AAA">
      <w:pPr>
        <w:pStyle w:val="Body"/>
      </w:pPr>
      <w:r w:rsidRPr="0029250E">
        <w:t>While no target has been set for this measure</w:t>
      </w:r>
      <w:r w:rsidR="001E73C8" w:rsidRPr="0029250E">
        <w:t>,</w:t>
      </w:r>
      <w:r w:rsidRPr="0029250E">
        <w:t xml:space="preserve"> the one-year survival rate for those patients diagnosed with </w:t>
      </w:r>
      <w:r w:rsidR="007A2D95" w:rsidRPr="0029250E">
        <w:t>oesophag</w:t>
      </w:r>
      <w:r w:rsidR="00583BC7">
        <w:t>eal</w:t>
      </w:r>
      <w:r w:rsidRPr="0029250E">
        <w:t xml:space="preserve"> cancer between 2010 and 20</w:t>
      </w:r>
      <w:r w:rsidR="00FB1E82">
        <w:t>2</w:t>
      </w:r>
      <w:r w:rsidR="00C0633A">
        <w:t>1</w:t>
      </w:r>
      <w:r w:rsidRPr="0029250E">
        <w:t xml:space="preserve"> shows </w:t>
      </w:r>
      <w:r w:rsidR="0029250E" w:rsidRPr="0029250E">
        <w:t>an</w:t>
      </w:r>
      <w:r w:rsidR="007A2D95" w:rsidRPr="0029250E">
        <w:t xml:space="preserve"> </w:t>
      </w:r>
      <w:r w:rsidRPr="0029250E">
        <w:t>improvement in the proportion of those surviving the one-year period</w:t>
      </w:r>
      <w:r w:rsidR="00C26BFB" w:rsidRPr="0029250E">
        <w:t>.</w:t>
      </w:r>
      <w:r>
        <w:t xml:space="preserve"> </w:t>
      </w:r>
      <w:r w:rsidR="002E08FF">
        <w:br w:type="page"/>
      </w:r>
    </w:p>
    <w:p w14:paraId="01AE3E85" w14:textId="47830082" w:rsidR="005C15AA" w:rsidRPr="00BE70E6" w:rsidRDefault="005C15AA" w:rsidP="00A451D4">
      <w:pPr>
        <w:pStyle w:val="Heading3"/>
        <w:rPr>
          <w:b/>
          <w:bCs w:val="0"/>
        </w:rPr>
      </w:pPr>
      <w:bookmarkStart w:id="995" w:name="_Measure_13.8_–"/>
      <w:bookmarkStart w:id="996" w:name="_Toc19008168"/>
      <w:bookmarkEnd w:id="995"/>
      <w:r w:rsidRPr="00BE70E6">
        <w:rPr>
          <w:b/>
          <w:bCs w:val="0"/>
        </w:rPr>
        <w:lastRenderedPageBreak/>
        <w:t xml:space="preserve">Measure 13.8 – One-year </w:t>
      </w:r>
      <w:r w:rsidR="003D7785">
        <w:rPr>
          <w:b/>
          <w:bCs w:val="0"/>
        </w:rPr>
        <w:t xml:space="preserve">relative </w:t>
      </w:r>
      <w:r w:rsidRPr="00BE70E6">
        <w:rPr>
          <w:b/>
          <w:bCs w:val="0"/>
        </w:rPr>
        <w:t xml:space="preserve">survival from </w:t>
      </w:r>
      <w:bookmarkStart w:id="997" w:name="_Hlk139554571"/>
      <w:r w:rsidRPr="00BE70E6">
        <w:rPr>
          <w:b/>
          <w:bCs w:val="0"/>
        </w:rPr>
        <w:t>acute myeloid leukaemia</w:t>
      </w:r>
      <w:bookmarkEnd w:id="996"/>
      <w:bookmarkEnd w:id="997"/>
    </w:p>
    <w:p w14:paraId="187B16D2" w14:textId="355C9B50" w:rsidR="00661DD8" w:rsidRPr="00895DD4" w:rsidRDefault="003127BF" w:rsidP="008D320F">
      <w:pPr>
        <w:pStyle w:val="Figurecaption"/>
        <w:rPr>
          <w:sz w:val="20"/>
        </w:rPr>
      </w:pPr>
      <w:bookmarkStart w:id="998" w:name="_Toc19008169"/>
      <w:bookmarkStart w:id="999" w:name="_Toc19008369"/>
      <w:bookmarkStart w:id="1000" w:name="_Toc19008516"/>
      <w:bookmarkStart w:id="1001" w:name="_Toc19008663"/>
      <w:bookmarkStart w:id="1002" w:name="_Toc132553093"/>
      <w:bookmarkStart w:id="1003" w:name="_Toc140827706"/>
      <w:r w:rsidRPr="00895DD4">
        <w:rPr>
          <w:sz w:val="20"/>
        </w:rPr>
        <w:t>Figure 13.8</w:t>
      </w:r>
      <w:r w:rsidR="00C03D95" w:rsidRPr="00895DD4">
        <w:rPr>
          <w:sz w:val="20"/>
        </w:rPr>
        <w:t>:</w:t>
      </w:r>
      <w:r w:rsidRPr="00895DD4">
        <w:rPr>
          <w:sz w:val="20"/>
        </w:rPr>
        <w:t xml:space="preserve"> Trends in </w:t>
      </w:r>
      <w:r w:rsidR="00661DD8" w:rsidRPr="00895DD4">
        <w:rPr>
          <w:sz w:val="20"/>
        </w:rPr>
        <w:t xml:space="preserve">one-year relative survival from acute myeloid leukaemia overall (A) and by sex (B), age (C), remoteness (D) and </w:t>
      </w:r>
      <w:r w:rsidR="008439C8" w:rsidRPr="00895DD4">
        <w:rPr>
          <w:sz w:val="20"/>
        </w:rPr>
        <w:t>ICS</w:t>
      </w:r>
      <w:r w:rsidR="00661DD8" w:rsidRPr="00895DD4">
        <w:rPr>
          <w:sz w:val="20"/>
        </w:rPr>
        <w:t xml:space="preserve"> (E), Victoria, by year, 2010</w:t>
      </w:r>
      <w:r w:rsidR="009D0E1A" w:rsidRPr="00895DD4">
        <w:rPr>
          <w:sz w:val="20"/>
        </w:rPr>
        <w:t>–</w:t>
      </w:r>
      <w:r w:rsidR="00661DD8" w:rsidRPr="00895DD4">
        <w:rPr>
          <w:sz w:val="20"/>
        </w:rPr>
        <w:t>20</w:t>
      </w:r>
      <w:bookmarkEnd w:id="998"/>
      <w:bookmarkEnd w:id="999"/>
      <w:bookmarkEnd w:id="1000"/>
      <w:bookmarkEnd w:id="1001"/>
      <w:r w:rsidR="00A5187A" w:rsidRPr="00895DD4">
        <w:rPr>
          <w:sz w:val="20"/>
        </w:rPr>
        <w:t>2</w:t>
      </w:r>
      <w:r w:rsidR="00E427BC" w:rsidRPr="00895DD4">
        <w:rPr>
          <w:sz w:val="20"/>
        </w:rPr>
        <w:t>1</w:t>
      </w:r>
      <w:bookmarkEnd w:id="1002"/>
      <w:bookmarkEnd w:id="1003"/>
    </w:p>
    <w:p w14:paraId="5776D7D8" w14:textId="0280F3A5" w:rsidR="00E427BC" w:rsidRPr="00E427BC" w:rsidRDefault="00E427BC" w:rsidP="00E87AAA">
      <w:pPr>
        <w:pStyle w:val="Body"/>
      </w:pPr>
      <w:r>
        <w:rPr>
          <w:noProof/>
        </w:rPr>
        <w:drawing>
          <wp:inline distT="0" distB="0" distL="0" distR="0" wp14:anchorId="280FA283" wp14:editId="5092A98A">
            <wp:extent cx="5958807" cy="5076000"/>
            <wp:effectExtent l="0" t="0" r="4445" b="0"/>
            <wp:docPr id="403" name="Picture 403" descr="This figure shows a data summary of 'Measure 13.8 – One-year relative survival from acute myeloid leukaemia cancer'. Specially this figure focuses on the trends in one-year relative survival overall and by sex, age remoteness and Integrated Cancer Service for the study period 2010-2021. The data set is available under 'Measure 13.8 – One-year relative survival from acute myeloid leukaemia cancer'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icture 403" descr="This figure shows a data summary of 'Measure 13.8 – One-year relative survival from acute myeloid leukaemia cancer'. Specially this figure focuses on the trends in one-year relative survival overall and by sex, age remoteness and Integrated Cancer Service for the study period 2010-2021. The data set is available under 'Measure 13.8 – One-year relative survival from acute myeloid leukaemia cancer' in a separate volume, the Victorian cancer plan monitoring and evaluation framework: baseline progress report: Appendix 2: Datasets available on Cancer care &lt;https://www.health.vic.gov.au/health-strategies/cancer-care&gt;."/>
                    <pic:cNvPicPr/>
                  </pic:nvPicPr>
                  <pic:blipFill>
                    <a:blip r:embed="rId157"/>
                    <a:stretch>
                      <a:fillRect/>
                    </a:stretch>
                  </pic:blipFill>
                  <pic:spPr>
                    <a:xfrm>
                      <a:off x="0" y="0"/>
                      <a:ext cx="5967774" cy="5083638"/>
                    </a:xfrm>
                    <a:prstGeom prst="rect">
                      <a:avLst/>
                    </a:prstGeom>
                  </pic:spPr>
                </pic:pic>
              </a:graphicData>
            </a:graphic>
          </wp:inline>
        </w:drawing>
      </w:r>
    </w:p>
    <w:p w14:paraId="5F047F95" w14:textId="1370B191" w:rsidR="00DC2D82" w:rsidRPr="00895DD4" w:rsidRDefault="00DC2D82" w:rsidP="00BE70E6">
      <w:pPr>
        <w:pStyle w:val="Tablefigurenote"/>
        <w:rPr>
          <w:i/>
          <w:iCs/>
          <w:sz w:val="18"/>
          <w:szCs w:val="18"/>
        </w:rPr>
      </w:pPr>
      <w:r w:rsidRPr="00895DD4">
        <w:rPr>
          <w:i/>
          <w:iCs/>
          <w:sz w:val="18"/>
          <w:szCs w:val="18"/>
        </w:rPr>
        <w:t>Note: Appendix 2 provides the dataset.</w:t>
      </w:r>
    </w:p>
    <w:p w14:paraId="3AB137AA" w14:textId="013D7DE5" w:rsidR="002E08FF" w:rsidRPr="009A0F5B" w:rsidRDefault="002E08FF" w:rsidP="007C7F00">
      <w:pPr>
        <w:pStyle w:val="Heading4"/>
      </w:pPr>
      <w:r w:rsidRPr="00C0633A">
        <w:t>Measure assessment</w:t>
      </w:r>
    </w:p>
    <w:p w14:paraId="3BB1586A" w14:textId="7FB57714" w:rsidR="002E08FF" w:rsidRPr="009A0F5B" w:rsidRDefault="002E08FF" w:rsidP="00606436">
      <w:pPr>
        <w:pStyle w:val="Body"/>
        <w:rPr>
          <w:color w:val="00B050"/>
        </w:rPr>
      </w:pPr>
      <w:r w:rsidRPr="009A0F5B">
        <w:t xml:space="preserve">Traffic light rating: </w:t>
      </w:r>
      <w:r w:rsidR="0022786E" w:rsidRPr="00D207B2">
        <w:rPr>
          <w:b/>
          <w:color w:val="007B4B"/>
        </w:rPr>
        <w:t>Green</w:t>
      </w:r>
      <w:r w:rsidR="00061321" w:rsidRPr="009A0F5B">
        <w:rPr>
          <w:b/>
        </w:rPr>
        <w:t xml:space="preserve"> </w:t>
      </w:r>
      <w:r w:rsidR="00061321" w:rsidRPr="009A0F5B">
        <w:t>(satisfactory result)</w:t>
      </w:r>
    </w:p>
    <w:p w14:paraId="1D99A451" w14:textId="49B02C73" w:rsidR="002E08FF" w:rsidRPr="009A0F5B" w:rsidRDefault="002E08FF" w:rsidP="00606436">
      <w:pPr>
        <w:pStyle w:val="Body"/>
      </w:pPr>
      <w:r w:rsidRPr="009A0F5B">
        <w:t xml:space="preserve">Overall trend: </w:t>
      </w:r>
      <w:r w:rsidR="0022786E" w:rsidRPr="009A0F5B">
        <w:t>Moving in the right direction</w:t>
      </w:r>
    </w:p>
    <w:p w14:paraId="0A05968A" w14:textId="3361DF68" w:rsidR="00B635EF" w:rsidRPr="006C746D" w:rsidRDefault="002E08FF" w:rsidP="00E87AAA">
      <w:pPr>
        <w:pStyle w:val="Body"/>
      </w:pPr>
      <w:r w:rsidRPr="006C746D">
        <w:rPr>
          <w:rFonts w:cs="Arial"/>
          <w:lang w:eastAsia="en-AU"/>
        </w:rPr>
        <w:t>Commentary:</w:t>
      </w:r>
      <w:r w:rsidR="00B635EF" w:rsidRPr="006C746D">
        <w:rPr>
          <w:rFonts w:cs="Arial"/>
          <w:lang w:eastAsia="en-AU"/>
        </w:rPr>
        <w:t xml:space="preserve"> </w:t>
      </w:r>
      <w:r w:rsidR="001122EB" w:rsidRPr="006C746D">
        <w:t>A</w:t>
      </w:r>
      <w:r w:rsidR="00B635EF" w:rsidRPr="006C746D">
        <w:t xml:space="preserve">cute myeloid leukemia (AML) is a </w:t>
      </w:r>
      <w:r w:rsidR="006C746D">
        <w:t xml:space="preserve">type of </w:t>
      </w:r>
      <w:r w:rsidR="00B635EF" w:rsidRPr="006C746D">
        <w:t xml:space="preserve">cancer </w:t>
      </w:r>
      <w:r w:rsidR="006C746D">
        <w:t xml:space="preserve">that affects </w:t>
      </w:r>
      <w:r w:rsidR="00B564A8">
        <w:t>t</w:t>
      </w:r>
      <w:r w:rsidR="00B635EF" w:rsidRPr="006C746D">
        <w:t>he blood and bone marrow.</w:t>
      </w:r>
      <w:r w:rsidR="001E73C8" w:rsidRPr="006C746D">
        <w:t xml:space="preserve"> I</w:t>
      </w:r>
      <w:r w:rsidR="001122EB" w:rsidRPr="006C746D">
        <w:t>t is a rare disease</w:t>
      </w:r>
      <w:r w:rsidR="001E73C8" w:rsidRPr="006C746D">
        <w:t xml:space="preserve"> in Australia</w:t>
      </w:r>
      <w:r w:rsidR="001122EB" w:rsidRPr="006C746D">
        <w:t>, accounting for 0.8</w:t>
      </w:r>
      <w:r w:rsidR="0054537F">
        <w:t>%</w:t>
      </w:r>
      <w:r w:rsidR="001122EB" w:rsidRPr="006C746D">
        <w:t xml:space="preserve"> of all cancer diagnosed nationally.</w:t>
      </w:r>
      <w:r w:rsidR="006C746D">
        <w:rPr>
          <w:rStyle w:val="FootnoteReference"/>
        </w:rPr>
        <w:footnoteReference w:id="195"/>
      </w:r>
      <w:r w:rsidR="00952FC7" w:rsidRPr="006C746D">
        <w:t xml:space="preserve"> </w:t>
      </w:r>
      <w:r w:rsidR="001E73C8" w:rsidRPr="006C746D">
        <w:t>Because</w:t>
      </w:r>
      <w:r w:rsidR="001122EB" w:rsidRPr="006C746D">
        <w:t xml:space="preserve"> AML is </w:t>
      </w:r>
      <w:r w:rsidR="00B635EF" w:rsidRPr="006C746D">
        <w:t>a heterogeneous disease with different treatments</w:t>
      </w:r>
      <w:r w:rsidR="001E73C8" w:rsidRPr="006C746D">
        <w:t>,</w:t>
      </w:r>
      <w:r w:rsidR="00B635EF" w:rsidRPr="006C746D">
        <w:t xml:space="preserve"> survival outcomes depend on the genetic makeup of leukaemic cells</w:t>
      </w:r>
      <w:r w:rsidR="00710006" w:rsidRPr="006C746D">
        <w:t>.</w:t>
      </w:r>
      <w:r w:rsidR="00710006" w:rsidRPr="006C746D">
        <w:rPr>
          <w:rStyle w:val="FootnoteReference"/>
        </w:rPr>
        <w:footnoteReference w:id="196"/>
      </w:r>
    </w:p>
    <w:p w14:paraId="6880A5DF" w14:textId="247CF152" w:rsidR="001D7730" w:rsidRPr="00A5187A" w:rsidRDefault="001D7730" w:rsidP="00E87AAA">
      <w:pPr>
        <w:pStyle w:val="Body"/>
        <w:rPr>
          <w:highlight w:val="yellow"/>
        </w:rPr>
      </w:pPr>
      <w:r w:rsidRPr="009A0F5B">
        <w:lastRenderedPageBreak/>
        <w:t>In Victoria</w:t>
      </w:r>
      <w:r w:rsidR="00950BCF" w:rsidRPr="009A0F5B">
        <w:t xml:space="preserve">, </w:t>
      </w:r>
      <w:r w:rsidRPr="009A0F5B">
        <w:t xml:space="preserve">for people diagnosed with </w:t>
      </w:r>
      <w:r w:rsidR="00950BCF" w:rsidRPr="009A0F5B">
        <w:t xml:space="preserve">AML </w:t>
      </w:r>
      <w:r w:rsidRPr="009A0F5B">
        <w:t>between 2010 and 20</w:t>
      </w:r>
      <w:r w:rsidR="009A0F5B" w:rsidRPr="009A0F5B">
        <w:t>2</w:t>
      </w:r>
      <w:r w:rsidR="00C0633A">
        <w:t>1</w:t>
      </w:r>
      <w:r w:rsidRPr="009A0F5B">
        <w:t xml:space="preserve">, the one-year relative survival </w:t>
      </w:r>
      <w:r w:rsidR="00950BCF" w:rsidRPr="009A0F5B">
        <w:t>increase</w:t>
      </w:r>
      <w:r w:rsidR="001E73C8" w:rsidRPr="009A0F5B">
        <w:t>d</w:t>
      </w:r>
      <w:r w:rsidRPr="009A0F5B">
        <w:t xml:space="preserve"> from </w:t>
      </w:r>
      <w:r w:rsidR="009A0F5B" w:rsidRPr="009A0F5B">
        <w:t>5</w:t>
      </w:r>
      <w:r w:rsidR="00C0633A">
        <w:t>3</w:t>
      </w:r>
      <w:r w:rsidRPr="009A0F5B">
        <w:t>.</w:t>
      </w:r>
      <w:r w:rsidR="00C0633A">
        <w:t>7</w:t>
      </w:r>
      <w:r w:rsidR="0054537F">
        <w:t>%</w:t>
      </w:r>
      <w:r w:rsidRPr="009A0F5B">
        <w:t xml:space="preserve"> in 2010 to </w:t>
      </w:r>
      <w:r w:rsidR="00DC3C2D">
        <w:t>55</w:t>
      </w:r>
      <w:r w:rsidRPr="009A0F5B">
        <w:t>.</w:t>
      </w:r>
      <w:r w:rsidR="00DC3C2D">
        <w:t>7</w:t>
      </w:r>
      <w:r w:rsidR="0054537F">
        <w:t>%</w:t>
      </w:r>
      <w:r w:rsidRPr="009A0F5B">
        <w:t xml:space="preserve"> in 20</w:t>
      </w:r>
      <w:r w:rsidR="009A0F5B" w:rsidRPr="009A0F5B">
        <w:t>2</w:t>
      </w:r>
      <w:r w:rsidR="00C0633A">
        <w:t>1</w:t>
      </w:r>
      <w:r w:rsidRPr="009A0F5B">
        <w:t xml:space="preserve"> (Figure 13.</w:t>
      </w:r>
      <w:r w:rsidR="00950BCF" w:rsidRPr="009A0F5B">
        <w:t>8</w:t>
      </w:r>
      <w:r w:rsidRPr="009A0F5B">
        <w:t xml:space="preserve"> (A)).</w:t>
      </w:r>
      <w:r w:rsidR="00952FC7" w:rsidRPr="009A0F5B">
        <w:t xml:space="preserve"> </w:t>
      </w:r>
      <w:r w:rsidRPr="009A0F5B">
        <w:t xml:space="preserve">Survival fluctuated between genders </w:t>
      </w:r>
      <w:r w:rsidR="00950BCF" w:rsidRPr="009A0F5B">
        <w:t xml:space="preserve">but from 2014 </w:t>
      </w:r>
      <w:r w:rsidRPr="009A0F5B">
        <w:t>was higher for females than for males</w:t>
      </w:r>
      <w:r w:rsidR="009A0F5B" w:rsidRPr="009A0F5B">
        <w:t xml:space="preserve"> </w:t>
      </w:r>
      <w:r w:rsidR="006C746D" w:rsidRPr="009A0F5B">
        <w:t>except for</w:t>
      </w:r>
      <w:r w:rsidR="009A0F5B" w:rsidRPr="009A0F5B">
        <w:t xml:space="preserve"> 2018</w:t>
      </w:r>
      <w:r w:rsidR="00950BCF" w:rsidRPr="009A0F5B">
        <w:t xml:space="preserve"> </w:t>
      </w:r>
      <w:r w:rsidRPr="009A0F5B">
        <w:t>(Figure 13.</w:t>
      </w:r>
      <w:r w:rsidR="00950BCF" w:rsidRPr="009A0F5B">
        <w:t>8</w:t>
      </w:r>
      <w:r w:rsidRPr="009A0F5B">
        <w:t xml:space="preserve"> (B)). Survival was</w:t>
      </w:r>
      <w:r w:rsidR="00950BCF" w:rsidRPr="009A0F5B">
        <w:t xml:space="preserve"> </w:t>
      </w:r>
      <w:r w:rsidRPr="009A0F5B">
        <w:t xml:space="preserve">higher for those aged under </w:t>
      </w:r>
      <w:r w:rsidR="009A0F5B" w:rsidRPr="009A0F5B">
        <w:t>5</w:t>
      </w:r>
      <w:r w:rsidR="00950BCF" w:rsidRPr="009A0F5B">
        <w:t>4</w:t>
      </w:r>
      <w:r w:rsidRPr="009A0F5B">
        <w:t xml:space="preserve"> years </w:t>
      </w:r>
      <w:r w:rsidR="00950BCF" w:rsidRPr="009A0F5B">
        <w:t>and decreased with age</w:t>
      </w:r>
      <w:r w:rsidR="001E73C8" w:rsidRPr="009A0F5B">
        <w:t>,</w:t>
      </w:r>
      <w:r w:rsidR="00950BCF" w:rsidRPr="009A0F5B">
        <w:t xml:space="preserve"> </w:t>
      </w:r>
      <w:r w:rsidRPr="009A0F5B">
        <w:t xml:space="preserve">although wide confidence intervals </w:t>
      </w:r>
      <w:r w:rsidR="00B564A8">
        <w:t>suggest</w:t>
      </w:r>
      <w:r w:rsidRPr="009A0F5B">
        <w:t xml:space="preserve"> the likelihood of a small sample size </w:t>
      </w:r>
      <w:r w:rsidR="001E73C8" w:rsidRPr="009A0F5B">
        <w:t xml:space="preserve">that </w:t>
      </w:r>
      <w:r w:rsidRPr="009A0F5B">
        <w:t>may not represent the respective age categories (55</w:t>
      </w:r>
      <w:r w:rsidR="00840304" w:rsidRPr="009A0F5B">
        <w:t>–</w:t>
      </w:r>
      <w:r w:rsidRPr="009A0F5B">
        <w:t>64</w:t>
      </w:r>
      <w:r w:rsidR="009A0F5B" w:rsidRPr="009A0F5B">
        <w:t xml:space="preserve"> and 65–74 years</w:t>
      </w:r>
      <w:r w:rsidRPr="009A0F5B">
        <w:t xml:space="preserve">). </w:t>
      </w:r>
      <w:r w:rsidR="00950BCF" w:rsidRPr="009A0F5B">
        <w:t>Figure 13.</w:t>
      </w:r>
      <w:r w:rsidR="00CC5CC5" w:rsidRPr="009A0F5B">
        <w:t>8</w:t>
      </w:r>
      <w:r w:rsidR="00950BCF" w:rsidRPr="009A0F5B">
        <w:t xml:space="preserve"> (C) shows that </w:t>
      </w:r>
      <w:r w:rsidRPr="009A0F5B">
        <w:t xml:space="preserve">survival </w:t>
      </w:r>
      <w:r w:rsidR="009A0F5B" w:rsidRPr="009A0F5B">
        <w:t>decreased</w:t>
      </w:r>
      <w:r w:rsidRPr="009A0F5B">
        <w:t xml:space="preserve"> </w:t>
      </w:r>
      <w:r w:rsidR="00950BCF" w:rsidRPr="009A0F5B">
        <w:t xml:space="preserve">significantly </w:t>
      </w:r>
      <w:r w:rsidRPr="009A0F5B">
        <w:t xml:space="preserve">for those aged 75 years </w:t>
      </w:r>
      <w:r w:rsidR="001B50BF" w:rsidRPr="009A0F5B">
        <w:t xml:space="preserve">or </w:t>
      </w:r>
      <w:r w:rsidRPr="009A0F5B">
        <w:t>older for each of the reporting years</w:t>
      </w:r>
      <w:r w:rsidR="00950BCF" w:rsidRPr="009A0F5B">
        <w:t>.</w:t>
      </w:r>
    </w:p>
    <w:p w14:paraId="2A685792" w14:textId="112C124C" w:rsidR="001D7730" w:rsidRPr="009A0F5B" w:rsidRDefault="001D7730" w:rsidP="00E87AAA">
      <w:pPr>
        <w:pStyle w:val="Body"/>
      </w:pPr>
      <w:r w:rsidRPr="009A0F5B">
        <w:t>Survival varied by remoteness</w:t>
      </w:r>
      <w:r w:rsidR="001E73C8" w:rsidRPr="009A0F5B">
        <w:t>,</w:t>
      </w:r>
      <w:r w:rsidRPr="009A0F5B">
        <w:t xml:space="preserve"> with one-year survival generally higher in </w:t>
      </w:r>
      <w:r w:rsidR="00ED7DBA" w:rsidRPr="009A0F5B">
        <w:t>m</w:t>
      </w:r>
      <w:r w:rsidRPr="009A0F5B">
        <w:t>ajor cities for most years reported</w:t>
      </w:r>
      <w:r w:rsidR="002522DB" w:rsidRPr="009A0F5B">
        <w:t>.</w:t>
      </w:r>
      <w:r w:rsidRPr="009A0F5B">
        <w:t xml:space="preserve"> </w:t>
      </w:r>
      <w:r w:rsidR="002522DB" w:rsidRPr="009A0F5B">
        <w:t xml:space="preserve">However, </w:t>
      </w:r>
      <w:r w:rsidRPr="009A0F5B">
        <w:t>as with other measures</w:t>
      </w:r>
      <w:r w:rsidR="009A0F5B" w:rsidRPr="009A0F5B">
        <w:t xml:space="preserve"> specific to on</w:t>
      </w:r>
      <w:r w:rsidR="00B564A8">
        <w:t>e</w:t>
      </w:r>
      <w:r w:rsidR="009A0F5B" w:rsidRPr="009A0F5B">
        <w:t>-year survival rates</w:t>
      </w:r>
      <w:r w:rsidRPr="009A0F5B">
        <w:t xml:space="preserve">, caution should be taken when interpreting these results </w:t>
      </w:r>
      <w:r w:rsidR="001E73C8" w:rsidRPr="009A0F5B">
        <w:t>because</w:t>
      </w:r>
      <w:r w:rsidRPr="009A0F5B">
        <w:t xml:space="preserve"> the wide confidence intervals shown for </w:t>
      </w:r>
      <w:r w:rsidR="009A0F5B" w:rsidRPr="009A0F5B">
        <w:t xml:space="preserve">these </w:t>
      </w:r>
      <w:r w:rsidRPr="009A0F5B">
        <w:t>survival rates</w:t>
      </w:r>
      <w:r w:rsidR="009B4007">
        <w:t>,</w:t>
      </w:r>
      <w:r w:rsidRPr="009A0F5B">
        <w:t xml:space="preserve"> particularly as they relate to </w:t>
      </w:r>
      <w:r w:rsidR="001B50BF" w:rsidRPr="009A0F5B">
        <w:t>o</w:t>
      </w:r>
      <w:r w:rsidRPr="009A0F5B">
        <w:t xml:space="preserve">uter </w:t>
      </w:r>
      <w:r w:rsidR="001B50BF" w:rsidRPr="009A0F5B">
        <w:t>r</w:t>
      </w:r>
      <w:r w:rsidRPr="009A0F5B">
        <w:t>egional/</w:t>
      </w:r>
      <w:r w:rsidR="001B50BF" w:rsidRPr="009A0F5B">
        <w:t>r</w:t>
      </w:r>
      <w:r w:rsidRPr="009A0F5B">
        <w:t>emote areas</w:t>
      </w:r>
      <w:r w:rsidR="009B4007">
        <w:t>,</w:t>
      </w:r>
      <w:r w:rsidRPr="009A0F5B">
        <w:t xml:space="preserve"> denotes a small sample size that may not represent the population (Figure 13.</w:t>
      </w:r>
      <w:r w:rsidR="00CC5CC5" w:rsidRPr="009A0F5B">
        <w:t>8</w:t>
      </w:r>
      <w:r w:rsidRPr="009A0F5B">
        <w:t xml:space="preserve"> (D)).</w:t>
      </w:r>
      <w:r w:rsidR="00952FC7" w:rsidRPr="009A0F5B">
        <w:t xml:space="preserve"> </w:t>
      </w:r>
    </w:p>
    <w:p w14:paraId="3EC1BFAD" w14:textId="676C3F26" w:rsidR="00E405B0" w:rsidRPr="0029250E" w:rsidRDefault="00E405B0" w:rsidP="00E87AAA">
      <w:pPr>
        <w:pStyle w:val="Body"/>
      </w:pPr>
      <w:r w:rsidRPr="007338DB">
        <w:t>One-year survival rates varied between regions when compared by ICS between 2010 and 202</w:t>
      </w:r>
      <w:r w:rsidR="00C0633A">
        <w:t>1</w:t>
      </w:r>
      <w:r w:rsidRPr="007338DB">
        <w:t xml:space="preserve">, with higher rates generally </w:t>
      </w:r>
      <w:r w:rsidR="009B4007">
        <w:t>seen</w:t>
      </w:r>
      <w:r w:rsidR="009B4007" w:rsidRPr="007338DB">
        <w:t xml:space="preserve"> </w:t>
      </w:r>
      <w:r w:rsidRPr="007338DB">
        <w:t xml:space="preserve">in metropolitan ICSs such as </w:t>
      </w:r>
      <w:r w:rsidR="003C6410">
        <w:t>WC</w:t>
      </w:r>
      <w:r w:rsidRPr="007338DB">
        <w:t>MICS. Survival rates observed for regional and rural ICSs should be interpreted with caution because of the wide confidence intervals due to small sample sizes for these categories (Figure 13.</w:t>
      </w:r>
      <w:r>
        <w:t>8</w:t>
      </w:r>
      <w:r w:rsidRPr="007338DB">
        <w:t xml:space="preserve"> (E)). The full dataset is available in Appendix 2 – refer to Tables 13.</w:t>
      </w:r>
      <w:r>
        <w:t>8</w:t>
      </w:r>
      <w:r w:rsidRPr="007338DB">
        <w:t>a</w:t>
      </w:r>
      <w:r w:rsidR="007E74F2">
        <w:t>–</w:t>
      </w:r>
      <w:r w:rsidRPr="007338DB">
        <w:t>c.</w:t>
      </w:r>
    </w:p>
    <w:p w14:paraId="6B7F6009" w14:textId="61AFC95C" w:rsidR="00CA5D25" w:rsidRDefault="001D7730">
      <w:pPr>
        <w:pStyle w:val="Body"/>
      </w:pPr>
      <w:r w:rsidRPr="00E405B0">
        <w:t>While no target has been set for this measure</w:t>
      </w:r>
      <w:r w:rsidR="00E944CA" w:rsidRPr="00E405B0">
        <w:t>,</w:t>
      </w:r>
      <w:r w:rsidRPr="00E405B0">
        <w:t xml:space="preserve"> the one-year survival rate for those patients diagnosed with </w:t>
      </w:r>
      <w:r w:rsidR="00710006" w:rsidRPr="00E405B0">
        <w:t>AML</w:t>
      </w:r>
      <w:r w:rsidRPr="00E405B0">
        <w:t xml:space="preserve"> between 2010 and 20</w:t>
      </w:r>
      <w:r w:rsidR="00C0633A">
        <w:t>21</w:t>
      </w:r>
      <w:r w:rsidRPr="00E405B0">
        <w:t xml:space="preserve"> shows </w:t>
      </w:r>
      <w:r w:rsidR="0022786E" w:rsidRPr="00E405B0">
        <w:t xml:space="preserve">some </w:t>
      </w:r>
      <w:r w:rsidRPr="00E405B0">
        <w:t>improvement in the proportion of those surviving the one-year period.</w:t>
      </w:r>
      <w:bookmarkStart w:id="1004" w:name="_Measure_13.9_–"/>
      <w:bookmarkEnd w:id="1004"/>
      <w:r>
        <w:t xml:space="preserve"> </w:t>
      </w:r>
    </w:p>
    <w:p w14:paraId="14A1246C" w14:textId="1B4F2B5B" w:rsidR="005C15AA" w:rsidRPr="007041EC" w:rsidRDefault="005C15AA" w:rsidP="00CA5D25">
      <w:pPr>
        <w:pStyle w:val="Heading3"/>
        <w:rPr>
          <w:b/>
          <w:bCs w:val="0"/>
        </w:rPr>
      </w:pPr>
      <w:bookmarkStart w:id="1005" w:name="_Toc19008170"/>
      <w:r w:rsidRPr="007041EC">
        <w:rPr>
          <w:b/>
          <w:bCs w:val="0"/>
        </w:rPr>
        <w:lastRenderedPageBreak/>
        <w:t xml:space="preserve">Measure 13.9 – </w:t>
      </w:r>
      <w:r w:rsidR="00B543C4" w:rsidRPr="007041EC">
        <w:rPr>
          <w:b/>
          <w:bCs w:val="0"/>
        </w:rPr>
        <w:t xml:space="preserve">Five-year </w:t>
      </w:r>
      <w:r w:rsidR="00707755" w:rsidRPr="007041EC">
        <w:rPr>
          <w:b/>
          <w:bCs w:val="0"/>
        </w:rPr>
        <w:t xml:space="preserve">relative </w:t>
      </w:r>
      <w:r w:rsidR="00B543C4" w:rsidRPr="007041EC">
        <w:rPr>
          <w:b/>
          <w:bCs w:val="0"/>
        </w:rPr>
        <w:t>survival from all cancers</w:t>
      </w:r>
      <w:bookmarkEnd w:id="1005"/>
    </w:p>
    <w:p w14:paraId="73EB9C9D" w14:textId="212ED981" w:rsidR="009F3CFE" w:rsidRPr="00895DD4" w:rsidRDefault="009F3CFE" w:rsidP="008D320F">
      <w:pPr>
        <w:pStyle w:val="Figurecaption"/>
        <w:rPr>
          <w:sz w:val="20"/>
        </w:rPr>
      </w:pPr>
      <w:bookmarkStart w:id="1006" w:name="_Toc19008172"/>
      <w:bookmarkStart w:id="1007" w:name="_Toc19008371"/>
      <w:bookmarkStart w:id="1008" w:name="_Toc19008518"/>
      <w:bookmarkStart w:id="1009" w:name="_Toc19008665"/>
      <w:bookmarkStart w:id="1010" w:name="_Toc132553094"/>
      <w:bookmarkStart w:id="1011" w:name="_Toc140827707"/>
      <w:r w:rsidRPr="00895DD4">
        <w:rPr>
          <w:sz w:val="20"/>
        </w:rPr>
        <w:t>Figure 13.9</w:t>
      </w:r>
      <w:r w:rsidR="00C03D95" w:rsidRPr="00895DD4">
        <w:rPr>
          <w:sz w:val="20"/>
        </w:rPr>
        <w:t>:</w:t>
      </w:r>
      <w:r w:rsidR="00174D0A" w:rsidRPr="00895DD4">
        <w:rPr>
          <w:sz w:val="20"/>
        </w:rPr>
        <w:t xml:space="preserve"> </w:t>
      </w:r>
      <w:r w:rsidRPr="00895DD4">
        <w:rPr>
          <w:sz w:val="20"/>
        </w:rPr>
        <w:t>Five-year relative survival from all cancers combined</w:t>
      </w:r>
      <w:r w:rsidR="00266A9F" w:rsidRPr="00895DD4">
        <w:rPr>
          <w:sz w:val="20"/>
        </w:rPr>
        <w:t>,</w:t>
      </w:r>
      <w:r w:rsidRPr="00895DD4">
        <w:rPr>
          <w:sz w:val="20"/>
        </w:rPr>
        <w:t xml:space="preserve"> by age (A), remoteness (B)</w:t>
      </w:r>
      <w:r w:rsidR="007B134E" w:rsidRPr="00895DD4">
        <w:rPr>
          <w:sz w:val="20"/>
        </w:rPr>
        <w:t xml:space="preserve">, </w:t>
      </w:r>
      <w:r w:rsidR="00DE7FFE" w:rsidRPr="00895DD4">
        <w:rPr>
          <w:sz w:val="20"/>
        </w:rPr>
        <w:t>SES</w:t>
      </w:r>
      <w:r w:rsidR="007B134E" w:rsidRPr="00895DD4">
        <w:rPr>
          <w:sz w:val="20"/>
        </w:rPr>
        <w:t xml:space="preserve"> (C) </w:t>
      </w:r>
      <w:r w:rsidRPr="00895DD4">
        <w:rPr>
          <w:sz w:val="20"/>
        </w:rPr>
        <w:t xml:space="preserve">and </w:t>
      </w:r>
      <w:r w:rsidR="008439C8" w:rsidRPr="00895DD4">
        <w:rPr>
          <w:sz w:val="20"/>
        </w:rPr>
        <w:t>ICS</w:t>
      </w:r>
      <w:r w:rsidRPr="00895DD4">
        <w:rPr>
          <w:sz w:val="20"/>
        </w:rPr>
        <w:t xml:space="preserve"> (</w:t>
      </w:r>
      <w:r w:rsidR="007B134E" w:rsidRPr="00895DD4">
        <w:rPr>
          <w:sz w:val="20"/>
        </w:rPr>
        <w:t>D</w:t>
      </w:r>
      <w:r w:rsidRPr="00895DD4">
        <w:rPr>
          <w:sz w:val="20"/>
        </w:rPr>
        <w:t>), Victoria, 2010</w:t>
      </w:r>
      <w:r w:rsidR="009D0E1A" w:rsidRPr="00895DD4">
        <w:rPr>
          <w:sz w:val="20"/>
        </w:rPr>
        <w:t>–</w:t>
      </w:r>
      <w:r w:rsidRPr="00895DD4">
        <w:rPr>
          <w:sz w:val="20"/>
        </w:rPr>
        <w:t>2014</w:t>
      </w:r>
      <w:bookmarkEnd w:id="1006"/>
      <w:bookmarkEnd w:id="1007"/>
      <w:bookmarkEnd w:id="1008"/>
      <w:bookmarkEnd w:id="1009"/>
      <w:r w:rsidR="00064A4F" w:rsidRPr="00895DD4">
        <w:rPr>
          <w:sz w:val="20"/>
        </w:rPr>
        <w:t xml:space="preserve"> and 2015–2019</w:t>
      </w:r>
      <w:bookmarkEnd w:id="1010"/>
      <w:bookmarkEnd w:id="1011"/>
    </w:p>
    <w:p w14:paraId="1C45EEA3" w14:textId="3AE2A2B6" w:rsidR="00EC5CB0" w:rsidRPr="00EC4B8D" w:rsidRDefault="00EC4B8D" w:rsidP="00E87AAA">
      <w:pPr>
        <w:pStyle w:val="Body"/>
      </w:pPr>
      <w:r>
        <w:rPr>
          <w:noProof/>
        </w:rPr>
        <w:drawing>
          <wp:inline distT="0" distB="0" distL="0" distR="0" wp14:anchorId="189055F2" wp14:editId="7A932ABC">
            <wp:extent cx="5942550" cy="4881600"/>
            <wp:effectExtent l="0" t="0" r="1270" b="0"/>
            <wp:docPr id="404" name="Picture 404" descr="This figure shows a data summary of 'Measure 13.9 – Five-year relative survival from all cancers'. Specially this figure focuses on the trends in five-year relative survival from all cancers (combined) overall and by age, remoteness, socio-economic status and Integrated Cancer Service for the study periods 2010-2014 and 2015-2019. The data set is available under 'Measure 13.9 – Five-year relative survival from all cancers'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404" descr="This figure shows a data summary of 'Measure 13.9 – Five-year relative survival from all cancers'. Specially this figure focuses on the trends in five-year relative survival from all cancers (combined) overall and by age, remoteness, socio-economic status and Integrated Cancer Service for the study periods 2010-2014 and 2015-2019. The data set is available under 'Measure 13.9 – Five-year relative survival from all cancers' in a separate volume, the Victorian cancer plan monitoring and evaluation framework: baseline progress report: Appendix 2: Datasets available on Cancer care &lt;https://www.health.vic.gov.au/health-strategies/cancer-care&gt;."/>
                    <pic:cNvPicPr/>
                  </pic:nvPicPr>
                  <pic:blipFill>
                    <a:blip r:embed="rId158"/>
                    <a:stretch>
                      <a:fillRect/>
                    </a:stretch>
                  </pic:blipFill>
                  <pic:spPr>
                    <a:xfrm>
                      <a:off x="0" y="0"/>
                      <a:ext cx="5951045" cy="4888579"/>
                    </a:xfrm>
                    <a:prstGeom prst="rect">
                      <a:avLst/>
                    </a:prstGeom>
                  </pic:spPr>
                </pic:pic>
              </a:graphicData>
            </a:graphic>
          </wp:inline>
        </w:drawing>
      </w:r>
    </w:p>
    <w:p w14:paraId="40A2B5E1" w14:textId="77777777" w:rsidR="009B4007" w:rsidRPr="00895DD4" w:rsidRDefault="009B4007" w:rsidP="005A5151">
      <w:pPr>
        <w:pStyle w:val="Tablefigurenote"/>
        <w:rPr>
          <w:i/>
          <w:iCs/>
          <w:sz w:val="18"/>
          <w:szCs w:val="18"/>
        </w:rPr>
      </w:pPr>
      <w:r w:rsidRPr="00895DD4">
        <w:rPr>
          <w:i/>
          <w:iCs/>
          <w:sz w:val="18"/>
          <w:szCs w:val="18"/>
        </w:rPr>
        <w:t>Notes:</w:t>
      </w:r>
    </w:p>
    <w:p w14:paraId="6247D091" w14:textId="68428F5C" w:rsidR="00E21ED4" w:rsidRPr="00895DD4" w:rsidRDefault="00E21ED4" w:rsidP="005A5151">
      <w:pPr>
        <w:pStyle w:val="Tablefigurenote"/>
        <w:rPr>
          <w:i/>
          <w:iCs/>
          <w:sz w:val="18"/>
          <w:szCs w:val="18"/>
        </w:rPr>
      </w:pPr>
      <w:r w:rsidRPr="00895DD4">
        <w:rPr>
          <w:i/>
          <w:iCs/>
          <w:sz w:val="18"/>
          <w:szCs w:val="18"/>
        </w:rPr>
        <w:t xml:space="preserve">Error bars </w:t>
      </w:r>
      <w:r w:rsidR="0013211D" w:rsidRPr="00895DD4">
        <w:rPr>
          <w:i/>
          <w:iCs/>
          <w:sz w:val="18"/>
          <w:szCs w:val="18"/>
        </w:rPr>
        <w:t>indicate</w:t>
      </w:r>
      <w:r w:rsidRPr="00895DD4">
        <w:rPr>
          <w:i/>
          <w:iCs/>
          <w:sz w:val="18"/>
          <w:szCs w:val="18"/>
        </w:rPr>
        <w:t xml:space="preserve"> 95</w:t>
      </w:r>
      <w:r w:rsidR="0054537F">
        <w:rPr>
          <w:i/>
          <w:iCs/>
          <w:sz w:val="18"/>
          <w:szCs w:val="18"/>
        </w:rPr>
        <w:t>%</w:t>
      </w:r>
      <w:r w:rsidRPr="00895DD4">
        <w:rPr>
          <w:i/>
          <w:iCs/>
          <w:sz w:val="18"/>
          <w:szCs w:val="18"/>
        </w:rPr>
        <w:t xml:space="preserve"> confidence intervals.</w:t>
      </w:r>
    </w:p>
    <w:p w14:paraId="7819349F" w14:textId="77777777" w:rsidR="00E21ED4" w:rsidRPr="00895DD4" w:rsidRDefault="00E21ED4" w:rsidP="005A5151">
      <w:pPr>
        <w:pStyle w:val="Tablefigurenote"/>
        <w:rPr>
          <w:i/>
          <w:iCs/>
          <w:sz w:val="18"/>
          <w:szCs w:val="18"/>
        </w:rPr>
      </w:pPr>
      <w:r w:rsidRPr="00895DD4">
        <w:rPr>
          <w:i/>
          <w:iCs/>
          <w:sz w:val="18"/>
          <w:szCs w:val="18"/>
        </w:rPr>
        <w:t>Remoteness is classified according to the Australian Standard Geographical Classification (ASGC) Remoteness Areas.</w:t>
      </w:r>
    </w:p>
    <w:p w14:paraId="0EB5F111" w14:textId="38CEB1B5" w:rsidR="00E21ED4" w:rsidRPr="00895DD4" w:rsidRDefault="00E21ED4" w:rsidP="005A5151">
      <w:pPr>
        <w:pStyle w:val="Tablefigurenote"/>
        <w:rPr>
          <w:i/>
          <w:iCs/>
          <w:sz w:val="18"/>
          <w:szCs w:val="18"/>
        </w:rPr>
      </w:pPr>
      <w:r w:rsidRPr="00895DD4">
        <w:rPr>
          <w:i/>
          <w:iCs/>
          <w:sz w:val="18"/>
          <w:szCs w:val="18"/>
        </w:rPr>
        <w:t>SES is classified according to the ABS Socio</w:t>
      </w:r>
      <w:r w:rsidR="00FB6174" w:rsidRPr="00895DD4">
        <w:rPr>
          <w:i/>
          <w:iCs/>
          <w:sz w:val="18"/>
          <w:szCs w:val="18"/>
        </w:rPr>
        <w:t>-E</w:t>
      </w:r>
      <w:r w:rsidRPr="00895DD4">
        <w:rPr>
          <w:i/>
          <w:iCs/>
          <w:sz w:val="18"/>
          <w:szCs w:val="18"/>
        </w:rPr>
        <w:t>conomic Indexes for Areas (SEIFA) Index of Relative Socio-economic Disadvantage – 1= lowest and 5 = highest.</w:t>
      </w:r>
    </w:p>
    <w:p w14:paraId="4BE3C68D" w14:textId="41C6D417" w:rsidR="006F4568" w:rsidRPr="00895DD4" w:rsidRDefault="006F4568" w:rsidP="005A5151">
      <w:pPr>
        <w:pStyle w:val="Tablefigurenote"/>
        <w:rPr>
          <w:i/>
          <w:iCs/>
          <w:sz w:val="18"/>
          <w:szCs w:val="18"/>
        </w:rPr>
      </w:pPr>
      <w:r w:rsidRPr="00895DD4">
        <w:rPr>
          <w:i/>
          <w:iCs/>
          <w:sz w:val="18"/>
          <w:szCs w:val="18"/>
        </w:rPr>
        <w:t>Appendix 2 provides the dataset.</w:t>
      </w:r>
    </w:p>
    <w:p w14:paraId="6791B8CB" w14:textId="52E8161F" w:rsidR="00CD628B" w:rsidRPr="00671C7A" w:rsidRDefault="00CD628B" w:rsidP="007C7F00">
      <w:pPr>
        <w:pStyle w:val="Heading4"/>
      </w:pPr>
      <w:r w:rsidRPr="002926BD">
        <w:t>Measure assessment</w:t>
      </w:r>
    </w:p>
    <w:p w14:paraId="4FA9CBD2" w14:textId="5FCA6BA5" w:rsidR="00026CF2" w:rsidRPr="00026CF2" w:rsidRDefault="00CD628B" w:rsidP="00606436">
      <w:pPr>
        <w:pStyle w:val="Body"/>
      </w:pPr>
      <w:r>
        <w:t xml:space="preserve">Traffic light rating: </w:t>
      </w:r>
      <w:r w:rsidR="00E860C8" w:rsidRPr="007041EC">
        <w:rPr>
          <w:b/>
          <w:color w:val="C5511A"/>
        </w:rPr>
        <w:t>Amber</w:t>
      </w:r>
      <w:r w:rsidR="00026CF2" w:rsidRPr="007041EC">
        <w:rPr>
          <w:b/>
          <w:color w:val="C00000"/>
        </w:rPr>
        <w:t xml:space="preserve"> </w:t>
      </w:r>
      <w:r w:rsidR="00026CF2" w:rsidRPr="00EA3932">
        <w:t>(desired result not yet evident)</w:t>
      </w:r>
    </w:p>
    <w:p w14:paraId="19069F5E" w14:textId="5453C7DA" w:rsidR="00CD628B" w:rsidRDefault="00CD628B" w:rsidP="00606436">
      <w:pPr>
        <w:pStyle w:val="Body"/>
      </w:pPr>
      <w:r>
        <w:t xml:space="preserve">Overall trend: </w:t>
      </w:r>
      <w:r w:rsidR="003004BC">
        <w:t>Appears to be m</w:t>
      </w:r>
      <w:r w:rsidR="00C77D3D">
        <w:t>oving in the right direction</w:t>
      </w:r>
    </w:p>
    <w:p w14:paraId="5243686A" w14:textId="7E317F87" w:rsidR="009964FA" w:rsidRPr="00AC7AFA" w:rsidRDefault="00CD628B" w:rsidP="00E87AAA">
      <w:pPr>
        <w:pStyle w:val="Body"/>
        <w:rPr>
          <w:lang w:eastAsia="en-AU"/>
        </w:rPr>
      </w:pPr>
      <w:r w:rsidRPr="00AC7AFA">
        <w:rPr>
          <w:lang w:eastAsia="en-AU"/>
        </w:rPr>
        <w:t>Commentary:</w:t>
      </w:r>
      <w:r w:rsidR="00CF2B69" w:rsidRPr="00AC7AFA">
        <w:rPr>
          <w:lang w:eastAsia="en-AU"/>
        </w:rPr>
        <w:t xml:space="preserve"> </w:t>
      </w:r>
      <w:r w:rsidR="00266A9F">
        <w:rPr>
          <w:lang w:eastAsia="en-AU"/>
        </w:rPr>
        <w:t>S</w:t>
      </w:r>
      <w:r w:rsidR="00916529" w:rsidRPr="00AC7AFA">
        <w:rPr>
          <w:lang w:val="en"/>
        </w:rPr>
        <w:t>urvival</w:t>
      </w:r>
      <w:r w:rsidR="009964FA" w:rsidRPr="00AC7AFA">
        <w:rPr>
          <w:lang w:val="en"/>
        </w:rPr>
        <w:t xml:space="preserve"> from cancer can be influenced by </w:t>
      </w:r>
      <w:r w:rsidR="00D57E2B" w:rsidRPr="00AC7AFA">
        <w:rPr>
          <w:lang w:val="en"/>
        </w:rPr>
        <w:t xml:space="preserve">a variety of different </w:t>
      </w:r>
      <w:r w:rsidR="009964FA" w:rsidRPr="00AC7AFA">
        <w:rPr>
          <w:lang w:val="en"/>
        </w:rPr>
        <w:t xml:space="preserve">factors including demographic characteristics, tumour type, stage of the cancer at diagnosis, other prognostic indicators and </w:t>
      </w:r>
      <w:r w:rsidR="009B4007">
        <w:rPr>
          <w:lang w:val="en"/>
        </w:rPr>
        <w:t xml:space="preserve">the </w:t>
      </w:r>
      <w:r w:rsidR="009964FA" w:rsidRPr="00AC7AFA">
        <w:rPr>
          <w:lang w:val="en"/>
        </w:rPr>
        <w:t>availability of treatment.</w:t>
      </w:r>
      <w:r w:rsidR="009964FA" w:rsidRPr="00AC7AFA">
        <w:rPr>
          <w:rStyle w:val="FootnoteReference"/>
          <w:rFonts w:cs="Arial"/>
          <w:lang w:val="en"/>
        </w:rPr>
        <w:footnoteReference w:id="197"/>
      </w:r>
    </w:p>
    <w:p w14:paraId="192D923A" w14:textId="61D05CB7" w:rsidR="00A31D6D" w:rsidRPr="00C35C11" w:rsidRDefault="00CF2B69" w:rsidP="00E87AAA">
      <w:pPr>
        <w:pStyle w:val="Body"/>
        <w:rPr>
          <w:lang w:val="en"/>
        </w:rPr>
      </w:pPr>
      <w:r w:rsidRPr="00AC7AFA">
        <w:lastRenderedPageBreak/>
        <w:t>Information on survival from cancer</w:t>
      </w:r>
      <w:r w:rsidR="00B02763" w:rsidRPr="00AC7AFA">
        <w:t xml:space="preserve"> provides an indication of </w:t>
      </w:r>
      <w:r w:rsidRPr="00AC7AFA">
        <w:t>a cancer prognosis and the effectiveness of treatment available. Relative survival of less than 100</w:t>
      </w:r>
      <w:r w:rsidR="0054537F">
        <w:t>%</w:t>
      </w:r>
      <w:r w:rsidRPr="00AC7AFA">
        <w:t xml:space="preserve"> means that people with cancer ha</w:t>
      </w:r>
      <w:r w:rsidR="00DA1B75">
        <w:t>ve</w:t>
      </w:r>
      <w:r w:rsidRPr="00AC7AFA">
        <w:t xml:space="preserve"> a lower chance of surviving for at least </w:t>
      </w:r>
      <w:r w:rsidR="00690CD3">
        <w:t>five</w:t>
      </w:r>
      <w:r w:rsidRPr="00AC7AFA">
        <w:t xml:space="preserve"> years after diagnosis than the general population.</w:t>
      </w:r>
      <w:r w:rsidR="00B02763" w:rsidRPr="00AC7AFA">
        <w:rPr>
          <w:rStyle w:val="FootnoteReference"/>
          <w:rFonts w:cs="Arial"/>
        </w:rPr>
        <w:footnoteReference w:id="198"/>
      </w:r>
      <w:r w:rsidR="00883B13" w:rsidRPr="00AC7AFA">
        <w:t xml:space="preserve"> </w:t>
      </w:r>
      <w:r w:rsidR="00BC0354" w:rsidRPr="00AC7AFA">
        <w:rPr>
          <w:lang w:val="en"/>
        </w:rPr>
        <w:t xml:space="preserve">In Australia the national </w:t>
      </w:r>
      <w:r w:rsidR="00690CD3">
        <w:rPr>
          <w:lang w:val="en"/>
        </w:rPr>
        <w:t>five</w:t>
      </w:r>
      <w:r w:rsidR="00BC0354" w:rsidRPr="00AC7AFA">
        <w:rPr>
          <w:lang w:val="en"/>
        </w:rPr>
        <w:t>-year relative survival was 6</w:t>
      </w:r>
      <w:r w:rsidR="00F8653D">
        <w:rPr>
          <w:lang w:val="en"/>
        </w:rPr>
        <w:t>9</w:t>
      </w:r>
      <w:r w:rsidR="0054537F">
        <w:rPr>
          <w:lang w:val="en"/>
        </w:rPr>
        <w:t>%</w:t>
      </w:r>
      <w:r w:rsidR="008D2B37" w:rsidRPr="00AC7AFA">
        <w:rPr>
          <w:lang w:val="en"/>
        </w:rPr>
        <w:t xml:space="preserve"> in 20</w:t>
      </w:r>
      <w:r w:rsidR="009B3D94">
        <w:rPr>
          <w:lang w:val="en"/>
        </w:rPr>
        <w:t>10</w:t>
      </w:r>
      <w:r w:rsidR="00690CD3">
        <w:rPr>
          <w:lang w:val="en"/>
        </w:rPr>
        <w:t>–</w:t>
      </w:r>
      <w:r w:rsidR="008D2B37" w:rsidRPr="00AC7AFA">
        <w:rPr>
          <w:lang w:val="en"/>
        </w:rPr>
        <w:t>201</w:t>
      </w:r>
      <w:r w:rsidR="00F8653D">
        <w:rPr>
          <w:lang w:val="en"/>
        </w:rPr>
        <w:t>4</w:t>
      </w:r>
      <w:r w:rsidR="0057007B">
        <w:rPr>
          <w:lang w:val="en"/>
        </w:rPr>
        <w:t>;</w:t>
      </w:r>
      <w:r w:rsidR="00174D0A">
        <w:rPr>
          <w:rStyle w:val="FootnoteReference"/>
          <w:rFonts w:cs="Arial"/>
          <w:lang w:val="en"/>
        </w:rPr>
        <w:footnoteReference w:id="199"/>
      </w:r>
      <w:r w:rsidR="008D2B37" w:rsidRPr="00AC7AFA">
        <w:rPr>
          <w:lang w:val="en"/>
        </w:rPr>
        <w:t xml:space="preserve"> that is</w:t>
      </w:r>
      <w:r w:rsidR="00266A9F">
        <w:rPr>
          <w:lang w:val="en"/>
        </w:rPr>
        <w:t>,</w:t>
      </w:r>
      <w:r w:rsidR="008D2B37" w:rsidRPr="00AC7AFA">
        <w:rPr>
          <w:lang w:val="en"/>
        </w:rPr>
        <w:t xml:space="preserve"> people</w:t>
      </w:r>
      <w:r w:rsidR="008D2B37" w:rsidRPr="00AC7AFA">
        <w:rPr>
          <w:lang w:eastAsia="en-AU"/>
        </w:rPr>
        <w:t xml:space="preserve"> </w:t>
      </w:r>
      <w:r w:rsidR="00BC0354" w:rsidRPr="00AC7AFA">
        <w:rPr>
          <w:lang w:eastAsia="en-AU"/>
        </w:rPr>
        <w:t>diagnosed with cancer had a</w:t>
      </w:r>
      <w:r w:rsidR="008D2B37" w:rsidRPr="00AC7AFA">
        <w:rPr>
          <w:lang w:eastAsia="en-AU"/>
        </w:rPr>
        <w:t xml:space="preserve"> </w:t>
      </w:r>
      <w:r w:rsidR="00BC0354" w:rsidRPr="00AC7AFA">
        <w:rPr>
          <w:lang w:eastAsia="en-AU"/>
        </w:rPr>
        <w:t>6</w:t>
      </w:r>
      <w:r w:rsidR="00F8653D">
        <w:rPr>
          <w:lang w:eastAsia="en-AU"/>
        </w:rPr>
        <w:t>9</w:t>
      </w:r>
      <w:r w:rsidR="0054537F">
        <w:rPr>
          <w:lang w:eastAsia="en-AU"/>
        </w:rPr>
        <w:t>%</w:t>
      </w:r>
      <w:r w:rsidR="00BC0354" w:rsidRPr="00AC7AFA">
        <w:rPr>
          <w:lang w:eastAsia="en-AU"/>
        </w:rPr>
        <w:t xml:space="preserve"> chance of surviving for at least </w:t>
      </w:r>
      <w:r w:rsidR="009D0E1A">
        <w:rPr>
          <w:lang w:eastAsia="en-AU"/>
        </w:rPr>
        <w:t>five</w:t>
      </w:r>
      <w:r w:rsidR="00BC0354" w:rsidRPr="00AC7AFA">
        <w:rPr>
          <w:lang w:eastAsia="en-AU"/>
        </w:rPr>
        <w:t xml:space="preserve"> years compared with their counterparts in the general</w:t>
      </w:r>
      <w:r w:rsidR="008D2B37" w:rsidRPr="00AC7AFA">
        <w:rPr>
          <w:lang w:val="en"/>
        </w:rPr>
        <w:t xml:space="preserve"> </w:t>
      </w:r>
      <w:r w:rsidR="00BC0354" w:rsidRPr="00AC7AFA">
        <w:rPr>
          <w:lang w:eastAsia="en-AU"/>
        </w:rPr>
        <w:t>population.</w:t>
      </w:r>
      <w:r w:rsidR="008D2B37" w:rsidRPr="00AC7AFA">
        <w:rPr>
          <w:rStyle w:val="FootnoteReference"/>
          <w:rFonts w:cs="Arial"/>
          <w:lang w:eastAsia="en-AU"/>
        </w:rPr>
        <w:footnoteReference w:id="200"/>
      </w:r>
    </w:p>
    <w:p w14:paraId="0AC1E3B0" w14:textId="39E1AB99" w:rsidR="00174D0A" w:rsidRDefault="007270F1" w:rsidP="00606436">
      <w:pPr>
        <w:pStyle w:val="Body"/>
      </w:pPr>
      <w:r w:rsidRPr="00AC7AFA">
        <w:t>In 20</w:t>
      </w:r>
      <w:r w:rsidR="00666A03" w:rsidRPr="00AC7AFA">
        <w:t>10</w:t>
      </w:r>
      <w:r w:rsidRPr="00AC7AFA">
        <w:t>–201</w:t>
      </w:r>
      <w:r w:rsidR="00666A03" w:rsidRPr="00AC7AFA">
        <w:t>4</w:t>
      </w:r>
      <w:r w:rsidRPr="00AC7AFA">
        <w:t xml:space="preserve">, </w:t>
      </w:r>
      <w:r w:rsidR="009D0E1A">
        <w:t>five</w:t>
      </w:r>
      <w:r w:rsidRPr="00AC7AFA">
        <w:t xml:space="preserve">-year relative survival </w:t>
      </w:r>
      <w:r w:rsidR="00883B13" w:rsidRPr="00AC7AFA">
        <w:t>in Victoria</w:t>
      </w:r>
      <w:r w:rsidR="00BC0354" w:rsidRPr="00AC7AFA">
        <w:t xml:space="preserve"> </w:t>
      </w:r>
      <w:r w:rsidR="00174D0A">
        <w:t xml:space="preserve">for all cancers combined </w:t>
      </w:r>
      <w:r w:rsidR="00BC0354" w:rsidRPr="00AC7AFA">
        <w:t>mirrored the national trend</w:t>
      </w:r>
      <w:r w:rsidRPr="00AC7AFA">
        <w:t xml:space="preserve"> </w:t>
      </w:r>
      <w:r w:rsidR="00BC0354" w:rsidRPr="00AC7AFA">
        <w:t>(</w:t>
      </w:r>
      <w:r w:rsidRPr="00AC7AFA">
        <w:t>6</w:t>
      </w:r>
      <w:r w:rsidR="002926BD">
        <w:t>8</w:t>
      </w:r>
      <w:r w:rsidR="00666A03" w:rsidRPr="00AC7AFA">
        <w:t>.</w:t>
      </w:r>
      <w:r w:rsidR="002926BD">
        <w:t>1</w:t>
      </w:r>
      <w:r w:rsidR="0054537F">
        <w:t>%</w:t>
      </w:r>
      <w:r w:rsidR="00BC0354" w:rsidRPr="00AC7AFA">
        <w:t>)</w:t>
      </w:r>
      <w:r w:rsidR="00174D0A">
        <w:t xml:space="preserve"> and increased to 70.</w:t>
      </w:r>
      <w:r w:rsidR="002926BD">
        <w:t>3</w:t>
      </w:r>
      <w:r w:rsidR="0054537F">
        <w:t>%</w:t>
      </w:r>
      <w:r w:rsidR="00174D0A">
        <w:t xml:space="preserve"> in </w:t>
      </w:r>
      <w:r w:rsidR="00174D0A" w:rsidRPr="00AC7AFA">
        <w:t>201</w:t>
      </w:r>
      <w:r w:rsidR="00174D0A">
        <w:t>5</w:t>
      </w:r>
      <w:r w:rsidR="00174D0A" w:rsidRPr="00AC7AFA">
        <w:t>–201</w:t>
      </w:r>
      <w:r w:rsidR="00174D0A">
        <w:t xml:space="preserve">9. </w:t>
      </w:r>
      <w:r w:rsidR="00174D0A" w:rsidRPr="00174D0A">
        <w:rPr>
          <w:shd w:val="clear" w:color="auto" w:fill="FFFFFF"/>
        </w:rPr>
        <w:t xml:space="preserve">The increases in </w:t>
      </w:r>
      <w:r w:rsidR="00DA1B75">
        <w:rPr>
          <w:shd w:val="clear" w:color="auto" w:fill="FFFFFF"/>
        </w:rPr>
        <w:t>five</w:t>
      </w:r>
      <w:r w:rsidR="00174D0A" w:rsidRPr="00174D0A">
        <w:rPr>
          <w:shd w:val="clear" w:color="auto" w:fill="FFFFFF"/>
        </w:rPr>
        <w:t xml:space="preserve">-year survival occurred for both males and females, although </w:t>
      </w:r>
      <w:r w:rsidR="00174D0A">
        <w:rPr>
          <w:shd w:val="clear" w:color="auto" w:fill="FFFFFF"/>
        </w:rPr>
        <w:t>females</w:t>
      </w:r>
      <w:r w:rsidR="00174D0A" w:rsidRPr="00174D0A">
        <w:rPr>
          <w:shd w:val="clear" w:color="auto" w:fill="FFFFFF"/>
        </w:rPr>
        <w:t xml:space="preserve"> had a larger increase in survival over this period</w:t>
      </w:r>
      <w:r w:rsidR="00174D0A">
        <w:rPr>
          <w:shd w:val="clear" w:color="auto" w:fill="FFFFFF"/>
        </w:rPr>
        <w:t>.</w:t>
      </w:r>
      <w:r w:rsidR="00174D0A" w:rsidRPr="00174D0A">
        <w:rPr>
          <w:rFonts w:ascii="Helvetica" w:hAnsi="Helvetica" w:cs="Helvetica"/>
          <w:shd w:val="clear" w:color="auto" w:fill="FFFFFF"/>
        </w:rPr>
        <w:t> </w:t>
      </w:r>
      <w:r w:rsidR="00C113BA">
        <w:rPr>
          <w:rFonts w:ascii="Helvetica" w:hAnsi="Helvetica" w:cs="Helvetica"/>
          <w:color w:val="333333"/>
          <w:shd w:val="clear" w:color="auto" w:fill="FFFFFF"/>
        </w:rPr>
        <w:t>Several factors may have contributed to this increase, including advances in diagnostic methods, earlier and increased detection through screening programs, and improvements in treatment.</w:t>
      </w:r>
    </w:p>
    <w:p w14:paraId="27A6AEF9" w14:textId="67028834" w:rsidR="005C5D2C" w:rsidRPr="00AC7AFA" w:rsidRDefault="007270F1" w:rsidP="00606436">
      <w:pPr>
        <w:pStyle w:val="Body"/>
      </w:pPr>
      <w:r w:rsidRPr="00AC7AFA">
        <w:t xml:space="preserve">Five-year survival </w:t>
      </w:r>
      <w:r w:rsidR="00C113BA">
        <w:t>varied with age</w:t>
      </w:r>
      <w:r w:rsidRPr="00AC7AFA">
        <w:t xml:space="preserve">: </w:t>
      </w:r>
      <w:r w:rsidR="005C5D2C" w:rsidRPr="00AC7AFA">
        <w:t>s</w:t>
      </w:r>
      <w:r w:rsidRPr="00AC7AFA">
        <w:t xml:space="preserve">urvival was highest for people aged </w:t>
      </w:r>
      <w:r w:rsidR="005C5D2C" w:rsidRPr="00AC7AFA">
        <w:t>25</w:t>
      </w:r>
      <w:r w:rsidR="00690CD3">
        <w:t>–</w:t>
      </w:r>
      <w:r w:rsidR="005C5D2C" w:rsidRPr="00AC7AFA">
        <w:t>34 years</w:t>
      </w:r>
      <w:r w:rsidRPr="00AC7AFA">
        <w:t xml:space="preserve"> (</w:t>
      </w:r>
      <w:r w:rsidR="00690CD3">
        <w:t>five</w:t>
      </w:r>
      <w:r w:rsidRPr="00AC7AFA">
        <w:t>-year survival of 8</w:t>
      </w:r>
      <w:r w:rsidR="00DC318A" w:rsidRPr="00AC7AFA">
        <w:t>9</w:t>
      </w:r>
      <w:r w:rsidR="002926BD">
        <w:t>.2</w:t>
      </w:r>
      <w:r w:rsidR="0054537F">
        <w:t>%</w:t>
      </w:r>
      <w:r w:rsidR="00C113BA">
        <w:t xml:space="preserve"> for </w:t>
      </w:r>
      <w:r w:rsidR="00C113BA" w:rsidRPr="00AC7AFA">
        <w:t>2010–2014</w:t>
      </w:r>
      <w:r w:rsidR="00C113BA">
        <w:t xml:space="preserve"> </w:t>
      </w:r>
      <w:r w:rsidR="002926BD">
        <w:t>increasing to 88.9</w:t>
      </w:r>
      <w:r w:rsidR="0054537F">
        <w:t>%</w:t>
      </w:r>
      <w:r w:rsidR="002926BD">
        <w:t xml:space="preserve"> for</w:t>
      </w:r>
      <w:r w:rsidR="00C113BA">
        <w:t xml:space="preserve"> </w:t>
      </w:r>
      <w:r w:rsidR="00C113BA" w:rsidRPr="00AC7AFA">
        <w:t>201</w:t>
      </w:r>
      <w:r w:rsidR="00C113BA">
        <w:t>5</w:t>
      </w:r>
      <w:r w:rsidR="00C113BA" w:rsidRPr="00AC7AFA">
        <w:t>–201</w:t>
      </w:r>
      <w:r w:rsidR="00C113BA">
        <w:t>9</w:t>
      </w:r>
      <w:r w:rsidRPr="00AC7AFA">
        <w:t xml:space="preserve">) and lowest for those aged </w:t>
      </w:r>
      <w:r w:rsidR="00C113BA">
        <w:t>8</w:t>
      </w:r>
      <w:r w:rsidR="005C5D2C" w:rsidRPr="00AC7AFA">
        <w:t>5</w:t>
      </w:r>
      <w:r w:rsidRPr="00AC7AFA">
        <w:t xml:space="preserve"> </w:t>
      </w:r>
      <w:r w:rsidR="00C113BA">
        <w:t xml:space="preserve">years </w:t>
      </w:r>
      <w:r w:rsidR="009D0E1A">
        <w:t>or older</w:t>
      </w:r>
      <w:r w:rsidRPr="00AC7AFA">
        <w:t xml:space="preserve"> (</w:t>
      </w:r>
      <w:r w:rsidR="00C113BA">
        <w:t>4</w:t>
      </w:r>
      <w:r w:rsidR="002926BD">
        <w:t>0</w:t>
      </w:r>
      <w:r w:rsidR="00C113BA">
        <w:t>.</w:t>
      </w:r>
      <w:r w:rsidR="002926BD">
        <w:t>9</w:t>
      </w:r>
      <w:r w:rsidR="0054537F">
        <w:t>%</w:t>
      </w:r>
      <w:r w:rsidR="00C113BA">
        <w:t xml:space="preserve"> for </w:t>
      </w:r>
      <w:r w:rsidR="00C113BA" w:rsidRPr="00AC7AFA">
        <w:t>2010–2014</w:t>
      </w:r>
      <w:r w:rsidR="00C113BA">
        <w:t xml:space="preserve">; </w:t>
      </w:r>
      <w:r w:rsidR="00614458">
        <w:t>increasing slightly 42.4</w:t>
      </w:r>
      <w:r w:rsidR="0054537F">
        <w:t>%</w:t>
      </w:r>
      <w:r w:rsidR="00C113BA">
        <w:t xml:space="preserve"> </w:t>
      </w:r>
      <w:r w:rsidR="00614458">
        <w:t xml:space="preserve">in </w:t>
      </w:r>
      <w:r w:rsidR="00C113BA" w:rsidRPr="00AC7AFA">
        <w:t>201</w:t>
      </w:r>
      <w:r w:rsidR="00C113BA">
        <w:t>5</w:t>
      </w:r>
      <w:r w:rsidR="00C113BA" w:rsidRPr="00AC7AFA">
        <w:t>–201</w:t>
      </w:r>
      <w:r w:rsidR="00C113BA">
        <w:t>9</w:t>
      </w:r>
      <w:r w:rsidR="00E15716">
        <w:t>;</w:t>
      </w:r>
      <w:r w:rsidR="00614458">
        <w:t xml:space="preserve"> refer to Tables 13.9a and b, Appendix 2</w:t>
      </w:r>
      <w:r w:rsidRPr="00AC7AFA">
        <w:t>). This age-related pattern of survival is characteristic of most individual cancer types presented in this report. The reduction in survival with age was more pronounced in the second half of the life span</w:t>
      </w:r>
      <w:r w:rsidR="009D0E1A">
        <w:t xml:space="preserve"> – </w:t>
      </w:r>
      <w:r w:rsidRPr="00AC7AFA">
        <w:t xml:space="preserve">for almost all types of cancers, survival was lowest in </w:t>
      </w:r>
      <w:r w:rsidR="007066F3" w:rsidRPr="00AC7AFA">
        <w:t>older people</w:t>
      </w:r>
      <w:r w:rsidR="00805C0A" w:rsidRPr="00AC7AFA">
        <w:t xml:space="preserve"> (Figure 13.9</w:t>
      </w:r>
      <w:r w:rsidR="00952E73">
        <w:t xml:space="preserve"> </w:t>
      </w:r>
      <w:r w:rsidR="00CA18A3">
        <w:t>(A)</w:t>
      </w:r>
      <w:r w:rsidR="00805C0A" w:rsidRPr="00AC7AFA">
        <w:t>)</w:t>
      </w:r>
      <w:r w:rsidRPr="00AC7AFA">
        <w:t>.</w:t>
      </w:r>
    </w:p>
    <w:p w14:paraId="77D7F6A4" w14:textId="570A9E5C" w:rsidR="0092202A" w:rsidRDefault="00277924" w:rsidP="00606436">
      <w:pPr>
        <w:pStyle w:val="Body"/>
      </w:pPr>
      <w:r>
        <w:t>Five-year s</w:t>
      </w:r>
      <w:r w:rsidR="007270F1" w:rsidRPr="008721E1">
        <w:t>urvival decreased with greater remoteness</w:t>
      </w:r>
      <w:r w:rsidR="00266A9F">
        <w:t>,</w:t>
      </w:r>
      <w:r w:rsidR="007270F1" w:rsidRPr="008721E1">
        <w:t xml:space="preserve"> although the differences were small: </w:t>
      </w:r>
      <w:r w:rsidR="009D0E1A">
        <w:t>five</w:t>
      </w:r>
      <w:r w:rsidR="007270F1" w:rsidRPr="008721E1">
        <w:t>-year survival was 6</w:t>
      </w:r>
      <w:r w:rsidR="0057007B">
        <w:t>9</w:t>
      </w:r>
      <w:r w:rsidR="006C4069">
        <w:t>.</w:t>
      </w:r>
      <w:r w:rsidR="00607D44">
        <w:t>3</w:t>
      </w:r>
      <w:r w:rsidR="0054537F">
        <w:t>%</w:t>
      </w:r>
      <w:r w:rsidR="007270F1" w:rsidRPr="008721E1">
        <w:t xml:space="preserve"> in </w:t>
      </w:r>
      <w:r w:rsidR="0057007B" w:rsidRPr="00AC7AFA">
        <w:t>2010–2014</w:t>
      </w:r>
      <w:r w:rsidR="0057007B">
        <w:t xml:space="preserve"> increasing to 71.</w:t>
      </w:r>
      <w:r w:rsidR="00607D44">
        <w:t>2</w:t>
      </w:r>
      <w:r w:rsidR="0054537F">
        <w:t>%</w:t>
      </w:r>
      <w:r w:rsidR="0057007B">
        <w:t xml:space="preserve"> in </w:t>
      </w:r>
      <w:r w:rsidR="0057007B" w:rsidRPr="00AC7AFA">
        <w:t>201</w:t>
      </w:r>
      <w:r w:rsidR="0057007B">
        <w:t>5</w:t>
      </w:r>
      <w:r w:rsidR="0057007B" w:rsidRPr="00AC7AFA">
        <w:t>–201</w:t>
      </w:r>
      <w:r w:rsidR="0057007B">
        <w:t xml:space="preserve">9 for </w:t>
      </w:r>
      <w:r w:rsidR="00065D2D">
        <w:t>m</w:t>
      </w:r>
      <w:r w:rsidR="007270F1" w:rsidRPr="00AA444C">
        <w:t>ajor cities</w:t>
      </w:r>
      <w:r w:rsidR="007270F1" w:rsidRPr="008721E1">
        <w:t>,</w:t>
      </w:r>
      <w:r w:rsidR="0057007B">
        <w:t xml:space="preserve"> compared </w:t>
      </w:r>
      <w:r w:rsidR="002C060B" w:rsidRPr="002C060B">
        <w:t xml:space="preserve">with </w:t>
      </w:r>
      <w:r w:rsidR="007270F1" w:rsidRPr="008721E1">
        <w:t>6</w:t>
      </w:r>
      <w:r w:rsidR="0057007B">
        <w:t>7</w:t>
      </w:r>
      <w:r w:rsidR="007066F3" w:rsidRPr="008721E1">
        <w:t>.</w:t>
      </w:r>
      <w:r w:rsidR="00607D44">
        <w:t>2</w:t>
      </w:r>
      <w:r w:rsidR="0054537F">
        <w:t>%</w:t>
      </w:r>
      <w:r w:rsidR="007270F1" w:rsidRPr="008721E1">
        <w:t xml:space="preserve"> </w:t>
      </w:r>
      <w:r w:rsidR="0057007B">
        <w:t>(</w:t>
      </w:r>
      <w:r w:rsidR="0057007B" w:rsidRPr="00AC7AFA">
        <w:t>2010–2014</w:t>
      </w:r>
      <w:r w:rsidR="0057007B">
        <w:t>) and 68.</w:t>
      </w:r>
      <w:r w:rsidR="00607D44">
        <w:t>5</w:t>
      </w:r>
      <w:r w:rsidR="0054537F">
        <w:t>%</w:t>
      </w:r>
      <w:r w:rsidR="0057007B">
        <w:t xml:space="preserve"> (</w:t>
      </w:r>
      <w:r w:rsidR="0057007B" w:rsidRPr="00AC7AFA">
        <w:t>201</w:t>
      </w:r>
      <w:r w:rsidR="0057007B">
        <w:t>5</w:t>
      </w:r>
      <w:r w:rsidR="0057007B" w:rsidRPr="00AC7AFA">
        <w:t>–201</w:t>
      </w:r>
      <w:r w:rsidR="0057007B">
        <w:t xml:space="preserve">9) </w:t>
      </w:r>
      <w:r w:rsidR="007270F1" w:rsidRPr="008721E1">
        <w:t xml:space="preserve">in </w:t>
      </w:r>
      <w:r w:rsidR="00B524D6" w:rsidRPr="008721E1">
        <w:t>i</w:t>
      </w:r>
      <w:r w:rsidR="007270F1" w:rsidRPr="008721E1">
        <w:t>nner regional</w:t>
      </w:r>
      <w:r w:rsidR="007270F1" w:rsidRPr="008721E1">
        <w:rPr>
          <w:i/>
        </w:rPr>
        <w:t xml:space="preserve"> </w:t>
      </w:r>
      <w:r w:rsidR="007270F1" w:rsidRPr="008721E1">
        <w:t>areas</w:t>
      </w:r>
      <w:r w:rsidR="00266A9F">
        <w:t xml:space="preserve"> and</w:t>
      </w:r>
      <w:r w:rsidR="007270F1" w:rsidRPr="008721E1">
        <w:t xml:space="preserve"> 6</w:t>
      </w:r>
      <w:r w:rsidR="0057007B">
        <w:t>5.2</w:t>
      </w:r>
      <w:r w:rsidR="0054537F">
        <w:t>%</w:t>
      </w:r>
      <w:r w:rsidR="007270F1" w:rsidRPr="008721E1">
        <w:t xml:space="preserve"> </w:t>
      </w:r>
      <w:r w:rsidR="0057007B">
        <w:t>(</w:t>
      </w:r>
      <w:r w:rsidR="0057007B" w:rsidRPr="00AC7AFA">
        <w:t>2010–2014</w:t>
      </w:r>
      <w:r w:rsidR="0057007B">
        <w:t xml:space="preserve">) and </w:t>
      </w:r>
      <w:r w:rsidR="00855AE0">
        <w:t>65.</w:t>
      </w:r>
      <w:r w:rsidR="00607D44">
        <w:t>5</w:t>
      </w:r>
      <w:r w:rsidR="0054537F">
        <w:t>%</w:t>
      </w:r>
      <w:r w:rsidR="00855AE0">
        <w:t xml:space="preserve"> (</w:t>
      </w:r>
      <w:r w:rsidR="00855AE0" w:rsidRPr="00AC7AFA">
        <w:t>201</w:t>
      </w:r>
      <w:r w:rsidR="00855AE0">
        <w:t>5</w:t>
      </w:r>
      <w:r w:rsidR="00855AE0" w:rsidRPr="00AC7AFA">
        <w:t>–201</w:t>
      </w:r>
      <w:r w:rsidR="00855AE0">
        <w:t xml:space="preserve">9) </w:t>
      </w:r>
      <w:r w:rsidR="007270F1" w:rsidRPr="008721E1">
        <w:t xml:space="preserve">in </w:t>
      </w:r>
      <w:r w:rsidR="00B524D6" w:rsidRPr="008721E1">
        <w:t>o</w:t>
      </w:r>
      <w:r w:rsidR="007270F1" w:rsidRPr="008721E1">
        <w:t xml:space="preserve">uter regional and </w:t>
      </w:r>
      <w:r w:rsidR="00B524D6" w:rsidRPr="008721E1">
        <w:t>r</w:t>
      </w:r>
      <w:r w:rsidR="007270F1" w:rsidRPr="008721E1">
        <w:t>emote areas</w:t>
      </w:r>
      <w:r w:rsidR="00855AE0">
        <w:t xml:space="preserve"> (Figure 13.9</w:t>
      </w:r>
      <w:r w:rsidR="00EC4B8D">
        <w:t xml:space="preserve"> </w:t>
      </w:r>
      <w:r w:rsidR="00855AE0">
        <w:t>(B))</w:t>
      </w:r>
      <w:r w:rsidR="007270F1" w:rsidRPr="008721E1">
        <w:t xml:space="preserve">. </w:t>
      </w:r>
      <w:r w:rsidR="00B524D6" w:rsidRPr="008721E1">
        <w:t xml:space="preserve">There was also a gradient of decreasing survival with greater </w:t>
      </w:r>
      <w:r w:rsidR="002C35B2">
        <w:t>socioeconomic</w:t>
      </w:r>
      <w:r w:rsidR="00B524D6" w:rsidRPr="008721E1">
        <w:t xml:space="preserve"> disadvantage</w:t>
      </w:r>
      <w:r w:rsidR="00005270" w:rsidRPr="008721E1">
        <w:t xml:space="preserve"> </w:t>
      </w:r>
      <w:r w:rsidR="00855AE0">
        <w:t xml:space="preserve">across the two five-year survival periods </w:t>
      </w:r>
      <w:r w:rsidR="00005270" w:rsidRPr="008721E1">
        <w:t>(Figure 13.9</w:t>
      </w:r>
      <w:r w:rsidR="00EC4B8D">
        <w:t xml:space="preserve"> </w:t>
      </w:r>
      <w:r w:rsidR="00855AE0">
        <w:t>(C)</w:t>
      </w:r>
      <w:r w:rsidR="00005270" w:rsidRPr="008721E1">
        <w:t>)</w:t>
      </w:r>
      <w:r w:rsidR="00B524D6" w:rsidRPr="008721E1">
        <w:t xml:space="preserve">. </w:t>
      </w:r>
      <w:r w:rsidR="007270F1" w:rsidRPr="008721E1">
        <w:t>Similarly,</w:t>
      </w:r>
      <w:r w:rsidR="00855AE0">
        <w:t xml:space="preserve"> while there was an increase in five-year survival between the two periods,</w:t>
      </w:r>
      <w:r w:rsidR="007270F1" w:rsidRPr="008721E1">
        <w:t xml:space="preserve"> there was a gradient of decreasing survival with </w:t>
      </w:r>
      <w:r w:rsidR="00D32520" w:rsidRPr="008721E1">
        <w:t>ICSs that did not contain a large metropolitan area such as Melbourne</w:t>
      </w:r>
      <w:r w:rsidR="00B524D6" w:rsidRPr="008721E1">
        <w:t xml:space="preserve">: </w:t>
      </w:r>
      <w:r w:rsidR="00CA6D80">
        <w:t>five</w:t>
      </w:r>
      <w:r w:rsidR="007270F1" w:rsidRPr="008721E1">
        <w:t xml:space="preserve">-year survival was </w:t>
      </w:r>
      <w:r w:rsidR="009D0E1A">
        <w:t>seven</w:t>
      </w:r>
      <w:r w:rsidR="007270F1" w:rsidRPr="008721E1">
        <w:t xml:space="preserve"> percentage points higher for people in</w:t>
      </w:r>
      <w:r w:rsidR="00D32520" w:rsidRPr="008721E1">
        <w:t xml:space="preserve"> </w:t>
      </w:r>
      <w:r w:rsidR="008721E1" w:rsidRPr="008721E1">
        <w:t xml:space="preserve">SMICS </w:t>
      </w:r>
      <w:r w:rsidR="00D32520" w:rsidRPr="008721E1">
        <w:t>(69.</w:t>
      </w:r>
      <w:r w:rsidR="00607D44">
        <w:t>7</w:t>
      </w:r>
      <w:r w:rsidR="0054537F">
        <w:t>%</w:t>
      </w:r>
      <w:r w:rsidR="00855AE0">
        <w:t>, 2010</w:t>
      </w:r>
      <w:r w:rsidR="00855AE0" w:rsidRPr="00AC7AFA">
        <w:t>–</w:t>
      </w:r>
      <w:r w:rsidR="00855AE0">
        <w:t>2014; 72.1</w:t>
      </w:r>
      <w:r w:rsidR="0054537F">
        <w:t>%</w:t>
      </w:r>
      <w:r w:rsidR="00855AE0">
        <w:t>, 2015</w:t>
      </w:r>
      <w:r w:rsidR="00855AE0" w:rsidRPr="00AC7AFA">
        <w:t>–</w:t>
      </w:r>
      <w:r w:rsidR="00855AE0">
        <w:t>2019</w:t>
      </w:r>
      <w:r w:rsidR="00D32520" w:rsidRPr="008721E1">
        <w:t xml:space="preserve">) and </w:t>
      </w:r>
      <w:r w:rsidR="00291990">
        <w:t>NEMICS</w:t>
      </w:r>
      <w:r w:rsidR="00D32520" w:rsidRPr="008721E1">
        <w:t xml:space="preserve"> (</w:t>
      </w:r>
      <w:r w:rsidR="00855AE0">
        <w:t>70</w:t>
      </w:r>
      <w:r w:rsidR="00D32520" w:rsidRPr="008721E1">
        <w:t>.</w:t>
      </w:r>
      <w:r w:rsidR="00855AE0">
        <w:t>3</w:t>
      </w:r>
      <w:r w:rsidR="0054537F">
        <w:t>%</w:t>
      </w:r>
      <w:r w:rsidR="00711A83">
        <w:t>, 2010</w:t>
      </w:r>
      <w:r w:rsidR="00711A83" w:rsidRPr="00AC7AFA">
        <w:t>–</w:t>
      </w:r>
      <w:r w:rsidR="00711A83">
        <w:t>2014; 72.</w:t>
      </w:r>
      <w:r w:rsidR="00607D44">
        <w:t>3</w:t>
      </w:r>
      <w:r w:rsidR="0054537F">
        <w:t>%</w:t>
      </w:r>
      <w:r w:rsidR="00711A83">
        <w:t>, 2015</w:t>
      </w:r>
      <w:r w:rsidR="00711A83" w:rsidRPr="00AC7AFA">
        <w:t>–</w:t>
      </w:r>
      <w:r w:rsidR="00711A83">
        <w:t>2019</w:t>
      </w:r>
      <w:r w:rsidR="008721E1" w:rsidRPr="008721E1">
        <w:t>)</w:t>
      </w:r>
      <w:r w:rsidR="00D32520" w:rsidRPr="008721E1">
        <w:t xml:space="preserve"> compared </w:t>
      </w:r>
      <w:r w:rsidR="001B50BF">
        <w:t>with</w:t>
      </w:r>
      <w:r w:rsidR="001B50BF" w:rsidRPr="008721E1">
        <w:t xml:space="preserve"> </w:t>
      </w:r>
      <w:r w:rsidR="00D32520" w:rsidRPr="008721E1">
        <w:t xml:space="preserve">those located in </w:t>
      </w:r>
      <w:r w:rsidR="00711A83">
        <w:t>GR</w:t>
      </w:r>
      <w:r w:rsidR="00D32520" w:rsidRPr="008721E1">
        <w:t xml:space="preserve">ICS </w:t>
      </w:r>
      <w:r w:rsidR="00711A83">
        <w:t>(63</w:t>
      </w:r>
      <w:r w:rsidR="00711A83" w:rsidRPr="008721E1">
        <w:t>.</w:t>
      </w:r>
      <w:r w:rsidR="00607D44">
        <w:t>5</w:t>
      </w:r>
      <w:r w:rsidR="0054537F">
        <w:t>%</w:t>
      </w:r>
      <w:r w:rsidR="00711A83">
        <w:t>, 2010</w:t>
      </w:r>
      <w:r w:rsidR="00711A83" w:rsidRPr="00AC7AFA">
        <w:t>–</w:t>
      </w:r>
      <w:r w:rsidR="00711A83">
        <w:t>2014; 65.</w:t>
      </w:r>
      <w:r w:rsidR="00607D44">
        <w:t>0</w:t>
      </w:r>
      <w:r w:rsidR="0054537F">
        <w:t>%</w:t>
      </w:r>
      <w:r w:rsidR="00711A83">
        <w:t>, 2015</w:t>
      </w:r>
      <w:r w:rsidR="00711A83" w:rsidRPr="00AC7AFA">
        <w:t>–</w:t>
      </w:r>
      <w:r w:rsidR="00711A83">
        <w:t>2019</w:t>
      </w:r>
      <w:r w:rsidR="00711A83" w:rsidRPr="008721E1">
        <w:t>)</w:t>
      </w:r>
      <w:r w:rsidR="00805C0A" w:rsidRPr="008721E1">
        <w:t xml:space="preserve"> (Figure 13.9</w:t>
      </w:r>
      <w:r w:rsidR="00EC4B8D">
        <w:t xml:space="preserve"> </w:t>
      </w:r>
      <w:r w:rsidR="00855AE0">
        <w:t>(D)</w:t>
      </w:r>
      <w:r w:rsidR="00805C0A" w:rsidRPr="008721E1">
        <w:t>)</w:t>
      </w:r>
      <w:r w:rsidR="00344722" w:rsidRPr="008721E1">
        <w:t>.</w:t>
      </w:r>
      <w:bookmarkStart w:id="1012" w:name="_Toc19008173"/>
    </w:p>
    <w:p w14:paraId="7FCCC9A8" w14:textId="08A521B0" w:rsidR="005C15AA" w:rsidRPr="007041EC" w:rsidRDefault="005C15AA" w:rsidP="00A451D4">
      <w:pPr>
        <w:pStyle w:val="Heading3"/>
        <w:rPr>
          <w:b/>
          <w:bCs w:val="0"/>
        </w:rPr>
      </w:pPr>
      <w:bookmarkStart w:id="1013" w:name="_Measure_13.10_–"/>
      <w:bookmarkEnd w:id="1013"/>
      <w:r w:rsidRPr="007041EC">
        <w:rPr>
          <w:b/>
          <w:bCs w:val="0"/>
        </w:rPr>
        <w:lastRenderedPageBreak/>
        <w:t xml:space="preserve">Measure 13.10 – </w:t>
      </w:r>
      <w:r w:rsidR="00A4158A" w:rsidRPr="007041EC">
        <w:rPr>
          <w:b/>
          <w:bCs w:val="0"/>
        </w:rPr>
        <w:t xml:space="preserve">Five-year </w:t>
      </w:r>
      <w:r w:rsidR="00707755" w:rsidRPr="007041EC">
        <w:rPr>
          <w:b/>
          <w:bCs w:val="0"/>
        </w:rPr>
        <w:t xml:space="preserve">relative </w:t>
      </w:r>
      <w:r w:rsidR="00A4158A" w:rsidRPr="007041EC">
        <w:rPr>
          <w:b/>
          <w:bCs w:val="0"/>
        </w:rPr>
        <w:t>survival from lung cancer</w:t>
      </w:r>
      <w:r w:rsidR="00E8085C" w:rsidRPr="007041EC">
        <w:rPr>
          <w:b/>
          <w:bCs w:val="0"/>
        </w:rPr>
        <w:t xml:space="preserve"> (C33</w:t>
      </w:r>
      <w:r w:rsidR="009D0E1A" w:rsidRPr="007041EC">
        <w:rPr>
          <w:b/>
          <w:bCs w:val="0"/>
        </w:rPr>
        <w:t>–</w:t>
      </w:r>
      <w:r w:rsidR="00E8085C" w:rsidRPr="007041EC">
        <w:rPr>
          <w:b/>
          <w:bCs w:val="0"/>
        </w:rPr>
        <w:t>34)</w:t>
      </w:r>
      <w:bookmarkEnd w:id="1012"/>
    </w:p>
    <w:p w14:paraId="39975317" w14:textId="18C4B316" w:rsidR="00064A4F" w:rsidRPr="00895DD4" w:rsidRDefault="009B4DD7" w:rsidP="00064A4F">
      <w:pPr>
        <w:pStyle w:val="Figurecaption"/>
        <w:rPr>
          <w:sz w:val="20"/>
        </w:rPr>
      </w:pPr>
      <w:bookmarkStart w:id="1014" w:name="_Toc19008175"/>
      <w:bookmarkStart w:id="1015" w:name="_Toc19008373"/>
      <w:bookmarkStart w:id="1016" w:name="_Toc19008520"/>
      <w:bookmarkStart w:id="1017" w:name="_Toc19008667"/>
      <w:bookmarkStart w:id="1018" w:name="_Toc132553095"/>
      <w:bookmarkStart w:id="1019" w:name="_Toc140827708"/>
      <w:r w:rsidRPr="00895DD4">
        <w:rPr>
          <w:sz w:val="20"/>
        </w:rPr>
        <w:t>Figure 13.10</w:t>
      </w:r>
      <w:r w:rsidR="00C03D95" w:rsidRPr="00895DD4">
        <w:rPr>
          <w:sz w:val="20"/>
        </w:rPr>
        <w:t>:</w:t>
      </w:r>
      <w:r w:rsidR="004E35EF" w:rsidRPr="00895DD4">
        <w:rPr>
          <w:sz w:val="20"/>
        </w:rPr>
        <w:t xml:space="preserve"> </w:t>
      </w:r>
      <w:r w:rsidRPr="00895DD4">
        <w:rPr>
          <w:sz w:val="20"/>
        </w:rPr>
        <w:t xml:space="preserve">Five-year relative survival from </w:t>
      </w:r>
      <w:r w:rsidR="009F3CFE" w:rsidRPr="00895DD4">
        <w:rPr>
          <w:sz w:val="20"/>
        </w:rPr>
        <w:t>lung</w:t>
      </w:r>
      <w:r w:rsidRPr="00895DD4">
        <w:rPr>
          <w:sz w:val="20"/>
        </w:rPr>
        <w:t xml:space="preserve"> cancer</w:t>
      </w:r>
      <w:r w:rsidR="005136E1" w:rsidRPr="00895DD4">
        <w:rPr>
          <w:sz w:val="20"/>
        </w:rPr>
        <w:t>,</w:t>
      </w:r>
      <w:r w:rsidRPr="00895DD4">
        <w:rPr>
          <w:sz w:val="20"/>
        </w:rPr>
        <w:t xml:space="preserve"> by age (A), remoteness (B)</w:t>
      </w:r>
      <w:r w:rsidR="00DF0BD5" w:rsidRPr="00895DD4">
        <w:rPr>
          <w:sz w:val="20"/>
        </w:rPr>
        <w:t xml:space="preserve">, </w:t>
      </w:r>
      <w:r w:rsidR="00DE7FFE" w:rsidRPr="00895DD4">
        <w:rPr>
          <w:sz w:val="20"/>
        </w:rPr>
        <w:t>SES</w:t>
      </w:r>
      <w:r w:rsidR="00DF0BD5" w:rsidRPr="00895DD4">
        <w:rPr>
          <w:sz w:val="20"/>
        </w:rPr>
        <w:t xml:space="preserve"> (C)</w:t>
      </w:r>
      <w:r w:rsidRPr="00895DD4">
        <w:rPr>
          <w:sz w:val="20"/>
        </w:rPr>
        <w:t xml:space="preserve"> and </w:t>
      </w:r>
      <w:r w:rsidR="008439C8" w:rsidRPr="00895DD4">
        <w:rPr>
          <w:sz w:val="20"/>
        </w:rPr>
        <w:t>ICS</w:t>
      </w:r>
      <w:r w:rsidRPr="00895DD4">
        <w:rPr>
          <w:sz w:val="20"/>
        </w:rPr>
        <w:t xml:space="preserve"> (</w:t>
      </w:r>
      <w:r w:rsidR="00DF0BD5" w:rsidRPr="00895DD4">
        <w:rPr>
          <w:sz w:val="20"/>
        </w:rPr>
        <w:t>D</w:t>
      </w:r>
      <w:r w:rsidRPr="00895DD4">
        <w:rPr>
          <w:sz w:val="20"/>
        </w:rPr>
        <w:t>), Victoria, 2010</w:t>
      </w:r>
      <w:r w:rsidR="009D0E1A" w:rsidRPr="00895DD4">
        <w:rPr>
          <w:sz w:val="20"/>
        </w:rPr>
        <w:t>–</w:t>
      </w:r>
      <w:r w:rsidRPr="00895DD4">
        <w:rPr>
          <w:sz w:val="20"/>
        </w:rPr>
        <w:t>2014</w:t>
      </w:r>
      <w:bookmarkEnd w:id="1014"/>
      <w:bookmarkEnd w:id="1015"/>
      <w:bookmarkEnd w:id="1016"/>
      <w:bookmarkEnd w:id="1017"/>
      <w:r w:rsidR="00064A4F" w:rsidRPr="00895DD4">
        <w:rPr>
          <w:sz w:val="20"/>
        </w:rPr>
        <w:t xml:space="preserve"> and 2015–2019</w:t>
      </w:r>
      <w:bookmarkEnd w:id="1018"/>
      <w:bookmarkEnd w:id="1019"/>
    </w:p>
    <w:p w14:paraId="367F1B81" w14:textId="027BD329" w:rsidR="00067E72" w:rsidRPr="00067E72" w:rsidRDefault="00067E72" w:rsidP="00E87AAA">
      <w:pPr>
        <w:pStyle w:val="Body"/>
      </w:pPr>
      <w:r>
        <w:rPr>
          <w:noProof/>
        </w:rPr>
        <w:drawing>
          <wp:inline distT="0" distB="0" distL="0" distR="0" wp14:anchorId="6360886F" wp14:editId="6193BD43">
            <wp:extent cx="6012180" cy="5500800"/>
            <wp:effectExtent l="0" t="0" r="7620" b="5080"/>
            <wp:docPr id="405" name="Picture 405" descr="This figure shows a data summary of 'Measure 13.10 – Five-year relative survival from lung cancer'. Specially this figure focuses on the trends in five-year relative survival from lung cancer by age, remoteness, socio-economic status and Integrated Cancer Service for the study periods 2010-2014 and 2015-2019. The data set is available under 'Measure 13.10 – Five-year relative survival from lung cancer'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405" descr="This figure shows a data summary of 'Measure 13.10 – Five-year relative survival from lung cancer'. Specially this figure focuses on the trends in five-year relative survival from lung cancer by age, remoteness, socio-economic status and Integrated Cancer Service for the study periods 2010-2014 and 2015-2019. The data set is available under 'Measure 13.10 – Five-year relative survival from lung cancer' in a separate volume, the Victorian cancer plan monitoring and evaluation framework: baseline progress report: Appendix 2: Datasets available on Cancer care &lt;https://www.health.vic.gov.au/health-strategies/cancer-care&gt;."/>
                    <pic:cNvPicPr/>
                  </pic:nvPicPr>
                  <pic:blipFill>
                    <a:blip r:embed="rId159"/>
                    <a:stretch>
                      <a:fillRect/>
                    </a:stretch>
                  </pic:blipFill>
                  <pic:spPr>
                    <a:xfrm>
                      <a:off x="0" y="0"/>
                      <a:ext cx="6022317" cy="5510075"/>
                    </a:xfrm>
                    <a:prstGeom prst="rect">
                      <a:avLst/>
                    </a:prstGeom>
                  </pic:spPr>
                </pic:pic>
              </a:graphicData>
            </a:graphic>
          </wp:inline>
        </w:drawing>
      </w:r>
    </w:p>
    <w:p w14:paraId="4C1FE4D2" w14:textId="5F6D650C" w:rsidR="000C5AF3" w:rsidRPr="00895DD4" w:rsidRDefault="000C5AF3" w:rsidP="005A5151">
      <w:pPr>
        <w:pStyle w:val="Tablefigurenote"/>
        <w:rPr>
          <w:i/>
          <w:iCs/>
          <w:sz w:val="18"/>
          <w:szCs w:val="18"/>
        </w:rPr>
      </w:pPr>
      <w:r w:rsidRPr="00895DD4">
        <w:rPr>
          <w:i/>
          <w:iCs/>
          <w:sz w:val="18"/>
          <w:szCs w:val="18"/>
        </w:rPr>
        <w:t xml:space="preserve">Notes: </w:t>
      </w:r>
    </w:p>
    <w:p w14:paraId="7E9A3137" w14:textId="780BFFD8" w:rsidR="000C5AF3" w:rsidRPr="00895DD4" w:rsidRDefault="000C5AF3" w:rsidP="005A5151">
      <w:pPr>
        <w:pStyle w:val="Tablefigurenote"/>
        <w:rPr>
          <w:i/>
          <w:iCs/>
          <w:sz w:val="18"/>
          <w:szCs w:val="18"/>
        </w:rPr>
      </w:pPr>
      <w:r w:rsidRPr="00895DD4">
        <w:rPr>
          <w:i/>
          <w:iCs/>
          <w:sz w:val="18"/>
          <w:szCs w:val="18"/>
        </w:rPr>
        <w:t>Error bars indicate 95</w:t>
      </w:r>
      <w:r w:rsidR="0054537F">
        <w:rPr>
          <w:i/>
          <w:iCs/>
          <w:sz w:val="18"/>
          <w:szCs w:val="18"/>
        </w:rPr>
        <w:t>%</w:t>
      </w:r>
      <w:r w:rsidRPr="00895DD4">
        <w:rPr>
          <w:i/>
          <w:iCs/>
          <w:sz w:val="18"/>
          <w:szCs w:val="18"/>
        </w:rPr>
        <w:t xml:space="preserve"> confidence intervals.</w:t>
      </w:r>
    </w:p>
    <w:p w14:paraId="7C5EFE84" w14:textId="77777777" w:rsidR="000C5AF3" w:rsidRPr="00895DD4" w:rsidRDefault="000C5AF3" w:rsidP="005A5151">
      <w:pPr>
        <w:pStyle w:val="Tablefigurenote"/>
        <w:rPr>
          <w:i/>
          <w:iCs/>
          <w:sz w:val="18"/>
          <w:szCs w:val="18"/>
        </w:rPr>
      </w:pPr>
      <w:r w:rsidRPr="00895DD4">
        <w:rPr>
          <w:i/>
          <w:iCs/>
          <w:sz w:val="18"/>
          <w:szCs w:val="18"/>
        </w:rPr>
        <w:t>Analysis for the age groups 0–14 years and 15–24 years were excluded because there were no deaths recorded.</w:t>
      </w:r>
    </w:p>
    <w:p w14:paraId="635711C0" w14:textId="4EF40CF2" w:rsidR="000C5AF3" w:rsidRPr="00895DD4" w:rsidRDefault="000C5AF3" w:rsidP="005A5151">
      <w:pPr>
        <w:pStyle w:val="Tablefigurenote"/>
        <w:rPr>
          <w:i/>
          <w:iCs/>
          <w:sz w:val="18"/>
          <w:szCs w:val="18"/>
        </w:rPr>
      </w:pPr>
      <w:r w:rsidRPr="00895DD4">
        <w:rPr>
          <w:i/>
          <w:iCs/>
          <w:sz w:val="18"/>
          <w:szCs w:val="18"/>
        </w:rPr>
        <w:t>Remoteness is classified according to the ASGC Remoteness Areas.</w:t>
      </w:r>
    </w:p>
    <w:p w14:paraId="50FD333D" w14:textId="2293EEF9" w:rsidR="000C5AF3" w:rsidRPr="00895DD4" w:rsidRDefault="000C5AF3" w:rsidP="005A5151">
      <w:pPr>
        <w:pStyle w:val="Tablefigurenote"/>
        <w:rPr>
          <w:i/>
          <w:iCs/>
          <w:sz w:val="18"/>
          <w:szCs w:val="18"/>
        </w:rPr>
      </w:pPr>
      <w:r w:rsidRPr="00895DD4">
        <w:rPr>
          <w:i/>
          <w:iCs/>
          <w:sz w:val="18"/>
          <w:szCs w:val="18"/>
        </w:rPr>
        <w:t>SES is classified according to the SEIFA Index of Relative Socio-economic Disadvantage – 1= lowest and 5 = highest.</w:t>
      </w:r>
    </w:p>
    <w:p w14:paraId="3EC8CF25" w14:textId="21ECD416" w:rsidR="009F3526" w:rsidRPr="00B416BE" w:rsidRDefault="006F4568" w:rsidP="00B416BE">
      <w:pPr>
        <w:pStyle w:val="Tablefigurenote"/>
      </w:pPr>
      <w:r w:rsidRPr="00895DD4">
        <w:rPr>
          <w:i/>
          <w:iCs/>
          <w:sz w:val="18"/>
          <w:szCs w:val="18"/>
        </w:rPr>
        <w:t>Appendix 2 provides the dataset.</w:t>
      </w:r>
      <w:r w:rsidR="009F3526">
        <w:br w:type="page"/>
      </w:r>
    </w:p>
    <w:p w14:paraId="65EEE58A" w14:textId="16D9DB90" w:rsidR="00CD628B" w:rsidRPr="00671C7A" w:rsidRDefault="00CD628B" w:rsidP="007C7F00">
      <w:pPr>
        <w:pStyle w:val="Heading4"/>
      </w:pPr>
      <w:r w:rsidRPr="000B7B9D">
        <w:lastRenderedPageBreak/>
        <w:t>Measure assessment</w:t>
      </w:r>
    </w:p>
    <w:p w14:paraId="7EF46107" w14:textId="2FF70256" w:rsidR="00026CF2" w:rsidRPr="004E35EF" w:rsidRDefault="00CD628B" w:rsidP="00606436">
      <w:pPr>
        <w:pStyle w:val="Body"/>
        <w:rPr>
          <w:color w:val="00B050"/>
        </w:rPr>
      </w:pPr>
      <w:r w:rsidRPr="004E35EF">
        <w:t xml:space="preserve">Traffic light rating: </w:t>
      </w:r>
      <w:r w:rsidR="004E35EF" w:rsidRPr="00D207B2">
        <w:rPr>
          <w:b/>
          <w:color w:val="007B4B"/>
        </w:rPr>
        <w:t>Green</w:t>
      </w:r>
      <w:r w:rsidR="004E35EF" w:rsidRPr="004E35EF">
        <w:t xml:space="preserve"> (satisfactory result)</w:t>
      </w:r>
    </w:p>
    <w:p w14:paraId="382BBF28" w14:textId="43038193" w:rsidR="00CD628B" w:rsidRPr="004E35EF" w:rsidRDefault="00CD628B" w:rsidP="00606436">
      <w:pPr>
        <w:pStyle w:val="Body"/>
      </w:pPr>
      <w:r w:rsidRPr="004E35EF">
        <w:t xml:space="preserve">Overall trend: </w:t>
      </w:r>
      <w:r w:rsidR="004E35EF" w:rsidRPr="004E35EF">
        <w:t>Moving in the right direction</w:t>
      </w:r>
    </w:p>
    <w:p w14:paraId="6CA95DF3" w14:textId="1AB8CB3F" w:rsidR="000308D7" w:rsidRPr="00186E8F" w:rsidRDefault="00CD628B" w:rsidP="00E87AAA">
      <w:pPr>
        <w:pStyle w:val="Body"/>
        <w:rPr>
          <w:highlight w:val="yellow"/>
          <w:lang w:val="en"/>
        </w:rPr>
      </w:pPr>
      <w:r w:rsidRPr="00C575E1">
        <w:rPr>
          <w:lang w:eastAsia="en-AU"/>
        </w:rPr>
        <w:t>Commentary:</w:t>
      </w:r>
      <w:r w:rsidR="00F91A34" w:rsidRPr="00C575E1">
        <w:rPr>
          <w:lang w:eastAsia="en-AU"/>
        </w:rPr>
        <w:t xml:space="preserve"> </w:t>
      </w:r>
      <w:r w:rsidR="004E35EF" w:rsidRPr="00C575E1">
        <w:rPr>
          <w:lang w:eastAsia="en-AU"/>
        </w:rPr>
        <w:t>I</w:t>
      </w:r>
      <w:r w:rsidR="00F91A34" w:rsidRPr="00C575E1">
        <w:rPr>
          <w:lang w:val="en"/>
        </w:rPr>
        <w:t xml:space="preserve">n 2010–2014, </w:t>
      </w:r>
      <w:r w:rsidR="00D5591C" w:rsidRPr="00C575E1">
        <w:rPr>
          <w:lang w:val="en"/>
        </w:rPr>
        <w:t>Australian</w:t>
      </w:r>
      <w:r w:rsidR="0018304E" w:rsidRPr="00C575E1">
        <w:rPr>
          <w:lang w:val="en"/>
        </w:rPr>
        <w:t>s</w:t>
      </w:r>
      <w:r w:rsidR="00D5591C" w:rsidRPr="00C575E1">
        <w:rPr>
          <w:lang w:val="en"/>
        </w:rPr>
        <w:t xml:space="preserve"> </w:t>
      </w:r>
      <w:r w:rsidR="00F91A34" w:rsidRPr="00C575E1">
        <w:rPr>
          <w:lang w:val="en"/>
        </w:rPr>
        <w:t>diagnosed with lung cancer had a 17</w:t>
      </w:r>
      <w:r w:rsidR="0054537F">
        <w:rPr>
          <w:lang w:val="en"/>
        </w:rPr>
        <w:t>%</w:t>
      </w:r>
      <w:r w:rsidR="00F91A34" w:rsidRPr="00C575E1">
        <w:rPr>
          <w:lang w:val="en"/>
        </w:rPr>
        <w:t xml:space="preserve"> chance (15</w:t>
      </w:r>
      <w:r w:rsidR="0054537F">
        <w:rPr>
          <w:lang w:val="en"/>
        </w:rPr>
        <w:t>%</w:t>
      </w:r>
      <w:r w:rsidR="00F91A34" w:rsidRPr="00C575E1">
        <w:rPr>
          <w:lang w:val="en"/>
        </w:rPr>
        <w:t xml:space="preserve"> for males and 20</w:t>
      </w:r>
      <w:r w:rsidR="0054537F">
        <w:rPr>
          <w:lang w:val="en"/>
        </w:rPr>
        <w:t>%</w:t>
      </w:r>
      <w:r w:rsidR="00F91A34" w:rsidRPr="00C575E1">
        <w:rPr>
          <w:lang w:val="en"/>
        </w:rPr>
        <w:t xml:space="preserve"> for females) of surviving for </w:t>
      </w:r>
      <w:r w:rsidR="009D0E1A" w:rsidRPr="00C575E1">
        <w:rPr>
          <w:lang w:val="en"/>
        </w:rPr>
        <w:t>five</w:t>
      </w:r>
      <w:r w:rsidR="00F91A34" w:rsidRPr="00C575E1">
        <w:rPr>
          <w:lang w:val="en"/>
        </w:rPr>
        <w:t xml:space="preserve"> years compared </w:t>
      </w:r>
      <w:r w:rsidR="009D0E1A" w:rsidRPr="00C575E1">
        <w:rPr>
          <w:lang w:val="en"/>
        </w:rPr>
        <w:t>with</w:t>
      </w:r>
      <w:r w:rsidR="00F91A34" w:rsidRPr="00C575E1">
        <w:rPr>
          <w:lang w:val="en"/>
        </w:rPr>
        <w:t xml:space="preserve"> their counterparts in the general Australian population</w:t>
      </w:r>
      <w:r w:rsidR="00F2223E" w:rsidRPr="00C575E1">
        <w:rPr>
          <w:lang w:val="en"/>
        </w:rPr>
        <w:t>.</w:t>
      </w:r>
      <w:r w:rsidR="002878D0" w:rsidRPr="00C575E1">
        <w:rPr>
          <w:rStyle w:val="FootnoteReference"/>
          <w:rFonts w:cs="Arial"/>
          <w:color w:val="000000"/>
          <w:lang w:val="en"/>
        </w:rPr>
        <w:footnoteReference w:id="201"/>
      </w:r>
      <w:r w:rsidR="00B41C9E" w:rsidRPr="00C575E1">
        <w:rPr>
          <w:lang w:val="en"/>
        </w:rPr>
        <w:t xml:space="preserve"> This pattern was similar</w:t>
      </w:r>
      <w:r w:rsidR="003015DF" w:rsidRPr="00C575E1">
        <w:rPr>
          <w:lang w:val="en"/>
        </w:rPr>
        <w:t xml:space="preserve"> </w:t>
      </w:r>
      <w:r w:rsidR="00B41C9E" w:rsidRPr="00C575E1">
        <w:rPr>
          <w:lang w:val="en"/>
        </w:rPr>
        <w:t>i</w:t>
      </w:r>
      <w:r w:rsidR="003015DF" w:rsidRPr="00C575E1">
        <w:rPr>
          <w:lang w:val="en"/>
        </w:rPr>
        <w:t>n Victoria</w:t>
      </w:r>
      <w:r w:rsidR="00B41C9E" w:rsidRPr="00C575E1">
        <w:rPr>
          <w:lang w:val="en"/>
        </w:rPr>
        <w:t xml:space="preserve"> where</w:t>
      </w:r>
      <w:r w:rsidR="003015DF" w:rsidRPr="00C575E1">
        <w:rPr>
          <w:lang w:val="en"/>
        </w:rPr>
        <w:t xml:space="preserve"> </w:t>
      </w:r>
      <w:r w:rsidR="0018304E" w:rsidRPr="00C575E1">
        <w:rPr>
          <w:lang w:val="en"/>
        </w:rPr>
        <w:t xml:space="preserve">people </w:t>
      </w:r>
      <w:r w:rsidR="00E8085C" w:rsidRPr="00C575E1">
        <w:rPr>
          <w:lang w:val="en"/>
        </w:rPr>
        <w:t>diagnosed with lung cancer during the same period had a 1</w:t>
      </w:r>
      <w:r w:rsidR="000B7B9D">
        <w:rPr>
          <w:lang w:val="en"/>
        </w:rPr>
        <w:t>9</w:t>
      </w:r>
      <w:r w:rsidR="00E8085C" w:rsidRPr="00C575E1">
        <w:rPr>
          <w:lang w:val="en"/>
        </w:rPr>
        <w:t>.</w:t>
      </w:r>
      <w:r w:rsidR="000B7B9D">
        <w:rPr>
          <w:lang w:val="en"/>
        </w:rPr>
        <w:t>1</w:t>
      </w:r>
      <w:r w:rsidR="0054537F">
        <w:rPr>
          <w:lang w:val="en"/>
        </w:rPr>
        <w:t>%</w:t>
      </w:r>
      <w:r w:rsidR="00E8085C" w:rsidRPr="00C575E1">
        <w:rPr>
          <w:lang w:val="en"/>
        </w:rPr>
        <w:t xml:space="preserve"> chance (1</w:t>
      </w:r>
      <w:r w:rsidR="00C575E1" w:rsidRPr="00C575E1">
        <w:rPr>
          <w:lang w:val="en"/>
        </w:rPr>
        <w:t>7.</w:t>
      </w:r>
      <w:r w:rsidR="000B7B9D">
        <w:rPr>
          <w:lang w:val="en"/>
        </w:rPr>
        <w:t>5</w:t>
      </w:r>
      <w:r w:rsidR="0054537F">
        <w:rPr>
          <w:lang w:val="en"/>
        </w:rPr>
        <w:t>%</w:t>
      </w:r>
      <w:r w:rsidR="00E8085C" w:rsidRPr="00C575E1">
        <w:rPr>
          <w:lang w:val="en"/>
        </w:rPr>
        <w:t xml:space="preserve"> for males and </w:t>
      </w:r>
      <w:r w:rsidR="00C575E1" w:rsidRPr="00C575E1">
        <w:rPr>
          <w:lang w:val="en"/>
        </w:rPr>
        <w:t>2</w:t>
      </w:r>
      <w:r w:rsidR="000B7B9D">
        <w:rPr>
          <w:lang w:val="en"/>
        </w:rPr>
        <w:t>1</w:t>
      </w:r>
      <w:r w:rsidR="00E8085C" w:rsidRPr="00C575E1">
        <w:rPr>
          <w:lang w:val="en"/>
        </w:rPr>
        <w:t>.</w:t>
      </w:r>
      <w:r w:rsidR="000B7B9D">
        <w:rPr>
          <w:lang w:val="en"/>
        </w:rPr>
        <w:t>3</w:t>
      </w:r>
      <w:r w:rsidR="0054537F">
        <w:rPr>
          <w:lang w:val="en"/>
        </w:rPr>
        <w:t>%</w:t>
      </w:r>
      <w:r w:rsidR="00E8085C" w:rsidRPr="00C575E1">
        <w:rPr>
          <w:lang w:val="en"/>
        </w:rPr>
        <w:t xml:space="preserve"> for females)</w:t>
      </w:r>
      <w:r w:rsidR="0075704A" w:rsidRPr="00C575E1">
        <w:rPr>
          <w:lang w:val="en"/>
        </w:rPr>
        <w:t xml:space="preserve"> of surviving for </w:t>
      </w:r>
      <w:r w:rsidR="009D0E1A" w:rsidRPr="00C575E1">
        <w:rPr>
          <w:lang w:val="en"/>
        </w:rPr>
        <w:t>five</w:t>
      </w:r>
      <w:r w:rsidR="0075704A" w:rsidRPr="00C575E1">
        <w:rPr>
          <w:lang w:val="en"/>
        </w:rPr>
        <w:t xml:space="preserve"> years compared </w:t>
      </w:r>
      <w:r w:rsidR="001B50BF" w:rsidRPr="00C575E1">
        <w:rPr>
          <w:lang w:val="en"/>
        </w:rPr>
        <w:t xml:space="preserve">with </w:t>
      </w:r>
      <w:r w:rsidR="0075704A" w:rsidRPr="00C575E1">
        <w:rPr>
          <w:lang w:val="en"/>
        </w:rPr>
        <w:t>their counterparts in the general Victorian population.</w:t>
      </w:r>
      <w:r w:rsidR="00C575E1">
        <w:rPr>
          <w:lang w:val="en"/>
        </w:rPr>
        <w:t xml:space="preserve"> However, the five-year survival for Victorians diagnosed with lung cancer increased for the period </w:t>
      </w:r>
      <w:r w:rsidR="00C575E1" w:rsidRPr="00C575E1">
        <w:rPr>
          <w:lang w:val="en"/>
        </w:rPr>
        <w:t>201</w:t>
      </w:r>
      <w:r w:rsidR="00C575E1">
        <w:rPr>
          <w:lang w:val="en"/>
        </w:rPr>
        <w:t>5</w:t>
      </w:r>
      <w:r w:rsidR="00C575E1" w:rsidRPr="00C575E1">
        <w:rPr>
          <w:lang w:val="en"/>
        </w:rPr>
        <w:t>–201</w:t>
      </w:r>
      <w:r w:rsidR="00C575E1">
        <w:rPr>
          <w:lang w:val="en"/>
        </w:rPr>
        <w:t>9 to 25.2</w:t>
      </w:r>
      <w:r w:rsidR="0054537F">
        <w:rPr>
          <w:lang w:val="en"/>
        </w:rPr>
        <w:t>%</w:t>
      </w:r>
      <w:r w:rsidR="00C575E1">
        <w:rPr>
          <w:lang w:val="en"/>
        </w:rPr>
        <w:t xml:space="preserve"> (21</w:t>
      </w:r>
      <w:r w:rsidR="00C575E1" w:rsidRPr="00C575E1">
        <w:rPr>
          <w:lang w:val="en"/>
        </w:rPr>
        <w:t>.</w:t>
      </w:r>
      <w:r w:rsidR="000B7B9D">
        <w:rPr>
          <w:lang w:val="en"/>
        </w:rPr>
        <w:t>7</w:t>
      </w:r>
      <w:r w:rsidR="0054537F">
        <w:rPr>
          <w:lang w:val="en"/>
        </w:rPr>
        <w:t>%</w:t>
      </w:r>
      <w:r w:rsidR="00C575E1" w:rsidRPr="00C575E1">
        <w:rPr>
          <w:lang w:val="en"/>
        </w:rPr>
        <w:t xml:space="preserve"> for males and 2</w:t>
      </w:r>
      <w:r w:rsidR="00C575E1">
        <w:rPr>
          <w:lang w:val="en"/>
        </w:rPr>
        <w:t>9</w:t>
      </w:r>
      <w:r w:rsidR="00C575E1" w:rsidRPr="00C575E1">
        <w:rPr>
          <w:lang w:val="en"/>
        </w:rPr>
        <w:t>.</w:t>
      </w:r>
      <w:r w:rsidR="000B7B9D">
        <w:rPr>
          <w:lang w:val="en"/>
        </w:rPr>
        <w:t>7</w:t>
      </w:r>
      <w:r w:rsidR="0054537F">
        <w:rPr>
          <w:lang w:val="en"/>
        </w:rPr>
        <w:t>%</w:t>
      </w:r>
      <w:r w:rsidR="00C575E1" w:rsidRPr="00C575E1">
        <w:rPr>
          <w:lang w:val="en"/>
        </w:rPr>
        <w:t xml:space="preserve"> for females</w:t>
      </w:r>
      <w:r w:rsidR="005F664A">
        <w:rPr>
          <w:lang w:val="en"/>
        </w:rPr>
        <w:t>;</w:t>
      </w:r>
      <w:r w:rsidR="00C575E1">
        <w:rPr>
          <w:lang w:val="en"/>
        </w:rPr>
        <w:t xml:space="preserve"> refer to Tables 13.10a and b, Appendix 2).</w:t>
      </w:r>
    </w:p>
    <w:p w14:paraId="39CFDC39" w14:textId="5A0E5AC6" w:rsidR="00B167F1" w:rsidRPr="00186E8F" w:rsidRDefault="000308D7" w:rsidP="00E87AAA">
      <w:pPr>
        <w:pStyle w:val="Body"/>
        <w:rPr>
          <w:highlight w:val="yellow"/>
        </w:rPr>
      </w:pPr>
      <w:r w:rsidRPr="00C90AD3">
        <w:t>Five-year survival was significantly higher for those aged 25</w:t>
      </w:r>
      <w:r w:rsidR="001B50BF" w:rsidRPr="00C90AD3">
        <w:t>–</w:t>
      </w:r>
      <w:r w:rsidRPr="00C90AD3">
        <w:t xml:space="preserve">34 </w:t>
      </w:r>
      <w:r w:rsidR="00C90AD3" w:rsidRPr="00C90AD3">
        <w:rPr>
          <w:rFonts w:cs="Arial"/>
        </w:rPr>
        <w:t>(7</w:t>
      </w:r>
      <w:r w:rsidR="000B7B9D">
        <w:rPr>
          <w:rFonts w:cs="Arial"/>
        </w:rPr>
        <w:t>0.5</w:t>
      </w:r>
      <w:r w:rsidR="0054537F">
        <w:rPr>
          <w:rFonts w:cs="Arial"/>
        </w:rPr>
        <w:t>%</w:t>
      </w:r>
      <w:r w:rsidR="00C90AD3" w:rsidRPr="00C90AD3">
        <w:rPr>
          <w:rFonts w:cs="Arial"/>
        </w:rPr>
        <w:t>, 2010–2014; 68.7</w:t>
      </w:r>
      <w:r w:rsidR="0054537F">
        <w:rPr>
          <w:rFonts w:cs="Arial"/>
        </w:rPr>
        <w:t>%</w:t>
      </w:r>
      <w:r w:rsidR="00C90AD3" w:rsidRPr="00C90AD3">
        <w:rPr>
          <w:rFonts w:cs="Arial"/>
        </w:rPr>
        <w:t xml:space="preserve">, 2015–2019) </w:t>
      </w:r>
      <w:r w:rsidRPr="00C90AD3">
        <w:t xml:space="preserve">compared with all older age </w:t>
      </w:r>
      <w:r w:rsidRPr="009F3526">
        <w:t xml:space="preserve">groups. Survival </w:t>
      </w:r>
      <w:r w:rsidR="00C90AD3" w:rsidRPr="009F3526">
        <w:t>decreased markedly</w:t>
      </w:r>
      <w:r w:rsidRPr="009F3526">
        <w:t xml:space="preserve"> with age, d</w:t>
      </w:r>
      <w:r w:rsidR="000B7B9D">
        <w:t>eclining</w:t>
      </w:r>
      <w:r w:rsidRPr="009F3526">
        <w:t xml:space="preserve"> from </w:t>
      </w:r>
      <w:r w:rsidR="00C90AD3" w:rsidRPr="009F3526">
        <w:rPr>
          <w:rFonts w:cs="Arial"/>
        </w:rPr>
        <w:t>14.9</w:t>
      </w:r>
      <w:r w:rsidR="0054537F">
        <w:rPr>
          <w:rFonts w:cs="Arial"/>
        </w:rPr>
        <w:t>%</w:t>
      </w:r>
      <w:r w:rsidR="004E1DF4">
        <w:rPr>
          <w:rFonts w:cs="Arial"/>
        </w:rPr>
        <w:t xml:space="preserve"> in</w:t>
      </w:r>
      <w:r w:rsidR="00C90AD3" w:rsidRPr="009F3526">
        <w:rPr>
          <w:rFonts w:cs="Arial"/>
        </w:rPr>
        <w:t xml:space="preserve"> 2010–2014</w:t>
      </w:r>
      <w:r w:rsidR="004E1DF4">
        <w:rPr>
          <w:rFonts w:cs="Arial"/>
        </w:rPr>
        <w:t xml:space="preserve"> and</w:t>
      </w:r>
      <w:r w:rsidR="00C90AD3" w:rsidRPr="009F3526">
        <w:rPr>
          <w:rFonts w:cs="Arial"/>
        </w:rPr>
        <w:t xml:space="preserve"> </w:t>
      </w:r>
      <w:r w:rsidR="009F3526" w:rsidRPr="009F3526">
        <w:rPr>
          <w:rFonts w:cs="Arial"/>
        </w:rPr>
        <w:t>21</w:t>
      </w:r>
      <w:r w:rsidR="00C90AD3" w:rsidRPr="009F3526">
        <w:rPr>
          <w:rFonts w:cs="Arial"/>
        </w:rPr>
        <w:t>.</w:t>
      </w:r>
      <w:r w:rsidR="009F3526" w:rsidRPr="009F3526">
        <w:rPr>
          <w:rFonts w:cs="Arial"/>
        </w:rPr>
        <w:t>3</w:t>
      </w:r>
      <w:r w:rsidR="0054537F">
        <w:rPr>
          <w:rFonts w:cs="Arial"/>
        </w:rPr>
        <w:t>%</w:t>
      </w:r>
      <w:r w:rsidR="004E1DF4">
        <w:rPr>
          <w:rFonts w:cs="Arial"/>
        </w:rPr>
        <w:t xml:space="preserve"> in</w:t>
      </w:r>
      <w:r w:rsidR="00C90AD3" w:rsidRPr="009F3526">
        <w:rPr>
          <w:rFonts w:cs="Arial"/>
        </w:rPr>
        <w:t xml:space="preserve"> 2015–2019</w:t>
      </w:r>
      <w:r w:rsidR="009F3526" w:rsidRPr="009F3526">
        <w:t xml:space="preserve"> </w:t>
      </w:r>
      <w:r w:rsidRPr="009F3526">
        <w:t xml:space="preserve">for those in the </w:t>
      </w:r>
      <w:r w:rsidR="000B7B9D">
        <w:t>75</w:t>
      </w:r>
      <w:r w:rsidR="001B50BF" w:rsidRPr="009F3526">
        <w:t>–</w:t>
      </w:r>
      <w:r w:rsidR="000B7B9D">
        <w:t>8</w:t>
      </w:r>
      <w:r w:rsidRPr="009F3526">
        <w:t xml:space="preserve">4 age group to </w:t>
      </w:r>
      <w:r w:rsidR="009F3526" w:rsidRPr="009F3526">
        <w:rPr>
          <w:rFonts w:cs="Arial"/>
        </w:rPr>
        <w:t>6.</w:t>
      </w:r>
      <w:r w:rsidR="000B7B9D">
        <w:rPr>
          <w:rFonts w:cs="Arial"/>
        </w:rPr>
        <w:t>2</w:t>
      </w:r>
      <w:r w:rsidR="0054537F">
        <w:rPr>
          <w:rFonts w:cs="Arial"/>
        </w:rPr>
        <w:t>%</w:t>
      </w:r>
      <w:r w:rsidR="004E1DF4">
        <w:rPr>
          <w:rFonts w:cs="Arial"/>
        </w:rPr>
        <w:t xml:space="preserve"> in</w:t>
      </w:r>
      <w:r w:rsidR="009F3526" w:rsidRPr="009F3526">
        <w:rPr>
          <w:rFonts w:cs="Arial"/>
        </w:rPr>
        <w:t xml:space="preserve"> 2010–2014</w:t>
      </w:r>
      <w:r w:rsidR="004E1DF4">
        <w:rPr>
          <w:rFonts w:cs="Arial"/>
        </w:rPr>
        <w:t xml:space="preserve"> and</w:t>
      </w:r>
      <w:r w:rsidR="009F3526" w:rsidRPr="009F3526">
        <w:rPr>
          <w:rFonts w:cs="Arial"/>
        </w:rPr>
        <w:t xml:space="preserve"> 10</w:t>
      </w:r>
      <w:r w:rsidR="000B7B9D">
        <w:rPr>
          <w:rFonts w:cs="Arial"/>
        </w:rPr>
        <w:t>.2</w:t>
      </w:r>
      <w:r w:rsidR="0054537F">
        <w:rPr>
          <w:rFonts w:cs="Arial"/>
        </w:rPr>
        <w:t>%</w:t>
      </w:r>
      <w:r w:rsidR="004E1DF4">
        <w:rPr>
          <w:rFonts w:cs="Arial"/>
        </w:rPr>
        <w:t xml:space="preserve"> in</w:t>
      </w:r>
      <w:r w:rsidR="009F3526" w:rsidRPr="009F3526">
        <w:rPr>
          <w:rFonts w:cs="Arial"/>
        </w:rPr>
        <w:t xml:space="preserve"> 2015–2019</w:t>
      </w:r>
      <w:r w:rsidR="009F3526" w:rsidRPr="009F3526">
        <w:t xml:space="preserve"> </w:t>
      </w:r>
      <w:r w:rsidR="0088716F" w:rsidRPr="009F3526">
        <w:t xml:space="preserve">for those aged 85 </w:t>
      </w:r>
      <w:r w:rsidR="001B50BF" w:rsidRPr="009F3526">
        <w:t>or older</w:t>
      </w:r>
      <w:r w:rsidR="0088716F" w:rsidRPr="009F3526">
        <w:t xml:space="preserve"> (Figure 13.10</w:t>
      </w:r>
      <w:r w:rsidR="00952E73">
        <w:t xml:space="preserve"> </w:t>
      </w:r>
      <w:r w:rsidR="009F3526">
        <w:t>(A)</w:t>
      </w:r>
      <w:r w:rsidR="0088716F" w:rsidRPr="009F3526">
        <w:t>)</w:t>
      </w:r>
      <w:r w:rsidR="00F32968" w:rsidRPr="009F3526">
        <w:t>.</w:t>
      </w:r>
    </w:p>
    <w:p w14:paraId="4FD73728" w14:textId="4DE08169" w:rsidR="0088716F" w:rsidRPr="00147BF5" w:rsidRDefault="00B167F1" w:rsidP="007041EC">
      <w:pPr>
        <w:pStyle w:val="Body"/>
      </w:pPr>
      <w:r w:rsidRPr="009F3526">
        <w:t xml:space="preserve">Survival varied by remoteness and </w:t>
      </w:r>
      <w:r w:rsidR="00DE7FFE" w:rsidRPr="00E87AAA">
        <w:rPr>
          <w:rStyle w:val="BodyChar"/>
        </w:rPr>
        <w:t>SES</w:t>
      </w:r>
      <w:r w:rsidRPr="009F3526">
        <w:t xml:space="preserve">. Five-year survival was higher in </w:t>
      </w:r>
      <w:r w:rsidR="00BE62B2" w:rsidRPr="009F3526">
        <w:t>m</w:t>
      </w:r>
      <w:r w:rsidRPr="009F3526">
        <w:t>ajor cities</w:t>
      </w:r>
      <w:r w:rsidRPr="009F3526">
        <w:rPr>
          <w:i/>
        </w:rPr>
        <w:t xml:space="preserve"> </w:t>
      </w:r>
      <w:r w:rsidR="009F3526" w:rsidRPr="009F3526">
        <w:rPr>
          <w:iCs/>
        </w:rPr>
        <w:t>(</w:t>
      </w:r>
      <w:r w:rsidR="000B7B9D">
        <w:rPr>
          <w:rFonts w:cs="Arial"/>
        </w:rPr>
        <w:t>20.3</w:t>
      </w:r>
      <w:r w:rsidR="0054537F">
        <w:rPr>
          <w:rFonts w:cs="Arial"/>
        </w:rPr>
        <w:t>%</w:t>
      </w:r>
      <w:r w:rsidR="009F3526" w:rsidRPr="009F3526">
        <w:rPr>
          <w:rFonts w:cs="Arial"/>
        </w:rPr>
        <w:t>, 2010–2014; 26.5</w:t>
      </w:r>
      <w:r w:rsidR="0054537F">
        <w:rPr>
          <w:rFonts w:cs="Arial"/>
        </w:rPr>
        <w:t>%</w:t>
      </w:r>
      <w:r w:rsidR="009F3526" w:rsidRPr="00147BF5">
        <w:rPr>
          <w:rFonts w:cs="Arial"/>
        </w:rPr>
        <w:t xml:space="preserve">, 2015–2019) compared </w:t>
      </w:r>
      <w:r w:rsidR="002C060B" w:rsidRPr="002C060B">
        <w:rPr>
          <w:rFonts w:cs="Arial"/>
        </w:rPr>
        <w:t xml:space="preserve">with </w:t>
      </w:r>
      <w:r w:rsidR="0018304E" w:rsidRPr="00147BF5">
        <w:t>i</w:t>
      </w:r>
      <w:r w:rsidR="009147C5" w:rsidRPr="00147BF5">
        <w:t>nner</w:t>
      </w:r>
      <w:r w:rsidRPr="00147BF5">
        <w:t xml:space="preserve"> regional </w:t>
      </w:r>
      <w:r w:rsidR="009F3526" w:rsidRPr="00147BF5">
        <w:t>(</w:t>
      </w:r>
      <w:r w:rsidR="009F3526" w:rsidRPr="00147BF5">
        <w:rPr>
          <w:rFonts w:cs="Arial"/>
        </w:rPr>
        <w:t>17.</w:t>
      </w:r>
      <w:r w:rsidR="000B7B9D">
        <w:rPr>
          <w:rFonts w:cs="Arial"/>
        </w:rPr>
        <w:t>8</w:t>
      </w:r>
      <w:r w:rsidR="0054537F">
        <w:rPr>
          <w:rFonts w:cs="Arial"/>
        </w:rPr>
        <w:t>%</w:t>
      </w:r>
      <w:r w:rsidR="009F3526" w:rsidRPr="00147BF5">
        <w:rPr>
          <w:rFonts w:cs="Arial"/>
        </w:rPr>
        <w:t>, 2010–2014; 23.</w:t>
      </w:r>
      <w:r w:rsidR="000B7B9D">
        <w:rPr>
          <w:rFonts w:cs="Arial"/>
        </w:rPr>
        <w:t>2</w:t>
      </w:r>
      <w:r w:rsidR="0054537F">
        <w:rPr>
          <w:rFonts w:cs="Arial"/>
        </w:rPr>
        <w:t>%</w:t>
      </w:r>
      <w:r w:rsidR="009F3526" w:rsidRPr="00147BF5">
        <w:rPr>
          <w:rFonts w:cs="Arial"/>
        </w:rPr>
        <w:t xml:space="preserve">, 2015–2019) </w:t>
      </w:r>
      <w:r w:rsidRPr="00147BF5">
        <w:t xml:space="preserve">and </w:t>
      </w:r>
      <w:r w:rsidR="0018304E" w:rsidRPr="00147BF5">
        <w:t>o</w:t>
      </w:r>
      <w:r w:rsidRPr="00147BF5">
        <w:t>uter regional</w:t>
      </w:r>
      <w:r w:rsidR="009147C5" w:rsidRPr="00147BF5">
        <w:t>/remote</w:t>
      </w:r>
      <w:r w:rsidRPr="00147BF5">
        <w:rPr>
          <w:i/>
        </w:rPr>
        <w:t xml:space="preserve"> </w:t>
      </w:r>
      <w:r w:rsidRPr="00147BF5">
        <w:t xml:space="preserve">areas </w:t>
      </w:r>
      <w:r w:rsidR="009F3526" w:rsidRPr="00147BF5">
        <w:t>(</w:t>
      </w:r>
      <w:r w:rsidR="009F3526" w:rsidRPr="00147BF5">
        <w:rPr>
          <w:rFonts w:cs="Arial"/>
        </w:rPr>
        <w:t>1</w:t>
      </w:r>
      <w:r w:rsidR="000B7B9D">
        <w:rPr>
          <w:rFonts w:cs="Arial"/>
        </w:rPr>
        <w:t>6.6</w:t>
      </w:r>
      <w:r w:rsidR="0054537F">
        <w:rPr>
          <w:rFonts w:cs="Arial"/>
        </w:rPr>
        <w:t>%</w:t>
      </w:r>
      <w:r w:rsidR="009F3526" w:rsidRPr="00147BF5">
        <w:rPr>
          <w:rFonts w:cs="Arial"/>
        </w:rPr>
        <w:t>, 2010–2014; 18.</w:t>
      </w:r>
      <w:r w:rsidR="000B7B9D">
        <w:rPr>
          <w:rFonts w:cs="Arial"/>
        </w:rPr>
        <w:t>7</w:t>
      </w:r>
      <w:r w:rsidR="0054537F">
        <w:rPr>
          <w:rFonts w:cs="Arial"/>
        </w:rPr>
        <w:t>%</w:t>
      </w:r>
      <w:r w:rsidR="009F3526" w:rsidRPr="00147BF5">
        <w:rPr>
          <w:rFonts w:cs="Arial"/>
        </w:rPr>
        <w:t>, 2015–2019) (Figure 13.10</w:t>
      </w:r>
      <w:r w:rsidR="00952E73">
        <w:rPr>
          <w:rFonts w:cs="Arial"/>
        </w:rPr>
        <w:t xml:space="preserve"> </w:t>
      </w:r>
      <w:r w:rsidR="009F3526" w:rsidRPr="00147BF5">
        <w:rPr>
          <w:rFonts w:cs="Arial"/>
        </w:rPr>
        <w:t>(B))</w:t>
      </w:r>
      <w:r w:rsidRPr="00147BF5">
        <w:t xml:space="preserve">. </w:t>
      </w:r>
      <w:r w:rsidR="000308D7" w:rsidRPr="00147BF5">
        <w:t>However</w:t>
      </w:r>
      <w:r w:rsidRPr="00147BF5">
        <w:t xml:space="preserve">, survival was greatest in the </w:t>
      </w:r>
      <w:r w:rsidR="0040020C" w:rsidRPr="00147BF5">
        <w:t>higher</w:t>
      </w:r>
      <w:r w:rsidRPr="00147BF5">
        <w:t xml:space="preserve"> socioeconomic quintile</w:t>
      </w:r>
      <w:r w:rsidR="009147C5" w:rsidRPr="00147BF5">
        <w:t xml:space="preserve"> (</w:t>
      </w:r>
      <w:r w:rsidR="005F664A">
        <w:t>SES</w:t>
      </w:r>
      <w:r w:rsidR="0018304E" w:rsidRPr="00147BF5">
        <w:t xml:space="preserve"> </w:t>
      </w:r>
      <w:r w:rsidR="009F3526" w:rsidRPr="00147BF5">
        <w:t>5</w:t>
      </w:r>
      <w:r w:rsidR="009147C5" w:rsidRPr="00147BF5">
        <w:t>)</w:t>
      </w:r>
      <w:r w:rsidR="009F3526" w:rsidRPr="00147BF5">
        <w:t xml:space="preserve"> </w:t>
      </w:r>
      <w:r w:rsidR="0088716F" w:rsidRPr="00147BF5">
        <w:t>(Figure 13.10</w:t>
      </w:r>
      <w:r w:rsidR="00952E73">
        <w:t xml:space="preserve"> </w:t>
      </w:r>
      <w:r w:rsidR="009F3526" w:rsidRPr="00147BF5">
        <w:t>(C</w:t>
      </w:r>
      <w:r w:rsidR="0088716F" w:rsidRPr="00147BF5">
        <w:t>)</w:t>
      </w:r>
      <w:r w:rsidR="009F3526" w:rsidRPr="00147BF5">
        <w:t>)</w:t>
      </w:r>
      <w:r w:rsidR="0088716F" w:rsidRPr="00147BF5">
        <w:t>.</w:t>
      </w:r>
    </w:p>
    <w:p w14:paraId="2466B86F" w14:textId="2CB1719E" w:rsidR="009F3526" w:rsidRDefault="0088716F" w:rsidP="00606436">
      <w:pPr>
        <w:pStyle w:val="Body"/>
      </w:pPr>
      <w:r w:rsidRPr="00147BF5">
        <w:t>There was a gradient of decreasing survival with ICSs</w:t>
      </w:r>
      <w:r w:rsidR="009F3526" w:rsidRPr="00147BF5">
        <w:t xml:space="preserve"> for both five-year survival time periods</w:t>
      </w:r>
      <w:r w:rsidRPr="00147BF5">
        <w:t xml:space="preserve"> that did not contain a large metropolitan area such as Melbourne: </w:t>
      </w:r>
      <w:r w:rsidR="009F3526">
        <w:t>five</w:t>
      </w:r>
      <w:r w:rsidR="009F3526" w:rsidRPr="008721E1">
        <w:t xml:space="preserve">-year survival was </w:t>
      </w:r>
      <w:r w:rsidR="00147BF5">
        <w:t>four</w:t>
      </w:r>
      <w:r w:rsidR="009F3526" w:rsidRPr="008721E1">
        <w:t xml:space="preserve"> percentage points</w:t>
      </w:r>
      <w:r w:rsidR="00147BF5">
        <w:t xml:space="preserve"> and above</w:t>
      </w:r>
      <w:r w:rsidR="009F3526" w:rsidRPr="008721E1">
        <w:t xml:space="preserve"> higher for people in SMICS (</w:t>
      </w:r>
      <w:r w:rsidR="00147BF5">
        <w:t>20</w:t>
      </w:r>
      <w:r w:rsidR="000B7B9D">
        <w:t>.4</w:t>
      </w:r>
      <w:r w:rsidR="0054537F">
        <w:t>%</w:t>
      </w:r>
      <w:r w:rsidR="009F3526">
        <w:t>, 2010</w:t>
      </w:r>
      <w:r w:rsidR="009F3526" w:rsidRPr="00AC7AFA">
        <w:t>–</w:t>
      </w:r>
      <w:r w:rsidR="009F3526">
        <w:t xml:space="preserve">2014; </w:t>
      </w:r>
      <w:r w:rsidR="00147BF5">
        <w:t>26.4</w:t>
      </w:r>
      <w:r w:rsidR="0054537F">
        <w:t>%</w:t>
      </w:r>
      <w:r w:rsidR="009F3526">
        <w:t>, 2015</w:t>
      </w:r>
      <w:r w:rsidR="009F3526" w:rsidRPr="00AC7AFA">
        <w:t>–</w:t>
      </w:r>
      <w:r w:rsidR="009F3526">
        <w:t>2019</w:t>
      </w:r>
      <w:r w:rsidR="009F3526" w:rsidRPr="008721E1">
        <w:t xml:space="preserve">) and </w:t>
      </w:r>
      <w:r w:rsidR="00147BF5">
        <w:t>WC</w:t>
      </w:r>
      <w:r w:rsidR="009F3526">
        <w:t>MICS</w:t>
      </w:r>
      <w:r w:rsidR="009F3526" w:rsidRPr="008721E1">
        <w:t xml:space="preserve"> (</w:t>
      </w:r>
      <w:r w:rsidR="00147BF5">
        <w:t>2</w:t>
      </w:r>
      <w:r w:rsidR="000B7B9D">
        <w:t>1</w:t>
      </w:r>
      <w:r w:rsidR="00147BF5">
        <w:t>.</w:t>
      </w:r>
      <w:r w:rsidR="000B7B9D">
        <w:t>1</w:t>
      </w:r>
      <w:r w:rsidR="0054537F">
        <w:t>%</w:t>
      </w:r>
      <w:r w:rsidR="009F3526">
        <w:t>, 2010</w:t>
      </w:r>
      <w:r w:rsidR="009F3526" w:rsidRPr="00AC7AFA">
        <w:t>–</w:t>
      </w:r>
      <w:r w:rsidR="009F3526">
        <w:t xml:space="preserve">2014; </w:t>
      </w:r>
      <w:r w:rsidR="00147BF5">
        <w:t>2</w:t>
      </w:r>
      <w:r w:rsidR="000B7B9D">
        <w:t>7.9</w:t>
      </w:r>
      <w:r w:rsidR="0054537F">
        <w:t>%</w:t>
      </w:r>
      <w:r w:rsidR="009F3526">
        <w:t>, 2015</w:t>
      </w:r>
      <w:r w:rsidR="009F3526" w:rsidRPr="00AC7AFA">
        <w:t>–</w:t>
      </w:r>
      <w:r w:rsidR="009F3526">
        <w:t>2019</w:t>
      </w:r>
      <w:r w:rsidR="009F3526" w:rsidRPr="008721E1">
        <w:t xml:space="preserve">) compared </w:t>
      </w:r>
      <w:r w:rsidR="009F3526">
        <w:t>with</w:t>
      </w:r>
      <w:r w:rsidR="009F3526" w:rsidRPr="008721E1">
        <w:t xml:space="preserve"> those located in </w:t>
      </w:r>
      <w:r w:rsidR="00147BF5">
        <w:t>LMIC</w:t>
      </w:r>
      <w:r w:rsidR="009F3526" w:rsidRPr="008721E1">
        <w:t xml:space="preserve">S </w:t>
      </w:r>
      <w:r w:rsidR="009F3526">
        <w:t>(</w:t>
      </w:r>
      <w:r w:rsidR="00147BF5">
        <w:t>1</w:t>
      </w:r>
      <w:r w:rsidR="000B7B9D">
        <w:t>5.</w:t>
      </w:r>
      <w:r w:rsidR="00147BF5">
        <w:t>6</w:t>
      </w:r>
      <w:r w:rsidR="0054537F">
        <w:t>%</w:t>
      </w:r>
      <w:r w:rsidR="009F3526">
        <w:t>, 2010</w:t>
      </w:r>
      <w:r w:rsidR="009F3526" w:rsidRPr="00AC7AFA">
        <w:t>–</w:t>
      </w:r>
      <w:r w:rsidR="009F3526">
        <w:t xml:space="preserve">2014; </w:t>
      </w:r>
      <w:r w:rsidR="00147BF5">
        <w:t>21</w:t>
      </w:r>
      <w:r w:rsidR="000B7B9D">
        <w:t>.8</w:t>
      </w:r>
      <w:r w:rsidR="0054537F">
        <w:t>%</w:t>
      </w:r>
      <w:r w:rsidR="009F3526">
        <w:t>, 2015</w:t>
      </w:r>
      <w:r w:rsidR="009F3526" w:rsidRPr="00AC7AFA">
        <w:t>–</w:t>
      </w:r>
      <w:r w:rsidR="009F3526">
        <w:t>2019</w:t>
      </w:r>
      <w:r w:rsidR="009F3526" w:rsidRPr="008721E1">
        <w:t>) (Figure 13.</w:t>
      </w:r>
      <w:r w:rsidR="00147BF5">
        <w:t>10</w:t>
      </w:r>
      <w:r w:rsidR="00952E73">
        <w:t xml:space="preserve"> </w:t>
      </w:r>
      <w:r w:rsidR="009F3526">
        <w:t>(D)</w:t>
      </w:r>
      <w:r w:rsidR="009F3526" w:rsidRPr="008721E1">
        <w:t>).</w:t>
      </w:r>
    </w:p>
    <w:p w14:paraId="43E4E0DB" w14:textId="77777777" w:rsidR="0092202A" w:rsidRDefault="0092202A" w:rsidP="00606436">
      <w:pPr>
        <w:pStyle w:val="Body"/>
      </w:pPr>
      <w:bookmarkStart w:id="1020" w:name="_Toc19008176"/>
      <w:r>
        <w:br w:type="page"/>
      </w:r>
    </w:p>
    <w:p w14:paraId="5DBDEA69" w14:textId="69E5B8E9" w:rsidR="0098490F" w:rsidRPr="007041EC" w:rsidRDefault="005C15AA" w:rsidP="00A451D4">
      <w:pPr>
        <w:pStyle w:val="Heading3"/>
        <w:rPr>
          <w:b/>
          <w:bCs w:val="0"/>
        </w:rPr>
      </w:pPr>
      <w:bookmarkStart w:id="1021" w:name="_Measure_13.11_–"/>
      <w:bookmarkEnd w:id="1021"/>
      <w:r w:rsidRPr="007041EC">
        <w:rPr>
          <w:b/>
          <w:bCs w:val="0"/>
        </w:rPr>
        <w:lastRenderedPageBreak/>
        <w:t xml:space="preserve">Measure 13.11 – </w:t>
      </w:r>
      <w:r w:rsidR="00A4158A" w:rsidRPr="007041EC">
        <w:rPr>
          <w:b/>
          <w:bCs w:val="0"/>
        </w:rPr>
        <w:t xml:space="preserve">Five-year </w:t>
      </w:r>
      <w:r w:rsidR="00707755" w:rsidRPr="007041EC">
        <w:rPr>
          <w:b/>
          <w:bCs w:val="0"/>
        </w:rPr>
        <w:t xml:space="preserve">relative </w:t>
      </w:r>
      <w:r w:rsidR="00A4158A" w:rsidRPr="007041EC">
        <w:rPr>
          <w:b/>
          <w:bCs w:val="0"/>
        </w:rPr>
        <w:t>survival from pancrea</w:t>
      </w:r>
      <w:r w:rsidR="002627CE" w:rsidRPr="007041EC">
        <w:rPr>
          <w:b/>
          <w:bCs w:val="0"/>
        </w:rPr>
        <w:t>tic</w:t>
      </w:r>
      <w:r w:rsidR="00A4158A" w:rsidRPr="007041EC">
        <w:rPr>
          <w:b/>
          <w:bCs w:val="0"/>
        </w:rPr>
        <w:t xml:space="preserve"> cancer</w:t>
      </w:r>
      <w:r w:rsidR="00F3197E" w:rsidRPr="007041EC">
        <w:rPr>
          <w:b/>
          <w:bCs w:val="0"/>
        </w:rPr>
        <w:t xml:space="preserve"> (C25)</w:t>
      </w:r>
      <w:bookmarkEnd w:id="1020"/>
    </w:p>
    <w:p w14:paraId="3B6736E1" w14:textId="5E1592AC" w:rsidR="009B4DD7" w:rsidRPr="00895DD4" w:rsidRDefault="009B4DD7" w:rsidP="008D320F">
      <w:pPr>
        <w:pStyle w:val="Figurecaption"/>
        <w:rPr>
          <w:sz w:val="20"/>
        </w:rPr>
      </w:pPr>
      <w:bookmarkStart w:id="1022" w:name="_Toc19008178"/>
      <w:bookmarkStart w:id="1023" w:name="_Toc19008375"/>
      <w:bookmarkStart w:id="1024" w:name="_Toc19008522"/>
      <w:bookmarkStart w:id="1025" w:name="_Toc19008669"/>
      <w:bookmarkStart w:id="1026" w:name="_Toc132553096"/>
      <w:bookmarkStart w:id="1027" w:name="_Toc140827709"/>
      <w:r w:rsidRPr="00895DD4">
        <w:rPr>
          <w:sz w:val="20"/>
        </w:rPr>
        <w:t>Figure 13.11</w:t>
      </w:r>
      <w:r w:rsidR="00C03D95" w:rsidRPr="00895DD4">
        <w:rPr>
          <w:sz w:val="20"/>
        </w:rPr>
        <w:t>:</w:t>
      </w:r>
      <w:r w:rsidR="00C322AF" w:rsidRPr="00895DD4">
        <w:rPr>
          <w:sz w:val="20"/>
        </w:rPr>
        <w:t xml:space="preserve"> </w:t>
      </w:r>
      <w:r w:rsidRPr="00895DD4">
        <w:rPr>
          <w:sz w:val="20"/>
        </w:rPr>
        <w:t>Five-year relative survival from</w:t>
      </w:r>
      <w:r w:rsidR="00105DE1" w:rsidRPr="00895DD4">
        <w:rPr>
          <w:sz w:val="20"/>
        </w:rPr>
        <w:t xml:space="preserve"> pancrea</w:t>
      </w:r>
      <w:r w:rsidR="003D4032" w:rsidRPr="00895DD4">
        <w:rPr>
          <w:sz w:val="20"/>
        </w:rPr>
        <w:t>tic</w:t>
      </w:r>
      <w:r w:rsidRPr="00895DD4">
        <w:rPr>
          <w:sz w:val="20"/>
        </w:rPr>
        <w:t xml:space="preserve"> cancer</w:t>
      </w:r>
      <w:r w:rsidR="0018304E" w:rsidRPr="00895DD4">
        <w:rPr>
          <w:sz w:val="20"/>
        </w:rPr>
        <w:t>,</w:t>
      </w:r>
      <w:r w:rsidRPr="00895DD4">
        <w:rPr>
          <w:sz w:val="20"/>
        </w:rPr>
        <w:t xml:space="preserve"> by age (A), remoteness (B)</w:t>
      </w:r>
      <w:r w:rsidR="009B0F65" w:rsidRPr="00895DD4">
        <w:rPr>
          <w:sz w:val="20"/>
        </w:rPr>
        <w:t xml:space="preserve">, </w:t>
      </w:r>
      <w:r w:rsidR="00DE7FFE" w:rsidRPr="00895DD4">
        <w:rPr>
          <w:sz w:val="20"/>
        </w:rPr>
        <w:t>SES</w:t>
      </w:r>
      <w:r w:rsidR="009B0F65" w:rsidRPr="00895DD4">
        <w:rPr>
          <w:sz w:val="20"/>
        </w:rPr>
        <w:t xml:space="preserve"> (C)</w:t>
      </w:r>
      <w:r w:rsidRPr="00895DD4">
        <w:rPr>
          <w:sz w:val="20"/>
        </w:rPr>
        <w:t xml:space="preserve"> and </w:t>
      </w:r>
      <w:r w:rsidR="008439C8" w:rsidRPr="00895DD4">
        <w:rPr>
          <w:sz w:val="20"/>
        </w:rPr>
        <w:t>ICS</w:t>
      </w:r>
      <w:r w:rsidRPr="00895DD4">
        <w:rPr>
          <w:sz w:val="20"/>
        </w:rPr>
        <w:t xml:space="preserve"> (</w:t>
      </w:r>
      <w:r w:rsidR="009B0F65" w:rsidRPr="00895DD4">
        <w:rPr>
          <w:sz w:val="20"/>
        </w:rPr>
        <w:t>D</w:t>
      </w:r>
      <w:r w:rsidRPr="00895DD4">
        <w:rPr>
          <w:sz w:val="20"/>
        </w:rPr>
        <w:t>), Victoria, 2010</w:t>
      </w:r>
      <w:r w:rsidR="009D0E1A" w:rsidRPr="00895DD4">
        <w:rPr>
          <w:sz w:val="20"/>
        </w:rPr>
        <w:t>–</w:t>
      </w:r>
      <w:r w:rsidRPr="00895DD4">
        <w:rPr>
          <w:sz w:val="20"/>
        </w:rPr>
        <w:t>2014</w:t>
      </w:r>
      <w:bookmarkEnd w:id="1022"/>
      <w:bookmarkEnd w:id="1023"/>
      <w:bookmarkEnd w:id="1024"/>
      <w:bookmarkEnd w:id="1025"/>
      <w:r w:rsidR="002F6949" w:rsidRPr="00895DD4">
        <w:rPr>
          <w:sz w:val="20"/>
        </w:rPr>
        <w:t xml:space="preserve"> and 2015–2019</w:t>
      </w:r>
      <w:bookmarkEnd w:id="1026"/>
      <w:bookmarkEnd w:id="1027"/>
    </w:p>
    <w:p w14:paraId="7DF4AF12" w14:textId="38B1BBCB" w:rsidR="00BB0A78" w:rsidRPr="00067E72" w:rsidRDefault="00067E72" w:rsidP="00E87AAA">
      <w:pPr>
        <w:pStyle w:val="Body"/>
      </w:pPr>
      <w:r>
        <w:rPr>
          <w:noProof/>
        </w:rPr>
        <w:drawing>
          <wp:inline distT="0" distB="0" distL="0" distR="0" wp14:anchorId="247A9376" wp14:editId="20CDB515">
            <wp:extent cx="5889553" cy="5306400"/>
            <wp:effectExtent l="0" t="0" r="0" b="8890"/>
            <wp:docPr id="406" name="Picture 406" descr="This figure shows a data summary of 'Measure 13.11 – Five-year relative survival from pancreatic cancer'. Specially this figure focuses on the trends in five-year relative survival from pancreatic cancer by age, remoteness, socio-economic status and Integrated Cancer Service for the study periods 2010-2014 and 2015-2019. The data set is available under 'Measure 13.11 – Five-year relative survival from pancreatic cancer'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Picture 406" descr="This figure shows a data summary of 'Measure 13.11 – Five-year relative survival from pancreatic cancer'. Specially this figure focuses on the trends in five-year relative survival from pancreatic cancer by age, remoteness, socio-economic status and Integrated Cancer Service for the study periods 2010-2014 and 2015-2019. The data set is available under 'Measure 13.11 – Five-year relative survival from pancreatic cancer' in a separate volume, the Victorian cancer plan monitoring and evaluation framework: baseline progress report: Appendix 2: Datasets available on Cancer care &lt;https://www.health.vic.gov.au/health-strategies/cancer-care&gt;."/>
                    <pic:cNvPicPr/>
                  </pic:nvPicPr>
                  <pic:blipFill>
                    <a:blip r:embed="rId160"/>
                    <a:stretch>
                      <a:fillRect/>
                    </a:stretch>
                  </pic:blipFill>
                  <pic:spPr>
                    <a:xfrm>
                      <a:off x="0" y="0"/>
                      <a:ext cx="5898412" cy="5314382"/>
                    </a:xfrm>
                    <a:prstGeom prst="rect">
                      <a:avLst/>
                    </a:prstGeom>
                  </pic:spPr>
                </pic:pic>
              </a:graphicData>
            </a:graphic>
          </wp:inline>
        </w:drawing>
      </w:r>
    </w:p>
    <w:p w14:paraId="61F51B61" w14:textId="1B7B5B34" w:rsidR="00BD3073" w:rsidRPr="00895DD4" w:rsidRDefault="00BD3073" w:rsidP="005A5151">
      <w:pPr>
        <w:pStyle w:val="Tablefigurenote"/>
        <w:rPr>
          <w:i/>
          <w:iCs/>
          <w:sz w:val="18"/>
          <w:szCs w:val="18"/>
        </w:rPr>
      </w:pPr>
      <w:r w:rsidRPr="00895DD4">
        <w:rPr>
          <w:i/>
          <w:iCs/>
          <w:sz w:val="18"/>
          <w:szCs w:val="18"/>
        </w:rPr>
        <w:t xml:space="preserve">Notes: </w:t>
      </w:r>
    </w:p>
    <w:p w14:paraId="13284ABB" w14:textId="77777777" w:rsidR="00BD3073" w:rsidRPr="00895DD4" w:rsidRDefault="00BD3073" w:rsidP="005A5151">
      <w:pPr>
        <w:pStyle w:val="Tablefigurenote"/>
        <w:rPr>
          <w:i/>
          <w:iCs/>
          <w:sz w:val="18"/>
          <w:szCs w:val="18"/>
        </w:rPr>
      </w:pPr>
      <w:r w:rsidRPr="00895DD4">
        <w:rPr>
          <w:i/>
          <w:iCs/>
          <w:sz w:val="18"/>
          <w:szCs w:val="18"/>
        </w:rPr>
        <w:t>Analysis for the age groups 0–14 years, 15–24 years, 25–34 years and 35–44 years were excluded because of low numbers.</w:t>
      </w:r>
    </w:p>
    <w:p w14:paraId="0BC7B065" w14:textId="2E607D50" w:rsidR="00BD3073" w:rsidRPr="00895DD4" w:rsidRDefault="00BD3073" w:rsidP="005A5151">
      <w:pPr>
        <w:pStyle w:val="Tablefigurenote"/>
        <w:rPr>
          <w:i/>
          <w:iCs/>
          <w:sz w:val="18"/>
          <w:szCs w:val="18"/>
        </w:rPr>
      </w:pPr>
      <w:r w:rsidRPr="00895DD4">
        <w:rPr>
          <w:i/>
          <w:iCs/>
          <w:sz w:val="18"/>
          <w:szCs w:val="18"/>
        </w:rPr>
        <w:t>Error bars indicate 95</w:t>
      </w:r>
      <w:r w:rsidR="0054537F">
        <w:rPr>
          <w:i/>
          <w:iCs/>
          <w:sz w:val="18"/>
          <w:szCs w:val="18"/>
        </w:rPr>
        <w:t>%</w:t>
      </w:r>
      <w:r w:rsidRPr="00895DD4">
        <w:rPr>
          <w:i/>
          <w:iCs/>
          <w:sz w:val="18"/>
          <w:szCs w:val="18"/>
        </w:rPr>
        <w:t xml:space="preserve"> confidence intervals.</w:t>
      </w:r>
    </w:p>
    <w:p w14:paraId="06C6B89C" w14:textId="2FCBD298" w:rsidR="00BD3073" w:rsidRPr="00895DD4" w:rsidRDefault="00BD3073" w:rsidP="005A5151">
      <w:pPr>
        <w:pStyle w:val="Tablefigurenote"/>
        <w:rPr>
          <w:i/>
          <w:iCs/>
          <w:sz w:val="18"/>
          <w:szCs w:val="18"/>
        </w:rPr>
      </w:pPr>
      <w:r w:rsidRPr="00895DD4">
        <w:rPr>
          <w:i/>
          <w:iCs/>
          <w:sz w:val="18"/>
          <w:szCs w:val="18"/>
        </w:rPr>
        <w:t>Remoteness is classified according to the ASGC Remoteness Areas.</w:t>
      </w:r>
    </w:p>
    <w:p w14:paraId="60AA6EED" w14:textId="60D7AD11" w:rsidR="00BD3073" w:rsidRPr="00895DD4" w:rsidRDefault="00BD3073" w:rsidP="005A5151">
      <w:pPr>
        <w:pStyle w:val="Tablefigurenote"/>
        <w:rPr>
          <w:i/>
          <w:iCs/>
          <w:sz w:val="18"/>
          <w:szCs w:val="18"/>
        </w:rPr>
      </w:pPr>
      <w:r w:rsidRPr="00895DD4">
        <w:rPr>
          <w:i/>
          <w:iCs/>
          <w:sz w:val="18"/>
          <w:szCs w:val="18"/>
        </w:rPr>
        <w:t>SES is classified according to the SEIFA Index of Relative Socio-economic Disadvantage – 1= lowest and 5 = highest.</w:t>
      </w:r>
    </w:p>
    <w:p w14:paraId="7132BFBC" w14:textId="6F63A8A4" w:rsidR="006F4568" w:rsidRPr="00895DD4" w:rsidRDefault="006F4568" w:rsidP="005A5151">
      <w:pPr>
        <w:pStyle w:val="Tablefigurenote"/>
        <w:rPr>
          <w:i/>
          <w:iCs/>
          <w:sz w:val="18"/>
          <w:szCs w:val="18"/>
        </w:rPr>
      </w:pPr>
      <w:r w:rsidRPr="00895DD4">
        <w:rPr>
          <w:i/>
          <w:iCs/>
          <w:sz w:val="18"/>
          <w:szCs w:val="18"/>
        </w:rPr>
        <w:t>Appendix 2 provides the dataset.</w:t>
      </w:r>
    </w:p>
    <w:p w14:paraId="596761CB" w14:textId="0360B15B" w:rsidR="00CD628B" w:rsidRPr="00671C7A" w:rsidRDefault="00CD628B" w:rsidP="00C03D95">
      <w:pPr>
        <w:pStyle w:val="Heading4"/>
      </w:pPr>
      <w:r w:rsidRPr="001329EB">
        <w:t>Measure assessment</w:t>
      </w:r>
    </w:p>
    <w:p w14:paraId="593C625C" w14:textId="77777777" w:rsidR="0025795C" w:rsidRPr="00026CF2" w:rsidRDefault="0025795C" w:rsidP="00606436">
      <w:pPr>
        <w:pStyle w:val="Body"/>
      </w:pPr>
      <w:r>
        <w:t xml:space="preserve">Traffic light rating: </w:t>
      </w:r>
      <w:r w:rsidRPr="001003DB">
        <w:rPr>
          <w:b/>
          <w:color w:val="C5511A"/>
        </w:rPr>
        <w:t>Amber</w:t>
      </w:r>
      <w:r>
        <w:rPr>
          <w:b/>
        </w:rPr>
        <w:t xml:space="preserve"> </w:t>
      </w:r>
      <w:r w:rsidRPr="00EA3932">
        <w:t>(desired result not yet evident)</w:t>
      </w:r>
    </w:p>
    <w:p w14:paraId="79695705" w14:textId="2E1D1DF5" w:rsidR="0025795C" w:rsidRPr="0025795C" w:rsidRDefault="0025795C" w:rsidP="00606436">
      <w:pPr>
        <w:pStyle w:val="Body"/>
      </w:pPr>
      <w:r>
        <w:t>Overall trend: Appears to be moving in the right direction</w:t>
      </w:r>
    </w:p>
    <w:p w14:paraId="42FF79E8" w14:textId="205E7704" w:rsidR="00C322AF" w:rsidRDefault="00CD628B" w:rsidP="00E87AAA">
      <w:pPr>
        <w:pStyle w:val="Body"/>
        <w:rPr>
          <w:lang w:val="en"/>
        </w:rPr>
      </w:pPr>
      <w:r w:rsidRPr="0025795C">
        <w:t>Commentary:</w:t>
      </w:r>
      <w:r w:rsidR="007A6D56" w:rsidRPr="0025795C">
        <w:t xml:space="preserve"> </w:t>
      </w:r>
      <w:r w:rsidR="0025795C" w:rsidRPr="0025795C">
        <w:rPr>
          <w:color w:val="212121"/>
          <w:shd w:val="clear" w:color="auto" w:fill="FFFFFF"/>
        </w:rPr>
        <w:t>The pancreatic cancer survival rate is one of the lowest of common cancers</w:t>
      </w:r>
      <w:r w:rsidR="0025795C">
        <w:rPr>
          <w:color w:val="212121"/>
          <w:shd w:val="clear" w:color="auto" w:fill="FFFFFF"/>
        </w:rPr>
        <w:t xml:space="preserve">. </w:t>
      </w:r>
      <w:r w:rsidR="007A6D56" w:rsidRPr="0025795C">
        <w:t>In 2010–2014, Australians diagnosed with pancreatic cancer had a</w:t>
      </w:r>
      <w:r w:rsidR="00C52F9C">
        <w:t>n</w:t>
      </w:r>
      <w:r w:rsidR="007A6D56" w:rsidRPr="0025795C">
        <w:t xml:space="preserve"> 8.7</w:t>
      </w:r>
      <w:r w:rsidR="0054537F">
        <w:t>%</w:t>
      </w:r>
      <w:r w:rsidR="007A6D56" w:rsidRPr="0025795C">
        <w:t xml:space="preserve"> chance of surviving </w:t>
      </w:r>
      <w:r w:rsidR="002465BD" w:rsidRPr="0025795C">
        <w:t xml:space="preserve">for </w:t>
      </w:r>
      <w:r w:rsidR="009D0E1A" w:rsidRPr="0025795C">
        <w:t>five</w:t>
      </w:r>
      <w:r w:rsidR="007A6D56" w:rsidRPr="0025795C">
        <w:t xml:space="preserve"> years </w:t>
      </w:r>
      <w:r w:rsidR="007A6D56" w:rsidRPr="0025795C">
        <w:lastRenderedPageBreak/>
        <w:t>compared with their counterparts in the general population, which decreased with age.</w:t>
      </w:r>
      <w:r w:rsidR="0025795C">
        <w:rPr>
          <w:rStyle w:val="FootnoteReference"/>
          <w:rFonts w:cs="Arial"/>
          <w:lang w:eastAsia="en-AU"/>
        </w:rPr>
        <w:footnoteReference w:id="202"/>
      </w:r>
      <w:r w:rsidR="00305664" w:rsidRPr="0025795C">
        <w:t xml:space="preserve"> Victoria’s overall rate for the</w:t>
      </w:r>
      <w:r w:rsidR="00305664">
        <w:t xml:space="preserve"> same period was </w:t>
      </w:r>
      <w:r w:rsidR="0025795C">
        <w:t>more</w:t>
      </w:r>
      <w:r w:rsidR="00305664">
        <w:t xml:space="preserve"> than the national trend – </w:t>
      </w:r>
      <w:r w:rsidR="0025795C">
        <w:t>10</w:t>
      </w:r>
      <w:r w:rsidR="001329EB">
        <w:t>.1</w:t>
      </w:r>
      <w:r w:rsidR="0054537F">
        <w:t>%</w:t>
      </w:r>
      <w:r w:rsidR="00305664">
        <w:t>.</w:t>
      </w:r>
      <w:r w:rsidR="00952FC7">
        <w:t xml:space="preserve"> </w:t>
      </w:r>
      <w:r w:rsidR="00305664">
        <w:t xml:space="preserve">In Victoria the survival rate was </w:t>
      </w:r>
      <w:r w:rsidR="00305664" w:rsidRPr="00E879A8">
        <w:t>similar for males (</w:t>
      </w:r>
      <w:r w:rsidR="0025795C">
        <w:t>9.</w:t>
      </w:r>
      <w:r w:rsidR="001329EB">
        <w:t>9</w:t>
      </w:r>
      <w:r w:rsidR="0054537F">
        <w:t>%</w:t>
      </w:r>
      <w:r w:rsidR="00305664" w:rsidRPr="00E879A8">
        <w:t>) and females (</w:t>
      </w:r>
      <w:r w:rsidR="0025795C">
        <w:t>1</w:t>
      </w:r>
      <w:r w:rsidR="001329EB">
        <w:t>2</w:t>
      </w:r>
      <w:r w:rsidR="0025795C">
        <w:t>.</w:t>
      </w:r>
      <w:r w:rsidR="001329EB">
        <w:t>3</w:t>
      </w:r>
      <w:r w:rsidR="0054537F">
        <w:t>%</w:t>
      </w:r>
      <w:r w:rsidR="00305664" w:rsidRPr="00E879A8">
        <w:t xml:space="preserve">). </w:t>
      </w:r>
      <w:r w:rsidR="0025795C">
        <w:rPr>
          <w:lang w:val="en"/>
        </w:rPr>
        <w:t xml:space="preserve">However, the five-year survival for Victorians diagnosed with </w:t>
      </w:r>
      <w:r w:rsidR="00C322AF">
        <w:rPr>
          <w:lang w:val="en"/>
        </w:rPr>
        <w:t>pancreatic</w:t>
      </w:r>
      <w:r w:rsidR="0025795C">
        <w:rPr>
          <w:lang w:val="en"/>
        </w:rPr>
        <w:t xml:space="preserve"> cancer increased </w:t>
      </w:r>
      <w:r w:rsidR="00C322AF">
        <w:rPr>
          <w:lang w:val="en"/>
        </w:rPr>
        <w:t xml:space="preserve">slightly </w:t>
      </w:r>
      <w:r w:rsidR="0025795C">
        <w:rPr>
          <w:lang w:val="en"/>
        </w:rPr>
        <w:t xml:space="preserve">for the period </w:t>
      </w:r>
      <w:r w:rsidR="0025795C" w:rsidRPr="00C575E1">
        <w:rPr>
          <w:lang w:val="en"/>
        </w:rPr>
        <w:t>201</w:t>
      </w:r>
      <w:r w:rsidR="0025795C">
        <w:rPr>
          <w:lang w:val="en"/>
        </w:rPr>
        <w:t>5</w:t>
      </w:r>
      <w:r w:rsidR="0025795C" w:rsidRPr="00C575E1">
        <w:rPr>
          <w:lang w:val="en"/>
        </w:rPr>
        <w:t>–201</w:t>
      </w:r>
      <w:r w:rsidR="0025795C">
        <w:rPr>
          <w:lang w:val="en"/>
        </w:rPr>
        <w:t xml:space="preserve">9 to </w:t>
      </w:r>
      <w:r w:rsidR="00C322AF">
        <w:rPr>
          <w:lang w:val="en"/>
        </w:rPr>
        <w:t>12.8</w:t>
      </w:r>
      <w:r w:rsidR="0054537F">
        <w:rPr>
          <w:lang w:val="en"/>
        </w:rPr>
        <w:t>%</w:t>
      </w:r>
      <w:r w:rsidR="0025795C">
        <w:rPr>
          <w:lang w:val="en"/>
        </w:rPr>
        <w:t xml:space="preserve"> (</w:t>
      </w:r>
      <w:r w:rsidR="00C322AF">
        <w:rPr>
          <w:lang w:val="en"/>
        </w:rPr>
        <w:t>12.3</w:t>
      </w:r>
      <w:r w:rsidR="0054537F">
        <w:rPr>
          <w:lang w:val="en"/>
        </w:rPr>
        <w:t>%</w:t>
      </w:r>
      <w:r w:rsidR="0025795C" w:rsidRPr="00C575E1">
        <w:rPr>
          <w:lang w:val="en"/>
        </w:rPr>
        <w:t xml:space="preserve"> for males and </w:t>
      </w:r>
      <w:r w:rsidR="00C322AF">
        <w:rPr>
          <w:lang w:val="en"/>
        </w:rPr>
        <w:t>13.</w:t>
      </w:r>
      <w:r w:rsidR="001329EB">
        <w:rPr>
          <w:lang w:val="en"/>
        </w:rPr>
        <w:t>5</w:t>
      </w:r>
      <w:r w:rsidR="0054537F">
        <w:rPr>
          <w:lang w:val="en"/>
        </w:rPr>
        <w:t>%</w:t>
      </w:r>
      <w:r w:rsidR="0025795C" w:rsidRPr="00C575E1">
        <w:rPr>
          <w:lang w:val="en"/>
        </w:rPr>
        <w:t xml:space="preserve"> for females</w:t>
      </w:r>
      <w:r w:rsidR="00BA3CE0">
        <w:rPr>
          <w:lang w:val="en"/>
        </w:rPr>
        <w:t>;</w:t>
      </w:r>
      <w:r w:rsidR="0025795C">
        <w:rPr>
          <w:lang w:val="en"/>
        </w:rPr>
        <w:t xml:space="preserve"> refer to Tables 13.1</w:t>
      </w:r>
      <w:r w:rsidR="00C322AF">
        <w:rPr>
          <w:lang w:val="en"/>
        </w:rPr>
        <w:t>1</w:t>
      </w:r>
      <w:r w:rsidR="0025795C">
        <w:rPr>
          <w:lang w:val="en"/>
        </w:rPr>
        <w:t>a and b, Appendix 2).</w:t>
      </w:r>
    </w:p>
    <w:p w14:paraId="28FBAE1B" w14:textId="279C44A5" w:rsidR="00C322AF" w:rsidRPr="00C322AF" w:rsidRDefault="00C322AF" w:rsidP="00E87AAA">
      <w:pPr>
        <w:pStyle w:val="Body"/>
        <w:rPr>
          <w:highlight w:val="yellow"/>
        </w:rPr>
      </w:pPr>
      <w:r w:rsidRPr="00C90AD3">
        <w:t xml:space="preserve">Five-year survival was significantly higher for those aged </w:t>
      </w:r>
      <w:r>
        <w:t>25</w:t>
      </w:r>
      <w:r w:rsidRPr="00C90AD3">
        <w:t>–</w:t>
      </w:r>
      <w:r>
        <w:t>3</w:t>
      </w:r>
      <w:r w:rsidRPr="00C90AD3">
        <w:t xml:space="preserve">4 </w:t>
      </w:r>
      <w:r w:rsidRPr="00C90AD3">
        <w:rPr>
          <w:rFonts w:cs="Arial"/>
        </w:rPr>
        <w:t>(</w:t>
      </w:r>
      <w:r w:rsidR="001329EB">
        <w:rPr>
          <w:rFonts w:cs="Arial"/>
        </w:rPr>
        <w:t>29</w:t>
      </w:r>
      <w:r>
        <w:rPr>
          <w:rFonts w:cs="Arial"/>
        </w:rPr>
        <w:t>.</w:t>
      </w:r>
      <w:r w:rsidR="001329EB">
        <w:rPr>
          <w:rFonts w:cs="Arial"/>
        </w:rPr>
        <w:t>3</w:t>
      </w:r>
      <w:r w:rsidR="0054537F">
        <w:rPr>
          <w:rFonts w:cs="Arial"/>
        </w:rPr>
        <w:t>%</w:t>
      </w:r>
      <w:r w:rsidRPr="00C90AD3">
        <w:rPr>
          <w:rFonts w:cs="Arial"/>
        </w:rPr>
        <w:t xml:space="preserve">, 2010–2014; </w:t>
      </w:r>
      <w:r>
        <w:rPr>
          <w:rFonts w:cs="Arial"/>
        </w:rPr>
        <w:t>75.8</w:t>
      </w:r>
      <w:r w:rsidR="0054537F">
        <w:rPr>
          <w:rFonts w:cs="Arial"/>
        </w:rPr>
        <w:t>%</w:t>
      </w:r>
      <w:r w:rsidRPr="00C90AD3">
        <w:rPr>
          <w:rFonts w:cs="Arial"/>
        </w:rPr>
        <w:t xml:space="preserve">, 2015–2019) </w:t>
      </w:r>
      <w:r w:rsidRPr="00C90AD3">
        <w:t xml:space="preserve">compared with all older age </w:t>
      </w:r>
      <w:r w:rsidRPr="009F3526">
        <w:t xml:space="preserve">groups. Survival decreased markedly with age, dropping from </w:t>
      </w:r>
      <w:r w:rsidR="001329EB">
        <w:rPr>
          <w:rFonts w:cs="Arial"/>
        </w:rPr>
        <w:t>7.0</w:t>
      </w:r>
      <w:r w:rsidR="0054537F">
        <w:rPr>
          <w:rFonts w:cs="Arial"/>
        </w:rPr>
        <w:t>%</w:t>
      </w:r>
      <w:r w:rsidR="00BA3CE0">
        <w:rPr>
          <w:rFonts w:cs="Arial"/>
        </w:rPr>
        <w:t xml:space="preserve"> in</w:t>
      </w:r>
      <w:r w:rsidRPr="009F3526">
        <w:rPr>
          <w:rFonts w:cs="Arial"/>
        </w:rPr>
        <w:t xml:space="preserve"> 2010–2014</w:t>
      </w:r>
      <w:r w:rsidR="00BA3CE0">
        <w:rPr>
          <w:rFonts w:cs="Arial"/>
        </w:rPr>
        <w:t xml:space="preserve"> to </w:t>
      </w:r>
      <w:r>
        <w:rPr>
          <w:rFonts w:cs="Arial"/>
        </w:rPr>
        <w:t>9.</w:t>
      </w:r>
      <w:r w:rsidR="001329EB">
        <w:rPr>
          <w:rFonts w:cs="Arial"/>
        </w:rPr>
        <w:t>2</w:t>
      </w:r>
      <w:r w:rsidR="0054537F">
        <w:rPr>
          <w:rFonts w:cs="Arial"/>
        </w:rPr>
        <w:t>%</w:t>
      </w:r>
      <w:r w:rsidR="00BA3CE0">
        <w:rPr>
          <w:rFonts w:cs="Arial"/>
        </w:rPr>
        <w:t xml:space="preserve"> in</w:t>
      </w:r>
      <w:r w:rsidRPr="009F3526">
        <w:rPr>
          <w:rFonts w:cs="Arial"/>
        </w:rPr>
        <w:t xml:space="preserve"> 2015–2019</w:t>
      </w:r>
      <w:r w:rsidRPr="009F3526">
        <w:t xml:space="preserve"> for those in the </w:t>
      </w:r>
      <w:r w:rsidR="001329EB">
        <w:t>75</w:t>
      </w:r>
      <w:r w:rsidRPr="009F3526">
        <w:t>–</w:t>
      </w:r>
      <w:r w:rsidR="001329EB">
        <w:t>8</w:t>
      </w:r>
      <w:r w:rsidRPr="009F3526">
        <w:t xml:space="preserve">4 age group to </w:t>
      </w:r>
      <w:r>
        <w:rPr>
          <w:rFonts w:cs="Arial"/>
        </w:rPr>
        <w:t>3.</w:t>
      </w:r>
      <w:r w:rsidR="001329EB">
        <w:rPr>
          <w:rFonts w:cs="Arial"/>
        </w:rPr>
        <w:t>8</w:t>
      </w:r>
      <w:r w:rsidR="0054537F">
        <w:rPr>
          <w:rFonts w:cs="Arial"/>
        </w:rPr>
        <w:t>%</w:t>
      </w:r>
      <w:r w:rsidR="00BA3CE0">
        <w:rPr>
          <w:rFonts w:cs="Arial"/>
        </w:rPr>
        <w:t xml:space="preserve"> in</w:t>
      </w:r>
      <w:r w:rsidRPr="009F3526">
        <w:rPr>
          <w:rFonts w:cs="Arial"/>
        </w:rPr>
        <w:t xml:space="preserve"> 2010–2014</w:t>
      </w:r>
      <w:r w:rsidR="00BA3CE0">
        <w:rPr>
          <w:rFonts w:cs="Arial"/>
        </w:rPr>
        <w:t xml:space="preserve"> and</w:t>
      </w:r>
      <w:r w:rsidRPr="009F3526">
        <w:rPr>
          <w:rFonts w:cs="Arial"/>
        </w:rPr>
        <w:t xml:space="preserve"> </w:t>
      </w:r>
      <w:r>
        <w:rPr>
          <w:rFonts w:cs="Arial"/>
        </w:rPr>
        <w:t>3.</w:t>
      </w:r>
      <w:r w:rsidR="001329EB">
        <w:rPr>
          <w:rFonts w:cs="Arial"/>
        </w:rPr>
        <w:t>9</w:t>
      </w:r>
      <w:r w:rsidR="0054537F">
        <w:rPr>
          <w:rFonts w:cs="Arial"/>
        </w:rPr>
        <w:t>%</w:t>
      </w:r>
      <w:r w:rsidR="00BA3CE0">
        <w:rPr>
          <w:rFonts w:cs="Arial"/>
        </w:rPr>
        <w:t xml:space="preserve"> in</w:t>
      </w:r>
      <w:r w:rsidRPr="009F3526">
        <w:rPr>
          <w:rFonts w:cs="Arial"/>
        </w:rPr>
        <w:t xml:space="preserve"> 2015–2019</w:t>
      </w:r>
      <w:r w:rsidRPr="009F3526">
        <w:t xml:space="preserve"> for those aged 85 or older (Figure 13.1</w:t>
      </w:r>
      <w:r>
        <w:t>1</w:t>
      </w:r>
      <w:r w:rsidR="00952E73">
        <w:t xml:space="preserve"> </w:t>
      </w:r>
      <w:r>
        <w:t>(A)</w:t>
      </w:r>
      <w:r w:rsidRPr="009F3526">
        <w:t>).</w:t>
      </w:r>
    </w:p>
    <w:p w14:paraId="2CB1F1F3" w14:textId="3C3B7B5A" w:rsidR="00E879A8" w:rsidRPr="00E879A8" w:rsidRDefault="00305664" w:rsidP="00606436">
      <w:pPr>
        <w:pStyle w:val="Body"/>
      </w:pPr>
      <w:r w:rsidRPr="00E879A8">
        <w:t xml:space="preserve">Five-year survival was </w:t>
      </w:r>
      <w:r w:rsidR="00FC719B">
        <w:t>higher for those diagnosed with pancreatic cancer living in</w:t>
      </w:r>
      <w:r w:rsidRPr="00E879A8">
        <w:t xml:space="preserve"> </w:t>
      </w:r>
      <w:r w:rsidR="00840304">
        <w:t>m</w:t>
      </w:r>
      <w:r w:rsidRPr="00E879A8">
        <w:t>ajor cities</w:t>
      </w:r>
      <w:r w:rsidR="00FC719B">
        <w:rPr>
          <w:iCs/>
        </w:rPr>
        <w:t xml:space="preserve"> compared </w:t>
      </w:r>
      <w:r w:rsidR="002C060B" w:rsidRPr="002C060B">
        <w:rPr>
          <w:iCs/>
        </w:rPr>
        <w:t xml:space="preserve">with </w:t>
      </w:r>
      <w:r w:rsidR="00FC719B">
        <w:t xml:space="preserve">inner regional and </w:t>
      </w:r>
      <w:r w:rsidR="002465BD">
        <w:t>o</w:t>
      </w:r>
      <w:r w:rsidRPr="00E879A8">
        <w:t xml:space="preserve">uter regional/remote areas </w:t>
      </w:r>
      <w:r w:rsidR="00C322AF">
        <w:t>across the two periods (Figure 13.11</w:t>
      </w:r>
      <w:r w:rsidR="00952E73">
        <w:t xml:space="preserve"> </w:t>
      </w:r>
      <w:r w:rsidR="00C322AF">
        <w:t>(B))</w:t>
      </w:r>
      <w:r w:rsidRPr="00E879A8">
        <w:t xml:space="preserve">. </w:t>
      </w:r>
      <w:r w:rsidR="00B93B7D" w:rsidRPr="00E879A8">
        <w:t>Th</w:t>
      </w:r>
      <w:r w:rsidR="004503EB" w:rsidRPr="00E879A8">
        <w:t>e same pattern</w:t>
      </w:r>
      <w:r w:rsidR="00C52F9C">
        <w:t xml:space="preserve"> is observed</w:t>
      </w:r>
      <w:r w:rsidR="00FC719B">
        <w:t xml:space="preserve"> for </w:t>
      </w:r>
      <w:r w:rsidR="004503EB" w:rsidRPr="00E879A8">
        <w:t>urban</w:t>
      </w:r>
      <w:r w:rsidR="002465BD">
        <w:t>-</w:t>
      </w:r>
      <w:r w:rsidR="004503EB" w:rsidRPr="00E879A8">
        <w:t xml:space="preserve">centric ICSs compared </w:t>
      </w:r>
      <w:r w:rsidR="009D0E1A">
        <w:t>with</w:t>
      </w:r>
      <w:r w:rsidR="009D0E1A" w:rsidRPr="00E879A8">
        <w:t xml:space="preserve"> </w:t>
      </w:r>
      <w:r w:rsidR="004503EB" w:rsidRPr="00E879A8">
        <w:t>rural ICSs</w:t>
      </w:r>
      <w:r w:rsidR="00FC719B">
        <w:t xml:space="preserve"> across the two periods with the exception of GICS</w:t>
      </w:r>
      <w:r w:rsidR="00BA3CE0">
        <w:t>,</w:t>
      </w:r>
      <w:r w:rsidR="00FC719B">
        <w:t xml:space="preserve"> which reported a decrease in five-year survival: 1</w:t>
      </w:r>
      <w:r w:rsidR="001329EB">
        <w:t>2.4</w:t>
      </w:r>
      <w:r w:rsidR="0054537F">
        <w:t>%</w:t>
      </w:r>
      <w:r w:rsidR="00BA3CE0">
        <w:t xml:space="preserve"> in</w:t>
      </w:r>
      <w:r w:rsidR="00FC719B">
        <w:t xml:space="preserve"> </w:t>
      </w:r>
      <w:r w:rsidR="00FC719B" w:rsidRPr="009F3526">
        <w:t>2010–2014</w:t>
      </w:r>
      <w:r w:rsidR="00BA3CE0">
        <w:t xml:space="preserve"> and</w:t>
      </w:r>
      <w:r w:rsidR="00FC719B">
        <w:t xml:space="preserve"> 10.3</w:t>
      </w:r>
      <w:r w:rsidR="0054537F">
        <w:t>%</w:t>
      </w:r>
      <w:r w:rsidR="00BA3CE0">
        <w:t xml:space="preserve"> in</w:t>
      </w:r>
      <w:r w:rsidR="00FC719B">
        <w:t xml:space="preserve"> </w:t>
      </w:r>
      <w:r w:rsidR="00FC719B" w:rsidRPr="009F3526">
        <w:t>201</w:t>
      </w:r>
      <w:r w:rsidR="00FC719B">
        <w:t>5</w:t>
      </w:r>
      <w:r w:rsidR="00FC719B" w:rsidRPr="009F3526">
        <w:t>–201</w:t>
      </w:r>
      <w:r w:rsidR="00FC719B">
        <w:t>9</w:t>
      </w:r>
      <w:r w:rsidR="006C444C">
        <w:t>. H</w:t>
      </w:r>
      <w:r w:rsidR="00B76A00" w:rsidRPr="006C444C">
        <w:t>o</w:t>
      </w:r>
      <w:r w:rsidR="007C3F2F" w:rsidRPr="006C444C">
        <w:t>wever</w:t>
      </w:r>
      <w:r w:rsidR="006C444C">
        <w:t>,</w:t>
      </w:r>
      <w:r w:rsidR="006C444C" w:rsidRPr="006C444C">
        <w:t xml:space="preserve"> these results should be interpreted with caution </w:t>
      </w:r>
      <w:r w:rsidR="00FC719B">
        <w:t>since</w:t>
      </w:r>
      <w:r w:rsidR="006C444C" w:rsidRPr="006C444C">
        <w:t xml:space="preserve"> wide confidence intervals d</w:t>
      </w:r>
      <w:r w:rsidR="00FC719B">
        <w:t xml:space="preserve">enote </w:t>
      </w:r>
      <w:r w:rsidR="006C444C" w:rsidRPr="006C444C">
        <w:t>small sample sizes</w:t>
      </w:r>
      <w:r w:rsidR="00FC719B">
        <w:t xml:space="preserve"> (Figure 13.11</w:t>
      </w:r>
      <w:r w:rsidR="00952E73">
        <w:t xml:space="preserve"> </w:t>
      </w:r>
      <w:r w:rsidR="00FC719B">
        <w:t>(D))</w:t>
      </w:r>
      <w:r w:rsidR="006C444C" w:rsidRPr="006C444C">
        <w:t>.</w:t>
      </w:r>
    </w:p>
    <w:p w14:paraId="2F3402AF" w14:textId="5380C6E4" w:rsidR="00CA067E" w:rsidRDefault="00FC719B" w:rsidP="00606436">
      <w:pPr>
        <w:pStyle w:val="Body"/>
      </w:pPr>
      <w:r>
        <w:t>S</w:t>
      </w:r>
      <w:r w:rsidR="00305664" w:rsidRPr="00E879A8">
        <w:t xml:space="preserve">urvival </w:t>
      </w:r>
      <w:r>
        <w:t xml:space="preserve">varied depending on </w:t>
      </w:r>
      <w:r w:rsidR="00305664" w:rsidRPr="00E879A8">
        <w:t>socioeconomic disadvantage</w:t>
      </w:r>
      <w:r>
        <w:t xml:space="preserve"> with</w:t>
      </w:r>
      <w:r w:rsidR="009E2A4B">
        <w:t xml:space="preserve"> socioeconomic</w:t>
      </w:r>
      <w:r w:rsidR="009E2A4B" w:rsidRPr="00E879A8">
        <w:t xml:space="preserve"> quintile </w:t>
      </w:r>
      <w:r w:rsidR="009E2A4B">
        <w:t>(</w:t>
      </w:r>
      <w:r w:rsidR="000B4EF1">
        <w:t>SES</w:t>
      </w:r>
      <w:r w:rsidR="009E2A4B">
        <w:t xml:space="preserve"> 3) reporting the greatest variation across the two periods:</w:t>
      </w:r>
      <w:r>
        <w:t xml:space="preserve"> </w:t>
      </w:r>
      <w:r w:rsidR="001329EB">
        <w:t>9.6</w:t>
      </w:r>
      <w:r w:rsidR="0054537F">
        <w:t>%</w:t>
      </w:r>
      <w:r w:rsidR="000B4EF1">
        <w:t xml:space="preserve"> for</w:t>
      </w:r>
      <w:r w:rsidR="00C322AF">
        <w:t xml:space="preserve"> </w:t>
      </w:r>
      <w:r w:rsidR="00C322AF" w:rsidRPr="009F3526">
        <w:t>2010–2014</w:t>
      </w:r>
      <w:r w:rsidR="000B4EF1">
        <w:t xml:space="preserve"> and</w:t>
      </w:r>
      <w:r w:rsidR="00C322AF">
        <w:t xml:space="preserve"> 1</w:t>
      </w:r>
      <w:r w:rsidR="009E2A4B">
        <w:t>6.4</w:t>
      </w:r>
      <w:r w:rsidR="0054537F">
        <w:t>%</w:t>
      </w:r>
      <w:r w:rsidR="000B4EF1">
        <w:t xml:space="preserve"> for</w:t>
      </w:r>
      <w:r w:rsidR="00C322AF">
        <w:t xml:space="preserve"> </w:t>
      </w:r>
      <w:r w:rsidR="00C322AF" w:rsidRPr="009F3526">
        <w:t>201</w:t>
      </w:r>
      <w:r w:rsidR="00C322AF">
        <w:t>5</w:t>
      </w:r>
      <w:r w:rsidR="00C322AF" w:rsidRPr="009F3526">
        <w:t>–201</w:t>
      </w:r>
      <w:r w:rsidR="00C322AF">
        <w:t xml:space="preserve">9 </w:t>
      </w:r>
      <w:r>
        <w:t>(Figure 13.11</w:t>
      </w:r>
      <w:r w:rsidR="00952E73">
        <w:t xml:space="preserve"> </w:t>
      </w:r>
      <w:r>
        <w:t>(C))</w:t>
      </w:r>
      <w:r w:rsidR="00C322AF">
        <w:t>.</w:t>
      </w:r>
    </w:p>
    <w:p w14:paraId="4CF4EFA9" w14:textId="2CFE3495" w:rsidR="005C15AA" w:rsidRPr="00567EB1" w:rsidRDefault="005F72D6" w:rsidP="00A451D4">
      <w:pPr>
        <w:pStyle w:val="Heading3"/>
        <w:rPr>
          <w:b/>
          <w:bCs w:val="0"/>
        </w:rPr>
      </w:pPr>
      <w:bookmarkStart w:id="1028" w:name="_Measure_13.12_–"/>
      <w:bookmarkEnd w:id="1028"/>
      <w:r w:rsidRPr="00CA067E">
        <w:br w:type="page"/>
      </w:r>
      <w:bookmarkStart w:id="1029" w:name="_Toc19008179"/>
      <w:r w:rsidR="005C15AA" w:rsidRPr="00567EB1">
        <w:rPr>
          <w:b/>
          <w:bCs w:val="0"/>
        </w:rPr>
        <w:lastRenderedPageBreak/>
        <w:t xml:space="preserve">Measure 13.12 – </w:t>
      </w:r>
      <w:r w:rsidR="00A4158A" w:rsidRPr="00567EB1">
        <w:rPr>
          <w:b/>
          <w:bCs w:val="0"/>
        </w:rPr>
        <w:t xml:space="preserve">Five-year </w:t>
      </w:r>
      <w:r w:rsidR="00707755" w:rsidRPr="00567EB1">
        <w:rPr>
          <w:b/>
          <w:bCs w:val="0"/>
        </w:rPr>
        <w:t xml:space="preserve">relative </w:t>
      </w:r>
      <w:r w:rsidR="00A4158A" w:rsidRPr="00567EB1">
        <w:rPr>
          <w:b/>
          <w:bCs w:val="0"/>
        </w:rPr>
        <w:t>survival from ovar</w:t>
      </w:r>
      <w:r w:rsidR="00320E5D" w:rsidRPr="00567EB1">
        <w:rPr>
          <w:b/>
          <w:bCs w:val="0"/>
        </w:rPr>
        <w:t>ian</w:t>
      </w:r>
      <w:r w:rsidR="00A4158A" w:rsidRPr="00567EB1">
        <w:rPr>
          <w:b/>
          <w:bCs w:val="0"/>
        </w:rPr>
        <w:t xml:space="preserve"> cancer</w:t>
      </w:r>
      <w:r w:rsidR="00FE14FC" w:rsidRPr="00567EB1">
        <w:rPr>
          <w:b/>
          <w:bCs w:val="0"/>
        </w:rPr>
        <w:t xml:space="preserve"> (C56)</w:t>
      </w:r>
      <w:bookmarkEnd w:id="1029"/>
    </w:p>
    <w:p w14:paraId="1CF40867" w14:textId="1687229D" w:rsidR="002F6949" w:rsidRPr="00895DD4" w:rsidRDefault="00612C9A" w:rsidP="00A86D9D">
      <w:pPr>
        <w:pStyle w:val="Figurecaption"/>
        <w:rPr>
          <w:sz w:val="20"/>
        </w:rPr>
      </w:pPr>
      <w:bookmarkStart w:id="1030" w:name="_Toc19008181"/>
      <w:bookmarkStart w:id="1031" w:name="_Toc19008377"/>
      <w:bookmarkStart w:id="1032" w:name="_Toc19008524"/>
      <w:bookmarkStart w:id="1033" w:name="_Toc19008671"/>
      <w:bookmarkStart w:id="1034" w:name="_Toc132553097"/>
      <w:bookmarkStart w:id="1035" w:name="_Toc140827710"/>
      <w:r w:rsidRPr="00895DD4">
        <w:rPr>
          <w:sz w:val="20"/>
        </w:rPr>
        <w:t>Figure 13.12</w:t>
      </w:r>
      <w:r w:rsidR="00C03D95" w:rsidRPr="00895DD4">
        <w:rPr>
          <w:sz w:val="20"/>
        </w:rPr>
        <w:t>:</w:t>
      </w:r>
      <w:r w:rsidRPr="00895DD4">
        <w:rPr>
          <w:sz w:val="20"/>
        </w:rPr>
        <w:t xml:space="preserve"> Five-year relative survival from ovarian cancer, by age (A), remoteness (B), SES (C) and ICS (D), Victoria, 2010–2014</w:t>
      </w:r>
      <w:bookmarkEnd w:id="1030"/>
      <w:bookmarkEnd w:id="1031"/>
      <w:bookmarkEnd w:id="1032"/>
      <w:bookmarkEnd w:id="1033"/>
      <w:r w:rsidR="002F6949" w:rsidRPr="00895DD4">
        <w:rPr>
          <w:sz w:val="20"/>
        </w:rPr>
        <w:t xml:space="preserve"> and 2015–2019</w:t>
      </w:r>
      <w:bookmarkEnd w:id="1034"/>
      <w:bookmarkEnd w:id="1035"/>
    </w:p>
    <w:p w14:paraId="18D2F34A" w14:textId="7EEACFF4" w:rsidR="00A86D9D" w:rsidRPr="000E754C" w:rsidRDefault="004E294D" w:rsidP="00E87AAA">
      <w:pPr>
        <w:pStyle w:val="Body"/>
        <w:rPr>
          <w:highlight w:val="yellow"/>
        </w:rPr>
      </w:pPr>
      <w:r>
        <w:rPr>
          <w:noProof/>
        </w:rPr>
        <w:drawing>
          <wp:inline distT="0" distB="0" distL="0" distR="0" wp14:anchorId="0284346F" wp14:editId="5F8F74CF">
            <wp:extent cx="5950620" cy="5443200"/>
            <wp:effectExtent l="0" t="0" r="0" b="5715"/>
            <wp:docPr id="407" name="Picture 407" descr="This figure shows a data summary of 'Measure 13.12 – Five-year relative survival from ovarian cancer'. Specially this figure focuses on the trends in five-year relative survival from ovarian cancer by age, remoteness, socio-economic status and Integrated Cancer Service for the study periods 2010-2014 and 2015-2019. The data set is available under 'Measure 13.12 – Five-year relative survival from ovarian cancer'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407" descr="This figure shows a data summary of 'Measure 13.12 – Five-year relative survival from ovarian cancer'. Specially this figure focuses on the trends in five-year relative survival from ovarian cancer by age, remoteness, socio-economic status and Integrated Cancer Service for the study periods 2010-2014 and 2015-2019. The data set is available under 'Measure 13.12 – Five-year relative survival from ovarian cancer' in a separate volume, the Victorian cancer plan monitoring and evaluation framework: baseline progress report: Appendix 2: Datasets available on Cancer care &lt;https://www.health.vic.gov.au/health-strategies/cancer-care&gt;."/>
                    <pic:cNvPicPr/>
                  </pic:nvPicPr>
                  <pic:blipFill>
                    <a:blip r:embed="rId161"/>
                    <a:stretch>
                      <a:fillRect/>
                    </a:stretch>
                  </pic:blipFill>
                  <pic:spPr>
                    <a:xfrm>
                      <a:off x="0" y="0"/>
                      <a:ext cx="5960589" cy="5452319"/>
                    </a:xfrm>
                    <a:prstGeom prst="rect">
                      <a:avLst/>
                    </a:prstGeom>
                  </pic:spPr>
                </pic:pic>
              </a:graphicData>
            </a:graphic>
          </wp:inline>
        </w:drawing>
      </w:r>
    </w:p>
    <w:p w14:paraId="7F133B59" w14:textId="77777777" w:rsidR="00292107" w:rsidRPr="00895DD4" w:rsidRDefault="00292107" w:rsidP="00A86D9D">
      <w:pPr>
        <w:pStyle w:val="Tablefigurenote"/>
        <w:rPr>
          <w:i/>
          <w:iCs/>
          <w:sz w:val="18"/>
          <w:szCs w:val="18"/>
        </w:rPr>
      </w:pPr>
      <w:r w:rsidRPr="00895DD4">
        <w:rPr>
          <w:i/>
          <w:iCs/>
          <w:sz w:val="18"/>
          <w:szCs w:val="18"/>
        </w:rPr>
        <w:t xml:space="preserve">Notes: </w:t>
      </w:r>
    </w:p>
    <w:p w14:paraId="1B16AF69" w14:textId="6658FDF3" w:rsidR="00A86D9D" w:rsidRPr="00895DD4" w:rsidRDefault="00A86D9D" w:rsidP="00A86D9D">
      <w:pPr>
        <w:pStyle w:val="Tablefigurenote"/>
        <w:rPr>
          <w:i/>
          <w:iCs/>
          <w:sz w:val="18"/>
          <w:szCs w:val="18"/>
        </w:rPr>
      </w:pPr>
      <w:r w:rsidRPr="00895DD4">
        <w:rPr>
          <w:i/>
          <w:iCs/>
          <w:sz w:val="18"/>
          <w:szCs w:val="18"/>
        </w:rPr>
        <w:t>Analysis for the age group 0–14 years was excluded because of low numbers.</w:t>
      </w:r>
    </w:p>
    <w:p w14:paraId="505407A4" w14:textId="0E5B0A7F" w:rsidR="00A86D9D" w:rsidRPr="00895DD4" w:rsidRDefault="00A86D9D" w:rsidP="00A86D9D">
      <w:pPr>
        <w:pStyle w:val="Tablefigurenote"/>
        <w:rPr>
          <w:i/>
          <w:iCs/>
          <w:sz w:val="18"/>
          <w:szCs w:val="18"/>
        </w:rPr>
      </w:pPr>
      <w:r w:rsidRPr="00895DD4">
        <w:rPr>
          <w:i/>
          <w:iCs/>
          <w:sz w:val="18"/>
          <w:szCs w:val="18"/>
        </w:rPr>
        <w:t>Error bars indicate 95</w:t>
      </w:r>
      <w:r w:rsidR="0054537F">
        <w:rPr>
          <w:i/>
          <w:iCs/>
          <w:sz w:val="18"/>
          <w:szCs w:val="18"/>
        </w:rPr>
        <w:t>%</w:t>
      </w:r>
      <w:r w:rsidRPr="00895DD4">
        <w:rPr>
          <w:i/>
          <w:iCs/>
          <w:sz w:val="18"/>
          <w:szCs w:val="18"/>
        </w:rPr>
        <w:t xml:space="preserve"> confidence intervals.</w:t>
      </w:r>
    </w:p>
    <w:p w14:paraId="42B5F6C5" w14:textId="397E03EF" w:rsidR="00A86D9D" w:rsidRPr="00895DD4" w:rsidRDefault="00A86D9D" w:rsidP="00A86D9D">
      <w:pPr>
        <w:pStyle w:val="Tablefigurenote"/>
        <w:rPr>
          <w:i/>
          <w:iCs/>
          <w:sz w:val="18"/>
          <w:szCs w:val="18"/>
        </w:rPr>
      </w:pPr>
      <w:r w:rsidRPr="00895DD4">
        <w:rPr>
          <w:i/>
          <w:iCs/>
          <w:sz w:val="18"/>
          <w:szCs w:val="18"/>
        </w:rPr>
        <w:t>Remoteness is classified according to the ASGC Remoteness Areas.</w:t>
      </w:r>
    </w:p>
    <w:p w14:paraId="59C8B563" w14:textId="720873DD" w:rsidR="00A86D9D" w:rsidRPr="00895DD4" w:rsidRDefault="00A86D9D" w:rsidP="00A86D9D">
      <w:pPr>
        <w:pStyle w:val="Tablefigurenote"/>
        <w:rPr>
          <w:i/>
          <w:iCs/>
          <w:sz w:val="18"/>
          <w:szCs w:val="18"/>
        </w:rPr>
      </w:pPr>
      <w:r w:rsidRPr="00895DD4">
        <w:rPr>
          <w:i/>
          <w:iCs/>
          <w:sz w:val="18"/>
          <w:szCs w:val="18"/>
        </w:rPr>
        <w:t>SES is classified according to the SEIFA Index of Relative Socio-economic Disadvantage – 1= lowest and 5 = highest.</w:t>
      </w:r>
    </w:p>
    <w:p w14:paraId="088DFCCD" w14:textId="1591132B" w:rsidR="00071BD6" w:rsidRPr="00B416BE" w:rsidRDefault="00A86D9D" w:rsidP="00B416BE">
      <w:pPr>
        <w:pStyle w:val="Tablefigurenote"/>
      </w:pPr>
      <w:r w:rsidRPr="00895DD4">
        <w:rPr>
          <w:i/>
          <w:iCs/>
          <w:sz w:val="18"/>
          <w:szCs w:val="18"/>
        </w:rPr>
        <w:t>Appendix 2 provides the dataset.</w:t>
      </w:r>
      <w:r w:rsidR="00071BD6">
        <w:br w:type="page"/>
      </w:r>
    </w:p>
    <w:p w14:paraId="3D4C6AEA" w14:textId="32447D77" w:rsidR="00CD628B" w:rsidRPr="00671C7A" w:rsidRDefault="00CD628B" w:rsidP="007C7F00">
      <w:pPr>
        <w:pStyle w:val="Heading4"/>
      </w:pPr>
      <w:r w:rsidRPr="00146660">
        <w:lastRenderedPageBreak/>
        <w:t>Measure assessment</w:t>
      </w:r>
    </w:p>
    <w:p w14:paraId="0E4C283B" w14:textId="22253AC1" w:rsidR="00026CF2" w:rsidRPr="00026CF2" w:rsidRDefault="00CD628B" w:rsidP="00606436">
      <w:pPr>
        <w:pStyle w:val="Body"/>
      </w:pPr>
      <w:r>
        <w:t xml:space="preserve">Traffic light rating: </w:t>
      </w:r>
      <w:r w:rsidR="00964859" w:rsidRPr="00567EB1">
        <w:rPr>
          <w:b/>
          <w:color w:val="C5511A"/>
        </w:rPr>
        <w:t>Amber</w:t>
      </w:r>
      <w:r w:rsidR="00026CF2">
        <w:rPr>
          <w:b/>
        </w:rPr>
        <w:t xml:space="preserve"> </w:t>
      </w:r>
      <w:r w:rsidR="00026CF2" w:rsidRPr="00EA3932">
        <w:t>(desired result not yet evident)</w:t>
      </w:r>
    </w:p>
    <w:p w14:paraId="36E0B18B" w14:textId="5564FEB2" w:rsidR="00CD628B" w:rsidRDefault="00CD628B" w:rsidP="00606436">
      <w:pPr>
        <w:pStyle w:val="Body"/>
      </w:pPr>
      <w:r>
        <w:t xml:space="preserve">Overall trend: </w:t>
      </w:r>
      <w:r w:rsidR="00071BD6">
        <w:t>Appears to be moving in the right direction</w:t>
      </w:r>
    </w:p>
    <w:p w14:paraId="7A0E950A" w14:textId="2071DD5E" w:rsidR="00A52007" w:rsidRPr="00071BD6" w:rsidRDefault="00CD628B" w:rsidP="00606436">
      <w:pPr>
        <w:pStyle w:val="Body"/>
      </w:pPr>
      <w:r w:rsidRPr="00731AC9">
        <w:t>Commentary:</w:t>
      </w:r>
      <w:r w:rsidR="004C4848" w:rsidRPr="00731AC9">
        <w:t xml:space="preserve"> </w:t>
      </w:r>
      <w:r w:rsidR="00A52007">
        <w:t>In 2010</w:t>
      </w:r>
      <w:r w:rsidR="00CA6D80">
        <w:t>–</w:t>
      </w:r>
      <w:r w:rsidR="00A52007">
        <w:t>2014, Australian</w:t>
      </w:r>
      <w:r w:rsidR="002465BD">
        <w:t xml:space="preserve"> women</w:t>
      </w:r>
      <w:r w:rsidR="00A52007">
        <w:t xml:space="preserve"> diagnosed with ovarian cancer had </w:t>
      </w:r>
      <w:r w:rsidR="0047481F">
        <w:t xml:space="preserve">a </w:t>
      </w:r>
      <w:r w:rsidR="00AC45C4">
        <w:t>44.8</w:t>
      </w:r>
      <w:r w:rsidR="0054537F">
        <w:t>%</w:t>
      </w:r>
      <w:r w:rsidR="00AC45C4">
        <w:t xml:space="preserve"> chance of surviving</w:t>
      </w:r>
      <w:r w:rsidR="002465BD">
        <w:t xml:space="preserve"> for</w:t>
      </w:r>
      <w:r w:rsidR="00AC45C4">
        <w:t xml:space="preserve"> </w:t>
      </w:r>
      <w:r w:rsidR="00CA6D80">
        <w:t>five</w:t>
      </w:r>
      <w:r w:rsidR="00AC45C4">
        <w:t xml:space="preserve"> years</w:t>
      </w:r>
      <w:r w:rsidR="00071BD6">
        <w:rPr>
          <w:rStyle w:val="FootnoteReference"/>
          <w:rFonts w:cs="Arial"/>
        </w:rPr>
        <w:footnoteReference w:id="203"/>
      </w:r>
      <w:r w:rsidR="00AC45C4">
        <w:t xml:space="preserve"> compared with </w:t>
      </w:r>
      <w:r w:rsidR="007C3F2F">
        <w:t>4</w:t>
      </w:r>
      <w:r w:rsidR="00071BD6">
        <w:t>4.</w:t>
      </w:r>
      <w:r w:rsidR="00146660">
        <w:t>2</w:t>
      </w:r>
      <w:r w:rsidR="0054537F">
        <w:t>%</w:t>
      </w:r>
      <w:r w:rsidR="007C3F2F">
        <w:t xml:space="preserve"> for Victorian women</w:t>
      </w:r>
      <w:r w:rsidR="00071BD6">
        <w:t xml:space="preserve"> for the same </w:t>
      </w:r>
      <w:r w:rsidR="00071BD6" w:rsidRPr="00071BD6">
        <w:t>period (</w:t>
      </w:r>
      <w:r w:rsidR="00071BD6" w:rsidRPr="00071BD6">
        <w:rPr>
          <w:lang w:val="en"/>
        </w:rPr>
        <w:t>refer to Tables 13.1</w:t>
      </w:r>
      <w:r w:rsidR="00071BD6">
        <w:rPr>
          <w:lang w:val="en"/>
        </w:rPr>
        <w:t>2</w:t>
      </w:r>
      <w:r w:rsidR="00071BD6" w:rsidRPr="00071BD6">
        <w:rPr>
          <w:lang w:val="en"/>
        </w:rPr>
        <w:t>a and b, Appendix 2).</w:t>
      </w:r>
    </w:p>
    <w:p w14:paraId="1E1D8B0E" w14:textId="327D5C10" w:rsidR="00071BD6" w:rsidRPr="004B4B01" w:rsidRDefault="00AC45C4" w:rsidP="00606436">
      <w:pPr>
        <w:pStyle w:val="Body"/>
      </w:pPr>
      <w:r w:rsidRPr="00071BD6">
        <w:t>In Victoria s</w:t>
      </w:r>
      <w:r w:rsidR="004C4848" w:rsidRPr="00071BD6">
        <w:t>urvival d</w:t>
      </w:r>
      <w:r w:rsidR="00071BD6" w:rsidRPr="00071BD6">
        <w:t>ecreased markedly</w:t>
      </w:r>
      <w:r w:rsidR="004C4848" w:rsidRPr="00071BD6">
        <w:t xml:space="preserve"> with age. Five-year survival was highest for women diagnosed </w:t>
      </w:r>
      <w:r w:rsidR="006A2851" w:rsidRPr="00071BD6">
        <w:t>in the 25</w:t>
      </w:r>
      <w:r w:rsidR="009D0E1A" w:rsidRPr="00071BD6">
        <w:t>–</w:t>
      </w:r>
      <w:r w:rsidR="006A2851" w:rsidRPr="00071BD6">
        <w:t xml:space="preserve">34 age range </w:t>
      </w:r>
      <w:r w:rsidR="00071BD6" w:rsidRPr="00071BD6">
        <w:t>(</w:t>
      </w:r>
      <w:r w:rsidR="00071BD6">
        <w:t>8</w:t>
      </w:r>
      <w:r w:rsidR="00146660">
        <w:t>4</w:t>
      </w:r>
      <w:r w:rsidR="00071BD6">
        <w:t>.</w:t>
      </w:r>
      <w:r w:rsidR="00146660">
        <w:t>6</w:t>
      </w:r>
      <w:r w:rsidR="0054537F">
        <w:t>%</w:t>
      </w:r>
      <w:r w:rsidR="00071BD6" w:rsidRPr="00071BD6">
        <w:t xml:space="preserve">, 2010–2014; </w:t>
      </w:r>
      <w:r w:rsidR="00071BD6">
        <w:t>82.</w:t>
      </w:r>
      <w:r w:rsidR="00146660">
        <w:t>8</w:t>
      </w:r>
      <w:r w:rsidR="0054537F">
        <w:t>%</w:t>
      </w:r>
      <w:r w:rsidR="00071BD6" w:rsidRPr="00071BD6">
        <w:t>, 2015–2019)</w:t>
      </w:r>
      <w:r w:rsidR="004C4848" w:rsidRPr="00071BD6">
        <w:t xml:space="preserve"> but decreased with each older age group. It was </w:t>
      </w:r>
      <w:r w:rsidR="00071BD6">
        <w:t>1</w:t>
      </w:r>
      <w:r w:rsidR="00146660">
        <w:t>6.0</w:t>
      </w:r>
      <w:r w:rsidR="0054537F">
        <w:t>%</w:t>
      </w:r>
      <w:r w:rsidR="0012510C">
        <w:t xml:space="preserve"> in</w:t>
      </w:r>
      <w:r w:rsidR="00071BD6" w:rsidRPr="00071BD6">
        <w:t xml:space="preserve"> 2010–2014</w:t>
      </w:r>
      <w:r w:rsidR="0012510C">
        <w:t>,</w:t>
      </w:r>
      <w:r w:rsidR="00071BD6">
        <w:t xml:space="preserve"> decreasing</w:t>
      </w:r>
      <w:r w:rsidR="00071BD6" w:rsidRPr="00071BD6">
        <w:t xml:space="preserve"> </w:t>
      </w:r>
      <w:r w:rsidR="0012510C">
        <w:t xml:space="preserve">to </w:t>
      </w:r>
      <w:r w:rsidR="00071BD6">
        <w:t>6.1</w:t>
      </w:r>
      <w:r w:rsidR="0054537F">
        <w:t>%</w:t>
      </w:r>
      <w:r w:rsidR="0012510C">
        <w:t xml:space="preserve"> in</w:t>
      </w:r>
      <w:r w:rsidR="00071BD6" w:rsidRPr="00071BD6">
        <w:t xml:space="preserve"> 2015–2019</w:t>
      </w:r>
      <w:r w:rsidR="00071BD6">
        <w:t xml:space="preserve"> </w:t>
      </w:r>
      <w:r w:rsidR="004C4848" w:rsidRPr="00071BD6">
        <w:t>for women aged 8</w:t>
      </w:r>
      <w:r w:rsidR="006A2851" w:rsidRPr="00071BD6">
        <w:t>5</w:t>
      </w:r>
      <w:r w:rsidR="004C4848" w:rsidRPr="00071BD6">
        <w:t xml:space="preserve"> </w:t>
      </w:r>
      <w:r w:rsidR="001B50BF" w:rsidRPr="00071BD6">
        <w:t>or older</w:t>
      </w:r>
      <w:r w:rsidR="00DD3DAF" w:rsidRPr="00071BD6">
        <w:t xml:space="preserve"> (Figure 13.12</w:t>
      </w:r>
      <w:r w:rsidR="00952E73">
        <w:t xml:space="preserve"> (</w:t>
      </w:r>
      <w:r w:rsidR="00071BD6">
        <w:t>A)</w:t>
      </w:r>
      <w:r w:rsidR="00DD3DAF" w:rsidRPr="00071BD6">
        <w:t>).</w:t>
      </w:r>
    </w:p>
    <w:p w14:paraId="6683F909" w14:textId="7DCBB1DF" w:rsidR="00777266" w:rsidRDefault="004C4848" w:rsidP="00606436">
      <w:pPr>
        <w:pStyle w:val="Body"/>
        <w:rPr>
          <w:rFonts w:cs="Arial"/>
        </w:rPr>
      </w:pPr>
      <w:r w:rsidRPr="00606436">
        <w:t xml:space="preserve">Five-year survival was </w:t>
      </w:r>
      <w:r w:rsidR="00777266" w:rsidRPr="00606436">
        <w:t>generally higher in major cities between the two periods (</w:t>
      </w:r>
      <w:r w:rsidR="00071BD6" w:rsidRPr="00606436">
        <w:t>4</w:t>
      </w:r>
      <w:r w:rsidR="007417F9" w:rsidRPr="00606436">
        <w:t>7</w:t>
      </w:r>
      <w:r w:rsidR="00071BD6" w:rsidRPr="00606436">
        <w:t>.</w:t>
      </w:r>
      <w:r w:rsidR="007417F9" w:rsidRPr="00606436">
        <w:t>5</w:t>
      </w:r>
      <w:r w:rsidR="0054537F">
        <w:t>%</w:t>
      </w:r>
      <w:r w:rsidR="0012510C">
        <w:t xml:space="preserve"> in</w:t>
      </w:r>
      <w:r w:rsidR="00071BD6" w:rsidRPr="00606436">
        <w:t xml:space="preserve"> 2010–2014 decreasing </w:t>
      </w:r>
      <w:r w:rsidR="0012510C">
        <w:t xml:space="preserve">to </w:t>
      </w:r>
      <w:r w:rsidR="00777266" w:rsidRPr="00606436">
        <w:t>47.3</w:t>
      </w:r>
      <w:r w:rsidR="0054537F">
        <w:t>%</w:t>
      </w:r>
      <w:r w:rsidR="0012510C">
        <w:t xml:space="preserve"> in</w:t>
      </w:r>
      <w:r w:rsidR="00071BD6" w:rsidRPr="00606436">
        <w:t xml:space="preserve"> 2015–2019</w:t>
      </w:r>
      <w:r w:rsidR="00777266" w:rsidRPr="00606436">
        <w:t xml:space="preserve">) compared </w:t>
      </w:r>
      <w:r w:rsidR="002C060B" w:rsidRPr="00606436">
        <w:t xml:space="preserve">with </w:t>
      </w:r>
      <w:r w:rsidR="00777266" w:rsidRPr="00606436">
        <w:t>inner regional and outer regional/remote areas (Figure 13.12</w:t>
      </w:r>
      <w:r w:rsidR="00952E73">
        <w:t xml:space="preserve"> </w:t>
      </w:r>
      <w:r w:rsidR="00777266" w:rsidRPr="00606436">
        <w:t xml:space="preserve">(B)). </w:t>
      </w:r>
      <w:r w:rsidR="006A2851" w:rsidRPr="00606436">
        <w:t xml:space="preserve">The same pattern emerged for </w:t>
      </w:r>
      <w:r w:rsidR="008869C1" w:rsidRPr="00606436">
        <w:t>five-y</w:t>
      </w:r>
      <w:r w:rsidR="006A2851" w:rsidRPr="00606436">
        <w:t>ear survival with</w:t>
      </w:r>
      <w:r w:rsidR="002465BD" w:rsidRPr="00606436">
        <w:t>in</w:t>
      </w:r>
      <w:r w:rsidR="00213D7F" w:rsidRPr="00606436">
        <w:t xml:space="preserve"> metropolitan</w:t>
      </w:r>
      <w:r w:rsidR="006A2851" w:rsidRPr="00606436">
        <w:t xml:space="preserve"> ICSs</w:t>
      </w:r>
      <w:r w:rsidR="00777266" w:rsidRPr="00606436">
        <w:t xml:space="preserve"> across the two periods</w:t>
      </w:r>
      <w:r w:rsidR="00213D7F" w:rsidRPr="00606436">
        <w:t xml:space="preserve">. </w:t>
      </w:r>
      <w:r w:rsidR="00731AC9" w:rsidRPr="00606436">
        <w:t xml:space="preserve">For example, </w:t>
      </w:r>
      <w:r w:rsidR="009D0E1A" w:rsidRPr="00606436">
        <w:t>five</w:t>
      </w:r>
      <w:r w:rsidR="00731AC9" w:rsidRPr="00606436">
        <w:t>-year survival for</w:t>
      </w:r>
      <w:r w:rsidR="00F211C1" w:rsidRPr="00606436">
        <w:t xml:space="preserve"> </w:t>
      </w:r>
      <w:r w:rsidR="004230EA" w:rsidRPr="00606436">
        <w:t>metropolitan</w:t>
      </w:r>
      <w:r w:rsidR="00F211C1" w:rsidRPr="00606436">
        <w:t xml:space="preserve"> ICS</w:t>
      </w:r>
      <w:r w:rsidR="00F32968" w:rsidRPr="00606436">
        <w:t>s</w:t>
      </w:r>
      <w:r w:rsidR="00F211C1" w:rsidRPr="00606436">
        <w:t xml:space="preserve"> such as SMICS</w:t>
      </w:r>
      <w:r w:rsidR="00F32968" w:rsidRPr="00606436">
        <w:t xml:space="preserve"> and</w:t>
      </w:r>
      <w:r w:rsidR="00F211C1" w:rsidRPr="00606436">
        <w:t xml:space="preserve"> WCMICS were higher </w:t>
      </w:r>
      <w:r w:rsidR="00777266" w:rsidRPr="00606436">
        <w:t>(45.5</w:t>
      </w:r>
      <w:r w:rsidR="0054537F">
        <w:t>%</w:t>
      </w:r>
      <w:r w:rsidR="00777266" w:rsidRPr="00606436">
        <w:t>, 2010–2014; 47.7</w:t>
      </w:r>
      <w:r w:rsidR="0054537F">
        <w:t>%</w:t>
      </w:r>
      <w:r w:rsidR="00777266" w:rsidRPr="00606436">
        <w:t>, 2015–2019 and 4</w:t>
      </w:r>
      <w:r w:rsidR="007417F9" w:rsidRPr="00606436">
        <w:t>8</w:t>
      </w:r>
      <w:r w:rsidR="00777266" w:rsidRPr="00606436">
        <w:t>.</w:t>
      </w:r>
      <w:r w:rsidR="007417F9" w:rsidRPr="00606436">
        <w:t>4</w:t>
      </w:r>
      <w:r w:rsidR="0054537F">
        <w:rPr>
          <w:rFonts w:cs="Arial"/>
        </w:rPr>
        <w:t>%</w:t>
      </w:r>
      <w:r w:rsidR="00777266">
        <w:rPr>
          <w:rFonts w:cs="Arial"/>
        </w:rPr>
        <w:t>, 2010</w:t>
      </w:r>
      <w:r w:rsidR="00777266" w:rsidRPr="00AC7AFA">
        <w:rPr>
          <w:rFonts w:cs="Arial"/>
        </w:rPr>
        <w:t>–</w:t>
      </w:r>
      <w:r w:rsidR="00777266">
        <w:rPr>
          <w:rFonts w:cs="Arial"/>
        </w:rPr>
        <w:t>2014; 50.</w:t>
      </w:r>
      <w:r w:rsidR="007417F9">
        <w:rPr>
          <w:rFonts w:cs="Arial"/>
        </w:rPr>
        <w:t>6</w:t>
      </w:r>
      <w:r w:rsidR="0054537F">
        <w:rPr>
          <w:rFonts w:cs="Arial"/>
        </w:rPr>
        <w:t>%</w:t>
      </w:r>
      <w:r w:rsidR="00777266">
        <w:rPr>
          <w:rFonts w:cs="Arial"/>
        </w:rPr>
        <w:t>, 2015</w:t>
      </w:r>
      <w:r w:rsidR="00777266" w:rsidRPr="00AC7AFA">
        <w:rPr>
          <w:rFonts w:cs="Arial"/>
        </w:rPr>
        <w:t>–</w:t>
      </w:r>
      <w:r w:rsidR="00777266">
        <w:rPr>
          <w:rFonts w:cs="Arial"/>
        </w:rPr>
        <w:t xml:space="preserve">2019 respectively) </w:t>
      </w:r>
      <w:r w:rsidR="00F211C1">
        <w:rPr>
          <w:rFonts w:cs="Arial"/>
        </w:rPr>
        <w:t xml:space="preserve">compared </w:t>
      </w:r>
      <w:r w:rsidR="001B50BF">
        <w:rPr>
          <w:rFonts w:cs="Arial"/>
        </w:rPr>
        <w:t xml:space="preserve">with </w:t>
      </w:r>
      <w:r w:rsidR="00F211C1">
        <w:rPr>
          <w:rFonts w:cs="Arial"/>
        </w:rPr>
        <w:t xml:space="preserve">their rural counterparts such as </w:t>
      </w:r>
      <w:r w:rsidR="00777266">
        <w:rPr>
          <w:rFonts w:cs="Arial"/>
        </w:rPr>
        <w:t>G</w:t>
      </w:r>
      <w:r w:rsidR="00F211C1">
        <w:rPr>
          <w:rFonts w:cs="Arial"/>
        </w:rPr>
        <w:t>ICS</w:t>
      </w:r>
      <w:r w:rsidR="00777266">
        <w:rPr>
          <w:rFonts w:cs="Arial"/>
        </w:rPr>
        <w:t xml:space="preserve"> (3</w:t>
      </w:r>
      <w:r w:rsidR="007417F9">
        <w:rPr>
          <w:rFonts w:cs="Arial"/>
        </w:rPr>
        <w:t>5</w:t>
      </w:r>
      <w:r w:rsidR="00777266">
        <w:rPr>
          <w:rFonts w:cs="Arial"/>
        </w:rPr>
        <w:t>.</w:t>
      </w:r>
      <w:r w:rsidR="007417F9">
        <w:rPr>
          <w:rFonts w:cs="Arial"/>
        </w:rPr>
        <w:t>4</w:t>
      </w:r>
      <w:r w:rsidR="0054537F">
        <w:rPr>
          <w:rFonts w:cs="Arial"/>
        </w:rPr>
        <w:t>%</w:t>
      </w:r>
      <w:r w:rsidR="00777266">
        <w:rPr>
          <w:rFonts w:cs="Arial"/>
        </w:rPr>
        <w:t>, 2010</w:t>
      </w:r>
      <w:r w:rsidR="00777266" w:rsidRPr="00AC7AFA">
        <w:rPr>
          <w:rFonts w:cs="Arial"/>
        </w:rPr>
        <w:t>–</w:t>
      </w:r>
      <w:r w:rsidR="00777266">
        <w:rPr>
          <w:rFonts w:cs="Arial"/>
        </w:rPr>
        <w:t>2014; 42.</w:t>
      </w:r>
      <w:r w:rsidR="007417F9">
        <w:rPr>
          <w:rFonts w:cs="Arial"/>
        </w:rPr>
        <w:t>7</w:t>
      </w:r>
      <w:r w:rsidR="0054537F">
        <w:rPr>
          <w:rFonts w:cs="Arial"/>
        </w:rPr>
        <w:t>%</w:t>
      </w:r>
      <w:r w:rsidR="00777266">
        <w:rPr>
          <w:rFonts w:cs="Arial"/>
        </w:rPr>
        <w:t>, 2015</w:t>
      </w:r>
      <w:r w:rsidR="00777266" w:rsidRPr="00AC7AFA">
        <w:rPr>
          <w:rFonts w:cs="Arial"/>
        </w:rPr>
        <w:t>–</w:t>
      </w:r>
      <w:r w:rsidR="00777266">
        <w:rPr>
          <w:rFonts w:cs="Arial"/>
        </w:rPr>
        <w:t>2019</w:t>
      </w:r>
      <w:r w:rsidR="00777266" w:rsidRPr="008721E1">
        <w:rPr>
          <w:rFonts w:cs="Arial"/>
        </w:rPr>
        <w:t xml:space="preserve">) </w:t>
      </w:r>
      <w:r w:rsidR="00F211C1">
        <w:rPr>
          <w:rFonts w:cs="Arial"/>
        </w:rPr>
        <w:t>(Figure 13.12</w:t>
      </w:r>
      <w:r w:rsidR="00952E73">
        <w:rPr>
          <w:rFonts w:cs="Arial"/>
        </w:rPr>
        <w:t xml:space="preserve"> </w:t>
      </w:r>
      <w:r w:rsidR="00777266">
        <w:rPr>
          <w:rFonts w:cs="Arial"/>
        </w:rPr>
        <w:t>(D)</w:t>
      </w:r>
      <w:r w:rsidR="00F211C1">
        <w:rPr>
          <w:rFonts w:cs="Arial"/>
        </w:rPr>
        <w:t>)</w:t>
      </w:r>
      <w:r w:rsidR="005E0D67">
        <w:rPr>
          <w:rFonts w:cs="Arial"/>
        </w:rPr>
        <w:t>.</w:t>
      </w:r>
    </w:p>
    <w:p w14:paraId="174549E2" w14:textId="62E051AF" w:rsidR="00741BE7" w:rsidRPr="00A451D4" w:rsidRDefault="00741BE7" w:rsidP="006D0DC0">
      <w:pPr>
        <w:pStyle w:val="Body"/>
      </w:pPr>
      <w:r w:rsidRPr="00741BE7">
        <w:rPr>
          <w:rFonts w:cs="Arial"/>
        </w:rPr>
        <w:t xml:space="preserve">There was a fluctuating gradient of </w:t>
      </w:r>
      <w:r w:rsidRPr="00606436">
        <w:t>survival with greater socioeconomic disadvantage</w:t>
      </w:r>
      <w:r w:rsidR="003F0B77">
        <w:t xml:space="preserve"> between the two period</w:t>
      </w:r>
      <w:r w:rsidR="004A3609">
        <w:t xml:space="preserve">s that is for </w:t>
      </w:r>
      <w:r w:rsidRPr="00606436">
        <w:t>the highest socioeconomic quintile (</w:t>
      </w:r>
      <w:r w:rsidR="0012510C">
        <w:t>SES</w:t>
      </w:r>
      <w:r w:rsidRPr="00606436">
        <w:t xml:space="preserve"> 5) and the lowest (</w:t>
      </w:r>
      <w:r w:rsidR="0012510C">
        <w:t>SES</w:t>
      </w:r>
      <w:r w:rsidRPr="00606436">
        <w:t xml:space="preserve"> 1) socioeconomic quintile (Figure 13.12 (C)).</w:t>
      </w:r>
      <w:bookmarkStart w:id="1036" w:name="_Measure_13.13_–"/>
      <w:bookmarkStart w:id="1037" w:name="_Toc19008182"/>
      <w:bookmarkEnd w:id="1036"/>
      <w:r w:rsidRPr="00A451D4">
        <w:t xml:space="preserve"> </w:t>
      </w:r>
      <w:r w:rsidRPr="00A451D4">
        <w:br w:type="page"/>
      </w:r>
    </w:p>
    <w:p w14:paraId="0E9302AC" w14:textId="0A11A8A7" w:rsidR="00741BE7" w:rsidRPr="00A451D4" w:rsidRDefault="00741BE7" w:rsidP="00A451D4">
      <w:pPr>
        <w:pStyle w:val="Heading3"/>
        <w:rPr>
          <w:b/>
        </w:rPr>
      </w:pPr>
      <w:bookmarkStart w:id="1038" w:name="_Toc19008184"/>
      <w:bookmarkStart w:id="1039" w:name="_Toc19008379"/>
      <w:bookmarkStart w:id="1040" w:name="_Toc19008526"/>
      <w:bookmarkStart w:id="1041" w:name="_Toc19008673"/>
      <w:bookmarkEnd w:id="1037"/>
      <w:r w:rsidRPr="00A451D4">
        <w:rPr>
          <w:b/>
        </w:rPr>
        <w:lastRenderedPageBreak/>
        <w:t>Measure 13.13 – Five-year relative survival from colorectal cancer (C18–20)</w:t>
      </w:r>
    </w:p>
    <w:p w14:paraId="3286ACC0" w14:textId="0739341D" w:rsidR="002A2CBF" w:rsidRPr="00895DD4" w:rsidRDefault="002A2CBF" w:rsidP="008D320F">
      <w:pPr>
        <w:pStyle w:val="Figurecaption"/>
        <w:rPr>
          <w:sz w:val="20"/>
        </w:rPr>
      </w:pPr>
      <w:bookmarkStart w:id="1042" w:name="_Toc132553098"/>
      <w:bookmarkStart w:id="1043" w:name="_Toc140827711"/>
      <w:r w:rsidRPr="00895DD4">
        <w:rPr>
          <w:sz w:val="20"/>
        </w:rPr>
        <w:t>Figure 13.13</w:t>
      </w:r>
      <w:r w:rsidR="00C03D95" w:rsidRPr="00895DD4">
        <w:rPr>
          <w:sz w:val="20"/>
        </w:rPr>
        <w:t>:</w:t>
      </w:r>
      <w:r w:rsidRPr="00895DD4">
        <w:rPr>
          <w:sz w:val="20"/>
        </w:rPr>
        <w:t xml:space="preserve"> Five-year relative survival from colorectal cancer</w:t>
      </w:r>
      <w:r w:rsidR="00246BDF" w:rsidRPr="00895DD4">
        <w:rPr>
          <w:sz w:val="20"/>
        </w:rPr>
        <w:t>,</w:t>
      </w:r>
      <w:r w:rsidRPr="00895DD4">
        <w:rPr>
          <w:sz w:val="20"/>
        </w:rPr>
        <w:t xml:space="preserve"> by age (A), remoteness (B)</w:t>
      </w:r>
      <w:r w:rsidR="00C20484" w:rsidRPr="00895DD4">
        <w:rPr>
          <w:sz w:val="20"/>
        </w:rPr>
        <w:t xml:space="preserve">, </w:t>
      </w:r>
      <w:r w:rsidR="00DE7FFE" w:rsidRPr="00895DD4">
        <w:rPr>
          <w:sz w:val="20"/>
        </w:rPr>
        <w:t>SES</w:t>
      </w:r>
      <w:r w:rsidR="00C20484" w:rsidRPr="00895DD4">
        <w:rPr>
          <w:sz w:val="20"/>
        </w:rPr>
        <w:t xml:space="preserve"> (C)</w:t>
      </w:r>
      <w:r w:rsidRPr="00895DD4">
        <w:rPr>
          <w:sz w:val="20"/>
        </w:rPr>
        <w:t xml:space="preserve"> and </w:t>
      </w:r>
      <w:r w:rsidR="008439C8" w:rsidRPr="00895DD4">
        <w:rPr>
          <w:sz w:val="20"/>
        </w:rPr>
        <w:t>ICS</w:t>
      </w:r>
      <w:r w:rsidRPr="00895DD4">
        <w:rPr>
          <w:sz w:val="20"/>
        </w:rPr>
        <w:t xml:space="preserve"> (</w:t>
      </w:r>
      <w:r w:rsidR="00C20484" w:rsidRPr="00895DD4">
        <w:rPr>
          <w:sz w:val="20"/>
        </w:rPr>
        <w:t>D</w:t>
      </w:r>
      <w:r w:rsidRPr="00895DD4">
        <w:rPr>
          <w:sz w:val="20"/>
        </w:rPr>
        <w:t>), Victoria, 2010</w:t>
      </w:r>
      <w:r w:rsidR="009D0E1A" w:rsidRPr="00895DD4">
        <w:rPr>
          <w:sz w:val="20"/>
        </w:rPr>
        <w:t>–</w:t>
      </w:r>
      <w:r w:rsidRPr="00895DD4">
        <w:rPr>
          <w:sz w:val="20"/>
        </w:rPr>
        <w:t>2014</w:t>
      </w:r>
      <w:bookmarkEnd w:id="1038"/>
      <w:bookmarkEnd w:id="1039"/>
      <w:bookmarkEnd w:id="1040"/>
      <w:bookmarkEnd w:id="1041"/>
      <w:r w:rsidR="006631EE" w:rsidRPr="00895DD4">
        <w:rPr>
          <w:sz w:val="20"/>
        </w:rPr>
        <w:t xml:space="preserve"> and 2015–2019</w:t>
      </w:r>
      <w:bookmarkEnd w:id="1042"/>
      <w:bookmarkEnd w:id="1043"/>
    </w:p>
    <w:p w14:paraId="3276DAD8" w14:textId="6A9FF4A2" w:rsidR="006631EE" w:rsidRPr="006631EE" w:rsidRDefault="00CD5273" w:rsidP="00E87AAA">
      <w:pPr>
        <w:pStyle w:val="Body"/>
      </w:pPr>
      <w:r>
        <w:rPr>
          <w:noProof/>
        </w:rPr>
        <w:drawing>
          <wp:inline distT="0" distB="0" distL="0" distR="0" wp14:anchorId="36D58E26" wp14:editId="1B41133A">
            <wp:extent cx="5933440" cy="5234400"/>
            <wp:effectExtent l="0" t="0" r="0" b="4445"/>
            <wp:docPr id="408" name="Picture 408" descr="This figure shows a data summary of 'Measure 13.13 – Five-year relative survival from colorectal cancer'. Specially this figure focuses on the trends in five-year relative survival from colorectal cancer by age, remoteness, socio-economic status and Integrated Cancer Service for the study periods 2010-2014 and 2015-2019. The data set is available under 'Measure 13.13 – Five-year relative survival from colorectal cancer'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descr="This figure shows a data summary of 'Measure 13.13 – Five-year relative survival from colorectal cancer'. Specially this figure focuses on the trends in five-year relative survival from colorectal cancer by age, remoteness, socio-economic status and Integrated Cancer Service for the study periods 2010-2014 and 2015-2019. The data set is available under 'Measure 13.13 – Five-year relative survival from colorectal cancer' in a separate volume, the Victorian cancer plan monitoring and evaluation framework: baseline progress report: Appendix 2: Datasets available on Cancer care &lt;https://www.health.vic.gov.au/health-strategies/cancer-care&gt;."/>
                    <pic:cNvPicPr/>
                  </pic:nvPicPr>
                  <pic:blipFill>
                    <a:blip r:embed="rId162"/>
                    <a:stretch>
                      <a:fillRect/>
                    </a:stretch>
                  </pic:blipFill>
                  <pic:spPr>
                    <a:xfrm>
                      <a:off x="0" y="0"/>
                      <a:ext cx="5943827" cy="5243563"/>
                    </a:xfrm>
                    <a:prstGeom prst="rect">
                      <a:avLst/>
                    </a:prstGeom>
                  </pic:spPr>
                </pic:pic>
              </a:graphicData>
            </a:graphic>
          </wp:inline>
        </w:drawing>
      </w:r>
    </w:p>
    <w:p w14:paraId="5FCDD007" w14:textId="77777777" w:rsidR="009663AE" w:rsidRPr="00895DD4" w:rsidRDefault="009663AE" w:rsidP="005A5151">
      <w:pPr>
        <w:pStyle w:val="Tablefigurenote"/>
        <w:rPr>
          <w:i/>
          <w:iCs/>
          <w:sz w:val="18"/>
          <w:szCs w:val="18"/>
        </w:rPr>
      </w:pPr>
      <w:r w:rsidRPr="00895DD4">
        <w:rPr>
          <w:i/>
          <w:iCs/>
          <w:sz w:val="18"/>
          <w:szCs w:val="18"/>
        </w:rPr>
        <w:t xml:space="preserve">Notes: </w:t>
      </w:r>
    </w:p>
    <w:p w14:paraId="75B278A0" w14:textId="77777777" w:rsidR="009663AE" w:rsidRPr="00895DD4" w:rsidRDefault="009663AE" w:rsidP="005A5151">
      <w:pPr>
        <w:pStyle w:val="Tablefigurenote"/>
        <w:rPr>
          <w:i/>
          <w:iCs/>
          <w:sz w:val="18"/>
          <w:szCs w:val="18"/>
        </w:rPr>
      </w:pPr>
      <w:r w:rsidRPr="00895DD4">
        <w:rPr>
          <w:i/>
          <w:iCs/>
          <w:sz w:val="18"/>
          <w:szCs w:val="18"/>
        </w:rPr>
        <w:t>Analysis for the age group 0–14 years was excluded because of low numbers.</w:t>
      </w:r>
    </w:p>
    <w:p w14:paraId="5ACA9B64" w14:textId="0A73AFDD" w:rsidR="009663AE" w:rsidRPr="00895DD4" w:rsidRDefault="009663AE" w:rsidP="005A5151">
      <w:pPr>
        <w:pStyle w:val="Tablefigurenote"/>
        <w:rPr>
          <w:i/>
          <w:iCs/>
          <w:sz w:val="18"/>
          <w:szCs w:val="18"/>
        </w:rPr>
      </w:pPr>
      <w:r w:rsidRPr="00895DD4">
        <w:rPr>
          <w:i/>
          <w:iCs/>
          <w:sz w:val="18"/>
          <w:szCs w:val="18"/>
        </w:rPr>
        <w:t>Error bars indicate 95</w:t>
      </w:r>
      <w:r w:rsidR="0054537F">
        <w:rPr>
          <w:i/>
          <w:iCs/>
          <w:sz w:val="18"/>
          <w:szCs w:val="18"/>
        </w:rPr>
        <w:t>%</w:t>
      </w:r>
      <w:r w:rsidRPr="00895DD4">
        <w:rPr>
          <w:i/>
          <w:iCs/>
          <w:sz w:val="18"/>
          <w:szCs w:val="18"/>
        </w:rPr>
        <w:t xml:space="preserve"> confidence intervals.</w:t>
      </w:r>
    </w:p>
    <w:p w14:paraId="29B8428A" w14:textId="1CF24E50" w:rsidR="009663AE" w:rsidRPr="00895DD4" w:rsidRDefault="009663AE" w:rsidP="005A5151">
      <w:pPr>
        <w:pStyle w:val="Tablefigurenote"/>
        <w:rPr>
          <w:b/>
          <w:i/>
          <w:iCs/>
          <w:sz w:val="18"/>
          <w:szCs w:val="18"/>
        </w:rPr>
      </w:pPr>
      <w:r w:rsidRPr="00895DD4">
        <w:rPr>
          <w:i/>
          <w:iCs/>
          <w:sz w:val="18"/>
          <w:szCs w:val="18"/>
        </w:rPr>
        <w:t>Remoteness is classified according to the ASGC Remoteness Areas.</w:t>
      </w:r>
    </w:p>
    <w:p w14:paraId="5F4F1EBF" w14:textId="4F4D8A5D" w:rsidR="009663AE" w:rsidRPr="00895DD4" w:rsidRDefault="009663AE" w:rsidP="005A5151">
      <w:pPr>
        <w:pStyle w:val="Tablefigurenote"/>
        <w:rPr>
          <w:i/>
          <w:iCs/>
          <w:sz w:val="18"/>
          <w:szCs w:val="18"/>
        </w:rPr>
      </w:pPr>
      <w:r w:rsidRPr="00895DD4">
        <w:rPr>
          <w:i/>
          <w:iCs/>
          <w:sz w:val="18"/>
          <w:szCs w:val="18"/>
        </w:rPr>
        <w:t>SES is classified according to the SEIFA Index of Relative Socio-economic Disadvantage – 1= lowest and 5 = highest.</w:t>
      </w:r>
    </w:p>
    <w:p w14:paraId="5D69D308" w14:textId="6BC1FB47" w:rsidR="00741BE7" w:rsidRPr="00B416BE" w:rsidRDefault="00DC2D82" w:rsidP="00B416BE">
      <w:pPr>
        <w:pStyle w:val="Tablefigurenote"/>
      </w:pPr>
      <w:r w:rsidRPr="00895DD4">
        <w:rPr>
          <w:i/>
          <w:iCs/>
          <w:sz w:val="18"/>
          <w:szCs w:val="18"/>
        </w:rPr>
        <w:t>Appendix 2 provides the dataset.</w:t>
      </w:r>
      <w:r w:rsidR="00741BE7">
        <w:br w:type="page"/>
      </w:r>
    </w:p>
    <w:p w14:paraId="534C976F" w14:textId="627FD70C" w:rsidR="00CD628B" w:rsidRPr="00671C7A" w:rsidRDefault="00CD628B" w:rsidP="007C7F00">
      <w:pPr>
        <w:pStyle w:val="Heading4"/>
      </w:pPr>
      <w:r w:rsidRPr="001A0777">
        <w:lastRenderedPageBreak/>
        <w:t>Measure assessment</w:t>
      </w:r>
    </w:p>
    <w:p w14:paraId="4D4E217D" w14:textId="5F0E67CF" w:rsidR="00026CF2" w:rsidRPr="00F270EA" w:rsidRDefault="00CD628B" w:rsidP="00606436">
      <w:pPr>
        <w:pStyle w:val="Body"/>
      </w:pPr>
      <w:r>
        <w:t xml:space="preserve">Traffic light rating: </w:t>
      </w:r>
      <w:r w:rsidR="00964859" w:rsidRPr="00567EB1">
        <w:rPr>
          <w:b/>
          <w:color w:val="C5511A"/>
        </w:rPr>
        <w:t>Amber</w:t>
      </w:r>
      <w:r w:rsidR="003B2982" w:rsidRPr="00567EB1">
        <w:rPr>
          <w:b/>
          <w:color w:val="C5511A"/>
        </w:rPr>
        <w:t xml:space="preserve"> </w:t>
      </w:r>
      <w:r w:rsidR="00026CF2" w:rsidRPr="00EA3932">
        <w:t>(desired result not yet evident)</w:t>
      </w:r>
    </w:p>
    <w:p w14:paraId="6F61A85A" w14:textId="2EFFB178" w:rsidR="00CD628B" w:rsidRDefault="00CD628B" w:rsidP="00606436">
      <w:pPr>
        <w:pStyle w:val="Body"/>
      </w:pPr>
      <w:r>
        <w:t xml:space="preserve">Overall trend: </w:t>
      </w:r>
      <w:r w:rsidR="005A4EE5">
        <w:t>Appears to be moving in the right direction</w:t>
      </w:r>
    </w:p>
    <w:p w14:paraId="310321AD" w14:textId="60E42F22" w:rsidR="00F8653D" w:rsidRDefault="00CD628B" w:rsidP="00E87AAA">
      <w:pPr>
        <w:pStyle w:val="Body"/>
        <w:rPr>
          <w:rFonts w:cs="Arial"/>
        </w:rPr>
      </w:pPr>
      <w:r w:rsidRPr="00AF7428">
        <w:rPr>
          <w:rFonts w:cs="Arial"/>
        </w:rPr>
        <w:t>Commentary:</w:t>
      </w:r>
      <w:r w:rsidR="000E3280">
        <w:rPr>
          <w:rFonts w:cs="Arial"/>
        </w:rPr>
        <w:t xml:space="preserve"> </w:t>
      </w:r>
      <w:r w:rsidR="000E3280" w:rsidRPr="00A13FFF">
        <w:t xml:space="preserve">In 2010–2014, Australians diagnosed </w:t>
      </w:r>
      <w:r w:rsidR="000E3280">
        <w:t xml:space="preserve">with </w:t>
      </w:r>
      <w:r w:rsidR="006B2B80">
        <w:t>CRC</w:t>
      </w:r>
      <w:r w:rsidR="000E3280">
        <w:t xml:space="preserve"> had a 69</w:t>
      </w:r>
      <w:r w:rsidR="0054537F">
        <w:t>%</w:t>
      </w:r>
      <w:r w:rsidR="000E3280" w:rsidRPr="00A13FFF">
        <w:t xml:space="preserve"> chance of surviving</w:t>
      </w:r>
      <w:r w:rsidR="007A0191">
        <w:t xml:space="preserve"> for</w:t>
      </w:r>
      <w:r w:rsidR="000E3280" w:rsidRPr="00A13FFF">
        <w:t xml:space="preserve"> </w:t>
      </w:r>
      <w:r w:rsidR="009D0E1A">
        <w:t>five</w:t>
      </w:r>
      <w:r w:rsidR="000E3280" w:rsidRPr="00A13FFF">
        <w:t xml:space="preserve"> years compared with their counterparts in t</w:t>
      </w:r>
      <w:r w:rsidR="000E3280">
        <w:t>he general population</w:t>
      </w:r>
      <w:r w:rsidR="00741BE7">
        <w:t>.</w:t>
      </w:r>
      <w:r w:rsidR="00741BE7">
        <w:rPr>
          <w:rStyle w:val="FootnoteReference"/>
          <w:lang w:eastAsia="en-AU"/>
        </w:rPr>
        <w:footnoteReference w:id="204"/>
      </w:r>
      <w:r w:rsidR="000E3280" w:rsidRPr="00A13FFF">
        <w:t xml:space="preserve"> </w:t>
      </w:r>
      <w:r w:rsidR="000E3280" w:rsidRPr="00F8653D">
        <w:t xml:space="preserve">This was the highest </w:t>
      </w:r>
      <w:r w:rsidR="00CA6D80">
        <w:t>five</w:t>
      </w:r>
      <w:r w:rsidR="000E3280" w:rsidRPr="00F8653D">
        <w:t xml:space="preserve">-year relative survival rate of all digestive-tract cancers and was similar to all cancers </w:t>
      </w:r>
      <w:r w:rsidR="000E3280" w:rsidRPr="001A0777">
        <w:t>combined (6</w:t>
      </w:r>
      <w:r w:rsidR="001A0777" w:rsidRPr="001A0777">
        <w:t>8.1</w:t>
      </w:r>
      <w:r w:rsidR="0054537F">
        <w:t>%</w:t>
      </w:r>
      <w:r w:rsidR="00F8653D" w:rsidRPr="001A0777">
        <w:t xml:space="preserve"> – Measure 13.9</w:t>
      </w:r>
      <w:r w:rsidR="000E3280" w:rsidRPr="001A0777">
        <w:t>).</w:t>
      </w:r>
      <w:r w:rsidR="00F8653D">
        <w:t xml:space="preserve"> </w:t>
      </w:r>
      <w:r w:rsidR="00F8653D" w:rsidRPr="00F8653D">
        <w:rPr>
          <w:rFonts w:cs="Arial"/>
        </w:rPr>
        <w:t xml:space="preserve">Males </w:t>
      </w:r>
      <w:r w:rsidR="004B67C4">
        <w:rPr>
          <w:rFonts w:cs="Arial"/>
        </w:rPr>
        <w:t>(6</w:t>
      </w:r>
      <w:r w:rsidR="001A0777">
        <w:rPr>
          <w:rFonts w:cs="Arial"/>
        </w:rPr>
        <w:t>7.4</w:t>
      </w:r>
      <w:r w:rsidR="0054537F">
        <w:rPr>
          <w:rFonts w:cs="Arial"/>
        </w:rPr>
        <w:t>%</w:t>
      </w:r>
      <w:r w:rsidR="004B67C4">
        <w:rPr>
          <w:rFonts w:cs="Arial"/>
        </w:rPr>
        <w:t xml:space="preserve">) </w:t>
      </w:r>
      <w:r w:rsidR="00F8653D" w:rsidRPr="00F8653D">
        <w:rPr>
          <w:rFonts w:cs="Arial"/>
        </w:rPr>
        <w:t>and females</w:t>
      </w:r>
      <w:r w:rsidR="004B67C4">
        <w:rPr>
          <w:rFonts w:cs="Arial"/>
        </w:rPr>
        <w:t xml:space="preserve"> (</w:t>
      </w:r>
      <w:r w:rsidR="001A0777">
        <w:rPr>
          <w:rFonts w:cs="Arial"/>
        </w:rPr>
        <w:t>69</w:t>
      </w:r>
      <w:r w:rsidR="0054537F">
        <w:rPr>
          <w:rFonts w:cs="Arial"/>
        </w:rPr>
        <w:t>%</w:t>
      </w:r>
      <w:r w:rsidR="004B67C4">
        <w:rPr>
          <w:rFonts w:cs="Arial"/>
        </w:rPr>
        <w:t>)</w:t>
      </w:r>
      <w:r w:rsidR="00F8653D" w:rsidRPr="00F8653D">
        <w:rPr>
          <w:rFonts w:cs="Arial"/>
        </w:rPr>
        <w:t xml:space="preserve"> had similar </w:t>
      </w:r>
      <w:r w:rsidR="009D0E1A">
        <w:rPr>
          <w:rFonts w:cs="Arial"/>
        </w:rPr>
        <w:t>five</w:t>
      </w:r>
      <w:r w:rsidR="00F8653D" w:rsidRPr="00F8653D">
        <w:rPr>
          <w:rFonts w:cs="Arial"/>
        </w:rPr>
        <w:t>-year relative survival rates</w:t>
      </w:r>
      <w:r w:rsidR="007A0191">
        <w:rPr>
          <w:rFonts w:cs="Arial"/>
        </w:rPr>
        <w:t>,</w:t>
      </w:r>
      <w:r w:rsidR="004B67C4">
        <w:rPr>
          <w:rFonts w:cs="Arial"/>
        </w:rPr>
        <w:t xml:space="preserve"> which decreased with age</w:t>
      </w:r>
      <w:r w:rsidR="005A4EE5">
        <w:rPr>
          <w:rFonts w:cs="Arial"/>
        </w:rPr>
        <w:t>.</w:t>
      </w:r>
      <w:r w:rsidR="00D575DB">
        <w:rPr>
          <w:rStyle w:val="FootnoteReference"/>
          <w:rFonts w:cs="Arial"/>
          <w:lang w:eastAsia="en-AU"/>
        </w:rPr>
        <w:footnoteReference w:id="205"/>
      </w:r>
      <w:r w:rsidR="004B67C4">
        <w:rPr>
          <w:rFonts w:cs="Arial"/>
        </w:rPr>
        <w:t xml:space="preserve"> </w:t>
      </w:r>
    </w:p>
    <w:p w14:paraId="03D5A677" w14:textId="254A2246" w:rsidR="0018035B" w:rsidRPr="00B64550" w:rsidRDefault="006B2B80" w:rsidP="00E87AAA">
      <w:pPr>
        <w:pStyle w:val="Body"/>
      </w:pPr>
      <w:r>
        <w:t xml:space="preserve">Victorians diagnosed with CRC </w:t>
      </w:r>
      <w:r w:rsidR="00741BE7">
        <w:t>for the same period (</w:t>
      </w:r>
      <w:r w:rsidR="00741BE7" w:rsidRPr="00A13FFF">
        <w:t>2010–2014</w:t>
      </w:r>
      <w:r w:rsidR="00741BE7">
        <w:t xml:space="preserve">) </w:t>
      </w:r>
      <w:r>
        <w:t xml:space="preserve">had </w:t>
      </w:r>
      <w:r w:rsidR="00741BE7">
        <w:t xml:space="preserve">the same </w:t>
      </w:r>
      <w:r>
        <w:t xml:space="preserve">chance of surviving </w:t>
      </w:r>
      <w:r w:rsidR="009D0E1A">
        <w:t>five</w:t>
      </w:r>
      <w:r>
        <w:t xml:space="preserve"> years compared </w:t>
      </w:r>
      <w:r w:rsidR="001B50BF">
        <w:t xml:space="preserve">with </w:t>
      </w:r>
      <w:r>
        <w:t>the Australian average (6</w:t>
      </w:r>
      <w:r w:rsidR="001A0777">
        <w:t>8.9</w:t>
      </w:r>
      <w:r w:rsidR="0054537F">
        <w:t>%</w:t>
      </w:r>
      <w:r>
        <w:t>)</w:t>
      </w:r>
      <w:r w:rsidR="00B64550">
        <w:t xml:space="preserve">. </w:t>
      </w:r>
      <w:r w:rsidR="0018035B">
        <w:t xml:space="preserve">Five-year survival was </w:t>
      </w:r>
      <w:r w:rsidR="001A0777">
        <w:t>69.9</w:t>
      </w:r>
      <w:r w:rsidR="0054537F">
        <w:t>%</w:t>
      </w:r>
      <w:r w:rsidR="00B64550">
        <w:t xml:space="preserve"> </w:t>
      </w:r>
      <w:r w:rsidR="0018035B">
        <w:t>for females compared with 6</w:t>
      </w:r>
      <w:r w:rsidR="00741BE7">
        <w:t>8.</w:t>
      </w:r>
      <w:r w:rsidR="001A0777">
        <w:t>0</w:t>
      </w:r>
      <w:r w:rsidR="0054537F">
        <w:t>%</w:t>
      </w:r>
      <w:r w:rsidR="0018035B">
        <w:t xml:space="preserve"> for males. </w:t>
      </w:r>
    </w:p>
    <w:p w14:paraId="3E5B13E7" w14:textId="09C3A6DB" w:rsidR="0055787B" w:rsidRPr="0055787B" w:rsidRDefault="0018035B" w:rsidP="00606436">
      <w:pPr>
        <w:pStyle w:val="Body"/>
      </w:pPr>
      <w:r w:rsidRPr="0055787B">
        <w:t>Five-year survival did not vary much under the age of 7</w:t>
      </w:r>
      <w:r w:rsidR="00C46EDF" w:rsidRPr="0055787B">
        <w:t xml:space="preserve">4 </w:t>
      </w:r>
      <w:r w:rsidR="0055787B" w:rsidRPr="0055787B">
        <w:t xml:space="preserve">for the two periods </w:t>
      </w:r>
      <w:r w:rsidRPr="0055787B">
        <w:t xml:space="preserve">but dropped </w:t>
      </w:r>
      <w:r w:rsidR="0055787B">
        <w:t>from</w:t>
      </w:r>
      <w:r w:rsidRPr="0055787B">
        <w:t xml:space="preserve"> </w:t>
      </w:r>
      <w:r w:rsidR="0055787B">
        <w:t>65.</w:t>
      </w:r>
      <w:r w:rsidR="001A0777">
        <w:t>1</w:t>
      </w:r>
      <w:r w:rsidR="0054537F">
        <w:t>%</w:t>
      </w:r>
      <w:r w:rsidR="006647D4">
        <w:t xml:space="preserve"> in</w:t>
      </w:r>
      <w:r w:rsidR="0055787B" w:rsidRPr="0055787B">
        <w:t xml:space="preserve"> 2010–2014</w:t>
      </w:r>
      <w:r w:rsidR="006647D4">
        <w:t xml:space="preserve"> and</w:t>
      </w:r>
      <w:r w:rsidR="0055787B" w:rsidRPr="0055787B">
        <w:t xml:space="preserve"> </w:t>
      </w:r>
      <w:r w:rsidR="0055787B">
        <w:t>67.</w:t>
      </w:r>
      <w:r w:rsidR="001A0777">
        <w:t>1</w:t>
      </w:r>
      <w:r w:rsidR="0054537F">
        <w:t>%</w:t>
      </w:r>
      <w:r w:rsidR="006647D4">
        <w:t xml:space="preserve"> in</w:t>
      </w:r>
      <w:r w:rsidR="0055787B" w:rsidRPr="0055787B">
        <w:t xml:space="preserve"> 2015–2019 for those in the </w:t>
      </w:r>
      <w:r w:rsidR="0055787B">
        <w:t>75</w:t>
      </w:r>
      <w:r w:rsidR="0055787B" w:rsidRPr="0055787B">
        <w:t>–</w:t>
      </w:r>
      <w:r w:rsidR="0055787B">
        <w:t>8</w:t>
      </w:r>
      <w:r w:rsidR="0055787B" w:rsidRPr="0055787B">
        <w:t xml:space="preserve">4 age group to </w:t>
      </w:r>
      <w:r w:rsidR="0055787B">
        <w:t>58.</w:t>
      </w:r>
      <w:r w:rsidR="001A0777">
        <w:t>1</w:t>
      </w:r>
      <w:r w:rsidR="0054537F">
        <w:t>%</w:t>
      </w:r>
      <w:r w:rsidR="006647D4">
        <w:t xml:space="preserve"> in</w:t>
      </w:r>
      <w:r w:rsidR="0055787B" w:rsidRPr="0055787B">
        <w:t xml:space="preserve"> 2010–2014</w:t>
      </w:r>
      <w:r w:rsidR="006647D4">
        <w:t xml:space="preserve"> and</w:t>
      </w:r>
      <w:r w:rsidR="0055787B" w:rsidRPr="0055787B">
        <w:t xml:space="preserve"> </w:t>
      </w:r>
      <w:r w:rsidR="0055787B">
        <w:t>56.</w:t>
      </w:r>
      <w:r w:rsidR="001A0777">
        <w:t>5</w:t>
      </w:r>
      <w:r w:rsidR="0054537F">
        <w:t>%</w:t>
      </w:r>
      <w:r w:rsidR="006647D4">
        <w:t xml:space="preserve"> in</w:t>
      </w:r>
      <w:r w:rsidR="0055787B" w:rsidRPr="0055787B">
        <w:t xml:space="preserve"> 2015–2019 for those aged 85 or older (Figure 13.1</w:t>
      </w:r>
      <w:r w:rsidR="0055787B">
        <w:t>3</w:t>
      </w:r>
      <w:r w:rsidR="00952E73">
        <w:t xml:space="preserve"> </w:t>
      </w:r>
      <w:r w:rsidR="0055787B" w:rsidRPr="0055787B">
        <w:t>(A)).</w:t>
      </w:r>
    </w:p>
    <w:p w14:paraId="186BD89E" w14:textId="58A3904C" w:rsidR="00B64550" w:rsidRPr="00346262" w:rsidRDefault="0018035B" w:rsidP="00606436">
      <w:pPr>
        <w:pStyle w:val="Body"/>
      </w:pPr>
      <w:r w:rsidRPr="00346262">
        <w:t xml:space="preserve">Survival varied by remoteness area: </w:t>
      </w:r>
      <w:r w:rsidR="009D0E1A">
        <w:t>five</w:t>
      </w:r>
      <w:r w:rsidRPr="00346262">
        <w:t xml:space="preserve">-year survival was </w:t>
      </w:r>
      <w:r w:rsidR="00B65C9D">
        <w:t xml:space="preserve">slightly </w:t>
      </w:r>
      <w:r w:rsidRPr="00346262">
        <w:t xml:space="preserve">higher in </w:t>
      </w:r>
      <w:r w:rsidR="00BE62B2">
        <w:t>m</w:t>
      </w:r>
      <w:r w:rsidRPr="00346262">
        <w:t xml:space="preserve">ajor cities </w:t>
      </w:r>
      <w:r w:rsidR="00B65C9D">
        <w:t xml:space="preserve">across the two periods compared </w:t>
      </w:r>
      <w:r w:rsidR="002C060B" w:rsidRPr="002C060B">
        <w:t xml:space="preserve">with </w:t>
      </w:r>
      <w:r w:rsidR="007A0191">
        <w:t>i</w:t>
      </w:r>
      <w:r w:rsidRPr="00346262">
        <w:t>nner regional</w:t>
      </w:r>
      <w:r w:rsidRPr="00346262">
        <w:rPr>
          <w:i/>
        </w:rPr>
        <w:t xml:space="preserve"> </w:t>
      </w:r>
      <w:r w:rsidRPr="00346262">
        <w:t xml:space="preserve">and </w:t>
      </w:r>
      <w:r w:rsidR="00BE62B2">
        <w:t>o</w:t>
      </w:r>
      <w:r w:rsidRPr="00346262">
        <w:t>uter regional</w:t>
      </w:r>
      <w:r w:rsidR="00C46EDF" w:rsidRPr="00346262">
        <w:t>/remote</w:t>
      </w:r>
      <w:r w:rsidRPr="00346262">
        <w:rPr>
          <w:i/>
        </w:rPr>
        <w:t xml:space="preserve"> </w:t>
      </w:r>
      <w:r w:rsidRPr="00346262">
        <w:t>areas</w:t>
      </w:r>
      <w:r w:rsidR="00B65C9D">
        <w:t xml:space="preserve"> (Figure 13.13</w:t>
      </w:r>
      <w:r w:rsidR="00952E73">
        <w:t xml:space="preserve"> </w:t>
      </w:r>
      <w:r w:rsidR="00B65C9D">
        <w:t>(B))</w:t>
      </w:r>
      <w:r w:rsidRPr="00346262">
        <w:t>.</w:t>
      </w:r>
      <w:r w:rsidR="00952FC7">
        <w:t xml:space="preserve"> </w:t>
      </w:r>
      <w:r w:rsidR="00C66C3C" w:rsidRPr="00346262">
        <w:t xml:space="preserve">This was </w:t>
      </w:r>
      <w:r w:rsidR="00D90221">
        <w:t xml:space="preserve">contrary to </w:t>
      </w:r>
      <w:r w:rsidR="00C66C3C" w:rsidRPr="00346262">
        <w:t xml:space="preserve">the survival rates between </w:t>
      </w:r>
      <w:r w:rsidR="00D90221">
        <w:t xml:space="preserve">the </w:t>
      </w:r>
      <w:r w:rsidR="00C66C3C" w:rsidRPr="00346262">
        <w:t>ICS</w:t>
      </w:r>
      <w:r w:rsidR="00D90221">
        <w:t>s</w:t>
      </w:r>
      <w:r w:rsidR="00A7704B">
        <w:t>,</w:t>
      </w:r>
      <w:r w:rsidR="00C66C3C" w:rsidRPr="00346262">
        <w:t xml:space="preserve"> </w:t>
      </w:r>
      <w:r w:rsidR="00D90221">
        <w:t xml:space="preserve">which all reported an increase between the two periods </w:t>
      </w:r>
      <w:r w:rsidR="006647D4">
        <w:t>except for</w:t>
      </w:r>
      <w:r w:rsidR="00D90221">
        <w:t xml:space="preserve"> LMICS</w:t>
      </w:r>
      <w:r w:rsidR="006D63F3">
        <w:t xml:space="preserve"> (Figure 13.13</w:t>
      </w:r>
      <w:r w:rsidR="00952E73">
        <w:t xml:space="preserve"> </w:t>
      </w:r>
      <w:r w:rsidR="00D90221">
        <w:t>(D)</w:t>
      </w:r>
      <w:r w:rsidR="006D63F3">
        <w:t>)</w:t>
      </w:r>
      <w:r w:rsidR="008316CE">
        <w:t>.</w:t>
      </w:r>
    </w:p>
    <w:p w14:paraId="0A14A8BC" w14:textId="3127E176" w:rsidR="0092202A" w:rsidRPr="00A451D4" w:rsidRDefault="00F24648" w:rsidP="006D0DC0">
      <w:pPr>
        <w:pStyle w:val="Body"/>
        <w:rPr>
          <w:rFonts w:eastAsia="Times New Roman" w:cs="Arial"/>
          <w:sz w:val="20"/>
        </w:rPr>
      </w:pPr>
      <w:r>
        <w:t xml:space="preserve">Five-year survival </w:t>
      </w:r>
      <w:r w:rsidR="0018035B" w:rsidRPr="00346262">
        <w:t xml:space="preserve">decreased with greater </w:t>
      </w:r>
      <w:r w:rsidR="002C35B2">
        <w:t>socioeconomic</w:t>
      </w:r>
      <w:r w:rsidR="0018035B" w:rsidRPr="00346262">
        <w:t xml:space="preserve"> disadvantage</w:t>
      </w:r>
      <w:r w:rsidR="0055787B">
        <w:t xml:space="preserve"> over the two periods</w:t>
      </w:r>
      <w:r>
        <w:t>;</w:t>
      </w:r>
      <w:r w:rsidR="0018035B" w:rsidRPr="00346262">
        <w:t xml:space="preserve"> </w:t>
      </w:r>
      <w:r>
        <w:t>f</w:t>
      </w:r>
      <w:r w:rsidR="0018035B" w:rsidRPr="00346262">
        <w:t>ive-year survival w</w:t>
      </w:r>
      <w:r w:rsidR="0055787B">
        <w:t xml:space="preserve">as </w:t>
      </w:r>
      <w:r w:rsidR="0018035B" w:rsidRPr="00346262">
        <w:t>the</w:t>
      </w:r>
      <w:r>
        <w:t xml:space="preserve"> </w:t>
      </w:r>
      <w:r w:rsidR="0018035B" w:rsidRPr="00346262">
        <w:t xml:space="preserve">highest </w:t>
      </w:r>
      <w:r w:rsidR="002C35B2">
        <w:t>socioeconomic</w:t>
      </w:r>
      <w:r w:rsidR="0018035B" w:rsidRPr="00346262">
        <w:t xml:space="preserve"> quintile</w:t>
      </w:r>
      <w:r w:rsidR="0055787B">
        <w:t xml:space="preserve"> (</w:t>
      </w:r>
      <w:r w:rsidR="006647D4">
        <w:t xml:space="preserve">SES </w:t>
      </w:r>
      <w:r w:rsidR="0055787B">
        <w:t>5)</w:t>
      </w:r>
      <w:r w:rsidR="0018035B" w:rsidRPr="00346262">
        <w:t xml:space="preserve"> </w:t>
      </w:r>
      <w:r w:rsidR="0055787B">
        <w:t>(74.9</w:t>
      </w:r>
      <w:r w:rsidR="0054537F">
        <w:t>%</w:t>
      </w:r>
      <w:r w:rsidR="0055787B" w:rsidRPr="0055787B">
        <w:t xml:space="preserve">, 2010–2014; </w:t>
      </w:r>
      <w:r w:rsidR="0055787B">
        <w:t>75.</w:t>
      </w:r>
      <w:r w:rsidR="001A0777">
        <w:t>1</w:t>
      </w:r>
      <w:r w:rsidR="0054537F">
        <w:t>%</w:t>
      </w:r>
      <w:r w:rsidR="0055787B" w:rsidRPr="0055787B">
        <w:t>, 2015–2019</w:t>
      </w:r>
      <w:r w:rsidR="0055787B">
        <w:t>)</w:t>
      </w:r>
      <w:r w:rsidR="0018035B" w:rsidRPr="00346262">
        <w:t xml:space="preserve"> </w:t>
      </w:r>
      <w:r w:rsidR="006D63F3">
        <w:t>(Figure 13.13</w:t>
      </w:r>
      <w:r w:rsidR="0055787B">
        <w:t xml:space="preserve"> (C)</w:t>
      </w:r>
      <w:r w:rsidR="006D63F3">
        <w:t>)</w:t>
      </w:r>
      <w:r w:rsidR="0092202A">
        <w:t>.</w:t>
      </w:r>
      <w:r w:rsidR="0092202A" w:rsidRPr="00A451D4">
        <w:br w:type="page"/>
      </w:r>
    </w:p>
    <w:p w14:paraId="44CBF5D2" w14:textId="791086EA" w:rsidR="005C15AA" w:rsidRPr="00567EB1" w:rsidRDefault="005C15AA" w:rsidP="00A451D4">
      <w:pPr>
        <w:pStyle w:val="Heading3"/>
        <w:rPr>
          <w:b/>
          <w:bCs w:val="0"/>
        </w:rPr>
      </w:pPr>
      <w:bookmarkStart w:id="1044" w:name="_Measure_13.14_–"/>
      <w:bookmarkEnd w:id="1044"/>
      <w:r w:rsidRPr="00567EB1">
        <w:rPr>
          <w:b/>
          <w:bCs w:val="0"/>
        </w:rPr>
        <w:lastRenderedPageBreak/>
        <w:t xml:space="preserve">Measure 13.14 – </w:t>
      </w:r>
      <w:r w:rsidR="00A4158A" w:rsidRPr="00567EB1">
        <w:rPr>
          <w:b/>
          <w:bCs w:val="0"/>
        </w:rPr>
        <w:t xml:space="preserve">Five-year </w:t>
      </w:r>
      <w:r w:rsidR="00707755" w:rsidRPr="00567EB1">
        <w:rPr>
          <w:b/>
          <w:bCs w:val="0"/>
        </w:rPr>
        <w:t xml:space="preserve">relative </w:t>
      </w:r>
      <w:r w:rsidR="00A4158A" w:rsidRPr="00567EB1">
        <w:rPr>
          <w:b/>
          <w:bCs w:val="0"/>
        </w:rPr>
        <w:t>survival from brain cancer</w:t>
      </w:r>
      <w:r w:rsidR="00B771EB" w:rsidRPr="00567EB1">
        <w:rPr>
          <w:b/>
          <w:bCs w:val="0"/>
        </w:rPr>
        <w:t xml:space="preserve"> (C71)</w:t>
      </w:r>
    </w:p>
    <w:p w14:paraId="3428F834" w14:textId="063427EC" w:rsidR="002A2CBF" w:rsidRPr="00895DD4" w:rsidRDefault="005641A3" w:rsidP="008D320F">
      <w:pPr>
        <w:pStyle w:val="Figurecaption"/>
        <w:rPr>
          <w:sz w:val="20"/>
        </w:rPr>
      </w:pPr>
      <w:bookmarkStart w:id="1045" w:name="_Toc19008185"/>
      <w:bookmarkStart w:id="1046" w:name="_Toc19008380"/>
      <w:bookmarkStart w:id="1047" w:name="_Toc19008527"/>
      <w:bookmarkStart w:id="1048" w:name="_Toc19008674"/>
      <w:bookmarkStart w:id="1049" w:name="_Toc132553099"/>
      <w:bookmarkStart w:id="1050" w:name="_Toc140827712"/>
      <w:r w:rsidRPr="00895DD4">
        <w:rPr>
          <w:sz w:val="20"/>
        </w:rPr>
        <w:t>Figure</w:t>
      </w:r>
      <w:bookmarkStart w:id="1051" w:name="_Toc19008186"/>
      <w:bookmarkStart w:id="1052" w:name="_Toc19008381"/>
      <w:bookmarkStart w:id="1053" w:name="_Toc19008528"/>
      <w:bookmarkStart w:id="1054" w:name="_Toc19008675"/>
      <w:bookmarkEnd w:id="1045"/>
      <w:bookmarkEnd w:id="1046"/>
      <w:bookmarkEnd w:id="1047"/>
      <w:bookmarkEnd w:id="1048"/>
      <w:r w:rsidR="002A2CBF" w:rsidRPr="00895DD4">
        <w:rPr>
          <w:sz w:val="20"/>
        </w:rPr>
        <w:t xml:space="preserve"> 13.14</w:t>
      </w:r>
      <w:r w:rsidR="00C03D95" w:rsidRPr="00895DD4">
        <w:rPr>
          <w:sz w:val="20"/>
        </w:rPr>
        <w:t>:</w:t>
      </w:r>
      <w:r w:rsidR="002A2CBF" w:rsidRPr="00895DD4">
        <w:rPr>
          <w:sz w:val="20"/>
        </w:rPr>
        <w:t xml:space="preserve"> Five-year relative survival from brain cancer</w:t>
      </w:r>
      <w:r w:rsidR="00A7704B" w:rsidRPr="00895DD4">
        <w:rPr>
          <w:sz w:val="20"/>
        </w:rPr>
        <w:t>,</w:t>
      </w:r>
      <w:r w:rsidR="002A2CBF" w:rsidRPr="00895DD4">
        <w:rPr>
          <w:sz w:val="20"/>
        </w:rPr>
        <w:t xml:space="preserve"> by age (A), remoteness (B)</w:t>
      </w:r>
      <w:r w:rsidR="00C2751A" w:rsidRPr="00895DD4">
        <w:rPr>
          <w:sz w:val="20"/>
        </w:rPr>
        <w:t xml:space="preserve">, </w:t>
      </w:r>
      <w:r w:rsidR="00DE7FFE" w:rsidRPr="00895DD4">
        <w:rPr>
          <w:sz w:val="20"/>
        </w:rPr>
        <w:t>SES</w:t>
      </w:r>
      <w:r w:rsidR="00C2751A" w:rsidRPr="00895DD4">
        <w:rPr>
          <w:sz w:val="20"/>
        </w:rPr>
        <w:t xml:space="preserve"> (C)</w:t>
      </w:r>
      <w:r w:rsidR="002A2CBF" w:rsidRPr="00895DD4">
        <w:rPr>
          <w:sz w:val="20"/>
        </w:rPr>
        <w:t xml:space="preserve"> and </w:t>
      </w:r>
      <w:r w:rsidR="008439C8" w:rsidRPr="00895DD4">
        <w:rPr>
          <w:sz w:val="20"/>
        </w:rPr>
        <w:t>ICS</w:t>
      </w:r>
      <w:r w:rsidR="002A2CBF" w:rsidRPr="00895DD4">
        <w:rPr>
          <w:sz w:val="20"/>
        </w:rPr>
        <w:t xml:space="preserve"> (</w:t>
      </w:r>
      <w:r w:rsidR="00C2751A" w:rsidRPr="00895DD4">
        <w:rPr>
          <w:sz w:val="20"/>
        </w:rPr>
        <w:t>D</w:t>
      </w:r>
      <w:r w:rsidR="002A2CBF" w:rsidRPr="00895DD4">
        <w:rPr>
          <w:sz w:val="20"/>
        </w:rPr>
        <w:t>), Victoria, 2010</w:t>
      </w:r>
      <w:r w:rsidR="009D0E1A" w:rsidRPr="00895DD4">
        <w:rPr>
          <w:sz w:val="20"/>
        </w:rPr>
        <w:t>–</w:t>
      </w:r>
      <w:r w:rsidR="002A2CBF" w:rsidRPr="00895DD4">
        <w:rPr>
          <w:sz w:val="20"/>
        </w:rPr>
        <w:t>2014</w:t>
      </w:r>
      <w:bookmarkEnd w:id="1051"/>
      <w:bookmarkEnd w:id="1052"/>
      <w:bookmarkEnd w:id="1053"/>
      <w:bookmarkEnd w:id="1054"/>
      <w:r w:rsidR="00A97E13" w:rsidRPr="00895DD4">
        <w:rPr>
          <w:sz w:val="20"/>
        </w:rPr>
        <w:t xml:space="preserve"> and 2015–2019</w:t>
      </w:r>
      <w:bookmarkEnd w:id="1049"/>
      <w:bookmarkEnd w:id="1050"/>
    </w:p>
    <w:p w14:paraId="02275ACB" w14:textId="0AE6A670" w:rsidR="000500ED" w:rsidRPr="00CD5273" w:rsidRDefault="00CD5273" w:rsidP="00E87AAA">
      <w:pPr>
        <w:pStyle w:val="Body"/>
      </w:pPr>
      <w:r>
        <w:rPr>
          <w:noProof/>
        </w:rPr>
        <w:drawing>
          <wp:inline distT="0" distB="0" distL="0" distR="0" wp14:anchorId="7A69FEC5" wp14:editId="50BD40D0">
            <wp:extent cx="5976903" cy="5551200"/>
            <wp:effectExtent l="0" t="0" r="5080" b="0"/>
            <wp:docPr id="409" name="Picture 409" descr="This figure shows a data summary of 'Measure 13.14 – Five-year relative survival from brain cancer'. Specially this figure focuses on the trends in five-year relative survival from brain cancer by age, remoteness, socio-economic status and Integrated Cancer Service for the study periods 2010-2014 and 2015-2019. The data set is available under 'Measure 13.14 – Five-year relative survival from brain cancer'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descr="This figure shows a data summary of 'Measure 13.14 – Five-year relative survival from brain cancer'. Specially this figure focuses on the trends in five-year relative survival from brain cancer by age, remoteness, socio-economic status and Integrated Cancer Service for the study periods 2010-2014 and 2015-2019. The data set is available under 'Measure 13.14 – Five-year relative survival from brain cancer' in a separate volume, the Victorian cancer plan monitoring and evaluation framework: baseline progress report: Appendix 2: Datasets available on Cancer care &lt;https://www.health.vic.gov.au/health-strategies/cancer-care&gt;."/>
                    <pic:cNvPicPr/>
                  </pic:nvPicPr>
                  <pic:blipFill>
                    <a:blip r:embed="rId163"/>
                    <a:stretch>
                      <a:fillRect/>
                    </a:stretch>
                  </pic:blipFill>
                  <pic:spPr>
                    <a:xfrm>
                      <a:off x="0" y="0"/>
                      <a:ext cx="5986962" cy="5560543"/>
                    </a:xfrm>
                    <a:prstGeom prst="rect">
                      <a:avLst/>
                    </a:prstGeom>
                  </pic:spPr>
                </pic:pic>
              </a:graphicData>
            </a:graphic>
          </wp:inline>
        </w:drawing>
      </w:r>
    </w:p>
    <w:p w14:paraId="34694552" w14:textId="3C6C4F77" w:rsidR="000500ED" w:rsidRPr="00895DD4" w:rsidRDefault="000500ED" w:rsidP="00561DBE">
      <w:pPr>
        <w:pStyle w:val="Tablefigurenote"/>
        <w:rPr>
          <w:i/>
          <w:iCs/>
          <w:sz w:val="18"/>
          <w:szCs w:val="18"/>
        </w:rPr>
      </w:pPr>
      <w:r w:rsidRPr="00895DD4">
        <w:rPr>
          <w:i/>
          <w:iCs/>
          <w:sz w:val="18"/>
          <w:szCs w:val="18"/>
        </w:rPr>
        <w:t xml:space="preserve">Notes: </w:t>
      </w:r>
    </w:p>
    <w:p w14:paraId="4595347A" w14:textId="6201410F" w:rsidR="000500ED" w:rsidRPr="00895DD4" w:rsidRDefault="000500ED" w:rsidP="00561DBE">
      <w:pPr>
        <w:pStyle w:val="Tablefigurenote"/>
        <w:rPr>
          <w:i/>
          <w:iCs/>
          <w:sz w:val="18"/>
          <w:szCs w:val="18"/>
        </w:rPr>
      </w:pPr>
      <w:r w:rsidRPr="00895DD4">
        <w:rPr>
          <w:i/>
          <w:iCs/>
          <w:sz w:val="18"/>
          <w:szCs w:val="18"/>
        </w:rPr>
        <w:t>Error bars indicate 95</w:t>
      </w:r>
      <w:r w:rsidR="0054537F">
        <w:rPr>
          <w:i/>
          <w:iCs/>
          <w:sz w:val="18"/>
          <w:szCs w:val="18"/>
        </w:rPr>
        <w:t>%</w:t>
      </w:r>
      <w:r w:rsidRPr="00895DD4">
        <w:rPr>
          <w:i/>
          <w:iCs/>
          <w:sz w:val="18"/>
          <w:szCs w:val="18"/>
        </w:rPr>
        <w:t xml:space="preserve"> confidence intervals.</w:t>
      </w:r>
    </w:p>
    <w:p w14:paraId="080B166C" w14:textId="3D6FED86" w:rsidR="000500ED" w:rsidRPr="00895DD4" w:rsidRDefault="000500ED" w:rsidP="00561DBE">
      <w:pPr>
        <w:pStyle w:val="Tablefigurenote"/>
        <w:rPr>
          <w:b/>
          <w:i/>
          <w:iCs/>
          <w:sz w:val="18"/>
          <w:szCs w:val="18"/>
        </w:rPr>
      </w:pPr>
      <w:r w:rsidRPr="00895DD4">
        <w:rPr>
          <w:i/>
          <w:iCs/>
          <w:sz w:val="18"/>
          <w:szCs w:val="18"/>
        </w:rPr>
        <w:t>Remoteness is classified according to the ASGC Remoteness Areas.</w:t>
      </w:r>
    </w:p>
    <w:p w14:paraId="0CC532F5" w14:textId="02DEBD9E" w:rsidR="000500ED" w:rsidRPr="00895DD4" w:rsidRDefault="000500ED" w:rsidP="00561DBE">
      <w:pPr>
        <w:pStyle w:val="Tablefigurenote"/>
        <w:rPr>
          <w:i/>
          <w:iCs/>
          <w:sz w:val="18"/>
          <w:szCs w:val="18"/>
        </w:rPr>
      </w:pPr>
      <w:r w:rsidRPr="00895DD4">
        <w:rPr>
          <w:i/>
          <w:iCs/>
          <w:sz w:val="18"/>
          <w:szCs w:val="18"/>
        </w:rPr>
        <w:t>SES is classified according to the SEIFA Index of Relative Socio-economic Disadvantage – 1= lowest and 5 = highest.</w:t>
      </w:r>
    </w:p>
    <w:p w14:paraId="3948641D" w14:textId="074E43CA" w:rsidR="006F0684" w:rsidRPr="00B416BE" w:rsidRDefault="00DC2D82" w:rsidP="00B416BE">
      <w:pPr>
        <w:pStyle w:val="Tablefigurenote"/>
      </w:pPr>
      <w:r w:rsidRPr="00895DD4">
        <w:rPr>
          <w:i/>
          <w:iCs/>
          <w:sz w:val="18"/>
          <w:szCs w:val="18"/>
        </w:rPr>
        <w:t>Appendix 2 provides the dataset.</w:t>
      </w:r>
      <w:r w:rsidR="006F0684">
        <w:br w:type="page"/>
      </w:r>
    </w:p>
    <w:p w14:paraId="2C81DDBD" w14:textId="6E9A8760" w:rsidR="00CD628B" w:rsidRPr="006F0684" w:rsidRDefault="00CD628B" w:rsidP="007C7F00">
      <w:pPr>
        <w:pStyle w:val="Heading4"/>
      </w:pPr>
      <w:r w:rsidRPr="00E448CB">
        <w:lastRenderedPageBreak/>
        <w:t>Measure assessment</w:t>
      </w:r>
    </w:p>
    <w:p w14:paraId="1721D0D9" w14:textId="14D1A381" w:rsidR="006537FE" w:rsidRPr="00B416BE" w:rsidRDefault="00CD628B" w:rsidP="00606436">
      <w:pPr>
        <w:pStyle w:val="Body"/>
      </w:pPr>
      <w:r w:rsidRPr="006F0684">
        <w:t>Traffic light rating:</w:t>
      </w:r>
      <w:r w:rsidRPr="00B504AD">
        <w:rPr>
          <w:color w:val="AF272F"/>
        </w:rPr>
        <w:t xml:space="preserve"> </w:t>
      </w:r>
      <w:r w:rsidR="006F0684" w:rsidRPr="00B504AD">
        <w:rPr>
          <w:b/>
          <w:color w:val="AF272F"/>
        </w:rPr>
        <w:t xml:space="preserve">Red </w:t>
      </w:r>
      <w:r w:rsidR="006F0684" w:rsidRPr="00B416BE">
        <w:t>(result is of concern)</w:t>
      </w:r>
    </w:p>
    <w:p w14:paraId="45B1DB3D" w14:textId="3DC2A0AB" w:rsidR="00CD628B" w:rsidRPr="006F0684" w:rsidRDefault="00CD628B" w:rsidP="00606436">
      <w:pPr>
        <w:pStyle w:val="Body"/>
      </w:pPr>
      <w:r w:rsidRPr="006F0684">
        <w:t xml:space="preserve">Overall trend: </w:t>
      </w:r>
      <w:r w:rsidR="006F0684" w:rsidRPr="006F0684">
        <w:t>Not moving in the right direction</w:t>
      </w:r>
    </w:p>
    <w:p w14:paraId="751BEF3C" w14:textId="1495E198" w:rsidR="002A75F0" w:rsidRPr="006F0684" w:rsidRDefault="00CD628B" w:rsidP="00606436">
      <w:pPr>
        <w:pStyle w:val="Body"/>
      </w:pPr>
      <w:r w:rsidRPr="006F0684">
        <w:t>Commentary:</w:t>
      </w:r>
      <w:r w:rsidR="00A822A3" w:rsidRPr="006F0684">
        <w:t xml:space="preserve"> At </w:t>
      </w:r>
      <w:r w:rsidR="006647D4">
        <w:t>the</w:t>
      </w:r>
      <w:r w:rsidR="00A822A3" w:rsidRPr="006F0684">
        <w:t xml:space="preserve"> national level, in 20</w:t>
      </w:r>
      <w:r w:rsidR="002A75F0" w:rsidRPr="006F0684">
        <w:t>10</w:t>
      </w:r>
      <w:r w:rsidR="00A822A3" w:rsidRPr="006F0684">
        <w:t>–201</w:t>
      </w:r>
      <w:r w:rsidR="002A75F0" w:rsidRPr="006F0684">
        <w:t>4</w:t>
      </w:r>
      <w:r w:rsidR="00A7704B" w:rsidRPr="006F0684">
        <w:t xml:space="preserve"> people</w:t>
      </w:r>
      <w:r w:rsidR="00A822A3" w:rsidRPr="006F0684">
        <w:t xml:space="preserve"> with brain cancer had a 2</w:t>
      </w:r>
      <w:r w:rsidR="002A75F0" w:rsidRPr="006F0684">
        <w:t>1.9</w:t>
      </w:r>
      <w:r w:rsidR="0054537F">
        <w:t>%</w:t>
      </w:r>
      <w:r w:rsidR="00A822A3" w:rsidRPr="006F0684">
        <w:t xml:space="preserve"> chance of surviving for at least </w:t>
      </w:r>
      <w:r w:rsidR="008869C1" w:rsidRPr="006F0684">
        <w:t>five</w:t>
      </w:r>
      <w:r w:rsidR="00A822A3" w:rsidRPr="006F0684">
        <w:t xml:space="preserve"> years compared with the general population.</w:t>
      </w:r>
      <w:r w:rsidR="00E44FE3" w:rsidRPr="006F0684">
        <w:rPr>
          <w:szCs w:val="21"/>
        </w:rPr>
        <w:t xml:space="preserve"> </w:t>
      </w:r>
      <w:r w:rsidR="00E44FE3" w:rsidRPr="006F0684">
        <w:t>Five-year survival was slightly higher for females (24</w:t>
      </w:r>
      <w:r w:rsidR="0054537F">
        <w:t>%</w:t>
      </w:r>
      <w:r w:rsidR="00A13FFF" w:rsidRPr="006F0684">
        <w:t xml:space="preserve">) </w:t>
      </w:r>
      <w:r w:rsidR="00A7704B" w:rsidRPr="006F0684">
        <w:t>than</w:t>
      </w:r>
      <w:r w:rsidR="001B50BF" w:rsidRPr="006F0684">
        <w:t xml:space="preserve"> </w:t>
      </w:r>
      <w:r w:rsidR="00A13FFF" w:rsidRPr="006F0684">
        <w:t>males (20</w:t>
      </w:r>
      <w:r w:rsidR="0054537F">
        <w:t>%</w:t>
      </w:r>
      <w:r w:rsidR="00E44FE3" w:rsidRPr="006F0684">
        <w:t>)</w:t>
      </w:r>
      <w:r w:rsidR="006647D4">
        <w:t>.</w:t>
      </w:r>
      <w:r w:rsidR="00EA4B33" w:rsidRPr="006F0684">
        <w:rPr>
          <w:rStyle w:val="FootnoteReference"/>
          <w:rFonts w:cs="Arial"/>
        </w:rPr>
        <w:footnoteReference w:id="206"/>
      </w:r>
    </w:p>
    <w:p w14:paraId="5B5B41D4" w14:textId="6415ABCA" w:rsidR="00EA4B33" w:rsidRPr="006F0684" w:rsidRDefault="002A75F0" w:rsidP="00606436">
      <w:pPr>
        <w:pStyle w:val="Body"/>
      </w:pPr>
      <w:r w:rsidRPr="006F0684">
        <w:t xml:space="preserve">In Victoria </w:t>
      </w:r>
      <w:r w:rsidR="00A7704B" w:rsidRPr="006F0684">
        <w:t xml:space="preserve">people </w:t>
      </w:r>
      <w:r w:rsidRPr="006F0684">
        <w:t>diagnosed with brain cancer had a higher chance</w:t>
      </w:r>
      <w:r w:rsidR="00EA4B33" w:rsidRPr="006F0684">
        <w:t xml:space="preserve"> (2</w:t>
      </w:r>
      <w:r w:rsidR="006F0684" w:rsidRPr="006F0684">
        <w:t>7</w:t>
      </w:r>
      <w:r w:rsidR="004E1734" w:rsidRPr="006F0684">
        <w:t>.</w:t>
      </w:r>
      <w:r w:rsidR="00E448CB">
        <w:t>3</w:t>
      </w:r>
      <w:r w:rsidR="0054537F">
        <w:t>%</w:t>
      </w:r>
      <w:r w:rsidR="00EA4B33" w:rsidRPr="006F0684">
        <w:t>)</w:t>
      </w:r>
      <w:r w:rsidRPr="006F0684">
        <w:t xml:space="preserve"> than the Australian </w:t>
      </w:r>
      <w:r w:rsidR="00EA4B33" w:rsidRPr="006F0684">
        <w:t>average</w:t>
      </w:r>
      <w:r w:rsidRPr="006F0684">
        <w:t xml:space="preserve"> of surviving for at least </w:t>
      </w:r>
      <w:r w:rsidR="001B50BF" w:rsidRPr="006F0684">
        <w:t>five</w:t>
      </w:r>
      <w:r w:rsidRPr="006F0684">
        <w:t xml:space="preserve"> years</w:t>
      </w:r>
      <w:r w:rsidR="00EA4B33" w:rsidRPr="006F0684">
        <w:t xml:space="preserve"> </w:t>
      </w:r>
      <w:r w:rsidRPr="006F0684">
        <w:t>in 2010</w:t>
      </w:r>
      <w:r w:rsidR="00CA6D80" w:rsidRPr="006F0684">
        <w:t>–</w:t>
      </w:r>
      <w:r w:rsidRPr="006F0684">
        <w:t>2014</w:t>
      </w:r>
      <w:r w:rsidR="00EA4B33" w:rsidRPr="006F0684">
        <w:t>. Five-</w:t>
      </w:r>
      <w:r w:rsidRPr="006F0684">
        <w:t>year survival was higher for females (2</w:t>
      </w:r>
      <w:r w:rsidR="006F0684" w:rsidRPr="006F0684">
        <w:t>9</w:t>
      </w:r>
      <w:r w:rsidR="00E448CB">
        <w:t>.3</w:t>
      </w:r>
      <w:r w:rsidR="0054537F">
        <w:t>%</w:t>
      </w:r>
      <w:r w:rsidRPr="006F0684">
        <w:t>) than for males (2</w:t>
      </w:r>
      <w:r w:rsidR="00E448CB">
        <w:t>5</w:t>
      </w:r>
      <w:r w:rsidR="006F0684" w:rsidRPr="006F0684">
        <w:t>.</w:t>
      </w:r>
      <w:r w:rsidR="00E448CB">
        <w:t>7</w:t>
      </w:r>
      <w:r w:rsidR="0054537F">
        <w:t>%</w:t>
      </w:r>
      <w:r w:rsidRPr="006F0684">
        <w:t>).</w:t>
      </w:r>
    </w:p>
    <w:p w14:paraId="0A27546C" w14:textId="0C5F0291" w:rsidR="00EA4B33" w:rsidRPr="006F0684" w:rsidRDefault="002A75F0" w:rsidP="00606436">
      <w:pPr>
        <w:pStyle w:val="Body"/>
      </w:pPr>
      <w:r w:rsidRPr="006F0684">
        <w:t xml:space="preserve">Five-year survival was highest for those aged </w:t>
      </w:r>
      <w:r w:rsidR="00EA4B33" w:rsidRPr="006F0684">
        <w:t>15</w:t>
      </w:r>
      <w:r w:rsidRPr="006F0684">
        <w:t>–</w:t>
      </w:r>
      <w:r w:rsidR="00EA4B33" w:rsidRPr="006F0684">
        <w:t>24</w:t>
      </w:r>
      <w:r w:rsidRPr="006F0684">
        <w:t xml:space="preserve"> (</w:t>
      </w:r>
      <w:r w:rsidR="006F0684" w:rsidRPr="006F0684">
        <w:t>78.</w:t>
      </w:r>
      <w:r w:rsidR="00E448CB">
        <w:t>9</w:t>
      </w:r>
      <w:r w:rsidR="0054537F">
        <w:t>%</w:t>
      </w:r>
      <w:r w:rsidR="006F0684" w:rsidRPr="006F0684">
        <w:t>, 2010–2014; 82.</w:t>
      </w:r>
      <w:r w:rsidR="00E448CB">
        <w:t>4</w:t>
      </w:r>
      <w:r w:rsidR="0054537F">
        <w:t>%</w:t>
      </w:r>
      <w:r w:rsidR="006F0684" w:rsidRPr="006F0684">
        <w:t xml:space="preserve"> 2015–2019</w:t>
      </w:r>
      <w:r w:rsidRPr="006F0684">
        <w:t>) and dropped steeply with age thereafter</w:t>
      </w:r>
      <w:r w:rsidR="00E448CB">
        <w:t xml:space="preserve"> </w:t>
      </w:r>
      <w:r w:rsidR="006F0684" w:rsidRPr="006F0684">
        <w:t>(Figure 13.14</w:t>
      </w:r>
      <w:r w:rsidR="00952E73">
        <w:t xml:space="preserve"> </w:t>
      </w:r>
      <w:r w:rsidR="006F0684" w:rsidRPr="006F0684">
        <w:t>(A))</w:t>
      </w:r>
      <w:r w:rsidRPr="006F0684">
        <w:t>.</w:t>
      </w:r>
    </w:p>
    <w:p w14:paraId="1A39ABA5" w14:textId="2B45B6D6" w:rsidR="00CF2330" w:rsidRPr="005402AE" w:rsidRDefault="002A75F0" w:rsidP="00606436">
      <w:pPr>
        <w:pStyle w:val="Body"/>
        <w:rPr>
          <w:highlight w:val="yellow"/>
        </w:rPr>
      </w:pPr>
      <w:r w:rsidRPr="00446442">
        <w:t xml:space="preserve">Survival varied </w:t>
      </w:r>
      <w:r w:rsidR="00EA4B33" w:rsidRPr="00446442">
        <w:t>significantly</w:t>
      </w:r>
      <w:r w:rsidRPr="00446442">
        <w:t xml:space="preserve"> by remoteness: </w:t>
      </w:r>
      <w:r w:rsidR="001B50BF" w:rsidRPr="00446442">
        <w:t>five</w:t>
      </w:r>
      <w:r w:rsidRPr="00446442">
        <w:t>-year survival was</w:t>
      </w:r>
      <w:r w:rsidR="00446442" w:rsidRPr="00446442">
        <w:t xml:space="preserve"> </w:t>
      </w:r>
      <w:r w:rsidRPr="00446442">
        <w:t xml:space="preserve">higher </w:t>
      </w:r>
      <w:r w:rsidR="00446442" w:rsidRPr="00446442">
        <w:t xml:space="preserve">and the same </w:t>
      </w:r>
      <w:r w:rsidRPr="00446442">
        <w:t xml:space="preserve">in </w:t>
      </w:r>
      <w:r w:rsidR="001B50BF" w:rsidRPr="00446442">
        <w:t>m</w:t>
      </w:r>
      <w:r w:rsidRPr="00446442">
        <w:t>ajor cities</w:t>
      </w:r>
      <w:r w:rsidR="00446442" w:rsidRPr="00446442">
        <w:t xml:space="preserve"> across both periods compared </w:t>
      </w:r>
      <w:r w:rsidR="002C060B" w:rsidRPr="002C060B">
        <w:t xml:space="preserve">with </w:t>
      </w:r>
      <w:r w:rsidR="00446442" w:rsidRPr="00446442">
        <w:t xml:space="preserve">the inner regional and </w:t>
      </w:r>
      <w:r w:rsidR="00A7704B" w:rsidRPr="00446442">
        <w:t>o</w:t>
      </w:r>
      <w:r w:rsidR="00EA4B33" w:rsidRPr="00446442">
        <w:t>uter regional/remote</w:t>
      </w:r>
      <w:r w:rsidRPr="00446442">
        <w:t xml:space="preserve"> areas</w:t>
      </w:r>
      <w:r w:rsidR="00523285">
        <w:t>,</w:t>
      </w:r>
      <w:r w:rsidR="00CF2330" w:rsidRPr="00446442">
        <w:t xml:space="preserve"> </w:t>
      </w:r>
      <w:r w:rsidR="00446442" w:rsidRPr="00446442">
        <w:t xml:space="preserve">which reported reversed survival between the two periods </w:t>
      </w:r>
      <w:r w:rsidR="00523285">
        <w:t>– that is</w:t>
      </w:r>
      <w:r w:rsidR="00932DFE" w:rsidRPr="00446442">
        <w:t>,</w:t>
      </w:r>
      <w:r w:rsidR="00446442" w:rsidRPr="00446442">
        <w:t xml:space="preserve"> inner regional decreased</w:t>
      </w:r>
      <w:r w:rsidR="00523285">
        <w:t>,</w:t>
      </w:r>
      <w:r w:rsidR="00446442" w:rsidRPr="00446442">
        <w:t xml:space="preserve"> whereas outer regional/remote areas showed an increase</w:t>
      </w:r>
      <w:r w:rsidR="00C52F9C">
        <w:t xml:space="preserve"> in survival</w:t>
      </w:r>
      <w:r w:rsidR="00446442" w:rsidRPr="00446442">
        <w:t xml:space="preserve"> (Figure 13.14</w:t>
      </w:r>
      <w:r w:rsidR="00952E73">
        <w:t xml:space="preserve"> </w:t>
      </w:r>
      <w:r w:rsidR="00446442" w:rsidRPr="00446442">
        <w:t>(B))</w:t>
      </w:r>
      <w:r w:rsidR="00CF2330" w:rsidRPr="00446442">
        <w:t>.</w:t>
      </w:r>
      <w:r w:rsidR="00A7704B" w:rsidRPr="00446442">
        <w:t xml:space="preserve"> </w:t>
      </w:r>
      <w:r w:rsidR="00CF2330" w:rsidRPr="00446442">
        <w:t>This disparity was also reflected in survival broken down by ICS</w:t>
      </w:r>
      <w:r w:rsidR="00A7704B" w:rsidRPr="00446442">
        <w:t>,</w:t>
      </w:r>
      <w:r w:rsidR="00CF2330" w:rsidRPr="00446442">
        <w:t xml:space="preserve"> with urban ICSs such as WCMICS having the highest recorded survival rate in 2010</w:t>
      </w:r>
      <w:r w:rsidR="009D0E1A" w:rsidRPr="00446442">
        <w:t>–</w:t>
      </w:r>
      <w:r w:rsidR="00CF2330" w:rsidRPr="00446442">
        <w:t>2014 of 3</w:t>
      </w:r>
      <w:r w:rsidR="00E448CB">
        <w:t>3</w:t>
      </w:r>
      <w:r w:rsidR="00CF2330" w:rsidRPr="00446442">
        <w:t>.</w:t>
      </w:r>
      <w:r w:rsidR="00E448CB">
        <w:t>1</w:t>
      </w:r>
      <w:r w:rsidR="0054537F">
        <w:t>%</w:t>
      </w:r>
      <w:r w:rsidR="00446442" w:rsidRPr="00446442">
        <w:t>, decreasing to</w:t>
      </w:r>
      <w:r w:rsidR="00CF2330" w:rsidRPr="00446442">
        <w:t xml:space="preserve"> </w:t>
      </w:r>
      <w:r w:rsidR="00446442" w:rsidRPr="00446442">
        <w:t>31.</w:t>
      </w:r>
      <w:r w:rsidR="00E448CB">
        <w:t>3</w:t>
      </w:r>
      <w:r w:rsidR="0054537F">
        <w:t>%</w:t>
      </w:r>
      <w:r w:rsidR="00446442" w:rsidRPr="00446442">
        <w:t xml:space="preserve"> in 2015–2019 </w:t>
      </w:r>
      <w:r w:rsidR="00CF2330" w:rsidRPr="00446442">
        <w:t xml:space="preserve">compared </w:t>
      </w:r>
      <w:r w:rsidR="001B50BF" w:rsidRPr="00446442">
        <w:t xml:space="preserve">with </w:t>
      </w:r>
      <w:r w:rsidR="008835F8" w:rsidRPr="00446442">
        <w:t>GR</w:t>
      </w:r>
      <w:r w:rsidR="00CF2330" w:rsidRPr="00446442">
        <w:t>ICS (predominantly rural)</w:t>
      </w:r>
      <w:r w:rsidR="00A7704B" w:rsidRPr="00446442">
        <w:t>,</w:t>
      </w:r>
      <w:r w:rsidR="00CF2330" w:rsidRPr="00446442">
        <w:t xml:space="preserve"> which had a rate of </w:t>
      </w:r>
      <w:r w:rsidR="00446442" w:rsidRPr="00446442">
        <w:t>2</w:t>
      </w:r>
      <w:r w:rsidR="00E448CB">
        <w:t>3</w:t>
      </w:r>
      <w:r w:rsidR="00446442" w:rsidRPr="00446442">
        <w:t>.</w:t>
      </w:r>
      <w:r w:rsidR="00E448CB">
        <w:t>5</w:t>
      </w:r>
      <w:r w:rsidR="0054537F">
        <w:t>%</w:t>
      </w:r>
      <w:r w:rsidR="00446442" w:rsidRPr="00446442">
        <w:t xml:space="preserve"> in 2010–2014</w:t>
      </w:r>
      <w:r w:rsidR="00523285">
        <w:t>,</w:t>
      </w:r>
      <w:r w:rsidR="00446442" w:rsidRPr="00446442">
        <w:t xml:space="preserve"> which decreased to 17.6</w:t>
      </w:r>
      <w:r w:rsidR="0054537F">
        <w:t>%</w:t>
      </w:r>
      <w:r w:rsidR="00446442" w:rsidRPr="00446442">
        <w:t xml:space="preserve"> in 2015–2019</w:t>
      </w:r>
      <w:r w:rsidR="00CF2330" w:rsidRPr="00446442">
        <w:t>.</w:t>
      </w:r>
    </w:p>
    <w:p w14:paraId="16FB4156" w14:textId="21F4E2D4" w:rsidR="00854FD7" w:rsidRPr="00A451D4" w:rsidRDefault="00CF2330" w:rsidP="00606436">
      <w:pPr>
        <w:pStyle w:val="Body"/>
        <w:rPr>
          <w:rStyle w:val="Heading3Char"/>
        </w:rPr>
      </w:pPr>
      <w:r w:rsidRPr="0005126E">
        <w:t xml:space="preserve">Five-year survival </w:t>
      </w:r>
      <w:r w:rsidR="002A75F0" w:rsidRPr="0005126E">
        <w:t xml:space="preserve">was </w:t>
      </w:r>
      <w:r w:rsidR="0005126E" w:rsidRPr="0005126E">
        <w:t xml:space="preserve">generally </w:t>
      </w:r>
      <w:r w:rsidR="002A75F0" w:rsidRPr="0005126E">
        <w:t>highe</w:t>
      </w:r>
      <w:r w:rsidR="0005126E" w:rsidRPr="0005126E">
        <w:t>r</w:t>
      </w:r>
      <w:r w:rsidR="002A75F0" w:rsidRPr="0005126E">
        <w:t xml:space="preserve"> for people in the highest socioeconomic quintile </w:t>
      </w:r>
      <w:r w:rsidR="0005126E" w:rsidRPr="0005126E">
        <w:t>(</w:t>
      </w:r>
      <w:r w:rsidR="00523285">
        <w:t xml:space="preserve">SES </w:t>
      </w:r>
      <w:r w:rsidR="0005126E" w:rsidRPr="0005126E">
        <w:t>5) (31</w:t>
      </w:r>
      <w:r w:rsidR="00E448CB">
        <w:t>.2</w:t>
      </w:r>
      <w:r w:rsidR="0054537F">
        <w:t>%</w:t>
      </w:r>
      <w:r w:rsidR="0005126E" w:rsidRPr="0005126E">
        <w:t>, 2010–2014; 28.6</w:t>
      </w:r>
      <w:r w:rsidR="0054537F">
        <w:t>%</w:t>
      </w:r>
      <w:r w:rsidR="0005126E" w:rsidRPr="0005126E">
        <w:t xml:space="preserve">, 2015–2019) </w:t>
      </w:r>
      <w:r w:rsidRPr="0005126E">
        <w:t xml:space="preserve">compared </w:t>
      </w:r>
      <w:r w:rsidR="009D0E1A" w:rsidRPr="0005126E">
        <w:t xml:space="preserve">with </w:t>
      </w:r>
      <w:r w:rsidRPr="0005126E">
        <w:t xml:space="preserve">those living in the lowest quintile </w:t>
      </w:r>
      <w:r w:rsidR="0005126E" w:rsidRPr="0005126E">
        <w:t>(</w:t>
      </w:r>
      <w:r w:rsidR="00523285">
        <w:t xml:space="preserve">SES </w:t>
      </w:r>
      <w:r w:rsidR="0005126E" w:rsidRPr="0005126E">
        <w:t>1) (22.</w:t>
      </w:r>
      <w:r w:rsidR="00E448CB">
        <w:t>8</w:t>
      </w:r>
      <w:r w:rsidR="0054537F">
        <w:t>%</w:t>
      </w:r>
      <w:r w:rsidR="0005126E" w:rsidRPr="0005126E">
        <w:t>, 2010–2014; 24.</w:t>
      </w:r>
      <w:r w:rsidR="00E448CB">
        <w:t>5</w:t>
      </w:r>
      <w:r w:rsidR="0054537F">
        <w:t>%</w:t>
      </w:r>
      <w:r w:rsidR="0005126E" w:rsidRPr="0005126E">
        <w:t>, 2015–2019) (Figure 13.14 (C)).</w:t>
      </w:r>
      <w:bookmarkStart w:id="1055" w:name="_Measure_13.15_–"/>
      <w:bookmarkEnd w:id="1055"/>
      <w:r w:rsidR="005F72D6">
        <w:br w:type="page"/>
      </w:r>
      <w:bookmarkStart w:id="1056" w:name="_Toc19008187"/>
      <w:r w:rsidR="005C15AA" w:rsidRPr="0013232B">
        <w:rPr>
          <w:rStyle w:val="Heading3Char"/>
          <w:b/>
          <w:bCs w:val="0"/>
        </w:rPr>
        <w:lastRenderedPageBreak/>
        <w:t xml:space="preserve">Measure 13.15 – </w:t>
      </w:r>
      <w:r w:rsidR="00A4158A" w:rsidRPr="0013232B">
        <w:rPr>
          <w:rStyle w:val="Heading3Char"/>
          <w:b/>
          <w:bCs w:val="0"/>
        </w:rPr>
        <w:t xml:space="preserve">Five-year </w:t>
      </w:r>
      <w:r w:rsidR="007F25A4" w:rsidRPr="0013232B">
        <w:rPr>
          <w:rStyle w:val="Heading3Char"/>
          <w:b/>
          <w:bCs w:val="0"/>
        </w:rPr>
        <w:t xml:space="preserve">relative </w:t>
      </w:r>
      <w:r w:rsidR="00A4158A" w:rsidRPr="0013232B">
        <w:rPr>
          <w:rStyle w:val="Heading3Char"/>
          <w:b/>
          <w:bCs w:val="0"/>
        </w:rPr>
        <w:t>survival from oesophag</w:t>
      </w:r>
      <w:r w:rsidR="00583BC7" w:rsidRPr="0013232B">
        <w:rPr>
          <w:rStyle w:val="Heading3Char"/>
          <w:b/>
          <w:bCs w:val="0"/>
        </w:rPr>
        <w:t>eal</w:t>
      </w:r>
      <w:r w:rsidR="00A4158A" w:rsidRPr="0013232B">
        <w:rPr>
          <w:rStyle w:val="Heading3Char"/>
          <w:b/>
          <w:bCs w:val="0"/>
        </w:rPr>
        <w:t xml:space="preserve"> cancer</w:t>
      </w:r>
      <w:r w:rsidR="00243831" w:rsidRPr="0013232B">
        <w:rPr>
          <w:rStyle w:val="Heading3Char"/>
          <w:b/>
          <w:bCs w:val="0"/>
        </w:rPr>
        <w:t xml:space="preserve"> (C15)</w:t>
      </w:r>
      <w:bookmarkStart w:id="1057" w:name="_Toc19008189"/>
      <w:bookmarkStart w:id="1058" w:name="_Toc19008383"/>
      <w:bookmarkStart w:id="1059" w:name="_Toc19008530"/>
      <w:bookmarkStart w:id="1060" w:name="_Toc19008677"/>
      <w:bookmarkEnd w:id="1056"/>
    </w:p>
    <w:p w14:paraId="1722E890" w14:textId="668B06CA" w:rsidR="002A2CBF" w:rsidRPr="00F60ED8" w:rsidRDefault="002A2CBF" w:rsidP="008D320F">
      <w:pPr>
        <w:pStyle w:val="Figurecaption"/>
        <w:rPr>
          <w:sz w:val="20"/>
        </w:rPr>
      </w:pPr>
      <w:bookmarkStart w:id="1061" w:name="_Toc132553100"/>
      <w:bookmarkStart w:id="1062" w:name="_Toc140827713"/>
      <w:r w:rsidRPr="00F60ED8">
        <w:rPr>
          <w:sz w:val="20"/>
        </w:rPr>
        <w:t>Figure 13.15</w:t>
      </w:r>
      <w:r w:rsidR="00C03D95" w:rsidRPr="00F60ED8">
        <w:rPr>
          <w:sz w:val="20"/>
        </w:rPr>
        <w:t>:</w:t>
      </w:r>
      <w:r w:rsidRPr="00F60ED8">
        <w:rPr>
          <w:sz w:val="20"/>
        </w:rPr>
        <w:t xml:space="preserve"> Five-year relative survival from oesophag</w:t>
      </w:r>
      <w:r w:rsidR="00583BC7" w:rsidRPr="00F60ED8">
        <w:rPr>
          <w:sz w:val="20"/>
        </w:rPr>
        <w:t>eal</w:t>
      </w:r>
      <w:r w:rsidRPr="00F60ED8">
        <w:rPr>
          <w:sz w:val="20"/>
        </w:rPr>
        <w:t xml:space="preserve"> cancer</w:t>
      </w:r>
      <w:r w:rsidR="00A7704B" w:rsidRPr="00F60ED8">
        <w:rPr>
          <w:sz w:val="20"/>
        </w:rPr>
        <w:t>,</w:t>
      </w:r>
      <w:r w:rsidRPr="00F60ED8">
        <w:rPr>
          <w:sz w:val="20"/>
        </w:rPr>
        <w:t xml:space="preserve"> by age (A), remoteness (B)</w:t>
      </w:r>
      <w:r w:rsidR="00C71758" w:rsidRPr="00F60ED8">
        <w:rPr>
          <w:sz w:val="20"/>
        </w:rPr>
        <w:t xml:space="preserve">, </w:t>
      </w:r>
      <w:r w:rsidR="00DE7FFE" w:rsidRPr="00F60ED8">
        <w:rPr>
          <w:sz w:val="20"/>
        </w:rPr>
        <w:t>SES</w:t>
      </w:r>
      <w:r w:rsidR="00C71758" w:rsidRPr="00F60ED8">
        <w:rPr>
          <w:sz w:val="20"/>
        </w:rPr>
        <w:t xml:space="preserve"> (C) and </w:t>
      </w:r>
      <w:r w:rsidR="008439C8" w:rsidRPr="00F60ED8">
        <w:rPr>
          <w:sz w:val="20"/>
        </w:rPr>
        <w:t>ICS</w:t>
      </w:r>
      <w:r w:rsidRPr="00F60ED8">
        <w:rPr>
          <w:sz w:val="20"/>
        </w:rPr>
        <w:t xml:space="preserve"> (</w:t>
      </w:r>
      <w:r w:rsidR="00C71758" w:rsidRPr="00F60ED8">
        <w:rPr>
          <w:sz w:val="20"/>
        </w:rPr>
        <w:t>D</w:t>
      </w:r>
      <w:r w:rsidRPr="00F60ED8">
        <w:rPr>
          <w:sz w:val="20"/>
        </w:rPr>
        <w:t>), Victoria, 2010</w:t>
      </w:r>
      <w:r w:rsidR="009D0E1A" w:rsidRPr="00F60ED8">
        <w:rPr>
          <w:sz w:val="20"/>
        </w:rPr>
        <w:t>–</w:t>
      </w:r>
      <w:r w:rsidRPr="00F60ED8">
        <w:rPr>
          <w:sz w:val="20"/>
        </w:rPr>
        <w:t>2014</w:t>
      </w:r>
      <w:bookmarkEnd w:id="1057"/>
      <w:bookmarkEnd w:id="1058"/>
      <w:bookmarkEnd w:id="1059"/>
      <w:bookmarkEnd w:id="1060"/>
      <w:r w:rsidR="00A97E13" w:rsidRPr="00F60ED8">
        <w:rPr>
          <w:sz w:val="20"/>
        </w:rPr>
        <w:t xml:space="preserve"> and 2015–2019</w:t>
      </w:r>
      <w:bookmarkEnd w:id="1061"/>
      <w:bookmarkEnd w:id="1062"/>
    </w:p>
    <w:p w14:paraId="6A79B74B" w14:textId="0688A38C" w:rsidR="006F02EE" w:rsidRDefault="00CD5273" w:rsidP="00E87AAA">
      <w:pPr>
        <w:pStyle w:val="Body"/>
      </w:pPr>
      <w:r>
        <w:rPr>
          <w:noProof/>
        </w:rPr>
        <w:drawing>
          <wp:inline distT="0" distB="0" distL="0" distR="0" wp14:anchorId="75AE669D" wp14:editId="5B2D74A6">
            <wp:extent cx="6020965" cy="5580000"/>
            <wp:effectExtent l="0" t="0" r="0" b="1905"/>
            <wp:docPr id="410" name="Picture 410" descr="This figure shows a data summary of 'Measure 13.15 – Five-year relative survival from oesophageal cancer'. Specially this figure focuses on the trends in five-year relative survival from oesophageal cancer by age, remoteness, socio-economic status and Integrated Cancer Service for the study periods 2010-2014 and 2015-2019. The data set is available under 'Measure 13.15 – Five-year relative survival from oesophageal cancer'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icture 410" descr="This figure shows a data summary of 'Measure 13.15 – Five-year relative survival from oesophageal cancer'. Specially this figure focuses on the trends in five-year relative survival from oesophageal cancer by age, remoteness, socio-economic status and Integrated Cancer Service for the study periods 2010-2014 and 2015-2019. The data set is available under 'Measure 13.15 – Five-year relative survival from oesophageal cancer' in a separate volume, the Victorian cancer plan monitoring and evaluation framework: baseline progress report: Appendix 2: Datasets available on Cancer care &lt;https://www.health.vic.gov.au/health-strategies/cancer-care&gt;."/>
                    <pic:cNvPicPr/>
                  </pic:nvPicPr>
                  <pic:blipFill>
                    <a:blip r:embed="rId164"/>
                    <a:stretch>
                      <a:fillRect/>
                    </a:stretch>
                  </pic:blipFill>
                  <pic:spPr>
                    <a:xfrm>
                      <a:off x="0" y="0"/>
                      <a:ext cx="6031260" cy="5589541"/>
                    </a:xfrm>
                    <a:prstGeom prst="rect">
                      <a:avLst/>
                    </a:prstGeom>
                  </pic:spPr>
                </pic:pic>
              </a:graphicData>
            </a:graphic>
          </wp:inline>
        </w:drawing>
      </w:r>
    </w:p>
    <w:p w14:paraId="2FF10BFD" w14:textId="523E6A02" w:rsidR="006F02EE" w:rsidRPr="00895DD4" w:rsidRDefault="006F02EE" w:rsidP="00561DBE">
      <w:pPr>
        <w:pStyle w:val="Tablefigurenote"/>
        <w:rPr>
          <w:i/>
          <w:iCs/>
          <w:sz w:val="18"/>
          <w:szCs w:val="18"/>
        </w:rPr>
      </w:pPr>
      <w:r w:rsidRPr="00895DD4">
        <w:rPr>
          <w:i/>
          <w:iCs/>
          <w:sz w:val="18"/>
          <w:szCs w:val="18"/>
        </w:rPr>
        <w:t xml:space="preserve">Notes: </w:t>
      </w:r>
    </w:p>
    <w:p w14:paraId="4D65B4BD" w14:textId="0357CC25" w:rsidR="006F02EE" w:rsidRPr="00895DD4" w:rsidRDefault="006F02EE" w:rsidP="00561DBE">
      <w:pPr>
        <w:pStyle w:val="Tablefigurenote"/>
        <w:rPr>
          <w:i/>
          <w:iCs/>
          <w:sz w:val="18"/>
          <w:szCs w:val="18"/>
        </w:rPr>
      </w:pPr>
      <w:r w:rsidRPr="00895DD4">
        <w:rPr>
          <w:i/>
          <w:iCs/>
          <w:sz w:val="18"/>
          <w:szCs w:val="18"/>
        </w:rPr>
        <w:t>Analysis for the age groups 0–14 years, 15–24 years</w:t>
      </w:r>
      <w:r w:rsidR="00AF5F6D" w:rsidRPr="00895DD4">
        <w:rPr>
          <w:i/>
          <w:iCs/>
          <w:sz w:val="18"/>
          <w:szCs w:val="18"/>
        </w:rPr>
        <w:t xml:space="preserve"> and</w:t>
      </w:r>
      <w:r w:rsidRPr="00895DD4">
        <w:rPr>
          <w:i/>
          <w:iCs/>
          <w:sz w:val="18"/>
          <w:szCs w:val="18"/>
        </w:rPr>
        <w:t xml:space="preserve"> 25–34 years were excluded because of low numbers.</w:t>
      </w:r>
    </w:p>
    <w:p w14:paraId="51D3899B" w14:textId="4AAEB5A2" w:rsidR="006F02EE" w:rsidRPr="00895DD4" w:rsidRDefault="006F02EE" w:rsidP="00561DBE">
      <w:pPr>
        <w:pStyle w:val="Tablefigurenote"/>
        <w:rPr>
          <w:i/>
          <w:iCs/>
          <w:sz w:val="18"/>
          <w:szCs w:val="18"/>
        </w:rPr>
      </w:pPr>
      <w:r w:rsidRPr="00895DD4">
        <w:rPr>
          <w:i/>
          <w:iCs/>
          <w:sz w:val="18"/>
          <w:szCs w:val="18"/>
        </w:rPr>
        <w:t>Error bars indicate 95</w:t>
      </w:r>
      <w:r w:rsidR="0054537F">
        <w:rPr>
          <w:i/>
          <w:iCs/>
          <w:sz w:val="18"/>
          <w:szCs w:val="18"/>
        </w:rPr>
        <w:t>%</w:t>
      </w:r>
      <w:r w:rsidRPr="00895DD4">
        <w:rPr>
          <w:i/>
          <w:iCs/>
          <w:sz w:val="18"/>
          <w:szCs w:val="18"/>
        </w:rPr>
        <w:t xml:space="preserve"> confidence intervals.</w:t>
      </w:r>
    </w:p>
    <w:p w14:paraId="3B52DC12" w14:textId="112290F5" w:rsidR="006F02EE" w:rsidRPr="00895DD4" w:rsidRDefault="006F02EE" w:rsidP="00561DBE">
      <w:pPr>
        <w:pStyle w:val="Tablefigurenote"/>
        <w:rPr>
          <w:b/>
          <w:i/>
          <w:iCs/>
          <w:sz w:val="18"/>
          <w:szCs w:val="18"/>
        </w:rPr>
      </w:pPr>
      <w:r w:rsidRPr="00895DD4">
        <w:rPr>
          <w:i/>
          <w:iCs/>
          <w:sz w:val="18"/>
          <w:szCs w:val="18"/>
        </w:rPr>
        <w:t>Remoteness is classified according to the ASGC Remoteness Areas.</w:t>
      </w:r>
    </w:p>
    <w:p w14:paraId="039E7476" w14:textId="1923908E" w:rsidR="006F02EE" w:rsidRPr="00895DD4" w:rsidRDefault="006F02EE" w:rsidP="00561DBE">
      <w:pPr>
        <w:pStyle w:val="Tablefigurenote"/>
        <w:rPr>
          <w:i/>
          <w:iCs/>
          <w:sz w:val="18"/>
          <w:szCs w:val="18"/>
        </w:rPr>
      </w:pPr>
      <w:r w:rsidRPr="00895DD4">
        <w:rPr>
          <w:i/>
          <w:iCs/>
          <w:sz w:val="18"/>
          <w:szCs w:val="18"/>
        </w:rPr>
        <w:t>SES is classified according to the SEIFA Index of Relative Socio-economic Disadvantage – 1= lowest and 5 = highest.</w:t>
      </w:r>
    </w:p>
    <w:p w14:paraId="525DB7AA" w14:textId="231982BB" w:rsidR="003004BC" w:rsidRPr="00B416BE" w:rsidRDefault="00DC2D82" w:rsidP="00B416BE">
      <w:pPr>
        <w:pStyle w:val="Tablefigurenote"/>
      </w:pPr>
      <w:r w:rsidRPr="00895DD4">
        <w:rPr>
          <w:i/>
          <w:iCs/>
          <w:sz w:val="18"/>
          <w:szCs w:val="18"/>
        </w:rPr>
        <w:t>Appendix 2 provides the dataset.</w:t>
      </w:r>
      <w:r w:rsidR="003004BC">
        <w:br w:type="page"/>
      </w:r>
    </w:p>
    <w:p w14:paraId="0275EEB8" w14:textId="616A9EDF" w:rsidR="00CD628B" w:rsidRPr="00671C7A" w:rsidRDefault="00CD628B" w:rsidP="007C7F00">
      <w:pPr>
        <w:pStyle w:val="Heading4"/>
      </w:pPr>
      <w:r w:rsidRPr="000C1EAE">
        <w:lastRenderedPageBreak/>
        <w:t>Measure assessment</w:t>
      </w:r>
    </w:p>
    <w:p w14:paraId="61C24247" w14:textId="77777777" w:rsidR="00AF5F6D" w:rsidRPr="00F669D5" w:rsidRDefault="00CD628B" w:rsidP="00E87AAA">
      <w:pPr>
        <w:pStyle w:val="Body"/>
      </w:pPr>
      <w:r w:rsidRPr="001C3996">
        <w:rPr>
          <w:rFonts w:cs="Arial"/>
        </w:rPr>
        <w:t xml:space="preserve">Traffic light rating: </w:t>
      </w:r>
      <w:r w:rsidR="00AF5F6D" w:rsidRPr="00D207B2">
        <w:rPr>
          <w:b/>
          <w:bCs/>
          <w:color w:val="007B4B"/>
        </w:rPr>
        <w:t>Green</w:t>
      </w:r>
      <w:r w:rsidR="00AF5F6D" w:rsidRPr="008F7F63">
        <w:rPr>
          <w:b/>
          <w:bCs/>
        </w:rPr>
        <w:t xml:space="preserve"> </w:t>
      </w:r>
      <w:r w:rsidR="00AF5F6D" w:rsidRPr="008F7F63">
        <w:t>(satisfactory result)</w:t>
      </w:r>
    </w:p>
    <w:p w14:paraId="3888981C" w14:textId="5B2D5AFF" w:rsidR="001C3996" w:rsidRPr="00F42E08" w:rsidRDefault="00AF5F6D" w:rsidP="00606436">
      <w:pPr>
        <w:pStyle w:val="Body"/>
      </w:pPr>
      <w:r>
        <w:t xml:space="preserve">Overall trend: </w:t>
      </w:r>
      <w:r w:rsidR="001B02F4">
        <w:t>M</w:t>
      </w:r>
      <w:r>
        <w:t>oving in the right direction</w:t>
      </w:r>
    </w:p>
    <w:p w14:paraId="486EBB43" w14:textId="5EB17728" w:rsidR="00D80375" w:rsidRDefault="00CD628B" w:rsidP="00E87AAA">
      <w:pPr>
        <w:pStyle w:val="Body"/>
        <w:rPr>
          <w:lang w:val="en-GB"/>
        </w:rPr>
      </w:pPr>
      <w:r w:rsidRPr="00AF7428">
        <w:rPr>
          <w:rFonts w:cs="Arial"/>
          <w:lang w:eastAsia="en-AU"/>
        </w:rPr>
        <w:t>Commentary:</w:t>
      </w:r>
      <w:r w:rsidR="00D80375">
        <w:rPr>
          <w:rFonts w:cs="Arial"/>
          <w:lang w:eastAsia="en-AU"/>
        </w:rPr>
        <w:t xml:space="preserve"> </w:t>
      </w:r>
      <w:r w:rsidR="00D80375">
        <w:rPr>
          <w:lang w:val="en"/>
        </w:rPr>
        <w:t xml:space="preserve">Nationally, the five-year </w:t>
      </w:r>
      <w:r w:rsidR="00D80375">
        <w:rPr>
          <w:lang w:val="en-GB"/>
        </w:rPr>
        <w:t>survival rate for oesophageal cancer in Australia i</w:t>
      </w:r>
      <w:r w:rsidR="001F6D34">
        <w:rPr>
          <w:lang w:val="en-GB"/>
        </w:rPr>
        <w:t>n 2010</w:t>
      </w:r>
      <w:r w:rsidR="00CA6D80">
        <w:rPr>
          <w:lang w:val="en-GB"/>
        </w:rPr>
        <w:t>–</w:t>
      </w:r>
      <w:r w:rsidR="001F6D34">
        <w:rPr>
          <w:lang w:val="en-GB"/>
        </w:rPr>
        <w:t>2014 was</w:t>
      </w:r>
      <w:r w:rsidR="00D80375">
        <w:rPr>
          <w:lang w:val="en-GB"/>
        </w:rPr>
        <w:t xml:space="preserve"> 2</w:t>
      </w:r>
      <w:r w:rsidR="002B1964">
        <w:rPr>
          <w:lang w:val="en-GB"/>
        </w:rPr>
        <w:t>3.5</w:t>
      </w:r>
      <w:r w:rsidR="0054537F">
        <w:rPr>
          <w:lang w:val="en-GB"/>
        </w:rPr>
        <w:t>%</w:t>
      </w:r>
      <w:r w:rsidR="00D80375">
        <w:rPr>
          <w:lang w:val="en-GB"/>
        </w:rPr>
        <w:t>.</w:t>
      </w:r>
      <w:r w:rsidR="00D80375">
        <w:rPr>
          <w:rStyle w:val="FootnoteReference"/>
          <w:lang w:val="en-GB"/>
        </w:rPr>
        <w:footnoteReference w:id="207"/>
      </w:r>
      <w:r w:rsidR="001F6D34">
        <w:rPr>
          <w:lang w:val="en-GB"/>
        </w:rPr>
        <w:t xml:space="preserve"> Victoria mirrored the national trend</w:t>
      </w:r>
      <w:r w:rsidR="00A069F2">
        <w:rPr>
          <w:lang w:val="en-GB"/>
        </w:rPr>
        <w:t>,</w:t>
      </w:r>
      <w:r w:rsidR="001F6D34">
        <w:rPr>
          <w:lang w:val="en-GB"/>
        </w:rPr>
        <w:t xml:space="preserve"> with </w:t>
      </w:r>
      <w:r w:rsidR="00946C6F">
        <w:rPr>
          <w:lang w:val="en-GB"/>
        </w:rPr>
        <w:t xml:space="preserve">a </w:t>
      </w:r>
      <w:r w:rsidR="009D0E1A">
        <w:rPr>
          <w:lang w:val="en-GB"/>
        </w:rPr>
        <w:t>five</w:t>
      </w:r>
      <w:r w:rsidR="00946C6F">
        <w:rPr>
          <w:lang w:val="en-GB"/>
        </w:rPr>
        <w:t xml:space="preserve">-year survival rate of </w:t>
      </w:r>
      <w:r w:rsidR="001F6D34">
        <w:rPr>
          <w:lang w:val="en-GB"/>
        </w:rPr>
        <w:t>2</w:t>
      </w:r>
      <w:r w:rsidR="000C1EAE">
        <w:rPr>
          <w:lang w:val="en-GB"/>
        </w:rPr>
        <w:t>1</w:t>
      </w:r>
      <w:r w:rsidR="001F6D34">
        <w:rPr>
          <w:lang w:val="en-GB"/>
        </w:rPr>
        <w:t>.</w:t>
      </w:r>
      <w:r w:rsidR="000C1EAE">
        <w:rPr>
          <w:lang w:val="en-GB"/>
        </w:rPr>
        <w:t>7</w:t>
      </w:r>
      <w:r w:rsidR="0054537F">
        <w:rPr>
          <w:lang w:val="en-GB"/>
        </w:rPr>
        <w:t>%</w:t>
      </w:r>
      <w:r w:rsidR="001F6D34">
        <w:rPr>
          <w:lang w:val="en-GB"/>
        </w:rPr>
        <w:t xml:space="preserve"> </w:t>
      </w:r>
      <w:r w:rsidR="00946C6F">
        <w:rPr>
          <w:lang w:val="en-GB"/>
        </w:rPr>
        <w:t>for the same period.</w:t>
      </w:r>
      <w:r w:rsidR="00EB7AB1">
        <w:rPr>
          <w:lang w:val="en-GB"/>
        </w:rPr>
        <w:t xml:space="preserve"> However, the five-year survival rate for this cancer increased to 25.</w:t>
      </w:r>
      <w:r w:rsidR="000C1EAE">
        <w:rPr>
          <w:lang w:val="en-GB"/>
        </w:rPr>
        <w:t>5</w:t>
      </w:r>
      <w:r w:rsidR="0054537F">
        <w:rPr>
          <w:lang w:val="en-GB"/>
        </w:rPr>
        <w:t>%</w:t>
      </w:r>
      <w:r w:rsidR="00EB7AB1">
        <w:rPr>
          <w:lang w:val="en-GB"/>
        </w:rPr>
        <w:t xml:space="preserve"> for the 2015–2019 period.</w:t>
      </w:r>
    </w:p>
    <w:p w14:paraId="253321F3" w14:textId="3A1E10E3" w:rsidR="00946C6F" w:rsidRDefault="001B02F4" w:rsidP="00606436">
      <w:pPr>
        <w:pStyle w:val="Body"/>
      </w:pPr>
      <w:r w:rsidRPr="00465389">
        <w:t xml:space="preserve">The increases </w:t>
      </w:r>
      <w:r w:rsidR="00974531" w:rsidRPr="00465389">
        <w:t>in five-year survival occurred for both males and females</w:t>
      </w:r>
      <w:r w:rsidR="00465389" w:rsidRPr="00465389">
        <w:t>, although females had a slightly larger increase in survival over the two periods</w:t>
      </w:r>
      <w:r w:rsidR="00974531" w:rsidRPr="00465389">
        <w:t xml:space="preserve"> (Tables 13.15a and c, </w:t>
      </w:r>
      <w:r w:rsidR="00465389" w:rsidRPr="00465389">
        <w:t>Appendix</w:t>
      </w:r>
      <w:r w:rsidR="00974531" w:rsidRPr="00465389">
        <w:t xml:space="preserve"> 2)</w:t>
      </w:r>
      <w:r w:rsidR="00946C6F" w:rsidRPr="00465389">
        <w:t xml:space="preserve">. However, five-year survival </w:t>
      </w:r>
      <w:r w:rsidR="00465389">
        <w:t>showed contrasting trends</w:t>
      </w:r>
      <w:r w:rsidR="00946C6F" w:rsidRPr="00465389">
        <w:t xml:space="preserve"> for age groups</w:t>
      </w:r>
      <w:r w:rsidR="00465389">
        <w:t xml:space="preserve"> 45</w:t>
      </w:r>
      <w:r w:rsidR="00523285">
        <w:t>–</w:t>
      </w:r>
      <w:r w:rsidR="00465389">
        <w:t xml:space="preserve">54 years and </w:t>
      </w:r>
      <w:r w:rsidR="00C56D1C">
        <w:t>55</w:t>
      </w:r>
      <w:r w:rsidR="00523285">
        <w:t>–</w:t>
      </w:r>
      <w:r w:rsidR="00C56D1C">
        <w:t>64 years</w:t>
      </w:r>
      <w:r w:rsidR="00523285">
        <w:t>,</w:t>
      </w:r>
      <w:r w:rsidR="00C56D1C">
        <w:t xml:space="preserve"> with a marked decrease for those aged 85 years or older</w:t>
      </w:r>
      <w:r w:rsidR="00946C6F" w:rsidRPr="00465389">
        <w:t xml:space="preserve"> (Figure 13.15</w:t>
      </w:r>
      <w:r w:rsidR="00952E73">
        <w:t xml:space="preserve"> </w:t>
      </w:r>
      <w:r w:rsidR="00C56D1C">
        <w:t>(A)</w:t>
      </w:r>
      <w:r w:rsidR="00946C6F" w:rsidRPr="00465389">
        <w:t>)</w:t>
      </w:r>
      <w:r w:rsidR="0054316D" w:rsidRPr="00465389">
        <w:t>.</w:t>
      </w:r>
    </w:p>
    <w:p w14:paraId="5273CF8E" w14:textId="678AAEC6" w:rsidR="00716660" w:rsidRPr="00465389" w:rsidRDefault="00716660" w:rsidP="00606436">
      <w:pPr>
        <w:pStyle w:val="Body"/>
      </w:pPr>
      <w:r w:rsidRPr="00C56D1C">
        <w:t xml:space="preserve">There was no consistent association between survival and SES. </w:t>
      </w:r>
      <w:r>
        <w:t>Overall f</w:t>
      </w:r>
      <w:r w:rsidRPr="00C56D1C">
        <w:t>ive-year survival was the highest in the fourth highest quintile (</w:t>
      </w:r>
      <w:r w:rsidR="00523285">
        <w:t>SES</w:t>
      </w:r>
      <w:r w:rsidRPr="00C56D1C">
        <w:t xml:space="preserve"> 4) across both periods (3</w:t>
      </w:r>
      <w:r w:rsidR="000C1EAE">
        <w:t>0</w:t>
      </w:r>
      <w:r w:rsidRPr="00C56D1C">
        <w:t>.</w:t>
      </w:r>
      <w:r w:rsidR="000C1EAE">
        <w:t>4</w:t>
      </w:r>
      <w:r w:rsidR="0054537F">
        <w:t>%</w:t>
      </w:r>
      <w:r w:rsidRPr="00C56D1C">
        <w:t>, 2010</w:t>
      </w:r>
      <w:r w:rsidRPr="00C56D1C">
        <w:rPr>
          <w:lang w:val="en-GB"/>
        </w:rPr>
        <w:t>–</w:t>
      </w:r>
      <w:r w:rsidRPr="00C56D1C">
        <w:t>2014 and 31.3</w:t>
      </w:r>
      <w:r w:rsidR="0054537F">
        <w:t>%</w:t>
      </w:r>
      <w:r w:rsidRPr="00C56D1C">
        <w:t>, 2015</w:t>
      </w:r>
      <w:r w:rsidRPr="00C56D1C">
        <w:rPr>
          <w:lang w:val="en-GB"/>
        </w:rPr>
        <w:t>–</w:t>
      </w:r>
      <w:r w:rsidRPr="00C56D1C">
        <w:t xml:space="preserve">2019) </w:t>
      </w:r>
      <w:r>
        <w:t>(Figure 13.15(C).</w:t>
      </w:r>
    </w:p>
    <w:p w14:paraId="1D6800BD" w14:textId="4A2EE0AD" w:rsidR="00716660" w:rsidRPr="0075203E" w:rsidRDefault="00946C6F" w:rsidP="00606436">
      <w:pPr>
        <w:pStyle w:val="Body"/>
      </w:pPr>
      <w:r w:rsidRPr="0075203E">
        <w:t>Survival differed significantly by remoteness</w:t>
      </w:r>
      <w:r w:rsidR="00A069F2" w:rsidRPr="0075203E">
        <w:t>,</w:t>
      </w:r>
      <w:r w:rsidRPr="0075203E">
        <w:t xml:space="preserve"> with major cities having a higher </w:t>
      </w:r>
      <w:r w:rsidR="009D0E1A" w:rsidRPr="0075203E">
        <w:t>five</w:t>
      </w:r>
      <w:r w:rsidRPr="0075203E">
        <w:t>-year survival rate (2</w:t>
      </w:r>
      <w:r w:rsidR="00465389" w:rsidRPr="0075203E">
        <w:t>4</w:t>
      </w:r>
      <w:r w:rsidRPr="0075203E">
        <w:t>.</w:t>
      </w:r>
      <w:r w:rsidR="000C1EAE">
        <w:t>5</w:t>
      </w:r>
      <w:r w:rsidR="0054537F">
        <w:t>%</w:t>
      </w:r>
      <w:r w:rsidR="00465389" w:rsidRPr="0075203E">
        <w:t>; 2010</w:t>
      </w:r>
      <w:r w:rsidR="00465389" w:rsidRPr="0075203E">
        <w:rPr>
          <w:lang w:val="en-GB"/>
        </w:rPr>
        <w:t>–</w:t>
      </w:r>
      <w:r w:rsidR="00465389" w:rsidRPr="0075203E">
        <w:t xml:space="preserve">2014 and </w:t>
      </w:r>
      <w:r w:rsidR="00716660" w:rsidRPr="0075203E">
        <w:t>26.</w:t>
      </w:r>
      <w:r w:rsidR="000C1EAE">
        <w:t>3</w:t>
      </w:r>
      <w:r w:rsidR="0054537F">
        <w:t>%</w:t>
      </w:r>
      <w:r w:rsidR="00716660" w:rsidRPr="0075203E">
        <w:t>, 2015</w:t>
      </w:r>
      <w:r w:rsidR="00716660" w:rsidRPr="0075203E">
        <w:rPr>
          <w:lang w:val="en-GB"/>
        </w:rPr>
        <w:t>–</w:t>
      </w:r>
      <w:r w:rsidR="00716660" w:rsidRPr="0075203E">
        <w:t>2019</w:t>
      </w:r>
      <w:r w:rsidRPr="0075203E">
        <w:t xml:space="preserve">) </w:t>
      </w:r>
      <w:r w:rsidR="00A069F2" w:rsidRPr="0075203E">
        <w:t>than</w:t>
      </w:r>
      <w:r w:rsidR="001B50BF" w:rsidRPr="0075203E">
        <w:t xml:space="preserve"> </w:t>
      </w:r>
      <w:r w:rsidRPr="0075203E">
        <w:t>outer regional/remote areas</w:t>
      </w:r>
      <w:r w:rsidR="00716660" w:rsidRPr="0075203E">
        <w:t xml:space="preserve"> (Figure 13.15</w:t>
      </w:r>
      <w:r w:rsidR="00952E73">
        <w:t xml:space="preserve"> </w:t>
      </w:r>
      <w:r w:rsidR="00716660" w:rsidRPr="0075203E">
        <w:t>(B))</w:t>
      </w:r>
      <w:r w:rsidRPr="0075203E">
        <w:t>.</w:t>
      </w:r>
      <w:r w:rsidR="00952FC7" w:rsidRPr="0075203E">
        <w:t xml:space="preserve"> </w:t>
      </w:r>
    </w:p>
    <w:p w14:paraId="62575FA6" w14:textId="3FF9B410" w:rsidR="00421180" w:rsidRPr="0075203E" w:rsidRDefault="00421180" w:rsidP="00606436">
      <w:pPr>
        <w:pStyle w:val="Body"/>
      </w:pPr>
      <w:r w:rsidRPr="0075203E">
        <w:t xml:space="preserve">This trend was also mirrored between ICSs where the </w:t>
      </w:r>
      <w:r w:rsidR="008869C1" w:rsidRPr="0075203E">
        <w:t>five-y</w:t>
      </w:r>
      <w:r w:rsidRPr="0075203E">
        <w:t xml:space="preserve">ear survival rate was highest in urban ICSs such as </w:t>
      </w:r>
      <w:r w:rsidR="00716660" w:rsidRPr="0075203E">
        <w:t>NE</w:t>
      </w:r>
      <w:r w:rsidRPr="0075203E">
        <w:t xml:space="preserve">MICS compared </w:t>
      </w:r>
      <w:r w:rsidR="009D0E1A" w:rsidRPr="0075203E">
        <w:t xml:space="preserve">with </w:t>
      </w:r>
      <w:r w:rsidRPr="0075203E">
        <w:t>rural</w:t>
      </w:r>
      <w:r w:rsidR="00A069F2" w:rsidRPr="0075203E">
        <w:t>-</w:t>
      </w:r>
      <w:r w:rsidRPr="0075203E">
        <w:t>centric ICSs</w:t>
      </w:r>
      <w:r w:rsidR="00A069F2" w:rsidRPr="0075203E">
        <w:t>,</w:t>
      </w:r>
      <w:r w:rsidRPr="0075203E">
        <w:t xml:space="preserve"> namely GRICS</w:t>
      </w:r>
      <w:r w:rsidR="00A069F2" w:rsidRPr="0075203E">
        <w:t>,</w:t>
      </w:r>
      <w:r w:rsidRPr="0075203E">
        <w:t xml:space="preserve"> which had significantly lower survival rate</w:t>
      </w:r>
      <w:r w:rsidR="00716660" w:rsidRPr="0075203E">
        <w:t xml:space="preserve">s across the two periods </w:t>
      </w:r>
      <w:r w:rsidRPr="0075203E">
        <w:t>(Figure 13.15</w:t>
      </w:r>
      <w:r w:rsidR="00716660" w:rsidRPr="0075203E">
        <w:t xml:space="preserve"> (D)</w:t>
      </w:r>
      <w:r w:rsidRPr="0075203E">
        <w:t>).</w:t>
      </w:r>
      <w:r w:rsidR="001C3996" w:rsidRPr="0075203E">
        <w:t xml:space="preserve"> However, these results should be interpreted with caution because of the wide confidence intervals due to small sample sizes.</w:t>
      </w:r>
    </w:p>
    <w:p w14:paraId="6C1600EE" w14:textId="0C6EFEB2" w:rsidR="005C15AA" w:rsidRPr="00B05552" w:rsidRDefault="005F72D6" w:rsidP="00A451D4">
      <w:pPr>
        <w:pStyle w:val="Heading3"/>
        <w:rPr>
          <w:b/>
          <w:bCs w:val="0"/>
        </w:rPr>
      </w:pPr>
      <w:bookmarkStart w:id="1063" w:name="_Measure_13.16_–"/>
      <w:bookmarkEnd w:id="1063"/>
      <w:r>
        <w:br w:type="page"/>
      </w:r>
      <w:bookmarkStart w:id="1064" w:name="_Toc19008190"/>
      <w:r w:rsidR="005C15AA" w:rsidRPr="00B05552">
        <w:rPr>
          <w:b/>
          <w:bCs w:val="0"/>
        </w:rPr>
        <w:lastRenderedPageBreak/>
        <w:t xml:space="preserve">Measure 13.16 – </w:t>
      </w:r>
      <w:r w:rsidR="00A4158A" w:rsidRPr="00B05552">
        <w:rPr>
          <w:b/>
          <w:bCs w:val="0"/>
        </w:rPr>
        <w:t xml:space="preserve">Five-year </w:t>
      </w:r>
      <w:r w:rsidR="007F25A4" w:rsidRPr="00B05552">
        <w:rPr>
          <w:b/>
          <w:bCs w:val="0"/>
        </w:rPr>
        <w:t xml:space="preserve">relative </w:t>
      </w:r>
      <w:r w:rsidR="00A4158A" w:rsidRPr="00B05552">
        <w:rPr>
          <w:b/>
          <w:bCs w:val="0"/>
        </w:rPr>
        <w:t xml:space="preserve">survival from </w:t>
      </w:r>
      <w:bookmarkStart w:id="1065" w:name="_Hlk139555757"/>
      <w:r w:rsidR="00A4158A" w:rsidRPr="00B05552">
        <w:rPr>
          <w:b/>
          <w:bCs w:val="0"/>
        </w:rPr>
        <w:t>acute myeloid leukaemia</w:t>
      </w:r>
      <w:bookmarkEnd w:id="1064"/>
    </w:p>
    <w:p w14:paraId="54561BCE" w14:textId="3E17EA21" w:rsidR="00A97E13" w:rsidRPr="00895DD4" w:rsidRDefault="00554010" w:rsidP="000C64B7">
      <w:pPr>
        <w:pStyle w:val="Figurecaption"/>
        <w:rPr>
          <w:sz w:val="20"/>
        </w:rPr>
      </w:pPr>
      <w:bookmarkStart w:id="1066" w:name="_Toc19008191"/>
      <w:bookmarkStart w:id="1067" w:name="_Toc19008384"/>
      <w:bookmarkStart w:id="1068" w:name="_Toc19008531"/>
      <w:bookmarkStart w:id="1069" w:name="_Toc19008678"/>
      <w:bookmarkStart w:id="1070" w:name="_Toc132553101"/>
      <w:bookmarkStart w:id="1071" w:name="_Toc140827714"/>
      <w:bookmarkEnd w:id="1065"/>
      <w:r w:rsidRPr="00895DD4">
        <w:rPr>
          <w:sz w:val="20"/>
        </w:rPr>
        <w:t>Figure 13.</w:t>
      </w:r>
      <w:r w:rsidR="002A2CBF" w:rsidRPr="00895DD4">
        <w:rPr>
          <w:sz w:val="20"/>
        </w:rPr>
        <w:t>1</w:t>
      </w:r>
      <w:r w:rsidRPr="00895DD4">
        <w:rPr>
          <w:sz w:val="20"/>
        </w:rPr>
        <w:t>6</w:t>
      </w:r>
      <w:r w:rsidR="00C03D95" w:rsidRPr="00895DD4">
        <w:rPr>
          <w:sz w:val="20"/>
        </w:rPr>
        <w:t>:</w:t>
      </w:r>
      <w:r w:rsidR="006267F6" w:rsidRPr="00895DD4">
        <w:rPr>
          <w:sz w:val="20"/>
        </w:rPr>
        <w:t xml:space="preserve"> Five-year relative survival from acute myeloid leukaemia</w:t>
      </w:r>
      <w:r w:rsidR="00A069F2" w:rsidRPr="00895DD4">
        <w:rPr>
          <w:sz w:val="20"/>
        </w:rPr>
        <w:t>,</w:t>
      </w:r>
      <w:r w:rsidR="00514E0F" w:rsidRPr="00895DD4">
        <w:rPr>
          <w:sz w:val="20"/>
        </w:rPr>
        <w:t xml:space="preserve"> by age (A), remoteness (B)</w:t>
      </w:r>
      <w:r w:rsidR="00211E45" w:rsidRPr="00895DD4">
        <w:rPr>
          <w:sz w:val="20"/>
        </w:rPr>
        <w:t xml:space="preserve">, </w:t>
      </w:r>
      <w:r w:rsidR="00DE7FFE" w:rsidRPr="00895DD4">
        <w:rPr>
          <w:sz w:val="20"/>
        </w:rPr>
        <w:t>SES</w:t>
      </w:r>
      <w:r w:rsidR="00211E45" w:rsidRPr="00895DD4">
        <w:rPr>
          <w:sz w:val="20"/>
        </w:rPr>
        <w:t xml:space="preserve"> (C)</w:t>
      </w:r>
      <w:r w:rsidR="00514E0F" w:rsidRPr="00895DD4">
        <w:rPr>
          <w:sz w:val="20"/>
        </w:rPr>
        <w:t xml:space="preserve"> and </w:t>
      </w:r>
      <w:r w:rsidR="008439C8" w:rsidRPr="00895DD4">
        <w:rPr>
          <w:sz w:val="20"/>
        </w:rPr>
        <w:t>ICS</w:t>
      </w:r>
      <w:r w:rsidR="00514E0F" w:rsidRPr="00895DD4">
        <w:rPr>
          <w:sz w:val="20"/>
        </w:rPr>
        <w:t xml:space="preserve"> (</w:t>
      </w:r>
      <w:r w:rsidR="00211E45" w:rsidRPr="00895DD4">
        <w:rPr>
          <w:sz w:val="20"/>
        </w:rPr>
        <w:t>D</w:t>
      </w:r>
      <w:r w:rsidR="00514E0F" w:rsidRPr="00895DD4">
        <w:rPr>
          <w:sz w:val="20"/>
        </w:rPr>
        <w:t>), Victoria, 2010</w:t>
      </w:r>
      <w:r w:rsidR="009D0E1A" w:rsidRPr="00895DD4">
        <w:rPr>
          <w:sz w:val="20"/>
        </w:rPr>
        <w:t>–</w:t>
      </w:r>
      <w:r w:rsidR="00514E0F" w:rsidRPr="00895DD4">
        <w:rPr>
          <w:sz w:val="20"/>
        </w:rPr>
        <w:t>2014</w:t>
      </w:r>
      <w:bookmarkEnd w:id="1066"/>
      <w:bookmarkEnd w:id="1067"/>
      <w:bookmarkEnd w:id="1068"/>
      <w:bookmarkEnd w:id="1069"/>
      <w:r w:rsidR="000C64B7" w:rsidRPr="00895DD4">
        <w:rPr>
          <w:sz w:val="20"/>
        </w:rPr>
        <w:t xml:space="preserve"> and 2015–2019</w:t>
      </w:r>
      <w:bookmarkEnd w:id="1070"/>
      <w:bookmarkEnd w:id="1071"/>
    </w:p>
    <w:p w14:paraId="16F0CD16" w14:textId="0F490D37" w:rsidR="00CD5273" w:rsidRPr="00CD5273" w:rsidRDefault="00CD5273" w:rsidP="00E87AAA">
      <w:pPr>
        <w:pStyle w:val="Body"/>
      </w:pPr>
      <w:r>
        <w:rPr>
          <w:noProof/>
        </w:rPr>
        <w:drawing>
          <wp:inline distT="0" distB="0" distL="0" distR="0" wp14:anchorId="008CAAC3" wp14:editId="08744D9C">
            <wp:extent cx="6012180" cy="5400000"/>
            <wp:effectExtent l="0" t="0" r="7620" b="0"/>
            <wp:docPr id="411" name="Picture 411" descr="This figure shows a data summary of 'Measure 13.16 – Five-year relative survival from acute myeloid leukaemia cancer'. Specially this figure focuses on the trends in five-year relative survival from acute myeloid leukaemia cancer by age, remoteness, socio-economic status and Integrated Cancer Service for the study periods 2010-2014 and 2015-2019. The data set is available under 'Measure 13.16 – Five-year relative survival from acute myeloid leukaemia cancer'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This figure shows a data summary of 'Measure 13.16 – Five-year relative survival from acute myeloid leukaemia cancer'. Specially this figure focuses on the trends in five-year relative survival from acute myeloid leukaemia cancer by age, remoteness, socio-economic status and Integrated Cancer Service for the study periods 2010-2014 and 2015-2019. The data set is available under 'Measure 13.16 – Five-year relative survival from acute myeloid leukaemia cancer' in a separate volume, the Victorian cancer plan monitoring and evaluation framework: baseline progress report: Appendix 2: Datasets available on Cancer care &lt;https://www.health.vic.gov.au/health-strategies/cancer-care&gt;."/>
                    <pic:cNvPicPr/>
                  </pic:nvPicPr>
                  <pic:blipFill>
                    <a:blip r:embed="rId165"/>
                    <a:stretch>
                      <a:fillRect/>
                    </a:stretch>
                  </pic:blipFill>
                  <pic:spPr>
                    <a:xfrm>
                      <a:off x="0" y="0"/>
                      <a:ext cx="6021223" cy="5408122"/>
                    </a:xfrm>
                    <a:prstGeom prst="rect">
                      <a:avLst/>
                    </a:prstGeom>
                  </pic:spPr>
                </pic:pic>
              </a:graphicData>
            </a:graphic>
          </wp:inline>
        </w:drawing>
      </w:r>
    </w:p>
    <w:p w14:paraId="6BA4DC66" w14:textId="77777777" w:rsidR="00292107" w:rsidRPr="00895DD4" w:rsidRDefault="00292107" w:rsidP="00E87AAA">
      <w:pPr>
        <w:pStyle w:val="Body"/>
        <w:rPr>
          <w:i/>
          <w:iCs/>
          <w:sz w:val="18"/>
          <w:szCs w:val="18"/>
        </w:rPr>
      </w:pPr>
      <w:r w:rsidRPr="00895DD4">
        <w:rPr>
          <w:i/>
          <w:iCs/>
          <w:sz w:val="18"/>
          <w:szCs w:val="18"/>
        </w:rPr>
        <w:t xml:space="preserve">Notes: </w:t>
      </w:r>
    </w:p>
    <w:p w14:paraId="29CB40AF" w14:textId="036E34DA" w:rsidR="00944845" w:rsidRPr="00895DD4" w:rsidRDefault="00944845" w:rsidP="00E87AAA">
      <w:pPr>
        <w:pStyle w:val="Body"/>
        <w:rPr>
          <w:i/>
          <w:iCs/>
          <w:sz w:val="18"/>
          <w:szCs w:val="18"/>
        </w:rPr>
      </w:pPr>
      <w:r w:rsidRPr="00895DD4">
        <w:rPr>
          <w:i/>
          <w:iCs/>
          <w:sz w:val="18"/>
          <w:szCs w:val="18"/>
        </w:rPr>
        <w:t>Error bars indicate 95</w:t>
      </w:r>
      <w:r w:rsidR="0054537F">
        <w:rPr>
          <w:i/>
          <w:iCs/>
          <w:sz w:val="18"/>
          <w:szCs w:val="18"/>
        </w:rPr>
        <w:t>%</w:t>
      </w:r>
      <w:r w:rsidRPr="00895DD4">
        <w:rPr>
          <w:i/>
          <w:iCs/>
          <w:sz w:val="18"/>
          <w:szCs w:val="18"/>
        </w:rPr>
        <w:t xml:space="preserve"> confidence intervals.</w:t>
      </w:r>
    </w:p>
    <w:p w14:paraId="757D506A" w14:textId="05C4900E" w:rsidR="00944845" w:rsidRPr="00895DD4" w:rsidRDefault="00944845" w:rsidP="00561DBE">
      <w:pPr>
        <w:pStyle w:val="Tablefigurenote"/>
        <w:rPr>
          <w:i/>
          <w:iCs/>
          <w:sz w:val="18"/>
          <w:szCs w:val="18"/>
        </w:rPr>
      </w:pPr>
      <w:r w:rsidRPr="00895DD4">
        <w:rPr>
          <w:i/>
          <w:iCs/>
          <w:sz w:val="18"/>
          <w:szCs w:val="18"/>
        </w:rPr>
        <w:t>Remoteness is classified according to the ASGC Remoteness Areas.</w:t>
      </w:r>
    </w:p>
    <w:p w14:paraId="29B0C512" w14:textId="7EE6DC11" w:rsidR="00944845" w:rsidRPr="00895DD4" w:rsidRDefault="00944845" w:rsidP="00561DBE">
      <w:pPr>
        <w:pStyle w:val="Tablefigurenote"/>
        <w:rPr>
          <w:i/>
          <w:iCs/>
          <w:sz w:val="18"/>
          <w:szCs w:val="18"/>
        </w:rPr>
      </w:pPr>
      <w:r w:rsidRPr="00895DD4">
        <w:rPr>
          <w:i/>
          <w:iCs/>
          <w:sz w:val="18"/>
          <w:szCs w:val="18"/>
        </w:rPr>
        <w:t>SES is classified according to the SEIFA Index of Relative Socio-economic Disadvantage – 1= lowest and 5 = highest</w:t>
      </w:r>
      <w:r w:rsidR="00DC2D82" w:rsidRPr="00895DD4">
        <w:rPr>
          <w:i/>
          <w:iCs/>
          <w:sz w:val="18"/>
          <w:szCs w:val="18"/>
        </w:rPr>
        <w:t>.</w:t>
      </w:r>
    </w:p>
    <w:p w14:paraId="335A33F3" w14:textId="58147D3F" w:rsidR="00DC2D82" w:rsidRPr="00895DD4" w:rsidRDefault="00DC2D82" w:rsidP="00561DBE">
      <w:pPr>
        <w:pStyle w:val="Tablefigurenote"/>
        <w:rPr>
          <w:i/>
          <w:iCs/>
          <w:sz w:val="18"/>
          <w:szCs w:val="18"/>
        </w:rPr>
      </w:pPr>
      <w:r w:rsidRPr="00895DD4">
        <w:rPr>
          <w:i/>
          <w:iCs/>
          <w:sz w:val="18"/>
          <w:szCs w:val="18"/>
        </w:rPr>
        <w:t>Appendix 2 provides the dataset.</w:t>
      </w:r>
    </w:p>
    <w:p w14:paraId="537479C1" w14:textId="76BF134C" w:rsidR="003F5D3F" w:rsidRPr="00671C7A" w:rsidRDefault="003F5D3F" w:rsidP="007C7F00">
      <w:pPr>
        <w:pStyle w:val="Heading4"/>
      </w:pPr>
      <w:r w:rsidRPr="00AA0AE6">
        <w:t>Measure assessment</w:t>
      </w:r>
    </w:p>
    <w:p w14:paraId="24B0CF09" w14:textId="0176F723" w:rsidR="006537FE" w:rsidRPr="00AB30D8" w:rsidRDefault="003F5D3F" w:rsidP="00606436">
      <w:pPr>
        <w:pStyle w:val="Body"/>
      </w:pPr>
      <w:r w:rsidRPr="00AB30D8">
        <w:t>Traffic light rating:</w:t>
      </w:r>
      <w:r>
        <w:t xml:space="preserve"> </w:t>
      </w:r>
      <w:r w:rsidR="00AB30D8" w:rsidRPr="00B05552">
        <w:rPr>
          <w:b/>
          <w:color w:val="C5511A"/>
        </w:rPr>
        <w:t xml:space="preserve">Amber </w:t>
      </w:r>
      <w:r w:rsidR="00AB30D8" w:rsidRPr="00EA3932">
        <w:t>(desired result not yet evident)</w:t>
      </w:r>
    </w:p>
    <w:p w14:paraId="776F73CB" w14:textId="3348854D" w:rsidR="003F5D3F" w:rsidRDefault="003F5D3F" w:rsidP="00606436">
      <w:pPr>
        <w:pStyle w:val="Body"/>
      </w:pPr>
      <w:r>
        <w:t xml:space="preserve">Overall trend: </w:t>
      </w:r>
      <w:r w:rsidR="00F669D5">
        <w:t>Appears to be moving in the right direction</w:t>
      </w:r>
    </w:p>
    <w:p w14:paraId="56E3693B" w14:textId="38C5ACA0" w:rsidR="00F2223E" w:rsidRPr="001C196C" w:rsidRDefault="003F5D3F" w:rsidP="00606436">
      <w:pPr>
        <w:pStyle w:val="Body"/>
      </w:pPr>
      <w:r w:rsidRPr="00DB4495">
        <w:t>Commentary:</w:t>
      </w:r>
      <w:r w:rsidR="005123CF" w:rsidRPr="00DB4495">
        <w:t xml:space="preserve"> </w:t>
      </w:r>
      <w:r w:rsidR="00F2223E" w:rsidRPr="00A61286">
        <w:t xml:space="preserve">In Victoria, at diagnosis, the probability of surviving from </w:t>
      </w:r>
      <w:r w:rsidR="00A069F2">
        <w:t xml:space="preserve">AML </w:t>
      </w:r>
      <w:r w:rsidR="00F2223E" w:rsidRPr="00A61286">
        <w:t>for at least</w:t>
      </w:r>
      <w:r w:rsidR="008869C1">
        <w:t xml:space="preserve"> five y</w:t>
      </w:r>
      <w:r w:rsidR="00F2223E" w:rsidRPr="00A61286">
        <w:t>ears was 2</w:t>
      </w:r>
      <w:r w:rsidR="00AA0AE6">
        <w:t>8</w:t>
      </w:r>
      <w:r w:rsidR="00F2223E" w:rsidRPr="00A61286">
        <w:t>.</w:t>
      </w:r>
      <w:r w:rsidR="00AA0AE6">
        <w:t>1</w:t>
      </w:r>
      <w:r w:rsidR="0054537F">
        <w:t>%</w:t>
      </w:r>
      <w:r w:rsidR="00F2223E" w:rsidRPr="00A61286">
        <w:t xml:space="preserve"> </w:t>
      </w:r>
      <w:r w:rsidR="00523285">
        <w:t>in</w:t>
      </w:r>
      <w:r w:rsidR="00523285" w:rsidRPr="00A61286">
        <w:t xml:space="preserve"> </w:t>
      </w:r>
      <w:r w:rsidR="00F2223E" w:rsidRPr="00A61286">
        <w:t>the period 2010</w:t>
      </w:r>
      <w:r w:rsidR="00CA6D80">
        <w:t>–</w:t>
      </w:r>
      <w:r w:rsidR="00F2223E" w:rsidRPr="00A61286">
        <w:t>2014</w:t>
      </w:r>
      <w:r w:rsidR="000C64B7">
        <w:t xml:space="preserve"> but increased to 32.</w:t>
      </w:r>
      <w:r w:rsidR="00AA0AE6">
        <w:t>8</w:t>
      </w:r>
      <w:r w:rsidR="0054537F">
        <w:t>%</w:t>
      </w:r>
      <w:r w:rsidR="000C64B7">
        <w:t xml:space="preserve"> between 2015 and 2019</w:t>
      </w:r>
      <w:r w:rsidR="00F2223E" w:rsidRPr="00A61286">
        <w:t>. Survival</w:t>
      </w:r>
      <w:r w:rsidR="000C64B7">
        <w:t xml:space="preserve"> rates between the two periods was higher for females compared </w:t>
      </w:r>
      <w:r w:rsidR="002C060B" w:rsidRPr="002C060B">
        <w:t xml:space="preserve">with </w:t>
      </w:r>
      <w:r w:rsidR="00C15E13" w:rsidRPr="00A61286">
        <w:t>males</w:t>
      </w:r>
      <w:r w:rsidR="000C64B7">
        <w:t>.</w:t>
      </w:r>
      <w:r w:rsidR="00C15E13" w:rsidRPr="00A61286">
        <w:t xml:space="preserve"> </w:t>
      </w:r>
      <w:r w:rsidR="006B2540" w:rsidRPr="001B2917">
        <w:t>Figure 13.</w:t>
      </w:r>
      <w:r w:rsidR="002A2CBF" w:rsidRPr="001B2917">
        <w:t>1</w:t>
      </w:r>
      <w:r w:rsidR="006B2540" w:rsidRPr="001B2917">
        <w:t>6</w:t>
      </w:r>
      <w:r w:rsidR="0089370A" w:rsidRPr="001B2917">
        <w:t>A</w:t>
      </w:r>
      <w:r w:rsidR="006B2540" w:rsidRPr="001B2917">
        <w:t xml:space="preserve"> shows that </w:t>
      </w:r>
      <w:r w:rsidR="006B2540" w:rsidRPr="001B2917">
        <w:lastRenderedPageBreak/>
        <w:t>older age at diagnosis was associated with lower survival</w:t>
      </w:r>
      <w:r w:rsidR="00A069F2" w:rsidRPr="001B2917">
        <w:t>,</w:t>
      </w:r>
      <w:r w:rsidR="006B2540" w:rsidRPr="001B2917">
        <w:t xml:space="preserve"> particularly from those aged 65 years </w:t>
      </w:r>
      <w:r w:rsidR="00A069F2" w:rsidRPr="001B2917">
        <w:t>or older</w:t>
      </w:r>
      <w:r w:rsidR="00F853DF">
        <w:t xml:space="preserve"> (16.</w:t>
      </w:r>
      <w:r w:rsidR="00AA0AE6">
        <w:t>5</w:t>
      </w:r>
      <w:r w:rsidR="0054537F">
        <w:t>%</w:t>
      </w:r>
      <w:r w:rsidR="00F853DF">
        <w:t>, 2010</w:t>
      </w:r>
      <w:r w:rsidR="008166A7">
        <w:t>–</w:t>
      </w:r>
      <w:r w:rsidR="00F853DF">
        <w:t>2014</w:t>
      </w:r>
      <w:r w:rsidR="001B2917">
        <w:t xml:space="preserve">; </w:t>
      </w:r>
      <w:r w:rsidR="00AA0AE6">
        <w:t>de</w:t>
      </w:r>
      <w:r w:rsidR="00F853DF">
        <w:t xml:space="preserve">creasing to </w:t>
      </w:r>
      <w:r w:rsidR="00AA0AE6">
        <w:t>10.7</w:t>
      </w:r>
      <w:r w:rsidR="0054537F">
        <w:t>%</w:t>
      </w:r>
      <w:r w:rsidR="001B2917">
        <w:t xml:space="preserve"> for the 2015</w:t>
      </w:r>
      <w:r w:rsidR="00D11527">
        <w:t>–</w:t>
      </w:r>
      <w:r w:rsidR="001B2917">
        <w:t>2019 period</w:t>
      </w:r>
      <w:r w:rsidR="00AA0AE6">
        <w:t>)</w:t>
      </w:r>
      <w:r w:rsidR="001B2917">
        <w:t>.</w:t>
      </w:r>
    </w:p>
    <w:p w14:paraId="3E17BCD4" w14:textId="18B5AE78" w:rsidR="00D23158" w:rsidRPr="001C196C" w:rsidRDefault="006B2540" w:rsidP="00606436">
      <w:pPr>
        <w:pStyle w:val="Body"/>
      </w:pPr>
      <w:r w:rsidRPr="001C196C">
        <w:t xml:space="preserve">There were </w:t>
      </w:r>
      <w:r w:rsidR="00744965">
        <w:t>observed</w:t>
      </w:r>
      <w:r w:rsidRPr="001C196C">
        <w:t xml:space="preserve"> differences in survival by remoteness</w:t>
      </w:r>
      <w:r w:rsidR="00B4082B" w:rsidRPr="001C196C">
        <w:t xml:space="preserve"> (Figure 13.</w:t>
      </w:r>
      <w:r w:rsidR="002A2CBF" w:rsidRPr="001C196C">
        <w:t>1</w:t>
      </w:r>
      <w:r w:rsidR="00B4082B" w:rsidRPr="001C196C">
        <w:t>6</w:t>
      </w:r>
      <w:r w:rsidR="008316CE">
        <w:t>)</w:t>
      </w:r>
      <w:r w:rsidR="00744965">
        <w:t xml:space="preserve"> between the two periods. </w:t>
      </w:r>
      <w:r w:rsidR="00867D5D" w:rsidRPr="001C196C">
        <w:t xml:space="preserve">Five-year survival was highest for people living in </w:t>
      </w:r>
      <w:r w:rsidR="0089370A">
        <w:t xml:space="preserve">remote </w:t>
      </w:r>
      <w:r w:rsidR="00867D5D" w:rsidRPr="001C196C">
        <w:t>regional areas (</w:t>
      </w:r>
      <w:r w:rsidR="00744965">
        <w:t>2010–2014</w:t>
      </w:r>
      <w:r w:rsidR="00867D5D" w:rsidRPr="001C196C">
        <w:t xml:space="preserve">) compared with major cities and </w:t>
      </w:r>
      <w:r w:rsidR="0089370A">
        <w:t>inner</w:t>
      </w:r>
      <w:r w:rsidR="00867D5D" w:rsidRPr="001C196C">
        <w:t xml:space="preserve"> areas</w:t>
      </w:r>
      <w:r w:rsidR="0089370A">
        <w:t xml:space="preserve">. However, Figure 13.16B shows an increase in five-year survival in major cities compared </w:t>
      </w:r>
      <w:r w:rsidR="002C060B">
        <w:t xml:space="preserve">with </w:t>
      </w:r>
      <w:r w:rsidR="0089370A">
        <w:t>inner and outer regional areas</w:t>
      </w:r>
      <w:r w:rsidR="00A61286" w:rsidRPr="001C196C">
        <w:t>.</w:t>
      </w:r>
      <w:r w:rsidR="00952FC7">
        <w:t xml:space="preserve"> </w:t>
      </w:r>
      <w:r w:rsidR="00D23158" w:rsidRPr="001C196C">
        <w:t>Figure 13.6</w:t>
      </w:r>
      <w:r w:rsidR="0089370A">
        <w:t>C</w:t>
      </w:r>
      <w:r w:rsidR="00D23158" w:rsidRPr="001C196C">
        <w:t xml:space="preserve"> shows that the </w:t>
      </w:r>
      <w:r w:rsidR="009D0E1A">
        <w:t>five</w:t>
      </w:r>
      <w:r w:rsidR="00D23158" w:rsidRPr="001C196C">
        <w:t xml:space="preserve">-year relative survival rate </w:t>
      </w:r>
      <w:r w:rsidR="00463092">
        <w:t xml:space="preserve">by SES were similar. </w:t>
      </w:r>
      <w:r w:rsidR="00D23158" w:rsidRPr="001C196C">
        <w:t xml:space="preserve">Five-year survival </w:t>
      </w:r>
      <w:r w:rsidR="0089370A">
        <w:t xml:space="preserve">increased more markedly </w:t>
      </w:r>
      <w:r w:rsidR="00D23158" w:rsidRPr="001C196C">
        <w:t xml:space="preserve">for people in the </w:t>
      </w:r>
      <w:r w:rsidR="0089370A">
        <w:t>second to fifth</w:t>
      </w:r>
      <w:r w:rsidR="00D23158" w:rsidRPr="001C196C">
        <w:t xml:space="preserve"> highest socioeconomic quintile </w:t>
      </w:r>
      <w:r w:rsidR="0089370A">
        <w:t>between the two periods</w:t>
      </w:r>
      <w:r w:rsidR="00D23158" w:rsidRPr="001C196C">
        <w:t xml:space="preserve"> compared with </w:t>
      </w:r>
      <w:r w:rsidR="002C35B2">
        <w:t>socioeconomic</w:t>
      </w:r>
      <w:r w:rsidR="00D23158" w:rsidRPr="001C196C">
        <w:t xml:space="preserve"> quintile</w:t>
      </w:r>
      <w:r w:rsidR="00A03D6C">
        <w:t xml:space="preserve"> 1</w:t>
      </w:r>
      <w:r w:rsidR="00523285">
        <w:t>,</w:t>
      </w:r>
      <w:r w:rsidR="00A03D6C">
        <w:t xml:space="preserve"> which largely stayed the same</w:t>
      </w:r>
      <w:r w:rsidR="00D23158" w:rsidRPr="001C196C">
        <w:t xml:space="preserve"> (2</w:t>
      </w:r>
      <w:r w:rsidR="00A03D6C">
        <w:t>7</w:t>
      </w:r>
      <w:r w:rsidR="001C196C" w:rsidRPr="001C196C">
        <w:t>.</w:t>
      </w:r>
      <w:r w:rsidR="00AA0AE6">
        <w:t>4</w:t>
      </w:r>
      <w:r w:rsidR="0054537F">
        <w:t>%</w:t>
      </w:r>
      <w:r w:rsidR="00A03D6C">
        <w:t>, 2010</w:t>
      </w:r>
      <w:r w:rsidR="008166A7">
        <w:t>–</w:t>
      </w:r>
      <w:r w:rsidR="00A03D6C">
        <w:t>2014 rising to 27.</w:t>
      </w:r>
      <w:r w:rsidR="00AA0AE6">
        <w:t>8</w:t>
      </w:r>
      <w:r w:rsidR="0054537F">
        <w:t>%</w:t>
      </w:r>
      <w:r w:rsidR="00A03D6C">
        <w:t>, 2015</w:t>
      </w:r>
      <w:r w:rsidR="008166A7">
        <w:t>–</w:t>
      </w:r>
      <w:r w:rsidR="00A03D6C">
        <w:t>2019</w:t>
      </w:r>
      <w:r w:rsidR="00D23158" w:rsidRPr="001C196C">
        <w:t>).</w:t>
      </w:r>
    </w:p>
    <w:p w14:paraId="49AD9855" w14:textId="3CAFEDDE" w:rsidR="0018264E" w:rsidRDefault="000E1A87" w:rsidP="00606436">
      <w:pPr>
        <w:pStyle w:val="Body"/>
      </w:pPr>
      <w:r w:rsidRPr="009C31FE">
        <w:t>The five</w:t>
      </w:r>
      <w:r w:rsidR="00B4082B" w:rsidRPr="009C31FE">
        <w:t xml:space="preserve">-year survival rate </w:t>
      </w:r>
      <w:r w:rsidR="00101A1A" w:rsidRPr="009C31FE">
        <w:t>va</w:t>
      </w:r>
      <w:r w:rsidR="00101A1A">
        <w:t>ried</w:t>
      </w:r>
      <w:r w:rsidR="00C378DF" w:rsidRPr="009C31FE">
        <w:t xml:space="preserve"> </w:t>
      </w:r>
      <w:r w:rsidR="009C31FE" w:rsidRPr="009C31FE">
        <w:t>across Victoria as it related to ICSs</w:t>
      </w:r>
      <w:r w:rsidR="00A069F2">
        <w:t>,</w:t>
      </w:r>
      <w:r w:rsidR="009C31FE" w:rsidRPr="009C31FE">
        <w:t xml:space="preserve"> </w:t>
      </w:r>
      <w:r w:rsidR="00C378DF" w:rsidRPr="009C31FE">
        <w:t xml:space="preserve">with </w:t>
      </w:r>
      <w:r w:rsidR="009C31FE" w:rsidRPr="009C31FE">
        <w:t xml:space="preserve">the </w:t>
      </w:r>
      <w:r w:rsidR="00C378DF" w:rsidRPr="009C31FE">
        <w:t>urban ICS</w:t>
      </w:r>
      <w:r w:rsidR="00A03D6C">
        <w:t xml:space="preserve">s showing an increase between the two periods compared </w:t>
      </w:r>
      <w:r w:rsidR="002C060B">
        <w:t xml:space="preserve">with </w:t>
      </w:r>
      <w:r w:rsidR="00A03D6C">
        <w:t>some of the regional ICSs</w:t>
      </w:r>
      <w:r w:rsidR="00D47996">
        <w:t>,</w:t>
      </w:r>
      <w:r w:rsidR="00A03D6C">
        <w:t xml:space="preserve"> </w:t>
      </w:r>
      <w:r w:rsidR="00C542F6">
        <w:t>namely BSWRICS and GRICS</w:t>
      </w:r>
      <w:r w:rsidR="00D47996">
        <w:t>,</w:t>
      </w:r>
      <w:r w:rsidR="00C542F6">
        <w:t xml:space="preserve"> which showed a decrease in five-year survival between the two periods. Nevertheless</w:t>
      </w:r>
      <w:r w:rsidR="00A0408A">
        <w:t>,</w:t>
      </w:r>
      <w:r w:rsidR="00A0408A" w:rsidRPr="006C444C">
        <w:t xml:space="preserve"> these results should be interpreted with caution because of the wide confidence intervals due to small sample sizes.</w:t>
      </w:r>
    </w:p>
    <w:p w14:paraId="232E978F" w14:textId="52E4A678" w:rsidR="005C15AA" w:rsidRPr="00B05552" w:rsidRDefault="005F72D6" w:rsidP="00A451D4">
      <w:pPr>
        <w:pStyle w:val="Heading3"/>
        <w:rPr>
          <w:rFonts w:cs="Arial"/>
          <w:b/>
          <w:bCs w:val="0"/>
        </w:rPr>
      </w:pPr>
      <w:r>
        <w:br w:type="page"/>
      </w:r>
      <w:bookmarkStart w:id="1072" w:name="_Toc19008192"/>
      <w:bookmarkStart w:id="1073" w:name="_Hlk137123386"/>
      <w:r w:rsidR="005C15AA" w:rsidRPr="00B05552">
        <w:rPr>
          <w:b/>
          <w:bCs w:val="0"/>
        </w:rPr>
        <w:lastRenderedPageBreak/>
        <w:t xml:space="preserve">Measure 13.17 – </w:t>
      </w:r>
      <w:r w:rsidR="00A4158A" w:rsidRPr="00B05552">
        <w:rPr>
          <w:b/>
          <w:bCs w:val="0"/>
        </w:rPr>
        <w:t xml:space="preserve">Five-year </w:t>
      </w:r>
      <w:r w:rsidR="00444A36">
        <w:rPr>
          <w:b/>
          <w:bCs w:val="0"/>
        </w:rPr>
        <w:t xml:space="preserve">relative </w:t>
      </w:r>
      <w:r w:rsidR="00A4158A" w:rsidRPr="00B05552">
        <w:rPr>
          <w:b/>
          <w:bCs w:val="0"/>
        </w:rPr>
        <w:t>survival from all cancers diagnosed at stages 1 and 2</w:t>
      </w:r>
      <w:bookmarkEnd w:id="1072"/>
    </w:p>
    <w:p w14:paraId="4D0558D1" w14:textId="056B40DA" w:rsidR="003D6138" w:rsidRDefault="005A332F" w:rsidP="005A332F">
      <w:pPr>
        <w:pStyle w:val="Figurecaption"/>
        <w:rPr>
          <w:sz w:val="20"/>
        </w:rPr>
      </w:pPr>
      <w:bookmarkStart w:id="1074" w:name="_Toc132553102"/>
      <w:bookmarkStart w:id="1075" w:name="_Toc140827715"/>
      <w:bookmarkStart w:id="1076" w:name="_Hlk136532481"/>
      <w:r w:rsidRPr="00895DD4">
        <w:rPr>
          <w:sz w:val="20"/>
        </w:rPr>
        <w:t>Figure 13.17</w:t>
      </w:r>
      <w:r w:rsidR="00BB5AB8">
        <w:rPr>
          <w:sz w:val="20"/>
        </w:rPr>
        <w:t>.1</w:t>
      </w:r>
      <w:r w:rsidR="00C03D95" w:rsidRPr="00895DD4">
        <w:rPr>
          <w:sz w:val="20"/>
        </w:rPr>
        <w:t>:</w:t>
      </w:r>
      <w:r w:rsidRPr="00895DD4">
        <w:rPr>
          <w:sz w:val="20"/>
        </w:rPr>
        <w:t xml:space="preserve"> Five-year relative survival from </w:t>
      </w:r>
      <w:r w:rsidR="00BB5AB8">
        <w:rPr>
          <w:sz w:val="20"/>
        </w:rPr>
        <w:t xml:space="preserve">breast </w:t>
      </w:r>
      <w:r w:rsidR="003D6A05" w:rsidRPr="00895DD4">
        <w:rPr>
          <w:sz w:val="20"/>
        </w:rPr>
        <w:t>cancer diagnosed at stages 1 and 2</w:t>
      </w:r>
      <w:r w:rsidRPr="00895DD4">
        <w:rPr>
          <w:sz w:val="20"/>
        </w:rPr>
        <w:t>, by age (A), remoteness (B), SES (C) and ICS (D), Victoria, 2010–2014 and 2015–2019</w:t>
      </w:r>
      <w:bookmarkEnd w:id="1074"/>
      <w:bookmarkEnd w:id="1075"/>
    </w:p>
    <w:p w14:paraId="2FFF9126" w14:textId="782DF6E5" w:rsidR="00BB5AB8" w:rsidRDefault="00BB5AB8" w:rsidP="00BB5AB8">
      <w:pPr>
        <w:pStyle w:val="DHHSbody"/>
      </w:pPr>
      <w:r>
        <w:rPr>
          <w:noProof/>
        </w:rPr>
        <w:drawing>
          <wp:inline distT="0" distB="0" distL="0" distR="0" wp14:anchorId="228BAAC6" wp14:editId="6BE5ACF5">
            <wp:extent cx="6088320" cy="5877169"/>
            <wp:effectExtent l="0" t="0" r="8255" b="0"/>
            <wp:docPr id="7" name="Picture 7" descr="This figure shows a data summary of 'Measure 13.17 – Five-year relative survival from all cancers diagnosed at stages 1 and 2'. Specially this figure focuses on the trends in five-year relative survival from breast cancer by age, remoteness, socio-economic status and Integrated Cancer Service for the study periods 2010-2014 and 2015-2019. The data set is available under 'Measure 13.17 –  Five-year relative survival from all cancers diagnosed at stages 1 and 2'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is figure shows a data summary of 'Measure 13.17 – Five-year relative survival from all cancers diagnosed at stages 1 and 2'. Specially this figure focuses on the trends in five-year relative survival from breast cancer by age, remoteness, socio-economic status and Integrated Cancer Service for the study periods 2010-2014 and 2015-2019. The data set is available under 'Measure 13.17 –  Five-year relative survival from all cancers diagnosed at stages 1 and 2' in a separate volume, the Victorian cancer plan monitoring and evaluation framework: baseline progress report: Appendix 2: Datasets available on Cancer care &lt;https://www.health.vic.gov.au/health-strategies/cancer-care&gt;."/>
                    <pic:cNvPicPr/>
                  </pic:nvPicPr>
                  <pic:blipFill>
                    <a:blip r:embed="rId166"/>
                    <a:stretch>
                      <a:fillRect/>
                    </a:stretch>
                  </pic:blipFill>
                  <pic:spPr>
                    <a:xfrm>
                      <a:off x="0" y="0"/>
                      <a:ext cx="6094836" cy="5883459"/>
                    </a:xfrm>
                    <a:prstGeom prst="rect">
                      <a:avLst/>
                    </a:prstGeom>
                  </pic:spPr>
                </pic:pic>
              </a:graphicData>
            </a:graphic>
          </wp:inline>
        </w:drawing>
      </w:r>
    </w:p>
    <w:p w14:paraId="16659F83" w14:textId="77777777" w:rsidR="003B01F3" w:rsidRPr="00BB5AB8" w:rsidRDefault="003B01F3" w:rsidP="00BB5AB8">
      <w:pPr>
        <w:pStyle w:val="DHHSbody"/>
      </w:pPr>
    </w:p>
    <w:p w14:paraId="18CE10C0" w14:textId="647B7021" w:rsidR="00BB5AB8" w:rsidRDefault="00BB5AB8" w:rsidP="00BB5AB8">
      <w:pPr>
        <w:pStyle w:val="Figurecaption"/>
        <w:rPr>
          <w:sz w:val="20"/>
        </w:rPr>
      </w:pPr>
      <w:bookmarkStart w:id="1077" w:name="_Toc140827716"/>
      <w:r w:rsidRPr="00895DD4">
        <w:rPr>
          <w:sz w:val="20"/>
        </w:rPr>
        <w:lastRenderedPageBreak/>
        <w:t>Figure 13.17</w:t>
      </w:r>
      <w:r>
        <w:rPr>
          <w:sz w:val="20"/>
        </w:rPr>
        <w:t>.2</w:t>
      </w:r>
      <w:r w:rsidRPr="00895DD4">
        <w:rPr>
          <w:sz w:val="20"/>
        </w:rPr>
        <w:t xml:space="preserve">: Five-year relative survival from </w:t>
      </w:r>
      <w:r>
        <w:rPr>
          <w:sz w:val="20"/>
        </w:rPr>
        <w:t xml:space="preserve">colorectal </w:t>
      </w:r>
      <w:r w:rsidRPr="00895DD4">
        <w:rPr>
          <w:sz w:val="20"/>
        </w:rPr>
        <w:t>cancer diagnosed at stages 1 and 2, by age (A), remoteness (B), SES (C) and ICS (D), Victoria, 2010–2014 and 2015–2019</w:t>
      </w:r>
      <w:bookmarkEnd w:id="1077"/>
    </w:p>
    <w:p w14:paraId="5217C791" w14:textId="6E899F31" w:rsidR="005A332F" w:rsidRDefault="00BB5AB8" w:rsidP="001E7BC8">
      <w:pPr>
        <w:pStyle w:val="Body"/>
      </w:pPr>
      <w:r>
        <w:rPr>
          <w:noProof/>
        </w:rPr>
        <w:drawing>
          <wp:inline distT="0" distB="0" distL="0" distR="0" wp14:anchorId="18E3CD2B" wp14:editId="019A91DC">
            <wp:extent cx="6098369" cy="5931877"/>
            <wp:effectExtent l="0" t="0" r="0" b="0"/>
            <wp:docPr id="20" name="Picture 20" descr="This figure shows a data summary of 'Measure 13.17 – Five-year relative survival from all cancers diagnosed at stages 1 and 2'. Specially this figure focuses on the trends in five-year relative survival from colorectal cancer by age, remoteness, socio-economic status and Integrated Cancer Service for the study periods 2010-2014 and 2015-2019. The data set is available under 'Measure 13.17 –  Five-year relative survival from all cancers diagnosed at stages 1 and 2'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his figure shows a data summary of 'Measure 13.17 – Five-year relative survival from all cancers diagnosed at stages 1 and 2'. Specially this figure focuses on the trends in five-year relative survival from colorectal cancer by age, remoteness, socio-economic status and Integrated Cancer Service for the study periods 2010-2014 and 2015-2019. The data set is available under 'Measure 13.17 –  Five-year relative survival from all cancers diagnosed at stages 1 and 2' in a separate volume, the Victorian cancer plan monitoring and evaluation framework: baseline progress report: Appendix 2: Datasets available on Cancer care &lt;https://www.health.vic.gov.au/health-strategies/cancer-care&gt;."/>
                    <pic:cNvPicPr/>
                  </pic:nvPicPr>
                  <pic:blipFill>
                    <a:blip r:embed="rId167"/>
                    <a:stretch>
                      <a:fillRect/>
                    </a:stretch>
                  </pic:blipFill>
                  <pic:spPr>
                    <a:xfrm>
                      <a:off x="0" y="0"/>
                      <a:ext cx="6104240" cy="5937588"/>
                    </a:xfrm>
                    <a:prstGeom prst="rect">
                      <a:avLst/>
                    </a:prstGeom>
                  </pic:spPr>
                </pic:pic>
              </a:graphicData>
            </a:graphic>
          </wp:inline>
        </w:drawing>
      </w:r>
    </w:p>
    <w:p w14:paraId="4DB312D8" w14:textId="7EC5D34B" w:rsidR="00BB5AB8" w:rsidRDefault="00BB5AB8">
      <w:pPr>
        <w:rPr>
          <w:rFonts w:ascii="Arial" w:hAnsi="Arial"/>
          <w:b/>
          <w:lang w:eastAsia="en-US"/>
        </w:rPr>
      </w:pPr>
    </w:p>
    <w:p w14:paraId="793186DE" w14:textId="138AC4F8" w:rsidR="00BB5AB8" w:rsidRDefault="00BB5AB8" w:rsidP="00BB5AB8">
      <w:pPr>
        <w:pStyle w:val="Figurecaption"/>
        <w:rPr>
          <w:sz w:val="20"/>
        </w:rPr>
      </w:pPr>
      <w:bookmarkStart w:id="1078" w:name="_Toc140827717"/>
      <w:r w:rsidRPr="00895DD4">
        <w:rPr>
          <w:sz w:val="20"/>
        </w:rPr>
        <w:lastRenderedPageBreak/>
        <w:t>Figure 13.17</w:t>
      </w:r>
      <w:r>
        <w:rPr>
          <w:sz w:val="20"/>
        </w:rPr>
        <w:t>.3</w:t>
      </w:r>
      <w:r w:rsidRPr="00895DD4">
        <w:rPr>
          <w:sz w:val="20"/>
        </w:rPr>
        <w:t xml:space="preserve">: Five-year relative survival from </w:t>
      </w:r>
      <w:r>
        <w:rPr>
          <w:sz w:val="20"/>
        </w:rPr>
        <w:t xml:space="preserve">prostate </w:t>
      </w:r>
      <w:r w:rsidRPr="00895DD4">
        <w:rPr>
          <w:sz w:val="20"/>
        </w:rPr>
        <w:t>cancer diagnosed at stages 1 and 2, by age (A), remoteness (B), SES (C) and ICS (D), Victoria, 2010–2014 and 2015–2019</w:t>
      </w:r>
      <w:bookmarkEnd w:id="1078"/>
    </w:p>
    <w:p w14:paraId="30AD08A6" w14:textId="41E7218F" w:rsidR="00BB5AB8" w:rsidRPr="00BB5AB8" w:rsidRDefault="00BB5AB8" w:rsidP="00BB5AB8">
      <w:pPr>
        <w:pStyle w:val="DHHSbody"/>
      </w:pPr>
      <w:r>
        <w:rPr>
          <w:noProof/>
        </w:rPr>
        <w:drawing>
          <wp:inline distT="0" distB="0" distL="0" distR="0" wp14:anchorId="5AFF3E6B" wp14:editId="4EB5556D">
            <wp:extent cx="5896610" cy="5173785"/>
            <wp:effectExtent l="0" t="0" r="8890" b="8255"/>
            <wp:docPr id="82" name="Picture 82" descr="This figure shows a data summary of 'Measure 13.17 – Five-year relative survival from all cancers diagnosed at stages 1 and 2'. Specially this figure focuses on the trends in five-year relative survival from prostate cancer by age, remoteness, socio-economic status and Integrated Cancer Service for the study periods 2010-2014 and 2015-2019. The data set is available under 'Measure 13.17 –  Five-year relative survival from all cancers diagnosed at stages 1 and 2'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This figure shows a data summary of 'Measure 13.17 – Five-year relative survival from all cancers diagnosed at stages 1 and 2'. Specially this figure focuses on the trends in five-year relative survival from prostate cancer by age, remoteness, socio-economic status and Integrated Cancer Service for the study periods 2010-2014 and 2015-2019. The data set is available under 'Measure 13.17 –  Five-year relative survival from all cancers diagnosed at stages 1 and 2' in a separate volume, the Victorian cancer plan monitoring and evaluation framework: baseline progress report: Appendix 2: Datasets available on Cancer care &lt;https://www.health.vic.gov.au/health-strategies/cancer-care&gt;."/>
                    <pic:cNvPicPr/>
                  </pic:nvPicPr>
                  <pic:blipFill>
                    <a:blip r:embed="rId168"/>
                    <a:stretch>
                      <a:fillRect/>
                    </a:stretch>
                  </pic:blipFill>
                  <pic:spPr>
                    <a:xfrm>
                      <a:off x="0" y="0"/>
                      <a:ext cx="5898488" cy="5175433"/>
                    </a:xfrm>
                    <a:prstGeom prst="rect">
                      <a:avLst/>
                    </a:prstGeom>
                  </pic:spPr>
                </pic:pic>
              </a:graphicData>
            </a:graphic>
          </wp:inline>
        </w:drawing>
      </w:r>
    </w:p>
    <w:p w14:paraId="49280DB3" w14:textId="66731B71" w:rsidR="00292107" w:rsidRPr="00895DD4" w:rsidRDefault="003D6A05">
      <w:pPr>
        <w:pStyle w:val="Tablefigurenote"/>
        <w:rPr>
          <w:i/>
          <w:iCs/>
          <w:sz w:val="18"/>
          <w:szCs w:val="18"/>
        </w:rPr>
      </w:pPr>
      <w:r w:rsidRPr="00895DD4">
        <w:rPr>
          <w:i/>
          <w:iCs/>
          <w:sz w:val="18"/>
          <w:szCs w:val="18"/>
        </w:rPr>
        <w:t>Note</w:t>
      </w:r>
      <w:r w:rsidR="00292107" w:rsidRPr="00895DD4">
        <w:rPr>
          <w:i/>
          <w:iCs/>
          <w:sz w:val="18"/>
          <w:szCs w:val="18"/>
        </w:rPr>
        <w:t>s</w:t>
      </w:r>
      <w:r w:rsidR="00B07D3C">
        <w:rPr>
          <w:i/>
          <w:iCs/>
          <w:sz w:val="18"/>
          <w:szCs w:val="18"/>
        </w:rPr>
        <w:t xml:space="preserve"> for Figures 13.17.1, 13.17.2 and 13.17.3</w:t>
      </w:r>
      <w:r w:rsidRPr="00895DD4">
        <w:rPr>
          <w:i/>
          <w:iCs/>
          <w:sz w:val="18"/>
          <w:szCs w:val="18"/>
        </w:rPr>
        <w:t xml:space="preserve">: </w:t>
      </w:r>
    </w:p>
    <w:bookmarkEnd w:id="1076"/>
    <w:p w14:paraId="0D4C4B45" w14:textId="66ED798E" w:rsidR="003D6A05" w:rsidRPr="00895DD4" w:rsidRDefault="007C459A" w:rsidP="00B05552">
      <w:pPr>
        <w:pStyle w:val="Tablefigurenote"/>
        <w:rPr>
          <w:i/>
          <w:iCs/>
          <w:sz w:val="18"/>
          <w:szCs w:val="18"/>
        </w:rPr>
      </w:pPr>
      <w:r w:rsidRPr="00895DD4">
        <w:rPr>
          <w:i/>
          <w:iCs/>
          <w:sz w:val="18"/>
          <w:szCs w:val="18"/>
        </w:rPr>
        <w:t xml:space="preserve">Data as it relates to registry-derived stage </w:t>
      </w:r>
      <w:r w:rsidR="007D34D6" w:rsidRPr="00895DD4">
        <w:rPr>
          <w:i/>
          <w:iCs/>
          <w:sz w:val="18"/>
          <w:szCs w:val="18"/>
        </w:rPr>
        <w:t>are</w:t>
      </w:r>
      <w:r w:rsidRPr="00895DD4">
        <w:rPr>
          <w:i/>
          <w:iCs/>
          <w:sz w:val="18"/>
          <w:szCs w:val="18"/>
        </w:rPr>
        <w:t xml:space="preserve"> currently only available for </w:t>
      </w:r>
      <w:r w:rsidR="003D6138" w:rsidRPr="00895DD4">
        <w:rPr>
          <w:i/>
          <w:iCs/>
          <w:sz w:val="18"/>
          <w:szCs w:val="18"/>
        </w:rPr>
        <w:t>t</w:t>
      </w:r>
      <w:r w:rsidR="00BB5AB8">
        <w:rPr>
          <w:i/>
          <w:iCs/>
          <w:sz w:val="18"/>
          <w:szCs w:val="18"/>
        </w:rPr>
        <w:t>hree</w:t>
      </w:r>
      <w:r w:rsidR="003D6138" w:rsidRPr="00895DD4">
        <w:rPr>
          <w:i/>
          <w:iCs/>
          <w:sz w:val="18"/>
          <w:szCs w:val="18"/>
        </w:rPr>
        <w:t xml:space="preserve"> </w:t>
      </w:r>
      <w:r w:rsidRPr="00895DD4">
        <w:rPr>
          <w:i/>
          <w:iCs/>
          <w:sz w:val="18"/>
          <w:szCs w:val="18"/>
        </w:rPr>
        <w:t>cancer tumour streams</w:t>
      </w:r>
      <w:r w:rsidR="00A069F2" w:rsidRPr="00895DD4">
        <w:rPr>
          <w:i/>
          <w:iCs/>
          <w:sz w:val="18"/>
          <w:szCs w:val="18"/>
        </w:rPr>
        <w:t>,</w:t>
      </w:r>
      <w:r w:rsidRPr="00895DD4">
        <w:rPr>
          <w:i/>
          <w:iCs/>
          <w:sz w:val="18"/>
          <w:szCs w:val="18"/>
        </w:rPr>
        <w:t xml:space="preserve"> namely</w:t>
      </w:r>
      <w:r w:rsidR="00E53A86" w:rsidRPr="00895DD4">
        <w:rPr>
          <w:i/>
          <w:iCs/>
          <w:sz w:val="18"/>
          <w:szCs w:val="18"/>
        </w:rPr>
        <w:t xml:space="preserve"> female</w:t>
      </w:r>
      <w:r w:rsidRPr="00895DD4">
        <w:rPr>
          <w:i/>
          <w:iCs/>
          <w:sz w:val="18"/>
          <w:szCs w:val="18"/>
        </w:rPr>
        <w:t xml:space="preserve"> breast</w:t>
      </w:r>
      <w:r w:rsidR="00BB5AB8">
        <w:rPr>
          <w:i/>
          <w:iCs/>
          <w:sz w:val="18"/>
          <w:szCs w:val="18"/>
        </w:rPr>
        <w:t xml:space="preserve">, </w:t>
      </w:r>
      <w:r w:rsidRPr="00895DD4">
        <w:rPr>
          <w:i/>
          <w:iCs/>
          <w:sz w:val="18"/>
          <w:szCs w:val="18"/>
        </w:rPr>
        <w:t xml:space="preserve">colorectal </w:t>
      </w:r>
      <w:r w:rsidR="00BB5AB8">
        <w:rPr>
          <w:i/>
          <w:iCs/>
          <w:sz w:val="18"/>
          <w:szCs w:val="18"/>
        </w:rPr>
        <w:t xml:space="preserve">and prostate </w:t>
      </w:r>
      <w:r w:rsidRPr="00895DD4">
        <w:rPr>
          <w:i/>
          <w:iCs/>
          <w:sz w:val="18"/>
          <w:szCs w:val="18"/>
        </w:rPr>
        <w:t xml:space="preserve">rather than ‘all’ cancers. </w:t>
      </w:r>
    </w:p>
    <w:p w14:paraId="6E8700C6" w14:textId="29BACF24" w:rsidR="003D6A05" w:rsidRPr="00895DD4" w:rsidRDefault="003D6A05" w:rsidP="00B05552">
      <w:pPr>
        <w:pStyle w:val="Tablefigurenote"/>
        <w:rPr>
          <w:i/>
          <w:iCs/>
          <w:sz w:val="18"/>
          <w:szCs w:val="18"/>
        </w:rPr>
      </w:pPr>
      <w:r w:rsidRPr="00895DD4">
        <w:rPr>
          <w:i/>
          <w:iCs/>
          <w:sz w:val="18"/>
          <w:szCs w:val="18"/>
        </w:rPr>
        <w:t xml:space="preserve">For melanoma and endometrial cancer, the staging at diagnosis for these two tumour streams </w:t>
      </w:r>
      <w:r w:rsidR="00CC5036" w:rsidRPr="00895DD4">
        <w:rPr>
          <w:i/>
          <w:iCs/>
          <w:sz w:val="18"/>
          <w:szCs w:val="18"/>
        </w:rPr>
        <w:t>we</w:t>
      </w:r>
      <w:r w:rsidRPr="00895DD4">
        <w:rPr>
          <w:i/>
          <w:iCs/>
          <w:sz w:val="18"/>
          <w:szCs w:val="18"/>
        </w:rPr>
        <w:t>re only available from 2018. To avoid biased results, these two cancers are not included in the analysis.</w:t>
      </w:r>
      <w:r w:rsidR="00D9632A" w:rsidRPr="00895DD4">
        <w:rPr>
          <w:i/>
          <w:iCs/>
          <w:sz w:val="18"/>
          <w:szCs w:val="18"/>
        </w:rPr>
        <w:t xml:space="preserve"> It is expected that the </w:t>
      </w:r>
      <w:r w:rsidR="0010571B" w:rsidRPr="00895DD4">
        <w:rPr>
          <w:i/>
          <w:iCs/>
          <w:sz w:val="18"/>
          <w:szCs w:val="18"/>
        </w:rPr>
        <w:t>registry-derived (</w:t>
      </w:r>
      <w:r w:rsidR="00D9632A" w:rsidRPr="00895DD4">
        <w:rPr>
          <w:i/>
          <w:iCs/>
          <w:sz w:val="18"/>
          <w:szCs w:val="18"/>
        </w:rPr>
        <w:t>RD</w:t>
      </w:r>
      <w:r w:rsidR="0010571B" w:rsidRPr="00895DD4">
        <w:rPr>
          <w:i/>
          <w:iCs/>
          <w:sz w:val="18"/>
          <w:szCs w:val="18"/>
        </w:rPr>
        <w:t>)</w:t>
      </w:r>
      <w:r w:rsidR="00D9632A" w:rsidRPr="00895DD4">
        <w:rPr>
          <w:i/>
          <w:iCs/>
          <w:sz w:val="18"/>
          <w:szCs w:val="18"/>
        </w:rPr>
        <w:t xml:space="preserve"> stage will be available for </w:t>
      </w:r>
      <w:r w:rsidR="00523E63" w:rsidRPr="00895DD4">
        <w:rPr>
          <w:i/>
          <w:iCs/>
          <w:sz w:val="18"/>
          <w:szCs w:val="18"/>
        </w:rPr>
        <w:t xml:space="preserve">other </w:t>
      </w:r>
      <w:r w:rsidR="00D9632A" w:rsidRPr="00895DD4">
        <w:rPr>
          <w:i/>
          <w:iCs/>
          <w:sz w:val="18"/>
          <w:szCs w:val="18"/>
        </w:rPr>
        <w:t>cancers in the future so this measure, which specifies ‘all’ cancers at stages 1 and 2, can be reported on.</w:t>
      </w:r>
    </w:p>
    <w:p w14:paraId="4804D9E2" w14:textId="0CF2EF30" w:rsidR="007F79E2" w:rsidRPr="00895DD4" w:rsidRDefault="007F79E2" w:rsidP="00B05552">
      <w:pPr>
        <w:pStyle w:val="Tablefigurenote"/>
        <w:rPr>
          <w:i/>
          <w:iCs/>
          <w:sz w:val="18"/>
          <w:szCs w:val="18"/>
        </w:rPr>
      </w:pPr>
      <w:r w:rsidRPr="00895DD4">
        <w:rPr>
          <w:i/>
          <w:iCs/>
          <w:sz w:val="18"/>
          <w:szCs w:val="18"/>
        </w:rPr>
        <w:t>Error bars indicate 95</w:t>
      </w:r>
      <w:r w:rsidR="0054537F">
        <w:rPr>
          <w:i/>
          <w:iCs/>
          <w:sz w:val="18"/>
          <w:szCs w:val="18"/>
        </w:rPr>
        <w:t>%</w:t>
      </w:r>
      <w:r w:rsidRPr="00895DD4">
        <w:rPr>
          <w:i/>
          <w:iCs/>
          <w:sz w:val="18"/>
          <w:szCs w:val="18"/>
        </w:rPr>
        <w:t xml:space="preserve"> confidence intervals.</w:t>
      </w:r>
    </w:p>
    <w:p w14:paraId="7D27842C" w14:textId="3D9D344E" w:rsidR="007F79E2" w:rsidRPr="00895DD4" w:rsidRDefault="007F79E2" w:rsidP="00B05552">
      <w:pPr>
        <w:pStyle w:val="Tablefigurenote"/>
        <w:rPr>
          <w:i/>
          <w:iCs/>
          <w:sz w:val="18"/>
          <w:szCs w:val="18"/>
        </w:rPr>
      </w:pPr>
      <w:r w:rsidRPr="00895DD4">
        <w:rPr>
          <w:i/>
          <w:iCs/>
          <w:sz w:val="18"/>
          <w:szCs w:val="18"/>
        </w:rPr>
        <w:t>Remoteness is classified according to the ASGC Remoteness Areas.</w:t>
      </w:r>
    </w:p>
    <w:p w14:paraId="70067A5A" w14:textId="04F05B88" w:rsidR="007F79E2" w:rsidRPr="00895DD4" w:rsidRDefault="007F79E2" w:rsidP="00B05552">
      <w:pPr>
        <w:pStyle w:val="Tablefigurenote"/>
        <w:rPr>
          <w:i/>
          <w:iCs/>
          <w:sz w:val="18"/>
          <w:szCs w:val="18"/>
        </w:rPr>
      </w:pPr>
      <w:r w:rsidRPr="00895DD4">
        <w:rPr>
          <w:i/>
          <w:iCs/>
          <w:sz w:val="18"/>
          <w:szCs w:val="18"/>
        </w:rPr>
        <w:t>SES is classified according to the SEIFA Index of Relative Socio-economic Disadvantage – 1= lowest and 5 = highest.</w:t>
      </w:r>
    </w:p>
    <w:p w14:paraId="4390BDF7" w14:textId="77777777" w:rsidR="007F79E2" w:rsidRPr="00895DD4" w:rsidRDefault="007F79E2" w:rsidP="00794ECD">
      <w:pPr>
        <w:pStyle w:val="Tablefigurenote"/>
        <w:spacing w:before="0" w:afterLines="60" w:after="144"/>
        <w:rPr>
          <w:i/>
          <w:iCs/>
          <w:sz w:val="18"/>
          <w:szCs w:val="18"/>
        </w:rPr>
      </w:pPr>
      <w:r w:rsidRPr="00895DD4">
        <w:rPr>
          <w:i/>
          <w:iCs/>
          <w:sz w:val="18"/>
          <w:szCs w:val="18"/>
        </w:rPr>
        <w:t>Appendix 2 provides the dataset.</w:t>
      </w:r>
    </w:p>
    <w:p w14:paraId="089F744A" w14:textId="77777777" w:rsidR="00AB30D8" w:rsidRPr="00671C7A" w:rsidRDefault="00AB30D8" w:rsidP="007C7F00">
      <w:pPr>
        <w:pStyle w:val="Heading4"/>
      </w:pPr>
      <w:r>
        <w:t>Measure assessment</w:t>
      </w:r>
    </w:p>
    <w:p w14:paraId="41AE5B16" w14:textId="3D11EE75" w:rsidR="00AB30D8" w:rsidRPr="00AB30D8" w:rsidRDefault="00AB30D8" w:rsidP="00606436">
      <w:pPr>
        <w:pStyle w:val="Body"/>
      </w:pPr>
      <w:r w:rsidRPr="00AB30D8">
        <w:t>Traffic light rating:</w:t>
      </w:r>
      <w:r>
        <w:t xml:space="preserve"> </w:t>
      </w:r>
      <w:r w:rsidRPr="00B05552">
        <w:rPr>
          <w:b/>
          <w:color w:val="C5511A"/>
        </w:rPr>
        <w:t xml:space="preserve">Amber </w:t>
      </w:r>
      <w:r w:rsidRPr="00EA3932">
        <w:t xml:space="preserve">(desired result </w:t>
      </w:r>
      <w:r>
        <w:t xml:space="preserve">for ‘all’ cancers </w:t>
      </w:r>
      <w:r w:rsidRPr="00EA3932">
        <w:t>not yet evident)</w:t>
      </w:r>
    </w:p>
    <w:p w14:paraId="58E93A73" w14:textId="53F7DFD4" w:rsidR="00AB30D8" w:rsidRDefault="00AB30D8" w:rsidP="00606436">
      <w:pPr>
        <w:pStyle w:val="Body"/>
      </w:pPr>
      <w:r>
        <w:t>Overall trend: Appears to be moving in the right direction</w:t>
      </w:r>
    </w:p>
    <w:p w14:paraId="2962F53B" w14:textId="6ED3A9CB" w:rsidR="00C960E2" w:rsidRDefault="00866A62" w:rsidP="00606436">
      <w:pPr>
        <w:pStyle w:val="Body"/>
      </w:pPr>
      <w:r w:rsidRPr="00DB4495">
        <w:t>Commentary:</w:t>
      </w:r>
      <w:r>
        <w:t xml:space="preserve"> Knowing the distribution of stage at diagnosis is crucial to understanding variations in survival and can </w:t>
      </w:r>
      <w:r w:rsidR="00253AFC">
        <w:t>help</w:t>
      </w:r>
      <w:r>
        <w:t xml:space="preserve"> inform where further research and targeted cancer control strategies can be </w:t>
      </w:r>
      <w:r>
        <w:lastRenderedPageBreak/>
        <w:t xml:space="preserve">applied to reduce the proportion of </w:t>
      </w:r>
      <w:r w:rsidR="00C960E2">
        <w:t>cancers diagnosed at an advanced stage.</w:t>
      </w:r>
      <w:r w:rsidR="00C960E2">
        <w:rPr>
          <w:rStyle w:val="FootnoteReference"/>
          <w:rFonts w:cs="Arial"/>
        </w:rPr>
        <w:footnoteReference w:id="208"/>
      </w:r>
      <w:r w:rsidR="00C960E2">
        <w:t xml:space="preserve"> </w:t>
      </w:r>
      <w:r w:rsidR="00C960E2" w:rsidRPr="00C960E2">
        <w:t xml:space="preserve">Stage at diagnosis </w:t>
      </w:r>
      <w:r w:rsidR="00C960E2">
        <w:t>is</w:t>
      </w:r>
      <w:r w:rsidR="00C960E2" w:rsidRPr="00C960E2">
        <w:t xml:space="preserve"> broadly categorised into four stages of increasing severity </w:t>
      </w:r>
      <w:r w:rsidR="00253AFC">
        <w:t>– s</w:t>
      </w:r>
      <w:r w:rsidR="00C960E2" w:rsidRPr="00C960E2">
        <w:t>tages 1, 2, 3 and 4</w:t>
      </w:r>
      <w:r w:rsidR="00C960E2">
        <w:t>.</w:t>
      </w:r>
    </w:p>
    <w:p w14:paraId="6FD8BAFB" w14:textId="0ABE235A" w:rsidR="003D4E29" w:rsidRDefault="00C960E2" w:rsidP="00D0115A">
      <w:pPr>
        <w:pStyle w:val="Body"/>
      </w:pPr>
      <w:r>
        <w:t xml:space="preserve">In Victoria </w:t>
      </w:r>
      <w:r w:rsidR="003D4E29">
        <w:t>the distribution pattern of cancer diagnosed at stages 1 and 2 varied by cancer type.  Specifically:</w:t>
      </w:r>
    </w:p>
    <w:p w14:paraId="3B5EEB38" w14:textId="3D38893F" w:rsidR="003D4E29" w:rsidRDefault="003D4E29" w:rsidP="00FA283F">
      <w:pPr>
        <w:pStyle w:val="Body"/>
        <w:numPr>
          <w:ilvl w:val="0"/>
          <w:numId w:val="74"/>
        </w:numPr>
      </w:pPr>
      <w:r>
        <w:t xml:space="preserve">For breast (female) cancer survival increased </w:t>
      </w:r>
      <w:r w:rsidR="00FA283F">
        <w:t xml:space="preserve">slightly </w:t>
      </w:r>
      <w:r>
        <w:t>between the two periods</w:t>
      </w:r>
      <w:r w:rsidR="00FA283F">
        <w:t xml:space="preserve"> from 97.7</w:t>
      </w:r>
      <w:r w:rsidR="0054537F">
        <w:t>%</w:t>
      </w:r>
      <w:r w:rsidR="00FA283F">
        <w:t xml:space="preserve"> (2010–2014) to 98.2</w:t>
      </w:r>
      <w:r w:rsidR="0054537F">
        <w:t>%</w:t>
      </w:r>
      <w:r w:rsidR="00FA283F">
        <w:t xml:space="preserve"> (2015–2019). Figure 13.17.1</w:t>
      </w:r>
      <w:r w:rsidR="000900A7">
        <w:t xml:space="preserve"> </w:t>
      </w:r>
      <w:r w:rsidR="00FA283F">
        <w:t xml:space="preserve">(A) shows that survival by age group was generally similar across age groups for early-stage cancers 1 and 2. Where differences by remote areas were observed, survival by </w:t>
      </w:r>
      <w:r w:rsidR="00FA283F" w:rsidRPr="00D0115A">
        <w:t xml:space="preserve">stages 1 and 2 was slightly higher for people living in major cities compared with </w:t>
      </w:r>
      <w:r w:rsidR="00FA283F" w:rsidRPr="00B05552">
        <w:rPr>
          <w:rStyle w:val="Strong"/>
          <w:b w:val="0"/>
          <w:bCs w:val="0"/>
        </w:rPr>
        <w:t>inner and outer regional areas or remote areas (Figure 13.17</w:t>
      </w:r>
      <w:r w:rsidR="00FA283F">
        <w:rPr>
          <w:rStyle w:val="Strong"/>
          <w:b w:val="0"/>
          <w:bCs w:val="0"/>
        </w:rPr>
        <w:t xml:space="preserve">.1 </w:t>
      </w:r>
      <w:r w:rsidR="00FA283F" w:rsidRPr="00B05552">
        <w:rPr>
          <w:rStyle w:val="Strong"/>
          <w:b w:val="0"/>
          <w:bCs w:val="0"/>
        </w:rPr>
        <w:t>(B)).</w:t>
      </w:r>
      <w:r w:rsidR="00FA283F" w:rsidRPr="00FA283F">
        <w:rPr>
          <w:rStyle w:val="Strong"/>
          <w:b w:val="0"/>
          <w:bCs w:val="0"/>
        </w:rPr>
        <w:t xml:space="preserve"> </w:t>
      </w:r>
      <w:r w:rsidR="00FA283F" w:rsidRPr="00B05552">
        <w:rPr>
          <w:rStyle w:val="Strong"/>
          <w:b w:val="0"/>
          <w:bCs w:val="0"/>
        </w:rPr>
        <w:t>Where differences by SES areas were observed, survival by stages 1 and 2 at diagnosis was higher for people living in the highest SES areas (SES</w:t>
      </w:r>
      <w:r w:rsidR="00FA283F">
        <w:rPr>
          <w:rStyle w:val="Strong"/>
          <w:b w:val="0"/>
          <w:bCs w:val="0"/>
        </w:rPr>
        <w:t xml:space="preserve"> </w:t>
      </w:r>
      <w:r w:rsidR="00FA283F" w:rsidRPr="00B05552">
        <w:rPr>
          <w:rStyle w:val="Strong"/>
          <w:b w:val="0"/>
          <w:bCs w:val="0"/>
        </w:rPr>
        <w:t>5)</w:t>
      </w:r>
      <w:r w:rsidR="00FA283F" w:rsidRPr="00B05552">
        <w:t xml:space="preserve"> </w:t>
      </w:r>
      <w:r w:rsidR="00FA283F" w:rsidRPr="00B05552">
        <w:rPr>
          <w:rStyle w:val="Strong"/>
          <w:b w:val="0"/>
          <w:bCs w:val="0"/>
        </w:rPr>
        <w:t>compared with lower SES areas (SES 1–3) (Figure 13.17</w:t>
      </w:r>
      <w:r w:rsidR="00FA283F">
        <w:rPr>
          <w:rStyle w:val="Strong"/>
          <w:b w:val="0"/>
          <w:bCs w:val="0"/>
        </w:rPr>
        <w:t xml:space="preserve">.1 </w:t>
      </w:r>
      <w:r w:rsidR="00FA283F" w:rsidRPr="00B05552">
        <w:rPr>
          <w:rStyle w:val="Strong"/>
          <w:b w:val="0"/>
          <w:bCs w:val="0"/>
        </w:rPr>
        <w:t>(C)).</w:t>
      </w:r>
      <w:r w:rsidR="00FA283F">
        <w:rPr>
          <w:rStyle w:val="Strong"/>
          <w:b w:val="0"/>
          <w:bCs w:val="0"/>
        </w:rPr>
        <w:t xml:space="preserve"> </w:t>
      </w:r>
      <w:r w:rsidR="00FA283F">
        <w:rPr>
          <w:rStyle w:val="Strong"/>
          <w:rFonts w:cs="Arial"/>
          <w:b w:val="0"/>
          <w:bCs w:val="0"/>
          <w:color w:val="333333"/>
          <w:shd w:val="clear" w:color="auto" w:fill="FFFFFF"/>
        </w:rPr>
        <w:t xml:space="preserve">Observed </w:t>
      </w:r>
      <w:r w:rsidR="00FA283F" w:rsidRPr="00E53A86">
        <w:rPr>
          <w:rStyle w:val="Strong"/>
          <w:rFonts w:cs="Arial"/>
          <w:b w:val="0"/>
          <w:bCs w:val="0"/>
          <w:color w:val="333333"/>
          <w:shd w:val="clear" w:color="auto" w:fill="FFFFFF"/>
        </w:rPr>
        <w:t>survival by stage</w:t>
      </w:r>
      <w:r w:rsidR="00FA283F">
        <w:rPr>
          <w:rStyle w:val="Strong"/>
          <w:rFonts w:cs="Arial"/>
          <w:b w:val="0"/>
          <w:bCs w:val="0"/>
          <w:color w:val="333333"/>
          <w:shd w:val="clear" w:color="auto" w:fill="FFFFFF"/>
        </w:rPr>
        <w:t>s</w:t>
      </w:r>
      <w:r w:rsidR="00FA283F" w:rsidRPr="00E53A86">
        <w:rPr>
          <w:rStyle w:val="Strong"/>
          <w:rFonts w:cs="Arial"/>
          <w:b w:val="0"/>
          <w:bCs w:val="0"/>
          <w:color w:val="333333"/>
          <w:shd w:val="clear" w:color="auto" w:fill="FFFFFF"/>
        </w:rPr>
        <w:t xml:space="preserve"> 1 and 2 at diagnosis by ICS showed a slight</w:t>
      </w:r>
      <w:r w:rsidR="00FA283F">
        <w:rPr>
          <w:rStyle w:val="Strong"/>
          <w:rFonts w:cs="Arial"/>
          <w:b w:val="0"/>
          <w:bCs w:val="0"/>
          <w:color w:val="333333"/>
          <w:shd w:val="clear" w:color="auto" w:fill="FFFFFF"/>
        </w:rPr>
        <w:t xml:space="preserve"> increase across all ICS between the two time periods </w:t>
      </w:r>
      <w:r w:rsidR="00FA283F">
        <w:t xml:space="preserve">2010–2014 and 2015–2019 </w:t>
      </w:r>
      <w:r w:rsidR="00FA283F" w:rsidRPr="00E53A86">
        <w:rPr>
          <w:rStyle w:val="Strong"/>
          <w:rFonts w:cs="Arial"/>
          <w:b w:val="0"/>
          <w:bCs w:val="0"/>
          <w:color w:val="333333"/>
          <w:shd w:val="clear" w:color="auto" w:fill="FFFFFF"/>
        </w:rPr>
        <w:t>(Figure 13.17</w:t>
      </w:r>
      <w:r w:rsidR="00FA283F">
        <w:rPr>
          <w:rStyle w:val="Strong"/>
          <w:rFonts w:cs="Arial"/>
          <w:b w:val="0"/>
          <w:bCs w:val="0"/>
          <w:color w:val="333333"/>
          <w:shd w:val="clear" w:color="auto" w:fill="FFFFFF"/>
        </w:rPr>
        <w:t xml:space="preserve">.1 </w:t>
      </w:r>
      <w:r w:rsidR="00FA283F" w:rsidRPr="00E53A86">
        <w:rPr>
          <w:rStyle w:val="Strong"/>
          <w:rFonts w:cs="Arial"/>
          <w:b w:val="0"/>
          <w:bCs w:val="0"/>
          <w:color w:val="333333"/>
          <w:shd w:val="clear" w:color="auto" w:fill="FFFFFF"/>
        </w:rPr>
        <w:t>(D)).</w:t>
      </w:r>
    </w:p>
    <w:p w14:paraId="7D897FFE" w14:textId="46DD2335" w:rsidR="00A17F0D" w:rsidRDefault="003D4E29" w:rsidP="00A17F0D">
      <w:pPr>
        <w:pStyle w:val="Body"/>
        <w:numPr>
          <w:ilvl w:val="0"/>
          <w:numId w:val="73"/>
        </w:numPr>
      </w:pPr>
      <w:r>
        <w:t xml:space="preserve">For colorectal </w:t>
      </w:r>
      <w:r w:rsidR="00A17F0D">
        <w:t>cancer survival increased slightly between the two periods from 92.9</w:t>
      </w:r>
      <w:r w:rsidR="0054537F">
        <w:t>%</w:t>
      </w:r>
      <w:r w:rsidR="00A17F0D">
        <w:t xml:space="preserve"> (2010–2014) to 94.0</w:t>
      </w:r>
      <w:r w:rsidR="0054537F">
        <w:t>%</w:t>
      </w:r>
      <w:r w:rsidR="00A17F0D">
        <w:t xml:space="preserve"> (2015–2019). Figure 13.17.2</w:t>
      </w:r>
      <w:r w:rsidR="000900A7">
        <w:t xml:space="preserve"> </w:t>
      </w:r>
      <w:r w:rsidR="00A17F0D">
        <w:t xml:space="preserve">(A) showed that early stage colorectal cancer </w:t>
      </w:r>
      <w:r w:rsidR="00A17F0D" w:rsidRPr="00A17F0D">
        <w:rPr>
          <w:rFonts w:ascii="Helvetica" w:hAnsi="Helvetica" w:cs="Helvetica"/>
          <w:color w:val="333333"/>
          <w:shd w:val="clear" w:color="auto" w:fill="FFFFFF"/>
        </w:rPr>
        <w:t>(stage 1 and stage 2) generally decreased with age</w:t>
      </w:r>
      <w:r w:rsidR="00D722AA">
        <w:rPr>
          <w:rFonts w:ascii="Helvetica" w:hAnsi="Helvetica" w:cs="Helvetica"/>
          <w:color w:val="333333"/>
          <w:shd w:val="clear" w:color="auto" w:fill="FFFFFF"/>
        </w:rPr>
        <w:t>. Figure 13.17.2</w:t>
      </w:r>
      <w:r w:rsidR="000900A7">
        <w:rPr>
          <w:rFonts w:ascii="Helvetica" w:hAnsi="Helvetica" w:cs="Helvetica"/>
          <w:color w:val="333333"/>
          <w:shd w:val="clear" w:color="auto" w:fill="FFFFFF"/>
        </w:rPr>
        <w:t xml:space="preserve"> </w:t>
      </w:r>
      <w:r w:rsidR="00D722AA">
        <w:rPr>
          <w:rFonts w:ascii="Helvetica" w:hAnsi="Helvetica" w:cs="Helvetica"/>
          <w:color w:val="333333"/>
          <w:shd w:val="clear" w:color="auto" w:fill="FFFFFF"/>
        </w:rPr>
        <w:t xml:space="preserve">(B) shows that survival by stages 1 and 2 was slightly higher for people living in major cities and decreased slightly between the two time periods for people living in outer regional areas. As with breast cancer survival (stages 1 and 2) </w:t>
      </w:r>
      <w:r w:rsidR="00D722AA" w:rsidRPr="00B05552">
        <w:rPr>
          <w:rStyle w:val="Strong"/>
          <w:b w:val="0"/>
          <w:bCs w:val="0"/>
        </w:rPr>
        <w:t xml:space="preserve">differences by SES areas were observed, </w:t>
      </w:r>
      <w:r w:rsidR="00E1430D">
        <w:rPr>
          <w:rStyle w:val="Strong"/>
          <w:b w:val="0"/>
          <w:bCs w:val="0"/>
        </w:rPr>
        <w:t xml:space="preserve">noting that </w:t>
      </w:r>
      <w:r w:rsidR="00D722AA" w:rsidRPr="00B05552">
        <w:rPr>
          <w:rStyle w:val="Strong"/>
          <w:b w:val="0"/>
          <w:bCs w:val="0"/>
        </w:rPr>
        <w:t>survival by stages 1 and 2 at diagnosis was higher for people living in the highest SES areas (SES</w:t>
      </w:r>
      <w:r w:rsidR="00D722AA">
        <w:rPr>
          <w:rStyle w:val="Strong"/>
          <w:b w:val="0"/>
          <w:bCs w:val="0"/>
        </w:rPr>
        <w:t xml:space="preserve"> </w:t>
      </w:r>
      <w:r w:rsidR="00D722AA" w:rsidRPr="00B05552">
        <w:rPr>
          <w:rStyle w:val="Strong"/>
          <w:b w:val="0"/>
          <w:bCs w:val="0"/>
        </w:rPr>
        <w:t>5)</w:t>
      </w:r>
      <w:r w:rsidR="00D722AA" w:rsidRPr="00B05552">
        <w:t xml:space="preserve"> </w:t>
      </w:r>
      <w:r w:rsidR="00D722AA" w:rsidRPr="00B05552">
        <w:rPr>
          <w:rStyle w:val="Strong"/>
          <w:b w:val="0"/>
          <w:bCs w:val="0"/>
        </w:rPr>
        <w:t>compared with lower SES areas (SES 1–</w:t>
      </w:r>
      <w:r w:rsidR="00D722AA">
        <w:rPr>
          <w:rStyle w:val="Strong"/>
          <w:b w:val="0"/>
          <w:bCs w:val="0"/>
        </w:rPr>
        <w:t>2</w:t>
      </w:r>
      <w:r w:rsidR="00D722AA" w:rsidRPr="00B05552">
        <w:rPr>
          <w:rStyle w:val="Strong"/>
          <w:b w:val="0"/>
          <w:bCs w:val="0"/>
        </w:rPr>
        <w:t>) (Figure 13.17</w:t>
      </w:r>
      <w:r w:rsidR="00D722AA">
        <w:rPr>
          <w:rStyle w:val="Strong"/>
          <w:b w:val="0"/>
          <w:bCs w:val="0"/>
        </w:rPr>
        <w:t xml:space="preserve">.2 </w:t>
      </w:r>
      <w:r w:rsidR="00D722AA" w:rsidRPr="00B05552">
        <w:rPr>
          <w:rStyle w:val="Strong"/>
          <w:b w:val="0"/>
          <w:bCs w:val="0"/>
        </w:rPr>
        <w:t>(C)).</w:t>
      </w:r>
      <w:r w:rsidR="00E37333">
        <w:rPr>
          <w:rStyle w:val="Strong"/>
          <w:b w:val="0"/>
          <w:bCs w:val="0"/>
        </w:rPr>
        <w:t xml:space="preserve"> </w:t>
      </w:r>
      <w:r w:rsidR="00030D99">
        <w:rPr>
          <w:rStyle w:val="Strong"/>
          <w:b w:val="0"/>
          <w:bCs w:val="0"/>
        </w:rPr>
        <w:t>A</w:t>
      </w:r>
      <w:r w:rsidR="00E37333">
        <w:rPr>
          <w:rStyle w:val="Strong"/>
          <w:b w:val="0"/>
          <w:bCs w:val="0"/>
        </w:rPr>
        <w:t xml:space="preserve">n increase across all ICSs in survival by stages 1 and 2 for colorectal </w:t>
      </w:r>
      <w:r w:rsidR="00030D99">
        <w:rPr>
          <w:rStyle w:val="Strong"/>
          <w:b w:val="0"/>
          <w:bCs w:val="0"/>
        </w:rPr>
        <w:t xml:space="preserve">cancer was observed </w:t>
      </w:r>
      <w:r w:rsidR="00E37333">
        <w:rPr>
          <w:rStyle w:val="Strong"/>
          <w:b w:val="0"/>
          <w:bCs w:val="0"/>
        </w:rPr>
        <w:t>between the two time periods</w:t>
      </w:r>
      <w:r w:rsidR="00030D99">
        <w:rPr>
          <w:rStyle w:val="Strong"/>
          <w:b w:val="0"/>
          <w:bCs w:val="0"/>
        </w:rPr>
        <w:t xml:space="preserve"> (Figure 13.17.2 (D))</w:t>
      </w:r>
      <w:r w:rsidR="00E37333">
        <w:rPr>
          <w:rStyle w:val="Strong"/>
          <w:b w:val="0"/>
          <w:bCs w:val="0"/>
        </w:rPr>
        <w:t>.</w:t>
      </w:r>
    </w:p>
    <w:p w14:paraId="594D8CDE" w14:textId="0BF55BDC" w:rsidR="00E1430D" w:rsidRDefault="008E1302" w:rsidP="00E1430D">
      <w:pPr>
        <w:pStyle w:val="Body"/>
        <w:numPr>
          <w:ilvl w:val="0"/>
          <w:numId w:val="73"/>
        </w:numPr>
      </w:pPr>
      <w:r>
        <w:t xml:space="preserve">As with breast and colorectal cancers, </w:t>
      </w:r>
      <w:r w:rsidR="003D4E29">
        <w:t>prostate cancer</w:t>
      </w:r>
      <w:r>
        <w:t xml:space="preserve"> survival also increased slightly between the two periods from 97.3</w:t>
      </w:r>
      <w:r w:rsidR="0054537F">
        <w:t>%</w:t>
      </w:r>
      <w:r>
        <w:t xml:space="preserve"> (2010–2014) to 98.4</w:t>
      </w:r>
      <w:r w:rsidR="0054537F">
        <w:t>%</w:t>
      </w:r>
      <w:r>
        <w:t xml:space="preserve"> (2015–2019).</w:t>
      </w:r>
      <w:r w:rsidR="00F11177">
        <w:t xml:space="preserve"> Figure 13.17.3</w:t>
      </w:r>
      <w:r w:rsidR="002C1468">
        <w:t xml:space="preserve"> </w:t>
      </w:r>
      <w:r w:rsidR="00F11177">
        <w:t xml:space="preserve">(A) showed that early stage prostate cancer </w:t>
      </w:r>
      <w:r w:rsidR="00F11177" w:rsidRPr="00A17F0D">
        <w:rPr>
          <w:rFonts w:ascii="Helvetica" w:hAnsi="Helvetica" w:cs="Helvetica"/>
          <w:color w:val="333333"/>
          <w:shd w:val="clear" w:color="auto" w:fill="FFFFFF"/>
        </w:rPr>
        <w:t xml:space="preserve">(stage 1 and stage 2) decreased </w:t>
      </w:r>
      <w:r w:rsidR="00F11177">
        <w:rPr>
          <w:rFonts w:ascii="Helvetica" w:hAnsi="Helvetica" w:cs="Helvetica"/>
          <w:color w:val="333333"/>
          <w:shd w:val="clear" w:color="auto" w:fill="FFFFFF"/>
        </w:rPr>
        <w:t>markedly from 75 years onwards. Figure 13.17.3</w:t>
      </w:r>
      <w:r w:rsidR="002C1468">
        <w:rPr>
          <w:rFonts w:ascii="Helvetica" w:hAnsi="Helvetica" w:cs="Helvetica"/>
          <w:color w:val="333333"/>
          <w:shd w:val="clear" w:color="auto" w:fill="FFFFFF"/>
        </w:rPr>
        <w:t xml:space="preserve"> </w:t>
      </w:r>
      <w:r w:rsidR="00F11177">
        <w:rPr>
          <w:rFonts w:ascii="Helvetica" w:hAnsi="Helvetica" w:cs="Helvetica"/>
          <w:color w:val="333333"/>
          <w:shd w:val="clear" w:color="auto" w:fill="FFFFFF"/>
        </w:rPr>
        <w:t>(B) shows that survival by stages 1 and 2 was slightly higher for people living in major cities. However</w:t>
      </w:r>
      <w:r w:rsidR="00E1430D">
        <w:rPr>
          <w:rFonts w:ascii="Helvetica" w:hAnsi="Helvetica" w:cs="Helvetica"/>
          <w:color w:val="333333"/>
          <w:shd w:val="clear" w:color="auto" w:fill="FFFFFF"/>
        </w:rPr>
        <w:t>,</w:t>
      </w:r>
      <w:r w:rsidR="00F11177">
        <w:rPr>
          <w:rFonts w:ascii="Helvetica" w:hAnsi="Helvetica" w:cs="Helvetica"/>
          <w:color w:val="333333"/>
          <w:shd w:val="clear" w:color="auto" w:fill="FFFFFF"/>
        </w:rPr>
        <w:t xml:space="preserve"> survival increased between the two time periods for people living in major cities, inner regional and outer regional areas of Victoria. </w:t>
      </w:r>
      <w:r w:rsidR="00E1430D">
        <w:rPr>
          <w:rFonts w:ascii="Helvetica" w:hAnsi="Helvetica" w:cs="Helvetica"/>
          <w:color w:val="333333"/>
          <w:shd w:val="clear" w:color="auto" w:fill="FFFFFF"/>
        </w:rPr>
        <w:t>D</w:t>
      </w:r>
      <w:r w:rsidR="00F11177" w:rsidRPr="00B05552">
        <w:rPr>
          <w:rStyle w:val="Strong"/>
          <w:b w:val="0"/>
          <w:bCs w:val="0"/>
        </w:rPr>
        <w:t>ifferences by SES areas were observed</w:t>
      </w:r>
      <w:r w:rsidR="00E1430D">
        <w:rPr>
          <w:rStyle w:val="Strong"/>
          <w:b w:val="0"/>
          <w:bCs w:val="0"/>
        </w:rPr>
        <w:t>;</w:t>
      </w:r>
      <w:r w:rsidR="00F11177" w:rsidRPr="00B05552">
        <w:rPr>
          <w:rStyle w:val="Strong"/>
          <w:b w:val="0"/>
          <w:bCs w:val="0"/>
        </w:rPr>
        <w:t xml:space="preserve"> survival by stages 1 and 2 at diagnosis was higher for people living in the highest SES areas (SES</w:t>
      </w:r>
      <w:r w:rsidR="00F11177">
        <w:rPr>
          <w:rStyle w:val="Strong"/>
          <w:b w:val="0"/>
          <w:bCs w:val="0"/>
        </w:rPr>
        <w:t xml:space="preserve"> </w:t>
      </w:r>
      <w:r w:rsidR="00F11177" w:rsidRPr="00B05552">
        <w:rPr>
          <w:rStyle w:val="Strong"/>
          <w:b w:val="0"/>
          <w:bCs w:val="0"/>
        </w:rPr>
        <w:t>5)</w:t>
      </w:r>
      <w:r w:rsidR="00F11177" w:rsidRPr="00B05552">
        <w:t xml:space="preserve"> </w:t>
      </w:r>
      <w:r w:rsidR="00F11177" w:rsidRPr="00B05552">
        <w:rPr>
          <w:rStyle w:val="Strong"/>
          <w:b w:val="0"/>
          <w:bCs w:val="0"/>
        </w:rPr>
        <w:t>compared with lower SES areas (SES 1–</w:t>
      </w:r>
      <w:r w:rsidR="00F11177">
        <w:rPr>
          <w:rStyle w:val="Strong"/>
          <w:b w:val="0"/>
          <w:bCs w:val="0"/>
        </w:rPr>
        <w:t>2</w:t>
      </w:r>
      <w:r w:rsidR="00F11177" w:rsidRPr="00B05552">
        <w:rPr>
          <w:rStyle w:val="Strong"/>
          <w:b w:val="0"/>
          <w:bCs w:val="0"/>
        </w:rPr>
        <w:t>) (Figure 13.17</w:t>
      </w:r>
      <w:r w:rsidR="00F11177">
        <w:rPr>
          <w:rStyle w:val="Strong"/>
          <w:b w:val="0"/>
          <w:bCs w:val="0"/>
        </w:rPr>
        <w:t>.</w:t>
      </w:r>
      <w:r w:rsidR="00E1430D">
        <w:rPr>
          <w:rStyle w:val="Strong"/>
          <w:b w:val="0"/>
          <w:bCs w:val="0"/>
        </w:rPr>
        <w:t>3</w:t>
      </w:r>
      <w:r w:rsidR="000900A7">
        <w:rPr>
          <w:rStyle w:val="Strong"/>
          <w:b w:val="0"/>
          <w:bCs w:val="0"/>
        </w:rPr>
        <w:t xml:space="preserve"> </w:t>
      </w:r>
      <w:r w:rsidR="00F11177" w:rsidRPr="00B05552">
        <w:rPr>
          <w:rStyle w:val="Strong"/>
          <w:b w:val="0"/>
          <w:bCs w:val="0"/>
        </w:rPr>
        <w:t>(C))</w:t>
      </w:r>
      <w:r w:rsidR="00E1430D">
        <w:rPr>
          <w:rStyle w:val="Strong"/>
          <w:b w:val="0"/>
          <w:bCs w:val="0"/>
        </w:rPr>
        <w:t>. An increase across most ICSs in survival by stages 1 and 2 for prostate cancer was observed between the two time periods (Figure 13.17.3</w:t>
      </w:r>
      <w:r w:rsidR="000900A7">
        <w:rPr>
          <w:rStyle w:val="Strong"/>
          <w:b w:val="0"/>
          <w:bCs w:val="0"/>
        </w:rPr>
        <w:t xml:space="preserve"> </w:t>
      </w:r>
      <w:r w:rsidR="00E1430D">
        <w:rPr>
          <w:rStyle w:val="Strong"/>
          <w:b w:val="0"/>
          <w:bCs w:val="0"/>
        </w:rPr>
        <w:t>(D)) with the exception of HRICS which observed a decrease.</w:t>
      </w:r>
    </w:p>
    <w:p w14:paraId="382A943B" w14:textId="30598C04" w:rsidR="005C15AA" w:rsidRPr="00AC2DD6" w:rsidRDefault="00FA283F" w:rsidP="007508B9">
      <w:pPr>
        <w:pStyle w:val="Body"/>
        <w:rPr>
          <w:rStyle w:val="Heading3Char"/>
        </w:rPr>
      </w:pPr>
      <w:r>
        <w:rPr>
          <w:rStyle w:val="Strong"/>
          <w:rFonts w:cs="Arial"/>
          <w:b w:val="0"/>
          <w:bCs w:val="0"/>
          <w:color w:val="333333"/>
          <w:shd w:val="clear" w:color="auto" w:fill="FFFFFF"/>
        </w:rPr>
        <w:t>In summary w</w:t>
      </w:r>
      <w:r w:rsidR="00D22A39" w:rsidRPr="00E53A86">
        <w:rPr>
          <w:rStyle w:val="Strong"/>
          <w:rFonts w:cs="Arial"/>
          <w:b w:val="0"/>
          <w:bCs w:val="0"/>
          <w:color w:val="333333"/>
          <w:shd w:val="clear" w:color="auto" w:fill="FFFFFF"/>
        </w:rPr>
        <w:t xml:space="preserve">hile no target has been set for this measure </w:t>
      </w:r>
      <w:r w:rsidR="00E53A86" w:rsidRPr="00E53A86">
        <w:rPr>
          <w:rStyle w:val="Strong"/>
          <w:rFonts w:cs="Arial"/>
          <w:b w:val="0"/>
          <w:bCs w:val="0"/>
          <w:color w:val="333333"/>
          <w:shd w:val="clear" w:color="auto" w:fill="FFFFFF"/>
        </w:rPr>
        <w:t xml:space="preserve">these results should be interpreted with caution </w:t>
      </w:r>
      <w:r w:rsidR="00D0115A">
        <w:rPr>
          <w:rStyle w:val="Strong"/>
          <w:rFonts w:cs="Arial"/>
          <w:b w:val="0"/>
          <w:bCs w:val="0"/>
          <w:color w:val="333333"/>
          <w:shd w:val="clear" w:color="auto" w:fill="FFFFFF"/>
        </w:rPr>
        <w:t>because</w:t>
      </w:r>
      <w:r w:rsidR="00D0115A" w:rsidRPr="00E53A86">
        <w:rPr>
          <w:rStyle w:val="Strong"/>
          <w:rFonts w:cs="Arial"/>
          <w:b w:val="0"/>
          <w:bCs w:val="0"/>
          <w:color w:val="333333"/>
          <w:shd w:val="clear" w:color="auto" w:fill="FFFFFF"/>
        </w:rPr>
        <w:t xml:space="preserve"> </w:t>
      </w:r>
      <w:r w:rsidR="00E53A86" w:rsidRPr="00E53A86">
        <w:rPr>
          <w:rStyle w:val="Strong"/>
          <w:rFonts w:cs="Arial"/>
          <w:b w:val="0"/>
          <w:bCs w:val="0"/>
          <w:color w:val="333333"/>
          <w:shd w:val="clear" w:color="auto" w:fill="FFFFFF"/>
        </w:rPr>
        <w:t>the data presented on cancer stage</w:t>
      </w:r>
      <w:r w:rsidR="00B5121D">
        <w:rPr>
          <w:rStyle w:val="Strong"/>
          <w:rFonts w:cs="Arial"/>
          <w:b w:val="0"/>
          <w:bCs w:val="0"/>
          <w:color w:val="333333"/>
          <w:shd w:val="clear" w:color="auto" w:fill="FFFFFF"/>
        </w:rPr>
        <w:t>s</w:t>
      </w:r>
      <w:r w:rsidR="00EA7166">
        <w:rPr>
          <w:rStyle w:val="Strong"/>
          <w:rFonts w:cs="Arial"/>
          <w:b w:val="0"/>
          <w:bCs w:val="0"/>
          <w:color w:val="333333"/>
          <w:shd w:val="clear" w:color="auto" w:fill="FFFFFF"/>
        </w:rPr>
        <w:t xml:space="preserve"> 1 and 2</w:t>
      </w:r>
      <w:r w:rsidR="00E53A86" w:rsidRPr="00E53A86">
        <w:rPr>
          <w:rStyle w:val="Strong"/>
          <w:rFonts w:cs="Arial"/>
          <w:b w:val="0"/>
          <w:bCs w:val="0"/>
          <w:color w:val="333333"/>
          <w:shd w:val="clear" w:color="auto" w:fill="FFFFFF"/>
        </w:rPr>
        <w:t xml:space="preserve"> at diagnosis</w:t>
      </w:r>
      <w:r w:rsidR="00EA7166">
        <w:rPr>
          <w:rStyle w:val="Strong"/>
          <w:rFonts w:cs="Arial"/>
          <w:b w:val="0"/>
          <w:bCs w:val="0"/>
          <w:color w:val="333333"/>
          <w:shd w:val="clear" w:color="auto" w:fill="FFFFFF"/>
        </w:rPr>
        <w:t xml:space="preserve"> under this measure</w:t>
      </w:r>
      <w:r w:rsidR="00E53A86" w:rsidRPr="00E53A86">
        <w:rPr>
          <w:rStyle w:val="Strong"/>
          <w:rFonts w:cs="Arial"/>
          <w:b w:val="0"/>
          <w:bCs w:val="0"/>
          <w:color w:val="333333"/>
          <w:shd w:val="clear" w:color="auto" w:fill="FFFFFF"/>
        </w:rPr>
        <w:t xml:space="preserve"> is specific to three cancers</w:t>
      </w:r>
      <w:r w:rsidR="00D0115A">
        <w:rPr>
          <w:rStyle w:val="Strong"/>
          <w:rFonts w:cs="Arial"/>
          <w:b w:val="0"/>
          <w:bCs w:val="0"/>
          <w:color w:val="333333"/>
          <w:shd w:val="clear" w:color="auto" w:fill="FFFFFF"/>
        </w:rPr>
        <w:t xml:space="preserve"> –</w:t>
      </w:r>
      <w:r w:rsidR="00E53A86" w:rsidRPr="00E53A86">
        <w:rPr>
          <w:rStyle w:val="Strong"/>
          <w:rFonts w:cs="Arial"/>
          <w:b w:val="0"/>
          <w:bCs w:val="0"/>
          <w:color w:val="333333"/>
          <w:shd w:val="clear" w:color="auto" w:fill="FFFFFF"/>
        </w:rPr>
        <w:t xml:space="preserve"> </w:t>
      </w:r>
      <w:r w:rsidR="00E53A86">
        <w:rPr>
          <w:rStyle w:val="Strong"/>
          <w:rFonts w:cs="Arial"/>
          <w:b w:val="0"/>
          <w:bCs w:val="0"/>
          <w:color w:val="333333"/>
          <w:shd w:val="clear" w:color="auto" w:fill="FFFFFF"/>
        </w:rPr>
        <w:t xml:space="preserve">female </w:t>
      </w:r>
      <w:r w:rsidR="00E53A86" w:rsidRPr="00E53A86">
        <w:t>breast, colorectal and prostate</w:t>
      </w:r>
      <w:r w:rsidR="00D0115A">
        <w:t xml:space="preserve"> –</w:t>
      </w:r>
      <w:r w:rsidR="00E53A86" w:rsidRPr="00E53A86">
        <w:t xml:space="preserve"> rather than ‘all’ cancers.</w:t>
      </w:r>
      <w:r w:rsidR="005F72D6">
        <w:rPr>
          <w:lang w:eastAsia="en-AU"/>
        </w:rPr>
        <w:br w:type="page"/>
      </w:r>
      <w:bookmarkStart w:id="1079" w:name="_Toc19008193"/>
      <w:r w:rsidR="005C15AA" w:rsidRPr="002E2A0A">
        <w:rPr>
          <w:rStyle w:val="Heading3Char"/>
          <w:b/>
          <w:bCs w:val="0"/>
        </w:rPr>
        <w:lastRenderedPageBreak/>
        <w:t xml:space="preserve">Measure 13.18 – Five-year </w:t>
      </w:r>
      <w:r w:rsidR="00444A36">
        <w:rPr>
          <w:rStyle w:val="Heading3Char"/>
          <w:b/>
          <w:bCs w:val="0"/>
        </w:rPr>
        <w:t xml:space="preserve">relative </w:t>
      </w:r>
      <w:r w:rsidR="005C15AA" w:rsidRPr="002E2A0A">
        <w:rPr>
          <w:rStyle w:val="Heading3Char"/>
          <w:b/>
          <w:bCs w:val="0"/>
        </w:rPr>
        <w:t>survival from all cancers diagnosed at stages 3 and 4</w:t>
      </w:r>
      <w:bookmarkEnd w:id="1079"/>
    </w:p>
    <w:p w14:paraId="758476BF" w14:textId="763CD5C2" w:rsidR="006765D1" w:rsidRPr="006765D1" w:rsidRDefault="003D6A05" w:rsidP="006765D1">
      <w:pPr>
        <w:pStyle w:val="Figurecaption"/>
        <w:rPr>
          <w:sz w:val="20"/>
        </w:rPr>
      </w:pPr>
      <w:bookmarkStart w:id="1080" w:name="_Toc132553103"/>
      <w:bookmarkStart w:id="1081" w:name="_Toc140827718"/>
      <w:r w:rsidRPr="00895DD4">
        <w:rPr>
          <w:sz w:val="20"/>
        </w:rPr>
        <w:t>Figure 13.18</w:t>
      </w:r>
      <w:r w:rsidR="006765D1">
        <w:rPr>
          <w:sz w:val="20"/>
        </w:rPr>
        <w:t>.1</w:t>
      </w:r>
      <w:r w:rsidR="00C03D95" w:rsidRPr="00895DD4">
        <w:rPr>
          <w:sz w:val="20"/>
        </w:rPr>
        <w:t>:</w:t>
      </w:r>
      <w:r w:rsidRPr="00895DD4">
        <w:rPr>
          <w:sz w:val="20"/>
        </w:rPr>
        <w:t xml:space="preserve"> Five-year relative survival from </w:t>
      </w:r>
      <w:r w:rsidR="006765D1">
        <w:rPr>
          <w:sz w:val="20"/>
        </w:rPr>
        <w:t>breast</w:t>
      </w:r>
      <w:r w:rsidRPr="00895DD4">
        <w:rPr>
          <w:sz w:val="20"/>
        </w:rPr>
        <w:t xml:space="preserve"> cancer diagnosed at stages 3 and 4, by age (A), remoteness (B), SES (C) and ICS (D), Victoria, 2010–2014 and 2015–2019</w:t>
      </w:r>
      <w:bookmarkEnd w:id="1080"/>
      <w:bookmarkEnd w:id="1081"/>
    </w:p>
    <w:p w14:paraId="51F50290" w14:textId="522DA5EF" w:rsidR="003D6A05" w:rsidRDefault="007508B9" w:rsidP="006022D3">
      <w:pPr>
        <w:pStyle w:val="DHHSbody"/>
      </w:pPr>
      <w:r>
        <w:rPr>
          <w:noProof/>
        </w:rPr>
        <w:drawing>
          <wp:inline distT="0" distB="0" distL="0" distR="0" wp14:anchorId="3C43ACD3" wp14:editId="00B8FA0F">
            <wp:extent cx="5896400" cy="5251939"/>
            <wp:effectExtent l="0" t="0" r="0" b="6350"/>
            <wp:docPr id="293" name="Picture 293" descr="This figure shows a data summary of 'Measure 13.18 – Five-year relative survival from all cancers diagnosed at stages 3 and 4'. Specially this figure focuses on the trends in five-year relative survival from breast cancer by age, remoteness, socio-economic status and Integrated Cancer Service for the study periods 2010-2014 and 2015-2019. The data set is available under 'Measure 13.18 –  Five-year relative survival from all cancers diagnosed at stages 3 and 4'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This figure shows a data summary of 'Measure 13.18 – Five-year relative survival from all cancers diagnosed at stages 3 and 4'. Specially this figure focuses on the trends in five-year relative survival from breast cancer by age, remoteness, socio-economic status and Integrated Cancer Service for the study periods 2010-2014 and 2015-2019. The data set is available under 'Measure 13.18 –  Five-year relative survival from all cancers diagnosed at stages 3 and 4' in a separate volume, the Victorian cancer plan monitoring and evaluation framework: baseline progress report: Appendix 2: Datasets available on Cancer care &lt;https://www.health.vic.gov.au/health-strategies/cancer-care&gt;."/>
                    <pic:cNvPicPr/>
                  </pic:nvPicPr>
                  <pic:blipFill>
                    <a:blip r:embed="rId169"/>
                    <a:stretch>
                      <a:fillRect/>
                    </a:stretch>
                  </pic:blipFill>
                  <pic:spPr>
                    <a:xfrm>
                      <a:off x="0" y="0"/>
                      <a:ext cx="5900812" cy="5255868"/>
                    </a:xfrm>
                    <a:prstGeom prst="rect">
                      <a:avLst/>
                    </a:prstGeom>
                  </pic:spPr>
                </pic:pic>
              </a:graphicData>
            </a:graphic>
          </wp:inline>
        </w:drawing>
      </w:r>
    </w:p>
    <w:p w14:paraId="50F4E5B4" w14:textId="77777777" w:rsidR="002B2F39" w:rsidRDefault="002B2F39">
      <w:pPr>
        <w:rPr>
          <w:rFonts w:ascii="Arial" w:hAnsi="Arial"/>
          <w:b/>
          <w:lang w:eastAsia="en-US"/>
        </w:rPr>
      </w:pPr>
      <w:r>
        <w:br w:type="page"/>
      </w:r>
    </w:p>
    <w:p w14:paraId="5F1AAA1D" w14:textId="01B5B2DD" w:rsidR="007508B9" w:rsidRPr="006765D1" w:rsidRDefault="002B2F39" w:rsidP="007508B9">
      <w:pPr>
        <w:pStyle w:val="Figurecaption"/>
        <w:rPr>
          <w:sz w:val="20"/>
        </w:rPr>
      </w:pPr>
      <w:bookmarkStart w:id="1082" w:name="_Toc140827719"/>
      <w:r>
        <w:rPr>
          <w:noProof/>
          <w:sz w:val="18"/>
          <w:szCs w:val="18"/>
        </w:rPr>
        <w:lastRenderedPageBreak/>
        <w:drawing>
          <wp:anchor distT="0" distB="0" distL="114300" distR="114300" simplePos="0" relativeHeight="252318720" behindDoc="0" locked="0" layoutInCell="1" allowOverlap="1" wp14:anchorId="0119C819" wp14:editId="7F09B53E">
            <wp:simplePos x="0" y="0"/>
            <wp:positionH relativeFrom="margin">
              <wp:posOffset>-66040</wp:posOffset>
            </wp:positionH>
            <wp:positionV relativeFrom="paragraph">
              <wp:posOffset>377825</wp:posOffset>
            </wp:positionV>
            <wp:extent cx="5896610" cy="6127115"/>
            <wp:effectExtent l="0" t="0" r="8890" b="6985"/>
            <wp:wrapSquare wrapText="bothSides"/>
            <wp:docPr id="316" name="Picture 316" descr="This figure shows a data summary of 'Measure 13.18 – Five-year relative survival from all cancers diagnosed at stages 3 and 4'. Specially this figure focuses on the trends in five-year relative survival from colorectal cancer by age, remoteness, socio-economic status and Integrated Cancer Service for the study periods 2010-2014 and 2015-2019. The data set is available under 'Measure 13.18 –  Five-year relative survival from all cancers diagnosed at stages 3 and 4'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This figure shows a data summary of 'Measure 13.18 – Five-year relative survival from all cancers diagnosed at stages 3 and 4'. Specially this figure focuses on the trends in five-year relative survival from colorectal cancer by age, remoteness, socio-economic status and Integrated Cancer Service for the study periods 2010-2014 and 2015-2019. The data set is available under 'Measure 13.18 –  Five-year relative survival from all cancers diagnosed at stages 3 and 4' in a separate volume, the Victorian cancer plan monitoring and evaluation framework: baseline progress report: Appendix 2: Datasets available on Cancer care &lt;https://www.health.vic.gov.au/health-strategies/cancer-care&gt;."/>
                    <pic:cNvPicPr/>
                  </pic:nvPicPr>
                  <pic:blipFill>
                    <a:blip r:embed="rId170"/>
                    <a:stretch>
                      <a:fillRect/>
                    </a:stretch>
                  </pic:blipFill>
                  <pic:spPr>
                    <a:xfrm>
                      <a:off x="0" y="0"/>
                      <a:ext cx="5896610" cy="6127115"/>
                    </a:xfrm>
                    <a:prstGeom prst="rect">
                      <a:avLst/>
                    </a:prstGeom>
                  </pic:spPr>
                </pic:pic>
              </a:graphicData>
            </a:graphic>
            <wp14:sizeRelV relativeFrom="margin">
              <wp14:pctHeight>0</wp14:pctHeight>
            </wp14:sizeRelV>
          </wp:anchor>
        </w:drawing>
      </w:r>
      <w:r w:rsidR="007508B9" w:rsidRPr="00895DD4">
        <w:rPr>
          <w:sz w:val="20"/>
        </w:rPr>
        <w:t>Figure 13.18</w:t>
      </w:r>
      <w:r w:rsidR="007508B9">
        <w:rPr>
          <w:sz w:val="20"/>
        </w:rPr>
        <w:t>.2</w:t>
      </w:r>
      <w:r w:rsidR="007508B9" w:rsidRPr="00895DD4">
        <w:rPr>
          <w:sz w:val="20"/>
        </w:rPr>
        <w:t xml:space="preserve">: Five-year relative survival from </w:t>
      </w:r>
      <w:r w:rsidR="007508B9">
        <w:rPr>
          <w:sz w:val="20"/>
        </w:rPr>
        <w:t>colorectal</w:t>
      </w:r>
      <w:r w:rsidR="007508B9" w:rsidRPr="00895DD4">
        <w:rPr>
          <w:sz w:val="20"/>
        </w:rPr>
        <w:t xml:space="preserve"> cancer diagnosed at stages 3 and 4, by age (A), remoteness (B), SES (C) and ICS (D), Victoria, 2010–2014 and 2015–2019</w:t>
      </w:r>
      <w:bookmarkEnd w:id="1082"/>
    </w:p>
    <w:p w14:paraId="142F3F44" w14:textId="77777777" w:rsidR="002B2F39" w:rsidRDefault="002B2F39">
      <w:pPr>
        <w:rPr>
          <w:rFonts w:ascii="Arial" w:hAnsi="Arial"/>
          <w:b/>
          <w:lang w:eastAsia="en-US"/>
        </w:rPr>
      </w:pPr>
      <w:r>
        <w:br w:type="page"/>
      </w:r>
    </w:p>
    <w:p w14:paraId="671F6278" w14:textId="16344EE1" w:rsidR="007508B9" w:rsidRPr="006765D1" w:rsidRDefault="002B2F39" w:rsidP="007508B9">
      <w:pPr>
        <w:pStyle w:val="Figurecaption"/>
        <w:rPr>
          <w:sz w:val="20"/>
        </w:rPr>
      </w:pPr>
      <w:bookmarkStart w:id="1083" w:name="_Toc140827720"/>
      <w:r>
        <w:rPr>
          <w:noProof/>
          <w:sz w:val="18"/>
          <w:szCs w:val="18"/>
        </w:rPr>
        <w:lastRenderedPageBreak/>
        <w:drawing>
          <wp:anchor distT="0" distB="0" distL="114300" distR="114300" simplePos="0" relativeHeight="252319744" behindDoc="0" locked="0" layoutInCell="1" allowOverlap="1" wp14:anchorId="3B2B01F8" wp14:editId="22876277">
            <wp:simplePos x="0" y="0"/>
            <wp:positionH relativeFrom="margin">
              <wp:posOffset>19685</wp:posOffset>
            </wp:positionH>
            <wp:positionV relativeFrom="paragraph">
              <wp:posOffset>424180</wp:posOffset>
            </wp:positionV>
            <wp:extent cx="5896610" cy="5189220"/>
            <wp:effectExtent l="0" t="0" r="8890" b="0"/>
            <wp:wrapThrough wrapText="bothSides">
              <wp:wrapPolygon edited="0">
                <wp:start x="0" y="0"/>
                <wp:lineTo x="0" y="20855"/>
                <wp:lineTo x="8374" y="21489"/>
                <wp:lineTo x="13189" y="21489"/>
                <wp:lineTo x="21563" y="20855"/>
                <wp:lineTo x="21563" y="0"/>
                <wp:lineTo x="0" y="0"/>
              </wp:wrapPolygon>
            </wp:wrapThrough>
            <wp:docPr id="318" name="Picture 318" descr="This figure shows a data summary of 'Measure 13.18 – Five-year relative survival from all cancers diagnosed at stages 3 and 4'. Specially this figure focuses on the trends in five-year relative survival from prostate cancer by age, remoteness, socio-economic status and Integrated Cancer Service for the study periods 2010-2014 and 2015-2019. The data set is available under 'Measure 13.18 –  Five-year relative survival from all cancers diagnosed at stages 3 and 4' in a separate volume, the Victorian cancer plan monitoring and evaluation framework: baseline progress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This figure shows a data summary of 'Measure 13.18 – Five-year relative survival from all cancers diagnosed at stages 3 and 4'. Specially this figure focuses on the trends in five-year relative survival from prostate cancer by age, remoteness, socio-economic status and Integrated Cancer Service for the study periods 2010-2014 and 2015-2019. The data set is available under 'Measure 13.18 –  Five-year relative survival from all cancers diagnosed at stages 3 and 4' in a separate volume, the Victorian cancer plan monitoring and evaluation framework: baseline progress report: Appendix 2: Datasets available on Cancer care &lt;https://www.health.vic.gov.au/health-strategies/cancer-care&gt;."/>
                    <pic:cNvPicPr/>
                  </pic:nvPicPr>
                  <pic:blipFill>
                    <a:blip r:embed="rId171"/>
                    <a:stretch>
                      <a:fillRect/>
                    </a:stretch>
                  </pic:blipFill>
                  <pic:spPr>
                    <a:xfrm>
                      <a:off x="0" y="0"/>
                      <a:ext cx="5896610" cy="5189220"/>
                    </a:xfrm>
                    <a:prstGeom prst="rect">
                      <a:avLst/>
                    </a:prstGeom>
                  </pic:spPr>
                </pic:pic>
              </a:graphicData>
            </a:graphic>
            <wp14:sizeRelV relativeFrom="margin">
              <wp14:pctHeight>0</wp14:pctHeight>
            </wp14:sizeRelV>
          </wp:anchor>
        </w:drawing>
      </w:r>
      <w:r w:rsidR="007508B9" w:rsidRPr="00895DD4">
        <w:rPr>
          <w:sz w:val="20"/>
        </w:rPr>
        <w:t>Figure 13.18</w:t>
      </w:r>
      <w:r w:rsidR="007508B9">
        <w:rPr>
          <w:sz w:val="20"/>
        </w:rPr>
        <w:t>.</w:t>
      </w:r>
      <w:r>
        <w:rPr>
          <w:sz w:val="20"/>
        </w:rPr>
        <w:t>3</w:t>
      </w:r>
      <w:r w:rsidR="007508B9" w:rsidRPr="00895DD4">
        <w:rPr>
          <w:sz w:val="20"/>
        </w:rPr>
        <w:t xml:space="preserve">: Five-year relative survival from </w:t>
      </w:r>
      <w:r>
        <w:rPr>
          <w:sz w:val="20"/>
        </w:rPr>
        <w:t>prostate</w:t>
      </w:r>
      <w:r w:rsidRPr="00895DD4">
        <w:rPr>
          <w:sz w:val="20"/>
        </w:rPr>
        <w:t xml:space="preserve"> cancer</w:t>
      </w:r>
      <w:r w:rsidR="007508B9" w:rsidRPr="00895DD4">
        <w:rPr>
          <w:sz w:val="20"/>
        </w:rPr>
        <w:t xml:space="preserve"> diagnosed at stages 3 and 4, by age (A), remoteness (B), SES (C) and ICS (D), Victoria, 2010–2014 and 2015–2019</w:t>
      </w:r>
      <w:bookmarkEnd w:id="1083"/>
    </w:p>
    <w:p w14:paraId="3B988B90" w14:textId="77777777" w:rsidR="00A86CD9" w:rsidRDefault="00A86CD9" w:rsidP="00A86CD9">
      <w:pPr>
        <w:pStyle w:val="Tablefigurenote"/>
        <w:rPr>
          <w:i/>
          <w:iCs/>
          <w:sz w:val="18"/>
          <w:szCs w:val="18"/>
        </w:rPr>
      </w:pPr>
    </w:p>
    <w:p w14:paraId="769AFDA5" w14:textId="7318AE74" w:rsidR="00A86CD9" w:rsidRPr="00895DD4" w:rsidRDefault="00A86CD9" w:rsidP="00A86CD9">
      <w:pPr>
        <w:pStyle w:val="Tablefigurenote"/>
        <w:rPr>
          <w:i/>
          <w:iCs/>
          <w:sz w:val="18"/>
          <w:szCs w:val="18"/>
        </w:rPr>
      </w:pPr>
      <w:r w:rsidRPr="00895DD4">
        <w:rPr>
          <w:i/>
          <w:iCs/>
          <w:sz w:val="18"/>
          <w:szCs w:val="18"/>
        </w:rPr>
        <w:t>Notes</w:t>
      </w:r>
      <w:r>
        <w:rPr>
          <w:i/>
          <w:iCs/>
          <w:sz w:val="18"/>
          <w:szCs w:val="18"/>
        </w:rPr>
        <w:t xml:space="preserve"> for Figures 13.18.1, 13.18.2 and 13.18.3</w:t>
      </w:r>
      <w:r w:rsidRPr="00895DD4">
        <w:rPr>
          <w:i/>
          <w:iCs/>
          <w:sz w:val="18"/>
          <w:szCs w:val="18"/>
        </w:rPr>
        <w:t xml:space="preserve">: </w:t>
      </w:r>
    </w:p>
    <w:p w14:paraId="33018AE8" w14:textId="77777777" w:rsidR="00A86CD9" w:rsidRPr="00895DD4" w:rsidRDefault="00A86CD9" w:rsidP="00A86CD9">
      <w:pPr>
        <w:pStyle w:val="Tablefigurenote"/>
        <w:rPr>
          <w:i/>
          <w:iCs/>
          <w:sz w:val="18"/>
          <w:szCs w:val="18"/>
        </w:rPr>
      </w:pPr>
      <w:r w:rsidRPr="00895DD4">
        <w:rPr>
          <w:i/>
          <w:iCs/>
          <w:sz w:val="18"/>
          <w:szCs w:val="18"/>
        </w:rPr>
        <w:t xml:space="preserve">Data as it relates to registry-derived stage are currently only available for some cancer tumour streams, namely female breast, colorectal and prostate, rather than ‘all’ cancers. </w:t>
      </w:r>
    </w:p>
    <w:p w14:paraId="5D3AADFC" w14:textId="77777777" w:rsidR="00A86CD9" w:rsidRPr="00895DD4" w:rsidRDefault="00A86CD9" w:rsidP="00A86CD9">
      <w:pPr>
        <w:pStyle w:val="Tablefigurenote"/>
        <w:rPr>
          <w:i/>
          <w:iCs/>
          <w:sz w:val="18"/>
          <w:szCs w:val="18"/>
        </w:rPr>
      </w:pPr>
      <w:r w:rsidRPr="00895DD4">
        <w:rPr>
          <w:i/>
          <w:iCs/>
          <w:sz w:val="18"/>
          <w:szCs w:val="18"/>
        </w:rPr>
        <w:t xml:space="preserve">The tumour streams included in the analysis are breast, colorectal and prostate. </w:t>
      </w:r>
    </w:p>
    <w:p w14:paraId="2F31963B" w14:textId="77777777" w:rsidR="00A86CD9" w:rsidRPr="00895DD4" w:rsidRDefault="00A86CD9" w:rsidP="00A86CD9">
      <w:pPr>
        <w:pStyle w:val="Tablefigurenote"/>
        <w:rPr>
          <w:i/>
          <w:iCs/>
          <w:sz w:val="18"/>
          <w:szCs w:val="18"/>
        </w:rPr>
      </w:pPr>
      <w:r w:rsidRPr="00895DD4">
        <w:rPr>
          <w:i/>
          <w:iCs/>
          <w:sz w:val="18"/>
          <w:szCs w:val="18"/>
        </w:rPr>
        <w:t>For melanoma and endometrial cancer, the staging at diagnosis for these two tumour streams were only available from 2018. To avoid biased results, these two cancers are not included in the analysis. It is expected that the registry-derived (RD) stage will be available for other cancers in the future so this measure, which specifies ‘all’ cancers at stages 3 and 4, can be reported on.</w:t>
      </w:r>
    </w:p>
    <w:p w14:paraId="1C5D2EAD" w14:textId="5ED1B680" w:rsidR="00A86CD9" w:rsidRPr="00895DD4" w:rsidRDefault="00A86CD9" w:rsidP="00A86CD9">
      <w:pPr>
        <w:pStyle w:val="Tablefigurenote"/>
        <w:rPr>
          <w:i/>
          <w:iCs/>
          <w:sz w:val="18"/>
          <w:szCs w:val="18"/>
        </w:rPr>
      </w:pPr>
      <w:r w:rsidRPr="00895DD4">
        <w:rPr>
          <w:i/>
          <w:iCs/>
          <w:sz w:val="18"/>
          <w:szCs w:val="18"/>
        </w:rPr>
        <w:t>Error bars indicate 95</w:t>
      </w:r>
      <w:r w:rsidR="0054537F">
        <w:rPr>
          <w:i/>
          <w:iCs/>
          <w:sz w:val="18"/>
          <w:szCs w:val="18"/>
        </w:rPr>
        <w:t>%</w:t>
      </w:r>
      <w:r w:rsidRPr="00895DD4">
        <w:rPr>
          <w:i/>
          <w:iCs/>
          <w:sz w:val="18"/>
          <w:szCs w:val="18"/>
        </w:rPr>
        <w:t xml:space="preserve"> confidence intervals.</w:t>
      </w:r>
    </w:p>
    <w:p w14:paraId="3DD46323" w14:textId="77777777" w:rsidR="00A86CD9" w:rsidRPr="00895DD4" w:rsidRDefault="00A86CD9" w:rsidP="00A86CD9">
      <w:pPr>
        <w:pStyle w:val="Tablefigurenote"/>
        <w:spacing w:before="0" w:afterLines="60" w:after="144"/>
        <w:rPr>
          <w:i/>
          <w:iCs/>
          <w:sz w:val="18"/>
          <w:szCs w:val="18"/>
        </w:rPr>
      </w:pPr>
      <w:r w:rsidRPr="00895DD4">
        <w:rPr>
          <w:i/>
          <w:iCs/>
          <w:sz w:val="18"/>
          <w:szCs w:val="18"/>
        </w:rPr>
        <w:t>Remoteness is classified according to the ASGC Remoteness Areas.</w:t>
      </w:r>
    </w:p>
    <w:p w14:paraId="260D84D9" w14:textId="77777777" w:rsidR="00A86CD9" w:rsidRDefault="00A86CD9" w:rsidP="00A86CD9">
      <w:pPr>
        <w:pStyle w:val="Tablefigurenote"/>
        <w:spacing w:before="0" w:afterLines="60" w:after="144"/>
        <w:rPr>
          <w:i/>
          <w:iCs/>
          <w:sz w:val="18"/>
          <w:szCs w:val="18"/>
        </w:rPr>
      </w:pPr>
      <w:r w:rsidRPr="00895DD4">
        <w:rPr>
          <w:i/>
          <w:iCs/>
          <w:sz w:val="18"/>
          <w:szCs w:val="18"/>
        </w:rPr>
        <w:t>SES is classified according to the SEIFA Index of Relative Socio-economic Disadvantage – 1= lowest and 5 = highest.</w:t>
      </w:r>
    </w:p>
    <w:p w14:paraId="1A646DD3" w14:textId="05E7185D" w:rsidR="002B2F39" w:rsidRPr="00A86CD9" w:rsidRDefault="00A86CD9" w:rsidP="00A86CD9">
      <w:pPr>
        <w:pStyle w:val="Tablefigurenote"/>
        <w:spacing w:before="0" w:afterLines="60" w:after="144"/>
        <w:rPr>
          <w:i/>
          <w:iCs/>
          <w:sz w:val="18"/>
          <w:szCs w:val="18"/>
        </w:rPr>
      </w:pPr>
      <w:r w:rsidRPr="00895DD4">
        <w:rPr>
          <w:i/>
          <w:iCs/>
          <w:sz w:val="18"/>
          <w:szCs w:val="18"/>
        </w:rPr>
        <w:t>Appendix 2 provides the dataset</w:t>
      </w:r>
      <w:r w:rsidR="00E9112D">
        <w:rPr>
          <w:i/>
          <w:iCs/>
          <w:sz w:val="18"/>
          <w:szCs w:val="18"/>
        </w:rPr>
        <w:t xml:space="preserve"> including where data was unknown.</w:t>
      </w:r>
    </w:p>
    <w:p w14:paraId="120F92B6" w14:textId="6EE2EA1C" w:rsidR="00F14126" w:rsidRPr="00F147F7" w:rsidRDefault="00A86CD9" w:rsidP="00F147F7">
      <w:pPr>
        <w:rPr>
          <w:rStyle w:val="Strong"/>
          <w:rFonts w:ascii="Arial" w:eastAsia="MS Mincho" w:hAnsi="Arial"/>
          <w:sz w:val="21"/>
          <w:lang w:eastAsia="en-US"/>
        </w:rPr>
      </w:pPr>
      <w:r>
        <w:br w:type="page"/>
      </w:r>
    </w:p>
    <w:p w14:paraId="2314FA10" w14:textId="77777777" w:rsidR="00F14126" w:rsidRPr="00FA030B" w:rsidRDefault="00F14126" w:rsidP="00F14126">
      <w:pPr>
        <w:pStyle w:val="Heading4"/>
        <w:rPr>
          <w:rFonts w:cs="Arial"/>
        </w:rPr>
      </w:pPr>
      <w:r w:rsidRPr="00FA030B">
        <w:rPr>
          <w:rFonts w:cs="Arial"/>
        </w:rPr>
        <w:lastRenderedPageBreak/>
        <w:t>Measure assessment</w:t>
      </w:r>
    </w:p>
    <w:p w14:paraId="76CA0EF3" w14:textId="77777777" w:rsidR="00F14126" w:rsidRPr="00FA030B" w:rsidRDefault="00F14126" w:rsidP="00F14126">
      <w:pPr>
        <w:pStyle w:val="Body"/>
        <w:rPr>
          <w:rFonts w:cs="Arial"/>
        </w:rPr>
      </w:pPr>
      <w:r w:rsidRPr="00FA030B">
        <w:rPr>
          <w:rFonts w:cs="Arial"/>
        </w:rPr>
        <w:t xml:space="preserve">Traffic light rating: </w:t>
      </w:r>
      <w:r w:rsidRPr="00FA030B">
        <w:rPr>
          <w:rFonts w:cs="Arial"/>
          <w:b/>
          <w:color w:val="C5511A"/>
        </w:rPr>
        <w:t xml:space="preserve">Amber </w:t>
      </w:r>
      <w:r w:rsidRPr="00FA030B">
        <w:rPr>
          <w:rFonts w:cs="Arial"/>
        </w:rPr>
        <w:t>(desired result for ‘all’ cancers not yet evident)</w:t>
      </w:r>
    </w:p>
    <w:p w14:paraId="40AC89FF" w14:textId="77777777" w:rsidR="00F14126" w:rsidRPr="00FA030B" w:rsidRDefault="00F14126" w:rsidP="00F14126">
      <w:pPr>
        <w:pStyle w:val="Body"/>
        <w:rPr>
          <w:rFonts w:cs="Arial"/>
        </w:rPr>
      </w:pPr>
      <w:r w:rsidRPr="00FA030B">
        <w:rPr>
          <w:rFonts w:cs="Arial"/>
        </w:rPr>
        <w:t>Overall trend: Appears to be moving in the right direction</w:t>
      </w:r>
    </w:p>
    <w:p w14:paraId="3636D015" w14:textId="77777777" w:rsidR="00F14126" w:rsidRPr="00FA030B" w:rsidRDefault="00F14126" w:rsidP="00F14126">
      <w:pPr>
        <w:pStyle w:val="Body"/>
        <w:rPr>
          <w:rFonts w:cs="Arial"/>
        </w:rPr>
      </w:pPr>
      <w:r w:rsidRPr="00FA030B">
        <w:rPr>
          <w:rFonts w:cs="Arial"/>
        </w:rPr>
        <w:t>Commentary: Knowing the distribution of stage at diagnosis is crucial to understanding variations in survival and can help inform where further research and targeted cancer control strategies can be applied to reduce the proportion of cancers diagnosed at an advanced stage.</w:t>
      </w:r>
      <w:r w:rsidRPr="00FA030B">
        <w:rPr>
          <w:rStyle w:val="FootnoteReference"/>
          <w:rFonts w:cs="Arial"/>
        </w:rPr>
        <w:footnoteReference w:id="209"/>
      </w:r>
      <w:r w:rsidRPr="00FA030B">
        <w:rPr>
          <w:rFonts w:cs="Arial"/>
        </w:rPr>
        <w:t xml:space="preserve"> Stage at diagnosis is broadly categorised into four stages of increasing severity – stages 1, 2, 3 and 4.</w:t>
      </w:r>
    </w:p>
    <w:p w14:paraId="4F9CAB94" w14:textId="77777777" w:rsidR="00B1517C" w:rsidRPr="00FA030B" w:rsidRDefault="00F14126" w:rsidP="00B1517C">
      <w:pPr>
        <w:pStyle w:val="Body"/>
        <w:rPr>
          <w:rFonts w:cs="Arial"/>
        </w:rPr>
      </w:pPr>
      <w:r w:rsidRPr="00FA030B">
        <w:rPr>
          <w:rFonts w:cs="Arial"/>
        </w:rPr>
        <w:t>In Victoria the distribution pattern of cancer diagnosed at stages 3 and 4 varied by cancer type.  Specifically:</w:t>
      </w:r>
    </w:p>
    <w:p w14:paraId="71EAC0A2" w14:textId="48E9B2A5" w:rsidR="00F147F7" w:rsidRPr="00FA030B" w:rsidRDefault="00F14126" w:rsidP="00F147F7">
      <w:pPr>
        <w:pStyle w:val="Body"/>
        <w:numPr>
          <w:ilvl w:val="0"/>
          <w:numId w:val="75"/>
        </w:numPr>
        <w:rPr>
          <w:rFonts w:cs="Arial"/>
        </w:rPr>
      </w:pPr>
      <w:r w:rsidRPr="00FA030B">
        <w:rPr>
          <w:rFonts w:cs="Arial"/>
        </w:rPr>
        <w:t>For breast (female) cancer survival increased between the two periods from 64.3</w:t>
      </w:r>
      <w:r w:rsidR="0054537F">
        <w:rPr>
          <w:rFonts w:cs="Arial"/>
        </w:rPr>
        <w:t>%</w:t>
      </w:r>
      <w:r w:rsidRPr="00FA030B">
        <w:rPr>
          <w:rFonts w:cs="Arial"/>
        </w:rPr>
        <w:t xml:space="preserve"> (2010–2014) to 67.3</w:t>
      </w:r>
      <w:r w:rsidR="0054537F">
        <w:rPr>
          <w:rFonts w:cs="Arial"/>
        </w:rPr>
        <w:t>%</w:t>
      </w:r>
      <w:r w:rsidRPr="00FA030B">
        <w:rPr>
          <w:rFonts w:cs="Arial"/>
        </w:rPr>
        <w:t xml:space="preserve"> (2015–2019). Figure 13.18.1 (A) shows that survival by age group decreased from 45 years onwards for later-stage cancers 3 and 4. Where differences by remote areas were observed, survival by stages </w:t>
      </w:r>
      <w:r w:rsidR="00FF681D" w:rsidRPr="00FA030B">
        <w:rPr>
          <w:rFonts w:cs="Arial"/>
        </w:rPr>
        <w:t>3</w:t>
      </w:r>
      <w:r w:rsidRPr="00FA030B">
        <w:rPr>
          <w:rFonts w:cs="Arial"/>
        </w:rPr>
        <w:t xml:space="preserve"> and </w:t>
      </w:r>
      <w:r w:rsidR="00FF681D" w:rsidRPr="00FA030B">
        <w:rPr>
          <w:rFonts w:cs="Arial"/>
        </w:rPr>
        <w:t>4 decreased between the two time periods</w:t>
      </w:r>
      <w:r w:rsidRPr="00FA030B">
        <w:rPr>
          <w:rFonts w:cs="Arial"/>
        </w:rPr>
        <w:t xml:space="preserve"> </w:t>
      </w:r>
      <w:r w:rsidR="00FF681D" w:rsidRPr="00FA030B">
        <w:rPr>
          <w:rFonts w:cs="Arial"/>
        </w:rPr>
        <w:t>compared to</w:t>
      </w:r>
      <w:r w:rsidRPr="00FA030B">
        <w:rPr>
          <w:rFonts w:cs="Arial"/>
        </w:rPr>
        <w:t xml:space="preserve"> major cities compared with </w:t>
      </w:r>
      <w:r w:rsidRPr="00FA030B">
        <w:rPr>
          <w:rStyle w:val="Strong"/>
          <w:rFonts w:cs="Arial"/>
          <w:b w:val="0"/>
          <w:bCs w:val="0"/>
        </w:rPr>
        <w:t>inner regional areas</w:t>
      </w:r>
      <w:r w:rsidR="00FF681D" w:rsidRPr="00FA030B">
        <w:rPr>
          <w:rStyle w:val="Strong"/>
          <w:rFonts w:cs="Arial"/>
          <w:b w:val="0"/>
          <w:bCs w:val="0"/>
        </w:rPr>
        <w:t xml:space="preserve">, the latter showing no change between two time periods </w:t>
      </w:r>
      <w:r w:rsidRPr="00FA030B">
        <w:rPr>
          <w:rStyle w:val="Strong"/>
          <w:rFonts w:cs="Arial"/>
          <w:b w:val="0"/>
          <w:bCs w:val="0"/>
        </w:rPr>
        <w:t>(Figure 13.1</w:t>
      </w:r>
      <w:r w:rsidR="00FF681D" w:rsidRPr="00FA030B">
        <w:rPr>
          <w:rStyle w:val="Strong"/>
          <w:rFonts w:cs="Arial"/>
          <w:b w:val="0"/>
          <w:bCs w:val="0"/>
        </w:rPr>
        <w:t>8</w:t>
      </w:r>
      <w:r w:rsidRPr="00FA030B">
        <w:rPr>
          <w:rStyle w:val="Strong"/>
          <w:rFonts w:cs="Arial"/>
          <w:b w:val="0"/>
          <w:bCs w:val="0"/>
        </w:rPr>
        <w:t xml:space="preserve">.1 (B)). Where differences by SES areas were observed, survival by stages </w:t>
      </w:r>
      <w:r w:rsidR="00FF681D" w:rsidRPr="00FA030B">
        <w:rPr>
          <w:rStyle w:val="Strong"/>
          <w:rFonts w:cs="Arial"/>
          <w:b w:val="0"/>
          <w:bCs w:val="0"/>
        </w:rPr>
        <w:t>3</w:t>
      </w:r>
      <w:r w:rsidRPr="00FA030B">
        <w:rPr>
          <w:rStyle w:val="Strong"/>
          <w:rFonts w:cs="Arial"/>
          <w:b w:val="0"/>
          <w:bCs w:val="0"/>
        </w:rPr>
        <w:t xml:space="preserve"> and </w:t>
      </w:r>
      <w:r w:rsidR="00FF681D" w:rsidRPr="00FA030B">
        <w:rPr>
          <w:rStyle w:val="Strong"/>
          <w:rFonts w:cs="Arial"/>
          <w:b w:val="0"/>
          <w:bCs w:val="0"/>
        </w:rPr>
        <w:t>4</w:t>
      </w:r>
      <w:r w:rsidRPr="00FA030B">
        <w:rPr>
          <w:rStyle w:val="Strong"/>
          <w:rFonts w:cs="Arial"/>
          <w:b w:val="0"/>
          <w:bCs w:val="0"/>
        </w:rPr>
        <w:t xml:space="preserve"> at diagnosis was higher for people living in the highest SES areas (SES</w:t>
      </w:r>
      <w:r w:rsidR="00FF681D" w:rsidRPr="00FA030B">
        <w:rPr>
          <w:rStyle w:val="Strong"/>
          <w:rFonts w:cs="Arial"/>
          <w:b w:val="0"/>
          <w:bCs w:val="0"/>
        </w:rPr>
        <w:t>s 4 and</w:t>
      </w:r>
      <w:r w:rsidRPr="00FA030B">
        <w:rPr>
          <w:rStyle w:val="Strong"/>
          <w:rFonts w:cs="Arial"/>
          <w:b w:val="0"/>
          <w:bCs w:val="0"/>
        </w:rPr>
        <w:t xml:space="preserve"> 5)</w:t>
      </w:r>
      <w:r w:rsidRPr="00FA030B">
        <w:rPr>
          <w:rFonts w:cs="Arial"/>
        </w:rPr>
        <w:t xml:space="preserve"> </w:t>
      </w:r>
      <w:r w:rsidRPr="00FA030B">
        <w:rPr>
          <w:rStyle w:val="Strong"/>
          <w:rFonts w:cs="Arial"/>
          <w:b w:val="0"/>
          <w:bCs w:val="0"/>
        </w:rPr>
        <w:t>compared with lower SES areas (SES 1–</w:t>
      </w:r>
      <w:r w:rsidR="00FF681D" w:rsidRPr="00FA030B">
        <w:rPr>
          <w:rStyle w:val="Strong"/>
          <w:rFonts w:cs="Arial"/>
          <w:b w:val="0"/>
          <w:bCs w:val="0"/>
        </w:rPr>
        <w:t>2</w:t>
      </w:r>
      <w:r w:rsidRPr="00FA030B">
        <w:rPr>
          <w:rStyle w:val="Strong"/>
          <w:rFonts w:cs="Arial"/>
          <w:b w:val="0"/>
          <w:bCs w:val="0"/>
        </w:rPr>
        <w:t>) (Figure 13.1</w:t>
      </w:r>
      <w:r w:rsidR="00B1517C" w:rsidRPr="00FA030B">
        <w:rPr>
          <w:rStyle w:val="Strong"/>
          <w:rFonts w:cs="Arial"/>
          <w:b w:val="0"/>
          <w:bCs w:val="0"/>
        </w:rPr>
        <w:t>8</w:t>
      </w:r>
      <w:r w:rsidRPr="00FA030B">
        <w:rPr>
          <w:rStyle w:val="Strong"/>
          <w:rFonts w:cs="Arial"/>
          <w:b w:val="0"/>
          <w:bCs w:val="0"/>
        </w:rPr>
        <w:t xml:space="preserve">.1 (C)). </w:t>
      </w:r>
      <w:r w:rsidRPr="00FA030B">
        <w:rPr>
          <w:rStyle w:val="Strong"/>
          <w:rFonts w:cs="Arial"/>
          <w:b w:val="0"/>
          <w:bCs w:val="0"/>
          <w:color w:val="333333"/>
          <w:shd w:val="clear" w:color="auto" w:fill="FFFFFF"/>
        </w:rPr>
        <w:t xml:space="preserve">Observed survival by stages </w:t>
      </w:r>
      <w:r w:rsidR="00B1517C" w:rsidRPr="00FA030B">
        <w:rPr>
          <w:rStyle w:val="Strong"/>
          <w:rFonts w:cs="Arial"/>
          <w:b w:val="0"/>
          <w:bCs w:val="0"/>
          <w:color w:val="333333"/>
          <w:shd w:val="clear" w:color="auto" w:fill="FFFFFF"/>
        </w:rPr>
        <w:t>3</w:t>
      </w:r>
      <w:r w:rsidRPr="00FA030B">
        <w:rPr>
          <w:rStyle w:val="Strong"/>
          <w:rFonts w:cs="Arial"/>
          <w:b w:val="0"/>
          <w:bCs w:val="0"/>
          <w:color w:val="333333"/>
          <w:shd w:val="clear" w:color="auto" w:fill="FFFFFF"/>
        </w:rPr>
        <w:t xml:space="preserve"> and </w:t>
      </w:r>
      <w:r w:rsidR="00B1517C" w:rsidRPr="00FA030B">
        <w:rPr>
          <w:rStyle w:val="Strong"/>
          <w:rFonts w:cs="Arial"/>
          <w:b w:val="0"/>
          <w:bCs w:val="0"/>
          <w:color w:val="333333"/>
          <w:shd w:val="clear" w:color="auto" w:fill="FFFFFF"/>
        </w:rPr>
        <w:t>4</w:t>
      </w:r>
      <w:r w:rsidRPr="00FA030B">
        <w:rPr>
          <w:rStyle w:val="Strong"/>
          <w:rFonts w:cs="Arial"/>
          <w:b w:val="0"/>
          <w:bCs w:val="0"/>
          <w:color w:val="333333"/>
          <w:shd w:val="clear" w:color="auto" w:fill="FFFFFF"/>
        </w:rPr>
        <w:t xml:space="preserve"> at diagnosis by ICS showed a</w:t>
      </w:r>
      <w:r w:rsidR="00FF681D" w:rsidRPr="00FA030B">
        <w:rPr>
          <w:rStyle w:val="Strong"/>
          <w:rFonts w:cs="Arial"/>
          <w:b w:val="0"/>
          <w:bCs w:val="0"/>
          <w:color w:val="333333"/>
          <w:shd w:val="clear" w:color="auto" w:fill="FFFFFF"/>
        </w:rPr>
        <w:t xml:space="preserve">n </w:t>
      </w:r>
      <w:r w:rsidRPr="00FA030B">
        <w:rPr>
          <w:rStyle w:val="Strong"/>
          <w:rFonts w:cs="Arial"/>
          <w:b w:val="0"/>
          <w:bCs w:val="0"/>
          <w:color w:val="333333"/>
          <w:shd w:val="clear" w:color="auto" w:fill="FFFFFF"/>
        </w:rPr>
        <w:t xml:space="preserve">increase across </w:t>
      </w:r>
      <w:r w:rsidR="00FF681D" w:rsidRPr="00FA030B">
        <w:rPr>
          <w:rStyle w:val="Strong"/>
          <w:rFonts w:cs="Arial"/>
          <w:b w:val="0"/>
          <w:bCs w:val="0"/>
          <w:color w:val="333333"/>
          <w:shd w:val="clear" w:color="auto" w:fill="FFFFFF"/>
        </w:rPr>
        <w:t xml:space="preserve">most </w:t>
      </w:r>
      <w:r w:rsidRPr="00FA030B">
        <w:rPr>
          <w:rStyle w:val="Strong"/>
          <w:rFonts w:cs="Arial"/>
          <w:b w:val="0"/>
          <w:bCs w:val="0"/>
          <w:color w:val="333333"/>
          <w:shd w:val="clear" w:color="auto" w:fill="FFFFFF"/>
        </w:rPr>
        <w:t xml:space="preserve">ICS between the two time periods </w:t>
      </w:r>
      <w:r w:rsidRPr="00FA030B">
        <w:rPr>
          <w:rFonts w:cs="Arial"/>
        </w:rPr>
        <w:t xml:space="preserve">2010–2014 and 2015–2019 </w:t>
      </w:r>
      <w:r w:rsidR="00B1517C" w:rsidRPr="00FA030B">
        <w:rPr>
          <w:rFonts w:cs="Arial"/>
        </w:rPr>
        <w:t xml:space="preserve">with the exception of HRICS and GICS </w:t>
      </w:r>
      <w:r w:rsidRPr="00FA030B">
        <w:rPr>
          <w:rStyle w:val="Strong"/>
          <w:rFonts w:cs="Arial"/>
          <w:b w:val="0"/>
          <w:bCs w:val="0"/>
          <w:color w:val="333333"/>
          <w:shd w:val="clear" w:color="auto" w:fill="FFFFFF"/>
        </w:rPr>
        <w:t>(Figure 13.1</w:t>
      </w:r>
      <w:r w:rsidR="00B1517C" w:rsidRPr="00FA030B">
        <w:rPr>
          <w:rStyle w:val="Strong"/>
          <w:rFonts w:cs="Arial"/>
          <w:b w:val="0"/>
          <w:bCs w:val="0"/>
          <w:color w:val="333333"/>
          <w:shd w:val="clear" w:color="auto" w:fill="FFFFFF"/>
        </w:rPr>
        <w:t>8</w:t>
      </w:r>
      <w:r w:rsidRPr="00FA030B">
        <w:rPr>
          <w:rStyle w:val="Strong"/>
          <w:rFonts w:cs="Arial"/>
          <w:b w:val="0"/>
          <w:bCs w:val="0"/>
          <w:color w:val="333333"/>
          <w:shd w:val="clear" w:color="auto" w:fill="FFFFFF"/>
        </w:rPr>
        <w:t>.1 (D)).</w:t>
      </w:r>
    </w:p>
    <w:p w14:paraId="09038426" w14:textId="22A0C6C9" w:rsidR="00E269C5" w:rsidRPr="00FA030B" w:rsidRDefault="00F14126" w:rsidP="00E269C5">
      <w:pPr>
        <w:pStyle w:val="Body"/>
        <w:numPr>
          <w:ilvl w:val="0"/>
          <w:numId w:val="75"/>
        </w:numPr>
        <w:rPr>
          <w:rFonts w:cs="Arial"/>
        </w:rPr>
      </w:pPr>
      <w:r w:rsidRPr="00FA030B">
        <w:rPr>
          <w:rFonts w:cs="Arial"/>
        </w:rPr>
        <w:t xml:space="preserve">For colorectal cancer survival increased slightly between the two periods from </w:t>
      </w:r>
      <w:r w:rsidR="00E87CF1" w:rsidRPr="00FA030B">
        <w:rPr>
          <w:rFonts w:cs="Arial"/>
        </w:rPr>
        <w:t>45</w:t>
      </w:r>
      <w:r w:rsidRPr="00FA030B">
        <w:rPr>
          <w:rFonts w:cs="Arial"/>
        </w:rPr>
        <w:t>.</w:t>
      </w:r>
      <w:r w:rsidR="00E87CF1" w:rsidRPr="00FA030B">
        <w:rPr>
          <w:rFonts w:cs="Arial"/>
        </w:rPr>
        <w:t>7</w:t>
      </w:r>
      <w:r w:rsidR="0054537F">
        <w:rPr>
          <w:rFonts w:cs="Arial"/>
        </w:rPr>
        <w:t>%</w:t>
      </w:r>
      <w:r w:rsidRPr="00FA030B">
        <w:rPr>
          <w:rFonts w:cs="Arial"/>
        </w:rPr>
        <w:t xml:space="preserve"> (2010–2014) to </w:t>
      </w:r>
      <w:r w:rsidR="00E87CF1" w:rsidRPr="00FA030B">
        <w:rPr>
          <w:rFonts w:cs="Arial"/>
        </w:rPr>
        <w:t>46</w:t>
      </w:r>
      <w:r w:rsidRPr="00FA030B">
        <w:rPr>
          <w:rFonts w:cs="Arial"/>
        </w:rPr>
        <w:t>.</w:t>
      </w:r>
      <w:r w:rsidR="00E87CF1" w:rsidRPr="00FA030B">
        <w:rPr>
          <w:rFonts w:cs="Arial"/>
        </w:rPr>
        <w:t>6</w:t>
      </w:r>
      <w:r w:rsidR="0054537F">
        <w:rPr>
          <w:rFonts w:cs="Arial"/>
        </w:rPr>
        <w:t>%</w:t>
      </w:r>
      <w:r w:rsidRPr="00FA030B">
        <w:rPr>
          <w:rFonts w:cs="Arial"/>
        </w:rPr>
        <w:t xml:space="preserve"> (2015–2019). Figure 13.1</w:t>
      </w:r>
      <w:r w:rsidR="00E87CF1" w:rsidRPr="00FA030B">
        <w:rPr>
          <w:rFonts w:cs="Arial"/>
        </w:rPr>
        <w:t>8</w:t>
      </w:r>
      <w:r w:rsidRPr="00FA030B">
        <w:rPr>
          <w:rFonts w:cs="Arial"/>
        </w:rPr>
        <w:t xml:space="preserve">.2 (A) showed that </w:t>
      </w:r>
      <w:r w:rsidR="00F147F7" w:rsidRPr="00FA030B">
        <w:rPr>
          <w:rFonts w:cs="Arial"/>
        </w:rPr>
        <w:t>later</w:t>
      </w:r>
      <w:r w:rsidRPr="00FA030B">
        <w:rPr>
          <w:rFonts w:cs="Arial"/>
        </w:rPr>
        <w:t xml:space="preserve"> stage colorectal cancer </w:t>
      </w:r>
      <w:r w:rsidRPr="00FA030B">
        <w:rPr>
          <w:rFonts w:cs="Arial"/>
          <w:color w:val="333333"/>
          <w:shd w:val="clear" w:color="auto" w:fill="FFFFFF"/>
        </w:rPr>
        <w:t xml:space="preserve">(stage </w:t>
      </w:r>
      <w:r w:rsidR="00F147F7" w:rsidRPr="00FA030B">
        <w:rPr>
          <w:rFonts w:cs="Arial"/>
          <w:color w:val="333333"/>
          <w:shd w:val="clear" w:color="auto" w:fill="FFFFFF"/>
        </w:rPr>
        <w:t>3</w:t>
      </w:r>
      <w:r w:rsidRPr="00FA030B">
        <w:rPr>
          <w:rFonts w:cs="Arial"/>
          <w:color w:val="333333"/>
          <w:shd w:val="clear" w:color="auto" w:fill="FFFFFF"/>
        </w:rPr>
        <w:t xml:space="preserve"> and stage </w:t>
      </w:r>
      <w:r w:rsidR="00F147F7" w:rsidRPr="00FA030B">
        <w:rPr>
          <w:rFonts w:cs="Arial"/>
          <w:color w:val="333333"/>
          <w:shd w:val="clear" w:color="auto" w:fill="FFFFFF"/>
        </w:rPr>
        <w:t>4</w:t>
      </w:r>
      <w:r w:rsidRPr="00FA030B">
        <w:rPr>
          <w:rFonts w:cs="Arial"/>
          <w:color w:val="333333"/>
          <w:shd w:val="clear" w:color="auto" w:fill="FFFFFF"/>
        </w:rPr>
        <w:t xml:space="preserve">) decreased </w:t>
      </w:r>
      <w:r w:rsidR="00F147F7" w:rsidRPr="00FA030B">
        <w:rPr>
          <w:rFonts w:cs="Arial"/>
          <w:color w:val="333333"/>
          <w:shd w:val="clear" w:color="auto" w:fill="FFFFFF"/>
        </w:rPr>
        <w:t>markedly from 75 years onwards</w:t>
      </w:r>
      <w:r w:rsidRPr="00FA030B">
        <w:rPr>
          <w:rFonts w:cs="Arial"/>
          <w:color w:val="333333"/>
          <w:shd w:val="clear" w:color="auto" w:fill="FFFFFF"/>
        </w:rPr>
        <w:t xml:space="preserve">. Figure 13.17.2 (B) shows that survival by stages </w:t>
      </w:r>
      <w:r w:rsidR="00F147F7" w:rsidRPr="00FA030B">
        <w:rPr>
          <w:rFonts w:cs="Arial"/>
          <w:color w:val="333333"/>
          <w:shd w:val="clear" w:color="auto" w:fill="FFFFFF"/>
        </w:rPr>
        <w:t>3</w:t>
      </w:r>
      <w:r w:rsidRPr="00FA030B">
        <w:rPr>
          <w:rFonts w:cs="Arial"/>
          <w:color w:val="333333"/>
          <w:shd w:val="clear" w:color="auto" w:fill="FFFFFF"/>
        </w:rPr>
        <w:t xml:space="preserve"> and </w:t>
      </w:r>
      <w:r w:rsidR="00F147F7" w:rsidRPr="00FA030B">
        <w:rPr>
          <w:rFonts w:cs="Arial"/>
          <w:color w:val="333333"/>
          <w:shd w:val="clear" w:color="auto" w:fill="FFFFFF"/>
        </w:rPr>
        <w:t>4</w:t>
      </w:r>
      <w:r w:rsidRPr="00FA030B">
        <w:rPr>
          <w:rFonts w:cs="Arial"/>
          <w:color w:val="333333"/>
          <w:shd w:val="clear" w:color="auto" w:fill="FFFFFF"/>
        </w:rPr>
        <w:t xml:space="preserve"> was slightly higher for people living in </w:t>
      </w:r>
      <w:r w:rsidR="00E9112D" w:rsidRPr="00FA030B">
        <w:rPr>
          <w:rFonts w:cs="Arial"/>
          <w:color w:val="333333"/>
          <w:shd w:val="clear" w:color="auto" w:fill="FFFFFF"/>
        </w:rPr>
        <w:t xml:space="preserve">inner regional areas </w:t>
      </w:r>
      <w:r w:rsidR="00F147F7" w:rsidRPr="00FA030B">
        <w:rPr>
          <w:rFonts w:cs="Arial"/>
          <w:color w:val="333333"/>
          <w:shd w:val="clear" w:color="auto" w:fill="FFFFFF"/>
        </w:rPr>
        <w:t>but</w:t>
      </w:r>
      <w:r w:rsidRPr="00FA030B">
        <w:rPr>
          <w:rFonts w:cs="Arial"/>
          <w:color w:val="333333"/>
          <w:shd w:val="clear" w:color="auto" w:fill="FFFFFF"/>
        </w:rPr>
        <w:t xml:space="preserve"> decreased slightly between the two time periods </w:t>
      </w:r>
      <w:r w:rsidR="00E9112D" w:rsidRPr="00FA030B">
        <w:rPr>
          <w:rFonts w:cs="Arial"/>
          <w:color w:val="333333"/>
          <w:shd w:val="clear" w:color="auto" w:fill="FFFFFF"/>
        </w:rPr>
        <w:t xml:space="preserve">in this area compared to people living in major cities </w:t>
      </w:r>
      <w:r w:rsidR="00F147F7" w:rsidRPr="00FA030B">
        <w:rPr>
          <w:rFonts w:cs="Arial"/>
          <w:color w:val="333333"/>
          <w:shd w:val="clear" w:color="auto" w:fill="FFFFFF"/>
        </w:rPr>
        <w:t>or inner/</w:t>
      </w:r>
      <w:r w:rsidRPr="00FA030B">
        <w:rPr>
          <w:rFonts w:cs="Arial"/>
          <w:color w:val="333333"/>
          <w:shd w:val="clear" w:color="auto" w:fill="FFFFFF"/>
        </w:rPr>
        <w:t xml:space="preserve">outer regional areas. As with breast cancer survival (stages </w:t>
      </w:r>
      <w:r w:rsidR="00F147F7" w:rsidRPr="00FA030B">
        <w:rPr>
          <w:rFonts w:cs="Arial"/>
          <w:color w:val="333333"/>
          <w:shd w:val="clear" w:color="auto" w:fill="FFFFFF"/>
        </w:rPr>
        <w:t>3</w:t>
      </w:r>
      <w:r w:rsidRPr="00FA030B">
        <w:rPr>
          <w:rFonts w:cs="Arial"/>
          <w:color w:val="333333"/>
          <w:shd w:val="clear" w:color="auto" w:fill="FFFFFF"/>
        </w:rPr>
        <w:t xml:space="preserve"> and </w:t>
      </w:r>
      <w:r w:rsidR="00E9112D" w:rsidRPr="00FA030B">
        <w:rPr>
          <w:rFonts w:cs="Arial"/>
          <w:color w:val="333333"/>
          <w:shd w:val="clear" w:color="auto" w:fill="FFFFFF"/>
        </w:rPr>
        <w:t>4</w:t>
      </w:r>
      <w:r w:rsidRPr="00FA030B">
        <w:rPr>
          <w:rFonts w:cs="Arial"/>
          <w:color w:val="333333"/>
          <w:shd w:val="clear" w:color="auto" w:fill="FFFFFF"/>
        </w:rPr>
        <w:t xml:space="preserve">) </w:t>
      </w:r>
      <w:r w:rsidRPr="00FA030B">
        <w:rPr>
          <w:rStyle w:val="Strong"/>
          <w:rFonts w:cs="Arial"/>
          <w:b w:val="0"/>
          <w:bCs w:val="0"/>
        </w:rPr>
        <w:t xml:space="preserve">differences by SES areas were observed, noting that survival by stages </w:t>
      </w:r>
      <w:r w:rsidR="00F147F7" w:rsidRPr="00FA030B">
        <w:rPr>
          <w:rStyle w:val="Strong"/>
          <w:rFonts w:cs="Arial"/>
          <w:b w:val="0"/>
          <w:bCs w:val="0"/>
        </w:rPr>
        <w:t>3</w:t>
      </w:r>
      <w:r w:rsidRPr="00FA030B">
        <w:rPr>
          <w:rStyle w:val="Strong"/>
          <w:rFonts w:cs="Arial"/>
          <w:b w:val="0"/>
          <w:bCs w:val="0"/>
        </w:rPr>
        <w:t xml:space="preserve"> and </w:t>
      </w:r>
      <w:r w:rsidR="00F147F7" w:rsidRPr="00FA030B">
        <w:rPr>
          <w:rStyle w:val="Strong"/>
          <w:rFonts w:cs="Arial"/>
          <w:b w:val="0"/>
          <w:bCs w:val="0"/>
        </w:rPr>
        <w:t>4</w:t>
      </w:r>
      <w:r w:rsidRPr="00FA030B">
        <w:rPr>
          <w:rStyle w:val="Strong"/>
          <w:rFonts w:cs="Arial"/>
          <w:b w:val="0"/>
          <w:bCs w:val="0"/>
        </w:rPr>
        <w:t xml:space="preserve"> at diagnosis was higher for people living in the highest SES areas (SES 5)</w:t>
      </w:r>
      <w:r w:rsidRPr="00FA030B">
        <w:rPr>
          <w:rFonts w:cs="Arial"/>
        </w:rPr>
        <w:t xml:space="preserve"> </w:t>
      </w:r>
      <w:r w:rsidRPr="00FA030B">
        <w:rPr>
          <w:rStyle w:val="Strong"/>
          <w:rFonts w:cs="Arial"/>
          <w:b w:val="0"/>
          <w:bCs w:val="0"/>
        </w:rPr>
        <w:t>compared with lower SES areas (SES 1)</w:t>
      </w:r>
      <w:r w:rsidR="00E9112D" w:rsidRPr="00FA030B">
        <w:rPr>
          <w:rStyle w:val="Strong"/>
          <w:rFonts w:cs="Arial"/>
          <w:b w:val="0"/>
          <w:bCs w:val="0"/>
        </w:rPr>
        <w:t xml:space="preserve"> noting that there was a decrease between the two time periods for SESs 4 and 5</w:t>
      </w:r>
      <w:r w:rsidRPr="00FA030B">
        <w:rPr>
          <w:rStyle w:val="Strong"/>
          <w:rFonts w:cs="Arial"/>
          <w:b w:val="0"/>
          <w:bCs w:val="0"/>
        </w:rPr>
        <w:t xml:space="preserve"> (Figure 13.1</w:t>
      </w:r>
      <w:r w:rsidR="00F147F7" w:rsidRPr="00FA030B">
        <w:rPr>
          <w:rStyle w:val="Strong"/>
          <w:rFonts w:cs="Arial"/>
          <w:b w:val="0"/>
          <w:bCs w:val="0"/>
        </w:rPr>
        <w:t>8</w:t>
      </w:r>
      <w:r w:rsidRPr="00FA030B">
        <w:rPr>
          <w:rStyle w:val="Strong"/>
          <w:rFonts w:cs="Arial"/>
          <w:b w:val="0"/>
          <w:bCs w:val="0"/>
        </w:rPr>
        <w:t>.2 (C)). A</w:t>
      </w:r>
      <w:r w:rsidR="00E9112D" w:rsidRPr="00FA030B">
        <w:rPr>
          <w:rStyle w:val="Strong"/>
          <w:rFonts w:cs="Arial"/>
          <w:b w:val="0"/>
          <w:bCs w:val="0"/>
        </w:rPr>
        <w:t>n</w:t>
      </w:r>
      <w:r w:rsidRPr="00FA030B">
        <w:rPr>
          <w:rStyle w:val="Strong"/>
          <w:rFonts w:cs="Arial"/>
          <w:b w:val="0"/>
          <w:bCs w:val="0"/>
        </w:rPr>
        <w:t xml:space="preserve"> </w:t>
      </w:r>
      <w:r w:rsidR="00E9112D" w:rsidRPr="00FA030B">
        <w:rPr>
          <w:rStyle w:val="Strong"/>
          <w:rFonts w:cs="Arial"/>
          <w:b w:val="0"/>
          <w:bCs w:val="0"/>
        </w:rPr>
        <w:t>increase</w:t>
      </w:r>
      <w:r w:rsidRPr="00FA030B">
        <w:rPr>
          <w:rStyle w:val="Strong"/>
          <w:rFonts w:cs="Arial"/>
          <w:b w:val="0"/>
          <w:bCs w:val="0"/>
        </w:rPr>
        <w:t xml:space="preserve"> across </w:t>
      </w:r>
      <w:r w:rsidR="00F147F7" w:rsidRPr="00FA030B">
        <w:rPr>
          <w:rStyle w:val="Strong"/>
          <w:rFonts w:cs="Arial"/>
          <w:b w:val="0"/>
          <w:bCs w:val="0"/>
        </w:rPr>
        <w:t>most</w:t>
      </w:r>
      <w:r w:rsidRPr="00FA030B">
        <w:rPr>
          <w:rStyle w:val="Strong"/>
          <w:rFonts w:cs="Arial"/>
          <w:b w:val="0"/>
          <w:bCs w:val="0"/>
        </w:rPr>
        <w:t xml:space="preserve"> ICSs in survival by stages </w:t>
      </w:r>
      <w:r w:rsidR="00F147F7" w:rsidRPr="00FA030B">
        <w:rPr>
          <w:rStyle w:val="Strong"/>
          <w:rFonts w:cs="Arial"/>
          <w:b w:val="0"/>
          <w:bCs w:val="0"/>
        </w:rPr>
        <w:t>3</w:t>
      </w:r>
      <w:r w:rsidRPr="00FA030B">
        <w:rPr>
          <w:rStyle w:val="Strong"/>
          <w:rFonts w:cs="Arial"/>
          <w:b w:val="0"/>
          <w:bCs w:val="0"/>
        </w:rPr>
        <w:t xml:space="preserve"> and </w:t>
      </w:r>
      <w:r w:rsidR="00F147F7" w:rsidRPr="00FA030B">
        <w:rPr>
          <w:rStyle w:val="Strong"/>
          <w:rFonts w:cs="Arial"/>
          <w:b w:val="0"/>
          <w:bCs w:val="0"/>
        </w:rPr>
        <w:t>4</w:t>
      </w:r>
      <w:r w:rsidRPr="00FA030B">
        <w:rPr>
          <w:rStyle w:val="Strong"/>
          <w:rFonts w:cs="Arial"/>
          <w:b w:val="0"/>
          <w:bCs w:val="0"/>
        </w:rPr>
        <w:t xml:space="preserve"> for colorectal cancer was observed between the two time periods</w:t>
      </w:r>
      <w:r w:rsidR="00F147F7" w:rsidRPr="00FA030B">
        <w:rPr>
          <w:rStyle w:val="Strong"/>
          <w:rFonts w:cs="Arial"/>
          <w:b w:val="0"/>
          <w:bCs w:val="0"/>
        </w:rPr>
        <w:t xml:space="preserve"> with the exception </w:t>
      </w:r>
      <w:r w:rsidR="00E9112D" w:rsidRPr="00FA030B">
        <w:rPr>
          <w:rStyle w:val="Strong"/>
          <w:rFonts w:cs="Arial"/>
          <w:b w:val="0"/>
          <w:bCs w:val="0"/>
        </w:rPr>
        <w:t>of NEMICS</w:t>
      </w:r>
      <w:r w:rsidR="00F147F7" w:rsidRPr="00FA030B">
        <w:rPr>
          <w:rStyle w:val="Strong"/>
          <w:rFonts w:cs="Arial"/>
          <w:b w:val="0"/>
          <w:bCs w:val="0"/>
        </w:rPr>
        <w:t xml:space="preserve"> and LMICS which observed a </w:t>
      </w:r>
      <w:r w:rsidR="00E9112D" w:rsidRPr="00FA030B">
        <w:rPr>
          <w:rStyle w:val="Strong"/>
          <w:rFonts w:cs="Arial"/>
          <w:b w:val="0"/>
          <w:bCs w:val="0"/>
        </w:rPr>
        <w:t>de</w:t>
      </w:r>
      <w:r w:rsidR="00F147F7" w:rsidRPr="00FA030B">
        <w:rPr>
          <w:rStyle w:val="Strong"/>
          <w:rFonts w:cs="Arial"/>
          <w:b w:val="0"/>
          <w:bCs w:val="0"/>
        </w:rPr>
        <w:t>crease</w:t>
      </w:r>
      <w:r w:rsidRPr="00FA030B">
        <w:rPr>
          <w:rStyle w:val="Strong"/>
          <w:rFonts w:cs="Arial"/>
          <w:b w:val="0"/>
          <w:bCs w:val="0"/>
        </w:rPr>
        <w:t xml:space="preserve"> (Figure 13.1</w:t>
      </w:r>
      <w:r w:rsidR="00F147F7" w:rsidRPr="00FA030B">
        <w:rPr>
          <w:rStyle w:val="Strong"/>
          <w:rFonts w:cs="Arial"/>
          <w:b w:val="0"/>
          <w:bCs w:val="0"/>
        </w:rPr>
        <w:t>8</w:t>
      </w:r>
      <w:r w:rsidRPr="00FA030B">
        <w:rPr>
          <w:rStyle w:val="Strong"/>
          <w:rFonts w:cs="Arial"/>
          <w:b w:val="0"/>
          <w:bCs w:val="0"/>
        </w:rPr>
        <w:t>.2 (D)).</w:t>
      </w:r>
    </w:p>
    <w:p w14:paraId="7202FA9A" w14:textId="237AD1C6" w:rsidR="00F14126" w:rsidRPr="00FA030B" w:rsidRDefault="00E87CF1" w:rsidP="00E269C5">
      <w:pPr>
        <w:pStyle w:val="Body"/>
        <w:numPr>
          <w:ilvl w:val="0"/>
          <w:numId w:val="75"/>
        </w:numPr>
        <w:rPr>
          <w:rStyle w:val="Strong"/>
          <w:rFonts w:cs="Arial"/>
          <w:b w:val="0"/>
          <w:bCs w:val="0"/>
        </w:rPr>
      </w:pPr>
      <w:r w:rsidRPr="00FA030B">
        <w:rPr>
          <w:rFonts w:cs="Arial"/>
        </w:rPr>
        <w:t>Unlike</w:t>
      </w:r>
      <w:r w:rsidR="00F14126" w:rsidRPr="00FA030B">
        <w:rPr>
          <w:rFonts w:cs="Arial"/>
        </w:rPr>
        <w:t xml:space="preserve"> breast and colorectal cancers, prostate cancer survival </w:t>
      </w:r>
      <w:r w:rsidRPr="00FA030B">
        <w:rPr>
          <w:rFonts w:cs="Arial"/>
        </w:rPr>
        <w:t xml:space="preserve">which showed a slight </w:t>
      </w:r>
      <w:r w:rsidR="00F14126" w:rsidRPr="00FA030B">
        <w:rPr>
          <w:rFonts w:cs="Arial"/>
        </w:rPr>
        <w:t>increase between the two periods</w:t>
      </w:r>
      <w:r w:rsidRPr="00FA030B">
        <w:rPr>
          <w:rFonts w:cs="Arial"/>
        </w:rPr>
        <w:t>, prostate cancer showed a slight decrease</w:t>
      </w:r>
      <w:r w:rsidR="00F14126" w:rsidRPr="00FA030B">
        <w:rPr>
          <w:rFonts w:cs="Arial"/>
        </w:rPr>
        <w:t xml:space="preserve"> from </w:t>
      </w:r>
      <w:r w:rsidRPr="00FA030B">
        <w:rPr>
          <w:rFonts w:cs="Arial"/>
        </w:rPr>
        <w:t>86</w:t>
      </w:r>
      <w:r w:rsidR="00F14126" w:rsidRPr="00FA030B">
        <w:rPr>
          <w:rFonts w:cs="Arial"/>
        </w:rPr>
        <w:t>.</w:t>
      </w:r>
      <w:r w:rsidRPr="00FA030B">
        <w:rPr>
          <w:rFonts w:cs="Arial"/>
        </w:rPr>
        <w:t>7</w:t>
      </w:r>
      <w:r w:rsidR="0054537F">
        <w:rPr>
          <w:rFonts w:cs="Arial"/>
        </w:rPr>
        <w:t>%</w:t>
      </w:r>
      <w:r w:rsidR="00F14126" w:rsidRPr="00FA030B">
        <w:rPr>
          <w:rFonts w:cs="Arial"/>
        </w:rPr>
        <w:t xml:space="preserve"> (2010–2014) to </w:t>
      </w:r>
      <w:r w:rsidR="00E269C5" w:rsidRPr="00FA030B">
        <w:rPr>
          <w:rFonts w:cs="Arial"/>
        </w:rPr>
        <w:t>84.6</w:t>
      </w:r>
      <w:r w:rsidR="0054537F">
        <w:rPr>
          <w:rFonts w:cs="Arial"/>
        </w:rPr>
        <w:t>%</w:t>
      </w:r>
      <w:r w:rsidR="00F14126" w:rsidRPr="00FA030B">
        <w:rPr>
          <w:rFonts w:cs="Arial"/>
        </w:rPr>
        <w:t xml:space="preserve"> (2015–2019). Figure 13.1</w:t>
      </w:r>
      <w:r w:rsidR="00E64A4C" w:rsidRPr="00FA030B">
        <w:rPr>
          <w:rFonts w:cs="Arial"/>
        </w:rPr>
        <w:t>8</w:t>
      </w:r>
      <w:r w:rsidR="00F14126" w:rsidRPr="00FA030B">
        <w:rPr>
          <w:rFonts w:cs="Arial"/>
        </w:rPr>
        <w:t>.</w:t>
      </w:r>
      <w:r w:rsidR="00E64A4C" w:rsidRPr="00FA030B">
        <w:rPr>
          <w:rFonts w:cs="Arial"/>
        </w:rPr>
        <w:t>3</w:t>
      </w:r>
      <w:r w:rsidR="00F14126" w:rsidRPr="00FA030B">
        <w:rPr>
          <w:rFonts w:cs="Arial"/>
        </w:rPr>
        <w:t xml:space="preserve"> (A) showed that </w:t>
      </w:r>
      <w:r w:rsidR="00427A90" w:rsidRPr="00FA030B">
        <w:rPr>
          <w:rFonts w:cs="Arial"/>
        </w:rPr>
        <w:t>later</w:t>
      </w:r>
      <w:r w:rsidR="00F14126" w:rsidRPr="00FA030B">
        <w:rPr>
          <w:rFonts w:cs="Arial"/>
        </w:rPr>
        <w:t xml:space="preserve"> stage prostate cancer </w:t>
      </w:r>
      <w:r w:rsidR="00F14126" w:rsidRPr="00FA030B">
        <w:rPr>
          <w:rFonts w:cs="Arial"/>
          <w:color w:val="333333"/>
          <w:shd w:val="clear" w:color="auto" w:fill="FFFFFF"/>
        </w:rPr>
        <w:t xml:space="preserve">(stage </w:t>
      </w:r>
      <w:r w:rsidR="00427A90" w:rsidRPr="00FA030B">
        <w:rPr>
          <w:rFonts w:cs="Arial"/>
          <w:color w:val="333333"/>
          <w:shd w:val="clear" w:color="auto" w:fill="FFFFFF"/>
        </w:rPr>
        <w:t>3</w:t>
      </w:r>
      <w:r w:rsidR="00F14126" w:rsidRPr="00FA030B">
        <w:rPr>
          <w:rFonts w:cs="Arial"/>
          <w:color w:val="333333"/>
          <w:shd w:val="clear" w:color="auto" w:fill="FFFFFF"/>
        </w:rPr>
        <w:t xml:space="preserve"> and stage </w:t>
      </w:r>
      <w:r w:rsidR="00427A90" w:rsidRPr="00FA030B">
        <w:rPr>
          <w:rFonts w:cs="Arial"/>
          <w:color w:val="333333"/>
          <w:shd w:val="clear" w:color="auto" w:fill="FFFFFF"/>
        </w:rPr>
        <w:t>4</w:t>
      </w:r>
      <w:r w:rsidR="00F14126" w:rsidRPr="00FA030B">
        <w:rPr>
          <w:rFonts w:cs="Arial"/>
          <w:color w:val="333333"/>
          <w:shd w:val="clear" w:color="auto" w:fill="FFFFFF"/>
        </w:rPr>
        <w:t>) decreased markedly from 75 years onwards. Figure 13.1</w:t>
      </w:r>
      <w:r w:rsidR="00E64A4C" w:rsidRPr="00FA030B">
        <w:rPr>
          <w:rFonts w:cs="Arial"/>
          <w:color w:val="333333"/>
          <w:shd w:val="clear" w:color="auto" w:fill="FFFFFF"/>
        </w:rPr>
        <w:t>8</w:t>
      </w:r>
      <w:r w:rsidR="00F14126" w:rsidRPr="00FA030B">
        <w:rPr>
          <w:rFonts w:cs="Arial"/>
          <w:color w:val="333333"/>
          <w:shd w:val="clear" w:color="auto" w:fill="FFFFFF"/>
        </w:rPr>
        <w:t xml:space="preserve">.3 (B) shows that survival by stages </w:t>
      </w:r>
      <w:r w:rsidR="00E64A4C" w:rsidRPr="00FA030B">
        <w:rPr>
          <w:rFonts w:cs="Arial"/>
          <w:color w:val="333333"/>
          <w:shd w:val="clear" w:color="auto" w:fill="FFFFFF"/>
        </w:rPr>
        <w:t>3</w:t>
      </w:r>
      <w:r w:rsidR="00F14126" w:rsidRPr="00FA030B">
        <w:rPr>
          <w:rFonts w:cs="Arial"/>
          <w:color w:val="333333"/>
          <w:shd w:val="clear" w:color="auto" w:fill="FFFFFF"/>
        </w:rPr>
        <w:t xml:space="preserve"> and </w:t>
      </w:r>
      <w:r w:rsidR="00E64A4C" w:rsidRPr="00FA030B">
        <w:rPr>
          <w:rFonts w:cs="Arial"/>
          <w:color w:val="333333"/>
          <w:shd w:val="clear" w:color="auto" w:fill="FFFFFF"/>
        </w:rPr>
        <w:t>4</w:t>
      </w:r>
      <w:r w:rsidR="00F14126" w:rsidRPr="00FA030B">
        <w:rPr>
          <w:rFonts w:cs="Arial"/>
          <w:color w:val="333333"/>
          <w:shd w:val="clear" w:color="auto" w:fill="FFFFFF"/>
        </w:rPr>
        <w:t xml:space="preserve"> was slightly higher for people living in major cities. D</w:t>
      </w:r>
      <w:r w:rsidR="00F14126" w:rsidRPr="00FA030B">
        <w:rPr>
          <w:rStyle w:val="Strong"/>
          <w:rFonts w:cs="Arial"/>
          <w:b w:val="0"/>
          <w:bCs w:val="0"/>
        </w:rPr>
        <w:t xml:space="preserve">ifferences by SES areas were observed; survival by stages </w:t>
      </w:r>
      <w:r w:rsidR="00E64A4C" w:rsidRPr="00FA030B">
        <w:rPr>
          <w:rStyle w:val="Strong"/>
          <w:rFonts w:cs="Arial"/>
          <w:b w:val="0"/>
          <w:bCs w:val="0"/>
        </w:rPr>
        <w:t>3</w:t>
      </w:r>
      <w:r w:rsidR="00F14126" w:rsidRPr="00FA030B">
        <w:rPr>
          <w:rStyle w:val="Strong"/>
          <w:rFonts w:cs="Arial"/>
          <w:b w:val="0"/>
          <w:bCs w:val="0"/>
        </w:rPr>
        <w:t xml:space="preserve"> and </w:t>
      </w:r>
      <w:r w:rsidR="00E64A4C" w:rsidRPr="00FA030B">
        <w:rPr>
          <w:rStyle w:val="Strong"/>
          <w:rFonts w:cs="Arial"/>
          <w:b w:val="0"/>
          <w:bCs w:val="0"/>
        </w:rPr>
        <w:t>4</w:t>
      </w:r>
      <w:r w:rsidR="00F14126" w:rsidRPr="00FA030B">
        <w:rPr>
          <w:rStyle w:val="Strong"/>
          <w:rFonts w:cs="Arial"/>
          <w:b w:val="0"/>
          <w:bCs w:val="0"/>
        </w:rPr>
        <w:t xml:space="preserve"> at diagnosis was higher for people living in the highest SES areas (SES 5)</w:t>
      </w:r>
      <w:r w:rsidR="00F14126" w:rsidRPr="00FA030B">
        <w:rPr>
          <w:rFonts w:cs="Arial"/>
        </w:rPr>
        <w:t xml:space="preserve"> </w:t>
      </w:r>
      <w:r w:rsidR="00F14126" w:rsidRPr="00FA030B">
        <w:rPr>
          <w:rStyle w:val="Strong"/>
          <w:rFonts w:cs="Arial"/>
          <w:b w:val="0"/>
          <w:bCs w:val="0"/>
        </w:rPr>
        <w:t>compared with lower SES areas (SES 1) (Figure 13.1</w:t>
      </w:r>
      <w:r w:rsidR="00E64A4C" w:rsidRPr="00FA030B">
        <w:rPr>
          <w:rStyle w:val="Strong"/>
          <w:rFonts w:cs="Arial"/>
          <w:b w:val="0"/>
          <w:bCs w:val="0"/>
        </w:rPr>
        <w:t>8</w:t>
      </w:r>
      <w:r w:rsidR="00F14126" w:rsidRPr="00FA030B">
        <w:rPr>
          <w:rStyle w:val="Strong"/>
          <w:rFonts w:cs="Arial"/>
          <w:b w:val="0"/>
          <w:bCs w:val="0"/>
        </w:rPr>
        <w:t>.3 (C)). A</w:t>
      </w:r>
      <w:r w:rsidR="00E64A4C" w:rsidRPr="00FA030B">
        <w:rPr>
          <w:rStyle w:val="Strong"/>
          <w:rFonts w:cs="Arial"/>
          <w:b w:val="0"/>
          <w:bCs w:val="0"/>
        </w:rPr>
        <w:t xml:space="preserve"> de</w:t>
      </w:r>
      <w:r w:rsidR="00F14126" w:rsidRPr="00FA030B">
        <w:rPr>
          <w:rStyle w:val="Strong"/>
          <w:rFonts w:cs="Arial"/>
          <w:b w:val="0"/>
          <w:bCs w:val="0"/>
        </w:rPr>
        <w:t xml:space="preserve">crease across most ICSs in survival by stages </w:t>
      </w:r>
      <w:r w:rsidR="00E64A4C" w:rsidRPr="00FA030B">
        <w:rPr>
          <w:rStyle w:val="Strong"/>
          <w:rFonts w:cs="Arial"/>
          <w:b w:val="0"/>
          <w:bCs w:val="0"/>
        </w:rPr>
        <w:t>3</w:t>
      </w:r>
      <w:r w:rsidR="00F14126" w:rsidRPr="00FA030B">
        <w:rPr>
          <w:rStyle w:val="Strong"/>
          <w:rFonts w:cs="Arial"/>
          <w:b w:val="0"/>
          <w:bCs w:val="0"/>
        </w:rPr>
        <w:t xml:space="preserve"> and </w:t>
      </w:r>
      <w:r w:rsidR="00E64A4C" w:rsidRPr="00FA030B">
        <w:rPr>
          <w:rStyle w:val="Strong"/>
          <w:rFonts w:cs="Arial"/>
          <w:b w:val="0"/>
          <w:bCs w:val="0"/>
        </w:rPr>
        <w:t>4</w:t>
      </w:r>
      <w:r w:rsidR="00F14126" w:rsidRPr="00FA030B">
        <w:rPr>
          <w:rStyle w:val="Strong"/>
          <w:rFonts w:cs="Arial"/>
          <w:b w:val="0"/>
          <w:bCs w:val="0"/>
        </w:rPr>
        <w:t xml:space="preserve"> for prostate cancer was observed between the two time periods (Figure 13.1</w:t>
      </w:r>
      <w:r w:rsidR="00427A90" w:rsidRPr="00FA030B">
        <w:rPr>
          <w:rStyle w:val="Strong"/>
          <w:rFonts w:cs="Arial"/>
          <w:b w:val="0"/>
          <w:bCs w:val="0"/>
        </w:rPr>
        <w:t>8</w:t>
      </w:r>
      <w:r w:rsidR="00F14126" w:rsidRPr="00FA030B">
        <w:rPr>
          <w:rStyle w:val="Strong"/>
          <w:rFonts w:cs="Arial"/>
          <w:b w:val="0"/>
          <w:bCs w:val="0"/>
        </w:rPr>
        <w:t xml:space="preserve">.3 (D)) with the exception of </w:t>
      </w:r>
      <w:r w:rsidR="00427A90" w:rsidRPr="00FA030B">
        <w:rPr>
          <w:rStyle w:val="Strong"/>
          <w:rFonts w:cs="Arial"/>
          <w:b w:val="0"/>
          <w:bCs w:val="0"/>
        </w:rPr>
        <w:t xml:space="preserve">BSWRICS and LMICS </w:t>
      </w:r>
      <w:r w:rsidR="00F14126" w:rsidRPr="00FA030B">
        <w:rPr>
          <w:rStyle w:val="Strong"/>
          <w:rFonts w:cs="Arial"/>
          <w:b w:val="0"/>
          <w:bCs w:val="0"/>
        </w:rPr>
        <w:t>which observed a</w:t>
      </w:r>
      <w:r w:rsidR="00427A90" w:rsidRPr="00FA030B">
        <w:rPr>
          <w:rStyle w:val="Strong"/>
          <w:rFonts w:cs="Arial"/>
          <w:b w:val="0"/>
          <w:bCs w:val="0"/>
        </w:rPr>
        <w:t>n</w:t>
      </w:r>
      <w:r w:rsidR="00F14126" w:rsidRPr="00FA030B">
        <w:rPr>
          <w:rStyle w:val="Strong"/>
          <w:rFonts w:cs="Arial"/>
          <w:b w:val="0"/>
          <w:bCs w:val="0"/>
        </w:rPr>
        <w:t xml:space="preserve"> </w:t>
      </w:r>
      <w:r w:rsidR="00427A90" w:rsidRPr="00FA030B">
        <w:rPr>
          <w:rStyle w:val="Strong"/>
          <w:rFonts w:cs="Arial"/>
          <w:b w:val="0"/>
          <w:bCs w:val="0"/>
        </w:rPr>
        <w:t>in</w:t>
      </w:r>
      <w:r w:rsidR="00F14126" w:rsidRPr="00FA030B">
        <w:rPr>
          <w:rStyle w:val="Strong"/>
          <w:rFonts w:cs="Arial"/>
          <w:b w:val="0"/>
          <w:bCs w:val="0"/>
        </w:rPr>
        <w:t>crease.</w:t>
      </w:r>
    </w:p>
    <w:p w14:paraId="0D9CF2F5" w14:textId="77777777" w:rsidR="00E9112D" w:rsidRPr="00FA030B" w:rsidRDefault="00E9112D" w:rsidP="00427A90">
      <w:pPr>
        <w:pStyle w:val="Body"/>
        <w:ind w:left="720"/>
        <w:rPr>
          <w:rFonts w:cs="Arial"/>
        </w:rPr>
      </w:pPr>
    </w:p>
    <w:p w14:paraId="02F04C67" w14:textId="4BAAC7F8" w:rsidR="00F14126" w:rsidRPr="00FA030B" w:rsidRDefault="00F14126" w:rsidP="00F14126">
      <w:pPr>
        <w:pStyle w:val="Body"/>
        <w:rPr>
          <w:rStyle w:val="Strong"/>
          <w:rFonts w:cs="Arial"/>
          <w:b w:val="0"/>
          <w:bCs w:val="0"/>
          <w:shd w:val="clear" w:color="auto" w:fill="FFFFFF"/>
        </w:rPr>
      </w:pPr>
      <w:r w:rsidRPr="00FA030B">
        <w:rPr>
          <w:rStyle w:val="Strong"/>
          <w:rFonts w:cs="Arial"/>
          <w:b w:val="0"/>
          <w:bCs w:val="0"/>
          <w:shd w:val="clear" w:color="auto" w:fill="FFFFFF"/>
        </w:rPr>
        <w:lastRenderedPageBreak/>
        <w:t xml:space="preserve">In summary while no target has been set for this measure these results should be interpreted with caution because the data presented on cancer stages 3 and 4 at diagnosis under this measure is specific to three cancers – female </w:t>
      </w:r>
      <w:r w:rsidRPr="00FA030B">
        <w:t>breast, colorectal and prostate – rather than ‘all’ cancers.</w:t>
      </w:r>
    </w:p>
    <w:p w14:paraId="0CBF62EC" w14:textId="77777777" w:rsidR="00F14126" w:rsidRDefault="00F14126" w:rsidP="00606436">
      <w:pPr>
        <w:pStyle w:val="Body"/>
        <w:rPr>
          <w:rStyle w:val="Strong"/>
          <w:rFonts w:cs="Arial"/>
          <w:b w:val="0"/>
          <w:bCs w:val="0"/>
          <w:color w:val="333333"/>
          <w:shd w:val="clear" w:color="auto" w:fill="FFFFFF"/>
        </w:rPr>
      </w:pPr>
    </w:p>
    <w:p w14:paraId="07A6BFB3" w14:textId="77777777" w:rsidR="00F14126" w:rsidRDefault="00F14126" w:rsidP="00606436">
      <w:pPr>
        <w:pStyle w:val="Body"/>
        <w:rPr>
          <w:rStyle w:val="Strong"/>
          <w:rFonts w:cs="Arial"/>
          <w:b w:val="0"/>
          <w:bCs w:val="0"/>
          <w:color w:val="333333"/>
          <w:shd w:val="clear" w:color="auto" w:fill="FFFFFF"/>
        </w:rPr>
      </w:pPr>
    </w:p>
    <w:bookmarkEnd w:id="1073"/>
    <w:p w14:paraId="4FA23FC2" w14:textId="1DCD11BA" w:rsidR="00216D5A" w:rsidRPr="00216D5A" w:rsidRDefault="00216D5A" w:rsidP="00E87AAA">
      <w:pPr>
        <w:pStyle w:val="Body"/>
        <w:sectPr w:rsidR="00216D5A" w:rsidRPr="00216D5A" w:rsidSect="009302EB">
          <w:type w:val="continuous"/>
          <w:pgSz w:w="11906" w:h="16838"/>
          <w:pgMar w:top="1411" w:right="1310" w:bottom="1138" w:left="1310" w:header="454" w:footer="510" w:gutter="0"/>
          <w:cols w:space="720"/>
          <w:docGrid w:linePitch="360"/>
        </w:sectPr>
      </w:pPr>
    </w:p>
    <w:p w14:paraId="0EB26B77" w14:textId="3F1C4AED" w:rsidR="005C15AA" w:rsidRPr="005F0940" w:rsidRDefault="00537A4F" w:rsidP="006D0DC0">
      <w:pPr>
        <w:pStyle w:val="Heading2"/>
        <w:rPr>
          <w:lang w:eastAsia="en-AU"/>
        </w:rPr>
      </w:pPr>
      <w:bookmarkStart w:id="1084" w:name="_Toc19008194"/>
      <w:bookmarkStart w:id="1085" w:name="_Toc140843424"/>
      <w:r w:rsidRPr="005F0940">
        <w:lastRenderedPageBreak/>
        <w:t>Key result: Improving quality of life</w:t>
      </w:r>
      <w:bookmarkEnd w:id="1084"/>
      <w:bookmarkEnd w:id="1085"/>
    </w:p>
    <w:p w14:paraId="6DD163F5" w14:textId="5125F03E" w:rsidR="005C15AA" w:rsidRPr="0039695B" w:rsidRDefault="005C15AA" w:rsidP="00A451D4">
      <w:pPr>
        <w:pStyle w:val="Heading3"/>
        <w:rPr>
          <w:b/>
          <w:bCs w:val="0"/>
        </w:rPr>
      </w:pPr>
      <w:bookmarkStart w:id="1086" w:name="_Toc19008195"/>
      <w:r w:rsidRPr="0039695B">
        <w:rPr>
          <w:b/>
          <w:bCs w:val="0"/>
        </w:rPr>
        <w:t>Measure 14.1 – Health</w:t>
      </w:r>
      <w:r w:rsidR="009D0E1A" w:rsidRPr="0039695B">
        <w:rPr>
          <w:b/>
          <w:bCs w:val="0"/>
        </w:rPr>
        <w:t>-</w:t>
      </w:r>
      <w:r w:rsidRPr="0039695B">
        <w:rPr>
          <w:b/>
          <w:bCs w:val="0"/>
        </w:rPr>
        <w:t>related quality of life following primary treatment</w:t>
      </w:r>
      <w:bookmarkEnd w:id="1086"/>
    </w:p>
    <w:p w14:paraId="5E9EB3C3" w14:textId="2A50ED1A" w:rsidR="00A947B4" w:rsidRDefault="00EE1600" w:rsidP="00E87AAA">
      <w:pPr>
        <w:pStyle w:val="Body"/>
      </w:pPr>
      <w:r>
        <w:t>No data available</w:t>
      </w:r>
      <w:r w:rsidR="0062117E">
        <w:t>. Refer to Appendix 1</w:t>
      </w:r>
      <w:r w:rsidR="00D66D44">
        <w:t>.</w:t>
      </w:r>
    </w:p>
    <w:p w14:paraId="14F4A2E5" w14:textId="584179F1" w:rsidR="00CC52BE" w:rsidRPr="00E97074" w:rsidRDefault="00CC52BE" w:rsidP="00542B83">
      <w:pPr>
        <w:pStyle w:val="Heading1"/>
        <w:rPr>
          <w:rStyle w:val="Heading1Char"/>
          <w:lang w:eastAsia="en-AU"/>
        </w:rPr>
      </w:pPr>
      <w:r>
        <w:rPr>
          <w:lang w:eastAsia="en-AU"/>
        </w:rPr>
        <w:br w:type="page"/>
      </w:r>
      <w:bookmarkStart w:id="1087" w:name="_Toc19008196"/>
      <w:bookmarkStart w:id="1088" w:name="_Toc140843425"/>
      <w:r w:rsidRPr="00542B83">
        <w:lastRenderedPageBreak/>
        <w:t>Outcome: Best possible experience of care systems</w:t>
      </w:r>
      <w:bookmarkEnd w:id="1087"/>
      <w:bookmarkEnd w:id="1088"/>
    </w:p>
    <w:p w14:paraId="0819EC75" w14:textId="0C47A1C0" w:rsidR="00537A4F" w:rsidRPr="00B91C4A" w:rsidRDefault="00537A4F" w:rsidP="006053E7">
      <w:pPr>
        <w:pStyle w:val="Heading2"/>
      </w:pPr>
      <w:bookmarkStart w:id="1089" w:name="_Toc19008197"/>
      <w:bookmarkStart w:id="1090" w:name="_Toc140843426"/>
      <w:r w:rsidRPr="00B91C4A">
        <w:t xml:space="preserve">Key result: </w:t>
      </w:r>
      <w:bookmarkStart w:id="1091" w:name="_Hlk120875272"/>
      <w:r w:rsidRPr="00B91C4A">
        <w:t>Improve patient experience of health</w:t>
      </w:r>
      <w:r w:rsidR="004C18EC" w:rsidRPr="00B91C4A">
        <w:t xml:space="preserve"> </w:t>
      </w:r>
      <w:r w:rsidRPr="00B91C4A">
        <w:t>care</w:t>
      </w:r>
      <w:bookmarkEnd w:id="1089"/>
      <w:bookmarkEnd w:id="1090"/>
    </w:p>
    <w:p w14:paraId="1E9167AE" w14:textId="60C7B222" w:rsidR="001A0103" w:rsidRPr="0039695B" w:rsidRDefault="00605A7F" w:rsidP="00A451D4">
      <w:pPr>
        <w:pStyle w:val="Heading3"/>
        <w:rPr>
          <w:b/>
          <w:bCs w:val="0"/>
        </w:rPr>
      </w:pPr>
      <w:bookmarkStart w:id="1092" w:name="_Measure_15.1_–"/>
      <w:bookmarkStart w:id="1093" w:name="_Toc19008198"/>
      <w:bookmarkEnd w:id="1091"/>
      <w:bookmarkEnd w:id="1092"/>
      <w:r w:rsidRPr="0039695B">
        <w:rPr>
          <w:b/>
          <w:bCs w:val="0"/>
        </w:rPr>
        <w:t>Measure 15.1 –</w:t>
      </w:r>
      <w:r w:rsidR="00544CCD" w:rsidRPr="0039695B">
        <w:rPr>
          <w:b/>
          <w:bCs w:val="0"/>
        </w:rPr>
        <w:t xml:space="preserve"> Proportion of</w:t>
      </w:r>
      <w:r w:rsidR="007E1353" w:rsidRPr="0039695B">
        <w:rPr>
          <w:b/>
          <w:bCs w:val="0"/>
        </w:rPr>
        <w:t xml:space="preserve"> adults admitted to public hospitals due to cancer who report </w:t>
      </w:r>
      <w:r w:rsidR="00224D14" w:rsidRPr="0039695B">
        <w:rPr>
          <w:b/>
          <w:bCs w:val="0"/>
        </w:rPr>
        <w:t xml:space="preserve">a </w:t>
      </w:r>
      <w:r w:rsidR="007E1353" w:rsidRPr="0039695B">
        <w:rPr>
          <w:b/>
          <w:bCs w:val="0"/>
        </w:rPr>
        <w:t>positive overall healthcare experience</w:t>
      </w:r>
      <w:bookmarkEnd w:id="1093"/>
    </w:p>
    <w:p w14:paraId="4C0E6A58" w14:textId="23EA75DF" w:rsidR="00D57916" w:rsidRDefault="001A0103" w:rsidP="0007611D">
      <w:pPr>
        <w:pStyle w:val="Figurecaption"/>
        <w:rPr>
          <w:sz w:val="20"/>
        </w:rPr>
      </w:pPr>
      <w:bookmarkStart w:id="1094" w:name="_Toc19008199"/>
      <w:bookmarkStart w:id="1095" w:name="_Toc19008385"/>
      <w:bookmarkStart w:id="1096" w:name="_Toc19008532"/>
      <w:bookmarkStart w:id="1097" w:name="_Toc19008679"/>
      <w:bookmarkStart w:id="1098" w:name="_Toc132553104"/>
      <w:bookmarkStart w:id="1099" w:name="_Toc140827721"/>
      <w:r w:rsidRPr="00895DD4">
        <w:rPr>
          <w:sz w:val="20"/>
        </w:rPr>
        <w:t>Figure 15.1</w:t>
      </w:r>
      <w:r w:rsidR="00C03D95" w:rsidRPr="00895DD4">
        <w:rPr>
          <w:sz w:val="20"/>
        </w:rPr>
        <w:t>:</w:t>
      </w:r>
      <w:r w:rsidRPr="00895DD4">
        <w:rPr>
          <w:sz w:val="20"/>
        </w:rPr>
        <w:t xml:space="preserve"> Proportion of adults admitted to public hospitals due to cancer who reported being satisfied with the care received from all health professionals involved in their care in 2018</w:t>
      </w:r>
      <w:bookmarkEnd w:id="1094"/>
      <w:bookmarkEnd w:id="1095"/>
      <w:bookmarkEnd w:id="1096"/>
      <w:bookmarkEnd w:id="1097"/>
      <w:r w:rsidR="00EF483D">
        <w:rPr>
          <w:sz w:val="20"/>
        </w:rPr>
        <w:t>, 2019</w:t>
      </w:r>
      <w:r w:rsidR="00E26DCF" w:rsidRPr="00895DD4">
        <w:rPr>
          <w:sz w:val="20"/>
        </w:rPr>
        <w:t xml:space="preserve"> and </w:t>
      </w:r>
      <w:r w:rsidR="00E26DCF" w:rsidRPr="005C255E">
        <w:rPr>
          <w:sz w:val="20"/>
        </w:rPr>
        <w:t>20</w:t>
      </w:r>
      <w:bookmarkEnd w:id="1098"/>
      <w:r w:rsidR="00EF483D" w:rsidRPr="005C255E">
        <w:rPr>
          <w:sz w:val="20"/>
        </w:rPr>
        <w:t>2</w:t>
      </w:r>
      <w:r w:rsidR="00742059" w:rsidRPr="005C255E">
        <w:rPr>
          <w:sz w:val="20"/>
        </w:rPr>
        <w:t>2</w:t>
      </w:r>
      <w:bookmarkEnd w:id="1099"/>
    </w:p>
    <w:p w14:paraId="32448C7A" w14:textId="4D4E2F00" w:rsidR="00EF483D" w:rsidRDefault="005302E9" w:rsidP="00EF483D">
      <w:pPr>
        <w:pStyle w:val="DHHSbody"/>
      </w:pPr>
      <w:r w:rsidRPr="005302E9">
        <w:rPr>
          <w:noProof/>
        </w:rPr>
        <w:drawing>
          <wp:inline distT="0" distB="0" distL="0" distR="0" wp14:anchorId="5E807821" wp14:editId="2E2C5ED3">
            <wp:extent cx="5816347" cy="2869948"/>
            <wp:effectExtent l="0" t="0" r="0" b="6985"/>
            <wp:docPr id="1" name="Picture 1" descr="This figure presents data via a bar graph on the proportion of adults admitted to public hospitals due to cancer who report being satisfied with the care received from all health professionals involved in their care in 2018, 2019 and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is figure presents data via a bar graph on the proportion of adults admitted to public hospitals due to cancer who report being satisfied with the care received from all health professionals involved in their care in 2018, 2019 and 2023."/>
                    <pic:cNvPicPr/>
                  </pic:nvPicPr>
                  <pic:blipFill>
                    <a:blip r:embed="rId172"/>
                    <a:stretch>
                      <a:fillRect/>
                    </a:stretch>
                  </pic:blipFill>
                  <pic:spPr>
                    <a:xfrm>
                      <a:off x="0" y="0"/>
                      <a:ext cx="5839559" cy="2881402"/>
                    </a:xfrm>
                    <a:prstGeom prst="rect">
                      <a:avLst/>
                    </a:prstGeom>
                  </pic:spPr>
                </pic:pic>
              </a:graphicData>
            </a:graphic>
          </wp:inline>
        </w:drawing>
      </w:r>
    </w:p>
    <w:p w14:paraId="7BA66E13" w14:textId="7662968C" w:rsidR="00347846" w:rsidRPr="00895DD4" w:rsidRDefault="00D93030" w:rsidP="00561DBE">
      <w:pPr>
        <w:pStyle w:val="Tablefigurenote"/>
        <w:rPr>
          <w:i/>
          <w:iCs/>
          <w:sz w:val="18"/>
          <w:szCs w:val="18"/>
        </w:rPr>
      </w:pPr>
      <w:r w:rsidRPr="00895DD4">
        <w:rPr>
          <w:i/>
          <w:iCs/>
          <w:sz w:val="18"/>
          <w:szCs w:val="18"/>
        </w:rPr>
        <w:t>Note</w:t>
      </w:r>
      <w:r w:rsidR="00F66297" w:rsidRPr="00895DD4">
        <w:rPr>
          <w:i/>
          <w:iCs/>
          <w:sz w:val="18"/>
          <w:szCs w:val="18"/>
        </w:rPr>
        <w:t>s</w:t>
      </w:r>
      <w:r w:rsidRPr="00895DD4">
        <w:rPr>
          <w:i/>
          <w:iCs/>
          <w:sz w:val="18"/>
          <w:szCs w:val="18"/>
        </w:rPr>
        <w:t xml:space="preserve">: </w:t>
      </w:r>
    </w:p>
    <w:p w14:paraId="3DA801D0" w14:textId="5E244236" w:rsidR="00536127" w:rsidRPr="00895DD4" w:rsidRDefault="00BD52D5" w:rsidP="00561DBE">
      <w:pPr>
        <w:pStyle w:val="Tablefigurenote"/>
        <w:rPr>
          <w:bCs/>
          <w:i/>
          <w:iCs/>
          <w:sz w:val="18"/>
          <w:szCs w:val="18"/>
        </w:rPr>
      </w:pPr>
      <w:r w:rsidRPr="00895DD4">
        <w:rPr>
          <w:i/>
          <w:iCs/>
          <w:sz w:val="18"/>
          <w:szCs w:val="18"/>
        </w:rPr>
        <w:t xml:space="preserve">Overall care </w:t>
      </w:r>
      <w:r w:rsidR="00FC0643" w:rsidRPr="00895DD4">
        <w:rPr>
          <w:i/>
          <w:iCs/>
          <w:sz w:val="18"/>
          <w:szCs w:val="18"/>
        </w:rPr>
        <w:t>question:</w:t>
      </w:r>
      <w:r w:rsidR="009F5F8C" w:rsidRPr="00895DD4">
        <w:rPr>
          <w:i/>
          <w:iCs/>
          <w:sz w:val="18"/>
          <w:szCs w:val="18"/>
        </w:rPr>
        <w:t xml:space="preserve"> </w:t>
      </w:r>
      <w:r w:rsidR="009F5F8C" w:rsidRPr="00895DD4">
        <w:rPr>
          <w:bCs/>
          <w:i/>
          <w:iCs/>
          <w:sz w:val="18"/>
          <w:szCs w:val="18"/>
        </w:rPr>
        <w:t>How satisfied were you with the overall care you received from all health professionals involved in your treatment?</w:t>
      </w:r>
    </w:p>
    <w:p w14:paraId="04FAE607" w14:textId="12676373" w:rsidR="00F66297" w:rsidRDefault="00F66297" w:rsidP="00561DBE">
      <w:pPr>
        <w:pStyle w:val="Tablefigurenote"/>
        <w:rPr>
          <w:i/>
          <w:iCs/>
          <w:sz w:val="18"/>
          <w:szCs w:val="18"/>
        </w:rPr>
      </w:pPr>
      <w:r w:rsidRPr="00895DD4">
        <w:rPr>
          <w:i/>
          <w:iCs/>
          <w:sz w:val="18"/>
          <w:szCs w:val="18"/>
        </w:rPr>
        <w:t xml:space="preserve">Total number of patients who answered </w:t>
      </w:r>
      <w:r w:rsidR="007834FE" w:rsidRPr="00895DD4">
        <w:rPr>
          <w:i/>
          <w:iCs/>
          <w:sz w:val="18"/>
          <w:szCs w:val="18"/>
        </w:rPr>
        <w:t xml:space="preserve">the </w:t>
      </w:r>
      <w:r w:rsidRPr="00895DD4">
        <w:rPr>
          <w:i/>
          <w:iCs/>
          <w:sz w:val="18"/>
          <w:szCs w:val="18"/>
        </w:rPr>
        <w:t>question = 3,673</w:t>
      </w:r>
      <w:r w:rsidR="007834FE" w:rsidRPr="00895DD4">
        <w:rPr>
          <w:i/>
          <w:iCs/>
          <w:sz w:val="18"/>
          <w:szCs w:val="18"/>
        </w:rPr>
        <w:t xml:space="preserve"> (2018), 2,240 (2019)</w:t>
      </w:r>
      <w:r w:rsidR="00CF5CCF">
        <w:rPr>
          <w:i/>
          <w:iCs/>
          <w:sz w:val="18"/>
          <w:szCs w:val="18"/>
        </w:rPr>
        <w:t>, 3,227 (202</w:t>
      </w:r>
      <w:r w:rsidR="005C255E">
        <w:rPr>
          <w:i/>
          <w:iCs/>
          <w:sz w:val="18"/>
          <w:szCs w:val="18"/>
        </w:rPr>
        <w:t>2</w:t>
      </w:r>
      <w:r w:rsidR="00CF5CCF">
        <w:rPr>
          <w:i/>
          <w:iCs/>
          <w:sz w:val="18"/>
          <w:szCs w:val="18"/>
        </w:rPr>
        <w:t>)</w:t>
      </w:r>
      <w:r w:rsidR="007834FE" w:rsidRPr="00895DD4">
        <w:rPr>
          <w:i/>
          <w:iCs/>
          <w:sz w:val="18"/>
          <w:szCs w:val="18"/>
        </w:rPr>
        <w:t>.</w:t>
      </w:r>
      <w:r w:rsidR="00A561F0">
        <w:rPr>
          <w:i/>
          <w:iCs/>
          <w:sz w:val="18"/>
          <w:szCs w:val="18"/>
        </w:rPr>
        <w:t xml:space="preserve"> </w:t>
      </w:r>
    </w:p>
    <w:p w14:paraId="6B99D3E8" w14:textId="41F9CF3C" w:rsidR="00A561F0" w:rsidRPr="00895DD4" w:rsidRDefault="00A561F0" w:rsidP="00561DBE">
      <w:pPr>
        <w:pStyle w:val="Tablefigurenote"/>
        <w:rPr>
          <w:i/>
          <w:iCs/>
          <w:sz w:val="18"/>
          <w:szCs w:val="18"/>
        </w:rPr>
      </w:pPr>
      <w:r>
        <w:rPr>
          <w:i/>
          <w:iCs/>
          <w:sz w:val="18"/>
          <w:szCs w:val="18"/>
        </w:rPr>
        <w:t>Experience of care occurs across the public and private health sector</w:t>
      </w:r>
    </w:p>
    <w:p w14:paraId="374B7F1B" w14:textId="77777777" w:rsidR="006719DF" w:rsidRPr="00671C7A" w:rsidRDefault="006719DF" w:rsidP="007C7F00">
      <w:pPr>
        <w:pStyle w:val="Heading4"/>
      </w:pPr>
      <w:r>
        <w:t>Measure assessment</w:t>
      </w:r>
    </w:p>
    <w:p w14:paraId="665806FF" w14:textId="5380B083" w:rsidR="006719DF" w:rsidRPr="00F945E7" w:rsidRDefault="006719DF" w:rsidP="00606436">
      <w:pPr>
        <w:pStyle w:val="Body"/>
        <w:rPr>
          <w:color w:val="00B050"/>
        </w:rPr>
      </w:pPr>
      <w:r w:rsidRPr="00F945E7">
        <w:t xml:space="preserve">Traffic light rating: </w:t>
      </w:r>
      <w:r w:rsidR="00F945E7" w:rsidRPr="00D207B2">
        <w:rPr>
          <w:b/>
          <w:color w:val="007B4B"/>
        </w:rPr>
        <w:t>Green</w:t>
      </w:r>
      <w:r w:rsidR="00F945E7">
        <w:t xml:space="preserve"> (satisfactory result)</w:t>
      </w:r>
    </w:p>
    <w:p w14:paraId="5A115CD2" w14:textId="20980095" w:rsidR="006719DF" w:rsidRDefault="006719DF" w:rsidP="00606436">
      <w:pPr>
        <w:pStyle w:val="Body"/>
      </w:pPr>
      <w:r>
        <w:t xml:space="preserve">Overall trend: </w:t>
      </w:r>
      <w:r w:rsidR="007834FE">
        <w:t>Moving in the right direction</w:t>
      </w:r>
    </w:p>
    <w:p w14:paraId="1F152561" w14:textId="0ADF8508" w:rsidR="007C7C01" w:rsidRPr="00BE7DB0" w:rsidRDefault="006719DF" w:rsidP="00E87AAA">
      <w:pPr>
        <w:pStyle w:val="Body"/>
        <w:rPr>
          <w:color w:val="333333"/>
        </w:rPr>
      </w:pPr>
      <w:r w:rsidRPr="00676EB9">
        <w:rPr>
          <w:lang w:eastAsia="en-AU"/>
        </w:rPr>
        <w:t>Commentary:</w:t>
      </w:r>
      <w:r w:rsidR="00C45D8E" w:rsidRPr="00676EB9">
        <w:rPr>
          <w:lang w:eastAsia="en-AU"/>
        </w:rPr>
        <w:t xml:space="preserve"> </w:t>
      </w:r>
      <w:r w:rsidR="000901C3" w:rsidRPr="00B44969">
        <w:t>Understanding a patien</w:t>
      </w:r>
      <w:r w:rsidR="00F66297" w:rsidRPr="76BE792E">
        <w:t>t</w:t>
      </w:r>
      <w:r w:rsidR="00F66297">
        <w:t>’</w:t>
      </w:r>
      <w:r w:rsidR="000901C3" w:rsidRPr="00B44969">
        <w:t>s experience throughout each stage of their cancer journey can enable more personalised care and help improve the overall quality of the health system.</w:t>
      </w:r>
      <w:r w:rsidR="00E8470B" w:rsidRPr="00B44969">
        <w:rPr>
          <w:rStyle w:val="FootnoteReference"/>
          <w:rFonts w:ascii="Roboto" w:hAnsi="Roboto" w:cs="Arial"/>
        </w:rPr>
        <w:footnoteReference w:id="210"/>
      </w:r>
      <w:r w:rsidR="000901C3" w:rsidRPr="00B44969">
        <w:t xml:space="preserve"> </w:t>
      </w:r>
      <w:r w:rsidR="0061118E">
        <w:rPr>
          <w:lang w:eastAsia="en-AU"/>
        </w:rPr>
        <w:t>The</w:t>
      </w:r>
      <w:r w:rsidR="0061118E" w:rsidRPr="00676EB9">
        <w:rPr>
          <w:lang w:eastAsia="en-AU"/>
        </w:rPr>
        <w:t xml:space="preserve"> </w:t>
      </w:r>
      <w:r w:rsidR="0061118E" w:rsidRPr="00B44969">
        <w:rPr>
          <w:lang w:eastAsia="en-AU"/>
        </w:rPr>
        <w:t xml:space="preserve">Victorian </w:t>
      </w:r>
      <w:r w:rsidR="001E559E" w:rsidRPr="00B44969">
        <w:rPr>
          <w:lang w:eastAsia="en-AU"/>
        </w:rPr>
        <w:t>C</w:t>
      </w:r>
      <w:r w:rsidR="0061118E" w:rsidRPr="00B44969">
        <w:rPr>
          <w:lang w:eastAsia="en-AU"/>
        </w:rPr>
        <w:t xml:space="preserve">ancer </w:t>
      </w:r>
      <w:r w:rsidR="001E559E" w:rsidRPr="00B44969">
        <w:rPr>
          <w:lang w:eastAsia="en-AU"/>
        </w:rPr>
        <w:t>P</w:t>
      </w:r>
      <w:r w:rsidR="0061118E" w:rsidRPr="00B44969">
        <w:rPr>
          <w:lang w:eastAsia="en-AU"/>
        </w:rPr>
        <w:t>atient Experiences of Care Survey</w:t>
      </w:r>
      <w:r w:rsidR="0061118E" w:rsidRPr="00676EB9">
        <w:rPr>
          <w:lang w:eastAsia="en-AU"/>
        </w:rPr>
        <w:t xml:space="preserve"> asks </w:t>
      </w:r>
      <w:r w:rsidR="0061118E">
        <w:rPr>
          <w:lang w:eastAsia="en-AU"/>
        </w:rPr>
        <w:t xml:space="preserve">adult inpatients how satisfied </w:t>
      </w:r>
      <w:r w:rsidR="001E559E">
        <w:rPr>
          <w:lang w:eastAsia="en-AU"/>
        </w:rPr>
        <w:t>they</w:t>
      </w:r>
      <w:r w:rsidR="0061118E">
        <w:rPr>
          <w:lang w:eastAsia="en-AU"/>
        </w:rPr>
        <w:t xml:space="preserve"> </w:t>
      </w:r>
      <w:r w:rsidR="00CC4617">
        <w:rPr>
          <w:lang w:eastAsia="en-AU"/>
        </w:rPr>
        <w:t>we</w:t>
      </w:r>
      <w:r w:rsidR="0061118E">
        <w:rPr>
          <w:lang w:eastAsia="en-AU"/>
        </w:rPr>
        <w:t>re with the overall care they received from all health professionals involved in their treatment</w:t>
      </w:r>
      <w:r w:rsidR="001C7E71">
        <w:rPr>
          <w:lang w:eastAsia="en-AU"/>
        </w:rPr>
        <w:t>.</w:t>
      </w:r>
      <w:r w:rsidR="00952FC7">
        <w:rPr>
          <w:lang w:eastAsia="en-AU"/>
        </w:rPr>
        <w:t xml:space="preserve"> </w:t>
      </w:r>
      <w:r w:rsidR="001C7E71">
        <w:rPr>
          <w:lang w:eastAsia="en-AU"/>
        </w:rPr>
        <w:t>This question highlights the importance of enablin</w:t>
      </w:r>
      <w:r w:rsidR="001C7E71" w:rsidRPr="004856A3">
        <w:rPr>
          <w:lang w:eastAsia="en-AU"/>
        </w:rPr>
        <w:t xml:space="preserve">g </w:t>
      </w:r>
      <w:r w:rsidR="00C45D8E" w:rsidRPr="00B44969">
        <w:t xml:space="preserve">people </w:t>
      </w:r>
      <w:r w:rsidR="00342624" w:rsidRPr="00B44969">
        <w:t xml:space="preserve">admitted to public hospitals due to cancer </w:t>
      </w:r>
      <w:r w:rsidR="00C45D8E" w:rsidRPr="00B44969">
        <w:t>to give feedback about their experience</w:t>
      </w:r>
      <w:r w:rsidR="00F66297">
        <w:t>,</w:t>
      </w:r>
      <w:r w:rsidR="00C45D8E" w:rsidRPr="00B44969">
        <w:t xml:space="preserve"> </w:t>
      </w:r>
      <w:r w:rsidR="001C7E71" w:rsidRPr="00B44969">
        <w:t xml:space="preserve">which in turn </w:t>
      </w:r>
      <w:r w:rsidR="00C45D8E" w:rsidRPr="00B44969">
        <w:t>can lead to more personal care</w:t>
      </w:r>
      <w:r w:rsidR="00F66297">
        <w:t xml:space="preserve"> for others</w:t>
      </w:r>
      <w:r w:rsidR="00C45D8E" w:rsidRPr="00B44969">
        <w:t xml:space="preserve">. This can </w:t>
      </w:r>
      <w:r w:rsidR="00CC4617">
        <w:t>help</w:t>
      </w:r>
      <w:r w:rsidR="00342624" w:rsidRPr="00BE7DB0">
        <w:t xml:space="preserve"> </w:t>
      </w:r>
      <w:r w:rsidR="00C45D8E" w:rsidRPr="00BE7DB0">
        <w:t>improv</w:t>
      </w:r>
      <w:r w:rsidR="00CC4617">
        <w:t>e</w:t>
      </w:r>
      <w:r w:rsidR="00C45D8E" w:rsidRPr="00BE7DB0">
        <w:t xml:space="preserve"> the </w:t>
      </w:r>
      <w:r w:rsidR="00E617E0" w:rsidRPr="00BE7DB0">
        <w:t xml:space="preserve">safety and </w:t>
      </w:r>
      <w:r w:rsidR="00C45D8E" w:rsidRPr="00BE7DB0">
        <w:t xml:space="preserve">quality of </w:t>
      </w:r>
      <w:r w:rsidR="00E617E0" w:rsidRPr="00BE7DB0">
        <w:t xml:space="preserve">care in health services </w:t>
      </w:r>
      <w:r w:rsidR="00C45D8E" w:rsidRPr="00BE7DB0">
        <w:t xml:space="preserve">and </w:t>
      </w:r>
      <w:r w:rsidR="00CC4617">
        <w:t xml:space="preserve">help to home in </w:t>
      </w:r>
      <w:r w:rsidR="00C45D8E" w:rsidRPr="00BE7DB0">
        <w:t xml:space="preserve">on aspects of </w:t>
      </w:r>
      <w:r w:rsidR="00C45D8E" w:rsidRPr="00BE7DB0">
        <w:lastRenderedPageBreak/>
        <w:t>concern to patients.</w:t>
      </w:r>
      <w:r w:rsidR="00952FC7" w:rsidRPr="00BE7DB0">
        <w:t xml:space="preserve"> </w:t>
      </w:r>
      <w:r w:rsidR="001C7E71" w:rsidRPr="00BE7DB0">
        <w:t>Figure 15.1 shows that</w:t>
      </w:r>
      <w:r w:rsidR="00F66297" w:rsidRPr="00BE7DB0">
        <w:t>,</w:t>
      </w:r>
      <w:r w:rsidR="001C7E71" w:rsidRPr="00BE7DB0">
        <w:t xml:space="preserve"> </w:t>
      </w:r>
      <w:r w:rsidR="00E8470B" w:rsidRPr="00BE7DB0">
        <w:t>in 2018</w:t>
      </w:r>
      <w:r w:rsidR="00F66297" w:rsidRPr="00BE7DB0">
        <w:t>,</w:t>
      </w:r>
      <w:r w:rsidR="00E8470B" w:rsidRPr="00BE7DB0">
        <w:t xml:space="preserve"> </w:t>
      </w:r>
      <w:r w:rsidR="009F5F8C" w:rsidRPr="00BE7DB0">
        <w:t>of the 3</w:t>
      </w:r>
      <w:r w:rsidR="00F66297" w:rsidRPr="00BE7DB0">
        <w:t>,</w:t>
      </w:r>
      <w:r w:rsidR="009F5F8C" w:rsidRPr="00BE7DB0">
        <w:t>673 patients who responded to the question, 97</w:t>
      </w:r>
      <w:r w:rsidR="0054537F">
        <w:t>%</w:t>
      </w:r>
      <w:r w:rsidR="009F5F8C" w:rsidRPr="00BE7DB0">
        <w:t xml:space="preserve"> </w:t>
      </w:r>
      <w:r w:rsidR="002009A3" w:rsidRPr="00BE7DB0">
        <w:t xml:space="preserve">were </w:t>
      </w:r>
      <w:r w:rsidR="001C7E71" w:rsidRPr="00BE7DB0">
        <w:t xml:space="preserve">very satisfied </w:t>
      </w:r>
      <w:r w:rsidR="009F5F8C" w:rsidRPr="00BE7DB0">
        <w:t xml:space="preserve">or </w:t>
      </w:r>
      <w:r w:rsidR="002009A3" w:rsidRPr="00BE7DB0">
        <w:t xml:space="preserve">satisfied </w:t>
      </w:r>
      <w:r w:rsidR="001C7E71" w:rsidRPr="00BE7DB0">
        <w:t>with the care they received from all health professionals involved in their care at each health service</w:t>
      </w:r>
      <w:r w:rsidR="002009A3" w:rsidRPr="00BE7DB0">
        <w:t>.</w:t>
      </w:r>
      <w:r w:rsidR="007834FE">
        <w:t xml:space="preserve"> In 20</w:t>
      </w:r>
      <w:r w:rsidR="004442E1">
        <w:t>2</w:t>
      </w:r>
      <w:r w:rsidR="005C255E">
        <w:t>2</w:t>
      </w:r>
      <w:r w:rsidR="00070320">
        <w:t>,</w:t>
      </w:r>
      <w:r w:rsidR="007834FE">
        <w:t xml:space="preserve"> </w:t>
      </w:r>
      <w:r w:rsidR="004442E1">
        <w:t>this increased to 98.3</w:t>
      </w:r>
      <w:r w:rsidR="0054537F">
        <w:t>%</w:t>
      </w:r>
      <w:r w:rsidR="004442E1">
        <w:t xml:space="preserve"> </w:t>
      </w:r>
      <w:r w:rsidR="007834FE">
        <w:t>of patients were</w:t>
      </w:r>
      <w:r w:rsidR="007834FE" w:rsidRPr="00BE7DB0">
        <w:t xml:space="preserve"> very satisfied or satisfied with the care they received</w:t>
      </w:r>
      <w:r w:rsidR="007834FE">
        <w:t xml:space="preserve"> (Figure 15.1)</w:t>
      </w:r>
      <w:r w:rsidR="00B416BE">
        <w:t>.</w:t>
      </w:r>
    </w:p>
    <w:p w14:paraId="5C7CBF1C" w14:textId="77777777" w:rsidR="00895DD4" w:rsidRDefault="00895DD4">
      <w:pPr>
        <w:rPr>
          <w:rFonts w:ascii="Arial" w:eastAsia="MS Gothic" w:hAnsi="Arial"/>
          <w:b/>
          <w:color w:val="53565A"/>
          <w:sz w:val="30"/>
          <w:szCs w:val="26"/>
          <w:lang w:eastAsia="en-US"/>
        </w:rPr>
      </w:pPr>
      <w:bookmarkStart w:id="1100" w:name="_Measure_15.2_–"/>
      <w:bookmarkStart w:id="1101" w:name="_Toc19008200"/>
      <w:bookmarkEnd w:id="1100"/>
      <w:r>
        <w:rPr>
          <w:b/>
          <w:bCs/>
        </w:rPr>
        <w:br w:type="page"/>
      </w:r>
    </w:p>
    <w:p w14:paraId="1E6ED240" w14:textId="09ECCCE2" w:rsidR="00605A7F" w:rsidRPr="0039695B" w:rsidRDefault="00605A7F" w:rsidP="00A451D4">
      <w:pPr>
        <w:pStyle w:val="Heading3"/>
        <w:rPr>
          <w:b/>
          <w:bCs w:val="0"/>
        </w:rPr>
      </w:pPr>
      <w:r w:rsidRPr="0039695B">
        <w:rPr>
          <w:b/>
          <w:bCs w:val="0"/>
        </w:rPr>
        <w:lastRenderedPageBreak/>
        <w:t>Measure 15.2 –</w:t>
      </w:r>
      <w:r w:rsidR="00544CCD" w:rsidRPr="0039695B">
        <w:rPr>
          <w:b/>
          <w:bCs w:val="0"/>
        </w:rPr>
        <w:t xml:space="preserve"> Proportion of</w:t>
      </w:r>
      <w:r w:rsidR="007E1353" w:rsidRPr="0039695B">
        <w:rPr>
          <w:b/>
          <w:bCs w:val="0"/>
        </w:rPr>
        <w:t xml:space="preserve"> children and adolescents admitted to hospital due to cancer who report </w:t>
      </w:r>
      <w:r w:rsidR="00224D14" w:rsidRPr="0039695B">
        <w:rPr>
          <w:b/>
          <w:bCs w:val="0"/>
        </w:rPr>
        <w:t xml:space="preserve">a </w:t>
      </w:r>
      <w:r w:rsidR="007E1353" w:rsidRPr="0039695B">
        <w:rPr>
          <w:b/>
          <w:bCs w:val="0"/>
        </w:rPr>
        <w:t>positive healthcare experience</w:t>
      </w:r>
      <w:bookmarkEnd w:id="1101"/>
      <w:r w:rsidR="004C2762" w:rsidRPr="0039695B">
        <w:rPr>
          <w:b/>
          <w:bCs w:val="0"/>
        </w:rPr>
        <w:t xml:space="preserve"> </w:t>
      </w:r>
    </w:p>
    <w:p w14:paraId="1AB4D41A" w14:textId="75098760" w:rsidR="00D5261A" w:rsidRDefault="00D5261A" w:rsidP="0007611D">
      <w:pPr>
        <w:pStyle w:val="Figurecaption"/>
        <w:rPr>
          <w:sz w:val="20"/>
        </w:rPr>
      </w:pPr>
      <w:bookmarkStart w:id="1102" w:name="_Toc132553105"/>
      <w:bookmarkStart w:id="1103" w:name="_Toc140827722"/>
      <w:r w:rsidRPr="00895DD4">
        <w:rPr>
          <w:sz w:val="20"/>
        </w:rPr>
        <w:t>Figure 15.2</w:t>
      </w:r>
      <w:r w:rsidR="00C03D95" w:rsidRPr="00895DD4">
        <w:rPr>
          <w:sz w:val="20"/>
        </w:rPr>
        <w:t>:</w:t>
      </w:r>
      <w:r w:rsidRPr="00895DD4">
        <w:rPr>
          <w:sz w:val="20"/>
        </w:rPr>
        <w:t xml:space="preserve"> Proportion of children and adolescents admitted to hospital due to cancer who report </w:t>
      </w:r>
      <w:r w:rsidR="00224D14" w:rsidRPr="00895DD4">
        <w:rPr>
          <w:sz w:val="20"/>
        </w:rPr>
        <w:t xml:space="preserve">a </w:t>
      </w:r>
      <w:r w:rsidRPr="00895DD4">
        <w:rPr>
          <w:sz w:val="20"/>
        </w:rPr>
        <w:t>positive healthcare experience</w:t>
      </w:r>
      <w:r w:rsidR="00513F18" w:rsidRPr="00895DD4">
        <w:rPr>
          <w:sz w:val="20"/>
        </w:rPr>
        <w:t>,</w:t>
      </w:r>
      <w:r w:rsidRPr="00895DD4">
        <w:rPr>
          <w:sz w:val="20"/>
        </w:rPr>
        <w:t xml:space="preserve"> 2021</w:t>
      </w:r>
      <w:bookmarkEnd w:id="1102"/>
      <w:bookmarkEnd w:id="1103"/>
    </w:p>
    <w:p w14:paraId="490F1475" w14:textId="664DBE98" w:rsidR="003C7FAF" w:rsidRDefault="005302E9" w:rsidP="005302E9">
      <w:pPr>
        <w:pStyle w:val="DHHSbody"/>
      </w:pPr>
      <w:r w:rsidRPr="005302E9">
        <w:rPr>
          <w:noProof/>
        </w:rPr>
        <w:drawing>
          <wp:inline distT="0" distB="0" distL="0" distR="0" wp14:anchorId="0F8D889A" wp14:editId="0A7C86D8">
            <wp:extent cx="6252565" cy="2688879"/>
            <wp:effectExtent l="0" t="0" r="0" b="0"/>
            <wp:docPr id="1110204996" name="Picture 1110204996" descr="This figure presents data via a bar graph on the proportion of children and adolescents admitted to hospital due to cancer who report a positive healthcare experience in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4996" name="Picture 1110204996" descr="This figure presents data via a bar graph on the proportion of children and adolescents admitted to hospital due to cancer who report a positive healthcare experience in 2021."/>
                    <pic:cNvPicPr/>
                  </pic:nvPicPr>
                  <pic:blipFill>
                    <a:blip r:embed="rId173"/>
                    <a:stretch>
                      <a:fillRect/>
                    </a:stretch>
                  </pic:blipFill>
                  <pic:spPr>
                    <a:xfrm>
                      <a:off x="0" y="0"/>
                      <a:ext cx="6268126" cy="2695571"/>
                    </a:xfrm>
                    <a:prstGeom prst="rect">
                      <a:avLst/>
                    </a:prstGeom>
                  </pic:spPr>
                </pic:pic>
              </a:graphicData>
            </a:graphic>
          </wp:inline>
        </w:drawing>
      </w:r>
    </w:p>
    <w:p w14:paraId="4A34D5D1" w14:textId="46731845" w:rsidR="003C7FAF" w:rsidRPr="00671C7A" w:rsidRDefault="003C7FAF" w:rsidP="007C7F00">
      <w:pPr>
        <w:pStyle w:val="Heading4"/>
      </w:pPr>
      <w:r>
        <w:t>Measure assessment</w:t>
      </w:r>
    </w:p>
    <w:p w14:paraId="67FB82CC" w14:textId="1E593AD4" w:rsidR="003C7FAF" w:rsidRPr="00F945E7" w:rsidRDefault="003C7FAF" w:rsidP="00606436">
      <w:pPr>
        <w:pStyle w:val="Body"/>
        <w:rPr>
          <w:color w:val="00B050"/>
        </w:rPr>
      </w:pPr>
      <w:r w:rsidRPr="00F945E7">
        <w:t xml:space="preserve">Traffic light rating: </w:t>
      </w:r>
      <w:r w:rsidRPr="00D207B2">
        <w:rPr>
          <w:b/>
          <w:color w:val="007B4B"/>
        </w:rPr>
        <w:t>Green</w:t>
      </w:r>
      <w:r>
        <w:t xml:space="preserve"> (satisfactory result)</w:t>
      </w:r>
    </w:p>
    <w:p w14:paraId="36D5BE14" w14:textId="490873F3" w:rsidR="003C7FAF" w:rsidRDefault="003C7FAF" w:rsidP="00606436">
      <w:pPr>
        <w:pStyle w:val="Body"/>
      </w:pPr>
      <w:r>
        <w:t xml:space="preserve">Overall trend: Unable to measure </w:t>
      </w:r>
      <w:r w:rsidR="00224D14">
        <w:t xml:space="preserve">because </w:t>
      </w:r>
      <w:r>
        <w:t xml:space="preserve">this data relates to one year only and is not </w:t>
      </w:r>
      <w:r w:rsidR="00320172">
        <w:t>state-wide</w:t>
      </w:r>
      <w:r w:rsidR="00CC4617">
        <w:t>,</w:t>
      </w:r>
      <w:r>
        <w:t xml:space="preserve"> but </w:t>
      </w:r>
      <w:r w:rsidR="00CC4617">
        <w:t xml:space="preserve">an otherwise </w:t>
      </w:r>
      <w:r>
        <w:t>satisfactory result</w:t>
      </w:r>
    </w:p>
    <w:p w14:paraId="7F91410B" w14:textId="4BD3BB8E" w:rsidR="00FC0643" w:rsidRPr="003C7FAF" w:rsidRDefault="003C7FAF" w:rsidP="00606436">
      <w:pPr>
        <w:pStyle w:val="Body"/>
      </w:pPr>
      <w:r w:rsidRPr="003C7FAF">
        <w:t xml:space="preserve">Commentary: </w:t>
      </w:r>
      <w:r w:rsidR="000D185A" w:rsidRPr="003C7FAF">
        <w:t>G</w:t>
      </w:r>
      <w:r w:rsidR="00FC0643" w:rsidRPr="003C7FAF">
        <w:t>lobally</w:t>
      </w:r>
      <w:r w:rsidR="004C2762" w:rsidRPr="003C7FAF">
        <w:t xml:space="preserve"> </w:t>
      </w:r>
      <w:r w:rsidR="000D185A" w:rsidRPr="003C7FAF">
        <w:t>cancer</w:t>
      </w:r>
      <w:r w:rsidR="004C2762" w:rsidRPr="003C7FAF">
        <w:t xml:space="preserve"> </w:t>
      </w:r>
      <w:r w:rsidR="00FC0643" w:rsidRPr="003C7FAF">
        <w:t xml:space="preserve">is </w:t>
      </w:r>
      <w:r w:rsidR="004C2762" w:rsidRPr="003C7FAF">
        <w:t>the</w:t>
      </w:r>
      <w:r w:rsidR="00FC0643" w:rsidRPr="003C7FAF">
        <w:t xml:space="preserve"> leading cause of </w:t>
      </w:r>
      <w:r w:rsidR="00A27ADB" w:rsidRPr="003C7FAF">
        <w:t>death</w:t>
      </w:r>
      <w:r w:rsidR="00FC0643" w:rsidRPr="003C7FAF">
        <w:t xml:space="preserve"> for </w:t>
      </w:r>
      <w:r w:rsidR="000D185A" w:rsidRPr="003C7FAF">
        <w:t>children and adolescents</w:t>
      </w:r>
      <w:r w:rsidR="00FC0643" w:rsidRPr="003C7FAF">
        <w:t>. The likelihood of surviving a diagnosis of childhood cancer depend</w:t>
      </w:r>
      <w:r w:rsidR="00CC4617">
        <w:t>s</w:t>
      </w:r>
      <w:r w:rsidR="00FC0643" w:rsidRPr="003C7FAF">
        <w:t xml:space="preserve"> on the country in which the child lives: in high-income countries</w:t>
      </w:r>
      <w:r w:rsidR="00524922">
        <w:t xml:space="preserve"> such as Australia</w:t>
      </w:r>
      <w:r w:rsidR="00FC0643" w:rsidRPr="003C7FAF">
        <w:t xml:space="preserve">, </w:t>
      </w:r>
      <w:r w:rsidR="00A27ADB" w:rsidRPr="003C7FAF">
        <w:t xml:space="preserve">the five-year survival rates is more likely to exceed </w:t>
      </w:r>
      <w:r w:rsidR="00FC0643" w:rsidRPr="003C7FAF">
        <w:t>80</w:t>
      </w:r>
      <w:r w:rsidR="0054537F">
        <w:t>%</w:t>
      </w:r>
      <w:r w:rsidR="00A27ADB" w:rsidRPr="003C7FAF">
        <w:t xml:space="preserve"> compared </w:t>
      </w:r>
      <w:r w:rsidR="002C060B" w:rsidRPr="002C060B">
        <w:t xml:space="preserve">with </w:t>
      </w:r>
      <w:r w:rsidR="00FC0643" w:rsidRPr="003C7FAF">
        <w:t xml:space="preserve">many low- and middle-income countries </w:t>
      </w:r>
      <w:r w:rsidR="00A27ADB" w:rsidRPr="003C7FAF">
        <w:t xml:space="preserve">where survival rates are </w:t>
      </w:r>
      <w:r w:rsidR="00FC0643" w:rsidRPr="003C7FAF">
        <w:t>less than 30</w:t>
      </w:r>
      <w:r w:rsidR="0054537F">
        <w:t>%</w:t>
      </w:r>
      <w:r w:rsidR="00A27ADB" w:rsidRPr="003C7FAF">
        <w:t>.</w:t>
      </w:r>
      <w:r w:rsidR="00A27ADB" w:rsidRPr="003C7FAF">
        <w:rPr>
          <w:rStyle w:val="FootnoteReference"/>
          <w:rFonts w:cs="Arial"/>
        </w:rPr>
        <w:footnoteReference w:id="211"/>
      </w:r>
    </w:p>
    <w:p w14:paraId="2C056D64" w14:textId="24E81873" w:rsidR="0029650E" w:rsidRDefault="0061795A" w:rsidP="00606436">
      <w:pPr>
        <w:pStyle w:val="Body"/>
        <w:rPr>
          <w:color w:val="3C4245"/>
        </w:rPr>
      </w:pPr>
      <w:r w:rsidRPr="003C7FAF">
        <w:t xml:space="preserve">Although cancer in children and adolescents is rare, </w:t>
      </w:r>
      <w:r w:rsidR="000D185A" w:rsidRPr="003C7FAF">
        <w:t>approximately 750 children aged 0 to 14 years are diagnosed with cancer each year in Australia.</w:t>
      </w:r>
      <w:r w:rsidR="000D185A" w:rsidRPr="003C7FAF">
        <w:rPr>
          <w:rStyle w:val="FootnoteReference"/>
          <w:rFonts w:cs="Arial"/>
        </w:rPr>
        <w:footnoteReference w:id="212"/>
      </w:r>
      <w:r w:rsidR="000D185A" w:rsidRPr="003C7FAF">
        <w:t xml:space="preserve"> The most common types of cancers such as leukaemia that </w:t>
      </w:r>
      <w:r w:rsidR="00430D1D">
        <w:t>are diagnosed</w:t>
      </w:r>
      <w:r w:rsidR="000D185A" w:rsidRPr="003C7FAF">
        <w:t xml:space="preserve"> in children and adolescents are different from those seen in adults</w:t>
      </w:r>
      <w:r w:rsidR="00BE7DB0" w:rsidRPr="003C7FAF">
        <w:t xml:space="preserve">. </w:t>
      </w:r>
      <w:r w:rsidR="0029650E">
        <w:t>Therefore, as</w:t>
      </w:r>
      <w:r w:rsidR="00BE7DB0" w:rsidRPr="003C7FAF">
        <w:t xml:space="preserve"> with adults</w:t>
      </w:r>
      <w:r w:rsidR="0029650E">
        <w:t>,</w:t>
      </w:r>
      <w:r w:rsidR="00BE7DB0" w:rsidRPr="003C7FAF">
        <w:t xml:space="preserve"> treating most cancers will generally </w:t>
      </w:r>
      <w:r w:rsidR="00CC4617">
        <w:t>require</w:t>
      </w:r>
      <w:r w:rsidR="00CC4617" w:rsidRPr="003C7FAF">
        <w:t xml:space="preserve"> </w:t>
      </w:r>
      <w:r w:rsidR="00BE7DB0" w:rsidRPr="003C7FAF">
        <w:t xml:space="preserve">admission to a hospital as part of the cancer journey for </w:t>
      </w:r>
      <w:r w:rsidR="00CC4617">
        <w:t xml:space="preserve">treatments </w:t>
      </w:r>
      <w:r w:rsidR="00BE7DB0" w:rsidRPr="003C7FAF">
        <w:t xml:space="preserve">such as chemotherapy. </w:t>
      </w:r>
      <w:r w:rsidR="0029650E">
        <w:t xml:space="preserve">However, the cancer care pathways and care priorities for children and adolescents often differ </w:t>
      </w:r>
      <w:r w:rsidR="00CC4617">
        <w:t>from</w:t>
      </w:r>
      <w:r w:rsidR="0029650E">
        <w:t xml:space="preserve"> adults</w:t>
      </w:r>
      <w:r w:rsidR="00CC4617">
        <w:t>.</w:t>
      </w:r>
      <w:r w:rsidR="0029650E">
        <w:t xml:space="preserve"> </w:t>
      </w:r>
      <w:r w:rsidR="00CC4617">
        <w:t>T</w:t>
      </w:r>
      <w:r w:rsidR="0029650E">
        <w:t>herefore</w:t>
      </w:r>
      <w:r w:rsidR="00CC4617">
        <w:t>,</w:t>
      </w:r>
      <w:r w:rsidR="0029650E">
        <w:t xml:space="preserve"> a more targeted approach is </w:t>
      </w:r>
      <w:r w:rsidR="00CC4617">
        <w:t xml:space="preserve">needed </w:t>
      </w:r>
      <w:r w:rsidR="0029650E">
        <w:t xml:space="preserve">to understand their experiences of cancer care and treatment. This is </w:t>
      </w:r>
      <w:r w:rsidR="00A37046">
        <w:rPr>
          <w:color w:val="3C4245"/>
        </w:rPr>
        <w:t>important to</w:t>
      </w:r>
      <w:r w:rsidR="007E1402">
        <w:rPr>
          <w:color w:val="3C4245"/>
        </w:rPr>
        <w:t xml:space="preserve"> ensure they and their carers receive more personalised care as well as </w:t>
      </w:r>
      <w:r w:rsidR="00CC4617">
        <w:rPr>
          <w:color w:val="3C4245"/>
        </w:rPr>
        <w:t xml:space="preserve">helping to improve </w:t>
      </w:r>
      <w:r w:rsidR="007E1402">
        <w:rPr>
          <w:color w:val="3C4245"/>
        </w:rPr>
        <w:t>the overall quality of the health system.</w:t>
      </w:r>
    </w:p>
    <w:p w14:paraId="0D417A3A" w14:textId="14CF0929" w:rsidR="00FC0643" w:rsidRPr="0029650E" w:rsidRDefault="00E2064A" w:rsidP="00606436">
      <w:pPr>
        <w:pStyle w:val="Body"/>
      </w:pPr>
      <w:r>
        <w:t>In 2021 t</w:t>
      </w:r>
      <w:r w:rsidR="007E1402">
        <w:t>he Victorian Paediatric Integrated Cancer Service</w:t>
      </w:r>
      <w:r>
        <w:t xml:space="preserve"> </w:t>
      </w:r>
      <w:r w:rsidR="00CC4617">
        <w:t xml:space="preserve">began </w:t>
      </w:r>
      <w:r w:rsidR="0029650E">
        <w:t xml:space="preserve">a pilot survey appropriate for a younger patient population. This survey </w:t>
      </w:r>
      <w:r>
        <w:t xml:space="preserve">of families of paediatric patients who received treatment </w:t>
      </w:r>
      <w:r w:rsidR="0029650E">
        <w:t>r</w:t>
      </w:r>
      <w:r w:rsidR="00CC4617">
        <w:t>a</w:t>
      </w:r>
      <w:r w:rsidR="0029650E">
        <w:t xml:space="preserve">n </w:t>
      </w:r>
      <w:r>
        <w:t xml:space="preserve">across </w:t>
      </w:r>
      <w:r w:rsidR="00BE7DB0">
        <w:t>three campuses</w:t>
      </w:r>
      <w:r w:rsidR="0029650E">
        <w:t xml:space="preserve"> that specialise in children’s cancer treatment</w:t>
      </w:r>
      <w:r w:rsidR="00BE7DB0">
        <w:t xml:space="preserve">: The Royal </w:t>
      </w:r>
      <w:r>
        <w:t>Children’s</w:t>
      </w:r>
      <w:r w:rsidR="00BE7DB0">
        <w:t xml:space="preserve"> Hospital</w:t>
      </w:r>
      <w:r>
        <w:t xml:space="preserve">, Monash Children’s Hospital and Barwon Health, Geelong. </w:t>
      </w:r>
      <w:r w:rsidR="0029650E">
        <w:t xml:space="preserve">Data was collected via email and SMS. </w:t>
      </w:r>
      <w:r w:rsidR="00DA72D7">
        <w:lastRenderedPageBreak/>
        <w:t>Figure 15.2 shows that, in 2021, of the 211 patients who responded to the questions, the overall rating of care given at the hospital was 93</w:t>
      </w:r>
      <w:r w:rsidR="0054537F">
        <w:t>%</w:t>
      </w:r>
      <w:r w:rsidR="00DA72D7">
        <w:t>.</w:t>
      </w:r>
      <w:r w:rsidR="00FC0643">
        <w:br w:type="page"/>
      </w:r>
    </w:p>
    <w:p w14:paraId="298EC41A" w14:textId="6E4DCBF3" w:rsidR="00605A7F" w:rsidRPr="00320172" w:rsidRDefault="00605A7F" w:rsidP="00A451D4">
      <w:pPr>
        <w:pStyle w:val="Heading3"/>
        <w:rPr>
          <w:b/>
          <w:bCs w:val="0"/>
        </w:rPr>
      </w:pPr>
      <w:bookmarkStart w:id="1104" w:name="_Measure_15.3_–"/>
      <w:bookmarkStart w:id="1105" w:name="_Toc19008201"/>
      <w:bookmarkEnd w:id="1104"/>
      <w:r w:rsidRPr="00320172">
        <w:rPr>
          <w:b/>
          <w:bCs w:val="0"/>
        </w:rPr>
        <w:lastRenderedPageBreak/>
        <w:t>Measure 15.3 –</w:t>
      </w:r>
      <w:r w:rsidR="00544CCD" w:rsidRPr="00320172">
        <w:rPr>
          <w:b/>
          <w:bCs w:val="0"/>
        </w:rPr>
        <w:t xml:space="preserve"> Proportion of</w:t>
      </w:r>
      <w:r w:rsidR="007E1353" w:rsidRPr="00320172">
        <w:rPr>
          <w:b/>
          <w:bCs w:val="0"/>
        </w:rPr>
        <w:t xml:space="preserve"> adults admitted to public hospitals due to cancer who report </w:t>
      </w:r>
      <w:r w:rsidR="00224D14" w:rsidRPr="00320172">
        <w:rPr>
          <w:b/>
          <w:bCs w:val="0"/>
        </w:rPr>
        <w:t xml:space="preserve">a </w:t>
      </w:r>
      <w:r w:rsidR="007E1353" w:rsidRPr="00320172">
        <w:rPr>
          <w:b/>
          <w:bCs w:val="0"/>
        </w:rPr>
        <w:t>positive transition</w:t>
      </w:r>
      <w:r w:rsidR="00224D14" w:rsidRPr="00320172">
        <w:rPr>
          <w:b/>
          <w:bCs w:val="0"/>
        </w:rPr>
        <w:t>-</w:t>
      </w:r>
      <w:r w:rsidR="007E1353" w:rsidRPr="00320172">
        <w:rPr>
          <w:b/>
          <w:bCs w:val="0"/>
        </w:rPr>
        <w:t>from</w:t>
      </w:r>
      <w:r w:rsidR="00224D14" w:rsidRPr="00320172">
        <w:rPr>
          <w:b/>
          <w:bCs w:val="0"/>
        </w:rPr>
        <w:t>-</w:t>
      </w:r>
      <w:r w:rsidR="007E1353" w:rsidRPr="00320172">
        <w:rPr>
          <w:b/>
          <w:bCs w:val="0"/>
        </w:rPr>
        <w:t>care index score</w:t>
      </w:r>
      <w:bookmarkEnd w:id="1105"/>
    </w:p>
    <w:p w14:paraId="7B665B59" w14:textId="3E65B9C0" w:rsidR="006A3EC8" w:rsidRPr="006770F9" w:rsidRDefault="00CF094A" w:rsidP="00E87AAA">
      <w:pPr>
        <w:pStyle w:val="Body"/>
        <w:rPr>
          <w:lang w:eastAsia="en-AU"/>
        </w:rPr>
      </w:pPr>
      <w:r>
        <w:t>Resources to resolve this outstanding measure</w:t>
      </w:r>
      <w:r w:rsidRPr="00AB372D">
        <w:t xml:space="preserve"> in the future are yet </w:t>
      </w:r>
      <w:r>
        <w:t>to be confirmed. The</w:t>
      </w:r>
      <w:r w:rsidRPr="00AB372D">
        <w:t xml:space="preserve"> me</w:t>
      </w:r>
      <w:r w:rsidR="0084387F">
        <w:t>asure is</w:t>
      </w:r>
      <w:r>
        <w:t xml:space="preserve"> yet to be determined – refer to Appendix 1.</w:t>
      </w:r>
      <w:bookmarkStart w:id="1106" w:name="_Measure_15.4_–"/>
      <w:bookmarkStart w:id="1107" w:name="_Toc19008202"/>
      <w:bookmarkEnd w:id="1106"/>
      <w:r w:rsidR="006A3EC8">
        <w:br w:type="page"/>
      </w:r>
    </w:p>
    <w:p w14:paraId="2B8A8049" w14:textId="4C0E09C3" w:rsidR="00605A7F" w:rsidRPr="00320172" w:rsidRDefault="00605A7F" w:rsidP="00A451D4">
      <w:pPr>
        <w:pStyle w:val="Heading3"/>
        <w:rPr>
          <w:b/>
          <w:bCs w:val="0"/>
        </w:rPr>
      </w:pPr>
      <w:r w:rsidRPr="00320172">
        <w:rPr>
          <w:b/>
          <w:bCs w:val="0"/>
        </w:rPr>
        <w:lastRenderedPageBreak/>
        <w:t>Measure 15.4 –</w:t>
      </w:r>
      <w:r w:rsidR="00544CCD" w:rsidRPr="00320172">
        <w:rPr>
          <w:b/>
          <w:bCs w:val="0"/>
        </w:rPr>
        <w:t xml:space="preserve"> Proportion of</w:t>
      </w:r>
      <w:r w:rsidR="007E1353" w:rsidRPr="00320172">
        <w:rPr>
          <w:b/>
          <w:bCs w:val="0"/>
        </w:rPr>
        <w:t xml:space="preserve"> adults attending emergency departments due to cancer who report </w:t>
      </w:r>
      <w:r w:rsidR="00224D14" w:rsidRPr="00320172">
        <w:rPr>
          <w:b/>
          <w:bCs w:val="0"/>
        </w:rPr>
        <w:t xml:space="preserve">a </w:t>
      </w:r>
      <w:r w:rsidR="007E1353" w:rsidRPr="00320172">
        <w:rPr>
          <w:b/>
          <w:bCs w:val="0"/>
        </w:rPr>
        <w:t>positive overall healthcare experience</w:t>
      </w:r>
      <w:bookmarkEnd w:id="1107"/>
    </w:p>
    <w:p w14:paraId="182AFA24" w14:textId="60A0D8DF" w:rsidR="00513F18" w:rsidRDefault="00513F18" w:rsidP="0007611D">
      <w:pPr>
        <w:pStyle w:val="Figurecaption"/>
        <w:rPr>
          <w:noProof/>
        </w:rPr>
      </w:pPr>
      <w:bookmarkStart w:id="1108" w:name="_Toc132553106"/>
      <w:bookmarkStart w:id="1109" w:name="_Toc140827723"/>
      <w:r w:rsidRPr="00895DD4">
        <w:rPr>
          <w:sz w:val="20"/>
        </w:rPr>
        <w:t>Figure 15.4</w:t>
      </w:r>
      <w:r w:rsidR="00C03D95" w:rsidRPr="00895DD4">
        <w:rPr>
          <w:sz w:val="20"/>
        </w:rPr>
        <w:t>:</w:t>
      </w:r>
      <w:r w:rsidRPr="00895DD4">
        <w:rPr>
          <w:sz w:val="20"/>
        </w:rPr>
        <w:t xml:space="preserve"> </w:t>
      </w:r>
      <w:bookmarkStart w:id="1110" w:name="_Hlk139547532"/>
      <w:r w:rsidRPr="00895DD4">
        <w:rPr>
          <w:sz w:val="20"/>
        </w:rPr>
        <w:t xml:space="preserve">Proportion of adults attending emergency departments due to cancer who report </w:t>
      </w:r>
      <w:r w:rsidR="00224D14" w:rsidRPr="00895DD4">
        <w:rPr>
          <w:sz w:val="20"/>
        </w:rPr>
        <w:t xml:space="preserve">a </w:t>
      </w:r>
      <w:r w:rsidRPr="00895DD4">
        <w:rPr>
          <w:sz w:val="20"/>
        </w:rPr>
        <w:t>positive healthcare experience, 2019</w:t>
      </w:r>
      <w:bookmarkEnd w:id="1108"/>
      <w:r w:rsidR="00452B06">
        <w:rPr>
          <w:sz w:val="20"/>
        </w:rPr>
        <w:t xml:space="preserve"> and 202</w:t>
      </w:r>
      <w:r w:rsidR="00742059">
        <w:rPr>
          <w:sz w:val="20"/>
        </w:rPr>
        <w:t>2</w:t>
      </w:r>
      <w:bookmarkEnd w:id="1109"/>
      <w:r w:rsidR="00811F31" w:rsidRPr="00811F31">
        <w:rPr>
          <w:noProof/>
        </w:rPr>
        <w:t xml:space="preserve"> </w:t>
      </w:r>
    </w:p>
    <w:p w14:paraId="15ACBB0E" w14:textId="3CEABB22" w:rsidR="005302E9" w:rsidRPr="005302E9" w:rsidRDefault="005302E9" w:rsidP="005302E9">
      <w:pPr>
        <w:pStyle w:val="DHHSbody"/>
      </w:pPr>
      <w:r w:rsidRPr="005302E9">
        <w:rPr>
          <w:noProof/>
        </w:rPr>
        <w:drawing>
          <wp:inline distT="0" distB="0" distL="0" distR="0" wp14:anchorId="1419EE62" wp14:editId="3C3294A0">
            <wp:extent cx="5737225" cy="2960483"/>
            <wp:effectExtent l="0" t="0" r="0" b="0"/>
            <wp:docPr id="1110204995" name="Picture 1110204995" descr="This figure presents data via a bar graph on the proportion of adults attending emergency departments due to cancer who report a positive healthcare experience, 2019 and 20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4995" name="Picture 1110204995" descr="This figure presents data via a bar graph on the proportion of adults attending emergency departments due to cancer who report a positive healthcare experience, 2019 and 2023. "/>
                    <pic:cNvPicPr/>
                  </pic:nvPicPr>
                  <pic:blipFill>
                    <a:blip r:embed="rId174"/>
                    <a:stretch>
                      <a:fillRect/>
                    </a:stretch>
                  </pic:blipFill>
                  <pic:spPr>
                    <a:xfrm>
                      <a:off x="0" y="0"/>
                      <a:ext cx="5770028" cy="2977410"/>
                    </a:xfrm>
                    <a:prstGeom prst="rect">
                      <a:avLst/>
                    </a:prstGeom>
                  </pic:spPr>
                </pic:pic>
              </a:graphicData>
            </a:graphic>
          </wp:inline>
        </w:drawing>
      </w:r>
    </w:p>
    <w:bookmarkEnd w:id="1110"/>
    <w:p w14:paraId="393347AC" w14:textId="77777777" w:rsidR="005302E9" w:rsidRPr="005302E9" w:rsidRDefault="005302E9" w:rsidP="000B1FD4">
      <w:pPr>
        <w:pStyle w:val="Tablefigurenote"/>
        <w:rPr>
          <w:sz w:val="18"/>
          <w:szCs w:val="18"/>
        </w:rPr>
      </w:pPr>
    </w:p>
    <w:p w14:paraId="7733A4A3" w14:textId="15214A7D" w:rsidR="000B1FD4" w:rsidRPr="00E5504A" w:rsidRDefault="000B1FD4" w:rsidP="000B1FD4">
      <w:pPr>
        <w:pStyle w:val="Tablefigurenote"/>
        <w:rPr>
          <w:i/>
          <w:iCs/>
          <w:sz w:val="18"/>
          <w:szCs w:val="18"/>
        </w:rPr>
      </w:pPr>
      <w:r w:rsidRPr="00E5504A">
        <w:rPr>
          <w:i/>
          <w:iCs/>
          <w:sz w:val="18"/>
          <w:szCs w:val="18"/>
        </w:rPr>
        <w:t xml:space="preserve">Notes: </w:t>
      </w:r>
    </w:p>
    <w:p w14:paraId="133FED0A" w14:textId="0ACC11E2" w:rsidR="000B1FD4" w:rsidRPr="00E5504A" w:rsidRDefault="000B1FD4" w:rsidP="000B1FD4">
      <w:pPr>
        <w:pStyle w:val="Tablefigurenote"/>
        <w:rPr>
          <w:bCs/>
          <w:i/>
          <w:iCs/>
          <w:sz w:val="18"/>
          <w:szCs w:val="18"/>
        </w:rPr>
      </w:pPr>
      <w:r w:rsidRPr="00E5504A">
        <w:rPr>
          <w:i/>
          <w:iCs/>
          <w:sz w:val="18"/>
          <w:szCs w:val="18"/>
        </w:rPr>
        <w:t xml:space="preserve">Overall care question: Do you think that your condition was well managed while you were waiting to see an </w:t>
      </w:r>
      <w:r w:rsidR="00224D14" w:rsidRPr="00E5504A">
        <w:rPr>
          <w:i/>
          <w:iCs/>
          <w:sz w:val="18"/>
          <w:szCs w:val="18"/>
        </w:rPr>
        <w:t>e</w:t>
      </w:r>
      <w:r w:rsidRPr="00E5504A">
        <w:rPr>
          <w:i/>
          <w:iCs/>
          <w:sz w:val="18"/>
          <w:szCs w:val="18"/>
        </w:rPr>
        <w:t xml:space="preserve">mergency </w:t>
      </w:r>
      <w:r w:rsidR="00224D14" w:rsidRPr="00E5504A">
        <w:rPr>
          <w:i/>
          <w:iCs/>
          <w:sz w:val="18"/>
          <w:szCs w:val="18"/>
        </w:rPr>
        <w:t>d</w:t>
      </w:r>
      <w:r w:rsidRPr="00E5504A">
        <w:rPr>
          <w:i/>
          <w:iCs/>
          <w:sz w:val="18"/>
          <w:szCs w:val="18"/>
        </w:rPr>
        <w:t>epartment doctor?</w:t>
      </w:r>
    </w:p>
    <w:p w14:paraId="7FABA707" w14:textId="4253D95C" w:rsidR="000B1FD4" w:rsidRPr="00E5504A" w:rsidRDefault="000B1FD4" w:rsidP="000B1FD4">
      <w:pPr>
        <w:pStyle w:val="Tablefigurenote"/>
        <w:rPr>
          <w:i/>
          <w:iCs/>
          <w:sz w:val="18"/>
          <w:szCs w:val="18"/>
        </w:rPr>
      </w:pPr>
      <w:r w:rsidRPr="00E5504A">
        <w:rPr>
          <w:i/>
          <w:iCs/>
          <w:sz w:val="18"/>
          <w:szCs w:val="18"/>
        </w:rPr>
        <w:t>Total number of patients who answered the question = 1,142 (2019</w:t>
      </w:r>
      <w:r w:rsidR="00452B06">
        <w:rPr>
          <w:i/>
          <w:iCs/>
          <w:sz w:val="18"/>
          <w:szCs w:val="18"/>
        </w:rPr>
        <w:t>) and 941 (202</w:t>
      </w:r>
      <w:r w:rsidR="005C255E">
        <w:rPr>
          <w:i/>
          <w:iCs/>
          <w:sz w:val="18"/>
          <w:szCs w:val="18"/>
        </w:rPr>
        <w:t>2</w:t>
      </w:r>
      <w:r w:rsidR="00452B06">
        <w:rPr>
          <w:i/>
          <w:iCs/>
          <w:sz w:val="18"/>
          <w:szCs w:val="18"/>
        </w:rPr>
        <w:t>)</w:t>
      </w:r>
    </w:p>
    <w:p w14:paraId="7D19251F" w14:textId="69F72C1F" w:rsidR="006A3EC8" w:rsidRPr="00671C7A" w:rsidRDefault="006A3EC8" w:rsidP="007C7F00">
      <w:pPr>
        <w:pStyle w:val="Heading4"/>
      </w:pPr>
      <w:bookmarkStart w:id="1111" w:name="_Measure_15.5_–"/>
      <w:bookmarkStart w:id="1112" w:name="_Toc19008203"/>
      <w:bookmarkEnd w:id="1111"/>
      <w:r>
        <w:t>Measure assessment</w:t>
      </w:r>
    </w:p>
    <w:p w14:paraId="4FAB59F0" w14:textId="77777777" w:rsidR="00702E46" w:rsidRPr="00EA78AF" w:rsidRDefault="00702E46" w:rsidP="00702E46">
      <w:pPr>
        <w:pStyle w:val="Body"/>
        <w:rPr>
          <w:sz w:val="20"/>
        </w:rPr>
      </w:pPr>
      <w:r w:rsidRPr="00EA78AF">
        <w:rPr>
          <w:sz w:val="20"/>
        </w:rPr>
        <w:t>Traffic light rating:</w:t>
      </w:r>
      <w:r w:rsidRPr="00EA78AF">
        <w:rPr>
          <w:color w:val="AF272F"/>
          <w:sz w:val="20"/>
        </w:rPr>
        <w:t xml:space="preserve"> </w:t>
      </w:r>
      <w:r w:rsidRPr="00EA78AF">
        <w:rPr>
          <w:b/>
          <w:color w:val="AF272F"/>
          <w:sz w:val="20"/>
        </w:rPr>
        <w:t xml:space="preserve">Red </w:t>
      </w:r>
      <w:r w:rsidRPr="00EA78AF">
        <w:rPr>
          <w:sz w:val="20"/>
        </w:rPr>
        <w:t>(result is of concern)</w:t>
      </w:r>
    </w:p>
    <w:p w14:paraId="7BA61FA8" w14:textId="65198C7F" w:rsidR="00702E46" w:rsidRPr="00EA78AF" w:rsidRDefault="00702E46" w:rsidP="00702E46">
      <w:pPr>
        <w:pStyle w:val="Body"/>
        <w:rPr>
          <w:sz w:val="20"/>
        </w:rPr>
      </w:pPr>
      <w:r w:rsidRPr="00EA78AF">
        <w:rPr>
          <w:sz w:val="20"/>
        </w:rPr>
        <w:t xml:space="preserve">Overall trend: </w:t>
      </w:r>
      <w:r>
        <w:rPr>
          <w:sz w:val="20"/>
        </w:rPr>
        <w:t>Not moving in the right direction</w:t>
      </w:r>
    </w:p>
    <w:p w14:paraId="2FE519F4" w14:textId="7E8DE2E3" w:rsidR="0073538D" w:rsidRDefault="006A3EC8" w:rsidP="00606436">
      <w:pPr>
        <w:pStyle w:val="Body"/>
      </w:pPr>
      <w:r w:rsidRPr="006A3EC8">
        <w:t>Commentary:</w:t>
      </w:r>
      <w:r>
        <w:t xml:space="preserve"> Providing good</w:t>
      </w:r>
      <w:r w:rsidR="00BB0E05">
        <w:t>-</w:t>
      </w:r>
      <w:r>
        <w:t xml:space="preserve">quality care that meets the needs of patients including cancer patients is a key objective of Victoria’s emergency departments (ED). </w:t>
      </w:r>
      <w:r w:rsidRPr="0073538D">
        <w:t xml:space="preserve">The </w:t>
      </w:r>
      <w:r w:rsidR="00554CB2">
        <w:t>D</w:t>
      </w:r>
      <w:r w:rsidRPr="0073538D">
        <w:t xml:space="preserve">epartment </w:t>
      </w:r>
      <w:r w:rsidR="00554CB2">
        <w:t xml:space="preserve">of Health </w:t>
      </w:r>
      <w:r w:rsidRPr="0073538D">
        <w:t xml:space="preserve">has undertaken a series of initiatives to improve the ED patient experience including </w:t>
      </w:r>
      <w:r w:rsidR="00320172" w:rsidRPr="0073538D">
        <w:t>state-wide</w:t>
      </w:r>
      <w:r w:rsidR="002440FD" w:rsidRPr="0073538D">
        <w:t xml:space="preserve"> surveys of people’s healthcare experiences. The Victorian Healthcare Experience Survey allows a wide range of people to </w:t>
      </w:r>
      <w:r w:rsidR="00554CB2">
        <w:t>give</w:t>
      </w:r>
      <w:r w:rsidR="00554CB2" w:rsidRPr="0073538D">
        <w:t xml:space="preserve"> </w:t>
      </w:r>
      <w:r w:rsidR="002440FD" w:rsidRPr="0073538D">
        <w:t>feedback on their experiences and provides specialised questions for cancer patient ED attendees.</w:t>
      </w:r>
      <w:r w:rsidR="0073538D">
        <w:t xml:space="preserve"> This includes patients who have undergone surgery, are receiving radiotherapy or chemotherapy treatment, have attended the ED because of their cancer or cancer treatment, and</w:t>
      </w:r>
      <w:r w:rsidR="00554CB2">
        <w:t>/</w:t>
      </w:r>
      <w:r w:rsidR="0073538D">
        <w:t>or are receiving follow</w:t>
      </w:r>
      <w:r w:rsidR="00BB0E05">
        <w:t>-</w:t>
      </w:r>
      <w:r w:rsidR="0073538D">
        <w:t>up care.</w:t>
      </w:r>
    </w:p>
    <w:p w14:paraId="35119561" w14:textId="252DCC10" w:rsidR="006A3EC8" w:rsidRPr="00C832AD" w:rsidRDefault="0073538D" w:rsidP="00606436">
      <w:pPr>
        <w:pStyle w:val="Body"/>
      </w:pPr>
      <w:r w:rsidRPr="0073538D">
        <w:t>The Victorian Healthcare Experience Survey asks adult patients how well they think their condition was managed while they were waiting to see an ED doctor. Figure 15.4 shows that, in 2019, of the 1,142 patients who responded to the question, 83</w:t>
      </w:r>
      <w:r w:rsidR="0054537F">
        <w:t>%</w:t>
      </w:r>
      <w:r w:rsidRPr="0073538D">
        <w:t xml:space="preserve"> of patients thought their condition was well managed while they wer</w:t>
      </w:r>
      <w:r>
        <w:t xml:space="preserve">e </w:t>
      </w:r>
      <w:r w:rsidR="00554CB2">
        <w:t xml:space="preserve">in </w:t>
      </w:r>
      <w:r>
        <w:t>the ED</w:t>
      </w:r>
      <w:r w:rsidRPr="0073538D">
        <w:t>.</w:t>
      </w:r>
      <w:r w:rsidR="00702E46">
        <w:t xml:space="preserve"> However, this decreased to 69.9</w:t>
      </w:r>
      <w:r w:rsidR="0054537F">
        <w:t>%</w:t>
      </w:r>
      <w:r w:rsidR="00702E46">
        <w:t xml:space="preserve"> in 202</w:t>
      </w:r>
      <w:r w:rsidR="001871B8">
        <w:t>2</w:t>
      </w:r>
      <w:r w:rsidR="00702E46">
        <w:t>.</w:t>
      </w:r>
      <w:r w:rsidR="006A3EC8">
        <w:br w:type="page"/>
      </w:r>
    </w:p>
    <w:p w14:paraId="69898DA5" w14:textId="2E99EF33" w:rsidR="00605A7F" w:rsidRPr="00B9737C" w:rsidRDefault="00605A7F" w:rsidP="00A451D4">
      <w:pPr>
        <w:pStyle w:val="Heading3"/>
        <w:rPr>
          <w:b/>
          <w:bCs w:val="0"/>
        </w:rPr>
      </w:pPr>
      <w:r w:rsidRPr="00B9737C">
        <w:rPr>
          <w:b/>
          <w:bCs w:val="0"/>
        </w:rPr>
        <w:lastRenderedPageBreak/>
        <w:t>Measure 15.5 –</w:t>
      </w:r>
      <w:r w:rsidR="00544CCD" w:rsidRPr="00B9737C">
        <w:rPr>
          <w:b/>
          <w:bCs w:val="0"/>
        </w:rPr>
        <w:t xml:space="preserve"> Proportion of</w:t>
      </w:r>
      <w:r w:rsidR="007E1353" w:rsidRPr="00B9737C">
        <w:rPr>
          <w:b/>
          <w:bCs w:val="0"/>
        </w:rPr>
        <w:t xml:space="preserve"> people attending hospital outpatients </w:t>
      </w:r>
      <w:r w:rsidR="00123195" w:rsidRPr="00B9737C">
        <w:rPr>
          <w:b/>
          <w:bCs w:val="0"/>
        </w:rPr>
        <w:t xml:space="preserve">due to cancer who report </w:t>
      </w:r>
      <w:r w:rsidR="00224D14" w:rsidRPr="00B9737C">
        <w:rPr>
          <w:b/>
          <w:bCs w:val="0"/>
        </w:rPr>
        <w:t xml:space="preserve">a </w:t>
      </w:r>
      <w:r w:rsidR="00123195" w:rsidRPr="00B9737C">
        <w:rPr>
          <w:b/>
          <w:bCs w:val="0"/>
        </w:rPr>
        <w:t>positive healthcare experience</w:t>
      </w:r>
      <w:bookmarkEnd w:id="1112"/>
    </w:p>
    <w:p w14:paraId="5D0BE940" w14:textId="77777777" w:rsidR="00CF094A" w:rsidRPr="00CF094A" w:rsidRDefault="00CF094A" w:rsidP="00E87AAA">
      <w:pPr>
        <w:pStyle w:val="Body"/>
        <w:rPr>
          <w:lang w:eastAsia="en-AU"/>
        </w:rPr>
      </w:pPr>
      <w:r>
        <w:t>Resources to resolve this outstanding measure</w:t>
      </w:r>
      <w:r w:rsidRPr="00AB372D">
        <w:t xml:space="preserve"> in the future are yet </w:t>
      </w:r>
      <w:r>
        <w:t>to be confirmed. The</w:t>
      </w:r>
      <w:r w:rsidRPr="00AB372D">
        <w:t xml:space="preserve"> me</w:t>
      </w:r>
      <w:r w:rsidR="0084387F">
        <w:t xml:space="preserve">asure is </w:t>
      </w:r>
      <w:r>
        <w:t>yet to be determined – refer to Appendix 1.</w:t>
      </w:r>
    </w:p>
    <w:p w14:paraId="2D003530" w14:textId="60538703" w:rsidR="00605A7F" w:rsidRPr="00B9737C" w:rsidRDefault="00605A7F" w:rsidP="00A451D4">
      <w:pPr>
        <w:pStyle w:val="Heading3"/>
        <w:rPr>
          <w:b/>
          <w:bCs w:val="0"/>
        </w:rPr>
      </w:pPr>
      <w:bookmarkStart w:id="1113" w:name="_Measure_15.6_–"/>
      <w:bookmarkStart w:id="1114" w:name="_Toc19008204"/>
      <w:bookmarkEnd w:id="1113"/>
      <w:r w:rsidRPr="00B9737C">
        <w:rPr>
          <w:b/>
          <w:bCs w:val="0"/>
        </w:rPr>
        <w:t>Measure 15.6 –</w:t>
      </w:r>
      <w:r w:rsidR="00544CCD" w:rsidRPr="00B9737C">
        <w:rPr>
          <w:b/>
          <w:bCs w:val="0"/>
        </w:rPr>
        <w:t xml:space="preserve"> Proportion of</w:t>
      </w:r>
      <w:r w:rsidR="00123195" w:rsidRPr="00B9737C">
        <w:rPr>
          <w:b/>
          <w:bCs w:val="0"/>
        </w:rPr>
        <w:t xml:space="preserve"> people attending primary care due to cancer who report </w:t>
      </w:r>
      <w:r w:rsidR="00224D14" w:rsidRPr="00B9737C">
        <w:rPr>
          <w:b/>
          <w:bCs w:val="0"/>
        </w:rPr>
        <w:t xml:space="preserve">a </w:t>
      </w:r>
      <w:r w:rsidR="00123195" w:rsidRPr="00B9737C">
        <w:rPr>
          <w:b/>
          <w:bCs w:val="0"/>
        </w:rPr>
        <w:t>positive healthcare experience</w:t>
      </w:r>
      <w:bookmarkEnd w:id="1114"/>
    </w:p>
    <w:p w14:paraId="7C052C5B" w14:textId="77777777" w:rsidR="00CF7061" w:rsidRPr="00CF7061" w:rsidRDefault="00CF094A" w:rsidP="00E87AAA">
      <w:pPr>
        <w:pStyle w:val="Body"/>
        <w:rPr>
          <w:lang w:eastAsia="en-AU"/>
        </w:rPr>
      </w:pPr>
      <w:r>
        <w:t>Resources to resolve this outstanding measure</w:t>
      </w:r>
      <w:r w:rsidRPr="00AB372D">
        <w:t xml:space="preserve"> in the future are yet </w:t>
      </w:r>
      <w:r>
        <w:t>to be confirmed. The</w:t>
      </w:r>
      <w:r w:rsidRPr="00AB372D">
        <w:t xml:space="preserve"> me</w:t>
      </w:r>
      <w:r w:rsidR="0084387F">
        <w:t>asure is</w:t>
      </w:r>
      <w:r>
        <w:t xml:space="preserve"> yet to be determined – refer to Appendix 1.</w:t>
      </w:r>
    </w:p>
    <w:p w14:paraId="6D83888E" w14:textId="77777777" w:rsidR="00605A7F" w:rsidRPr="00B91C4A" w:rsidRDefault="00681240" w:rsidP="006053E7">
      <w:pPr>
        <w:pStyle w:val="Heading2"/>
      </w:pPr>
      <w:r>
        <w:br w:type="page"/>
      </w:r>
      <w:bookmarkStart w:id="1115" w:name="_Toc19008205"/>
      <w:bookmarkStart w:id="1116" w:name="_Toc140843427"/>
      <w:bookmarkStart w:id="1117" w:name="_Hlk1050113"/>
      <w:r w:rsidR="00537A4F" w:rsidRPr="00B91C4A">
        <w:lastRenderedPageBreak/>
        <w:t>Key result: Improve patient experience of screening</w:t>
      </w:r>
      <w:bookmarkEnd w:id="1115"/>
      <w:bookmarkEnd w:id="1116"/>
      <w:r w:rsidR="00537A4F" w:rsidRPr="00B91C4A">
        <w:t xml:space="preserve"> </w:t>
      </w:r>
    </w:p>
    <w:p w14:paraId="6A1AA632" w14:textId="7909E4C9" w:rsidR="00B60CC1" w:rsidRPr="00B9737C" w:rsidRDefault="00605A7F" w:rsidP="00A451D4">
      <w:pPr>
        <w:pStyle w:val="Heading3"/>
        <w:rPr>
          <w:b/>
          <w:bCs w:val="0"/>
        </w:rPr>
      </w:pPr>
      <w:bookmarkStart w:id="1118" w:name="_Measure_16.1_–"/>
      <w:bookmarkStart w:id="1119" w:name="_Toc19008206"/>
      <w:bookmarkEnd w:id="1118"/>
      <w:r w:rsidRPr="00B9737C">
        <w:rPr>
          <w:b/>
          <w:bCs w:val="0"/>
        </w:rPr>
        <w:t>Measure 16.1 –</w:t>
      </w:r>
      <w:r w:rsidR="000C2F6F" w:rsidRPr="00B9737C">
        <w:rPr>
          <w:b/>
          <w:bCs w:val="0"/>
        </w:rPr>
        <w:t xml:space="preserve"> Proportion of women</w:t>
      </w:r>
      <w:r w:rsidR="00123195" w:rsidRPr="00B9737C">
        <w:rPr>
          <w:b/>
          <w:bCs w:val="0"/>
        </w:rPr>
        <w:t xml:space="preserve"> who have a mammogram by BreastScreen Victoria who rate the service as highly satisfactory</w:t>
      </w:r>
      <w:bookmarkEnd w:id="1119"/>
    </w:p>
    <w:p w14:paraId="1B66BAB0" w14:textId="389908E2" w:rsidR="00B60CC1" w:rsidRDefault="00DA0438" w:rsidP="008D320F">
      <w:pPr>
        <w:pStyle w:val="Figurecaption"/>
        <w:rPr>
          <w:sz w:val="20"/>
        </w:rPr>
      </w:pPr>
      <w:bookmarkStart w:id="1120" w:name="_Toc19008207"/>
      <w:bookmarkStart w:id="1121" w:name="_Toc19008386"/>
      <w:bookmarkStart w:id="1122" w:name="_Toc19008533"/>
      <w:bookmarkStart w:id="1123" w:name="_Toc19008680"/>
      <w:bookmarkStart w:id="1124" w:name="_Toc132553107"/>
      <w:bookmarkStart w:id="1125" w:name="_Toc140827724"/>
      <w:r w:rsidRPr="00772F6F">
        <w:rPr>
          <w:sz w:val="20"/>
        </w:rPr>
        <w:t>Figure 16.1</w:t>
      </w:r>
      <w:r w:rsidR="00C03D95" w:rsidRPr="00772F6F">
        <w:rPr>
          <w:sz w:val="20"/>
        </w:rPr>
        <w:t>:</w:t>
      </w:r>
      <w:r w:rsidRPr="00772F6F">
        <w:rPr>
          <w:sz w:val="20"/>
        </w:rPr>
        <w:t xml:space="preserve"> Overall s</w:t>
      </w:r>
      <w:r w:rsidR="00B60CC1" w:rsidRPr="00772F6F">
        <w:rPr>
          <w:sz w:val="20"/>
        </w:rPr>
        <w:t xml:space="preserve">atisfaction with </w:t>
      </w:r>
      <w:r w:rsidRPr="00772F6F">
        <w:rPr>
          <w:sz w:val="20"/>
        </w:rPr>
        <w:t>the breast screening p</w:t>
      </w:r>
      <w:r w:rsidR="00B60CC1" w:rsidRPr="00772F6F">
        <w:rPr>
          <w:sz w:val="20"/>
        </w:rPr>
        <w:t>rocess</w:t>
      </w:r>
      <w:r w:rsidR="002426D7" w:rsidRPr="00772F6F">
        <w:rPr>
          <w:sz w:val="20"/>
        </w:rPr>
        <w:t>, 2014–20</w:t>
      </w:r>
      <w:r w:rsidR="00B13646" w:rsidRPr="00772F6F">
        <w:rPr>
          <w:sz w:val="20"/>
        </w:rPr>
        <w:t>2</w:t>
      </w:r>
      <w:bookmarkEnd w:id="1120"/>
      <w:bookmarkEnd w:id="1121"/>
      <w:bookmarkEnd w:id="1122"/>
      <w:bookmarkEnd w:id="1123"/>
      <w:r w:rsidR="00CE1675" w:rsidRPr="00772F6F">
        <w:rPr>
          <w:sz w:val="20"/>
        </w:rPr>
        <w:t>2</w:t>
      </w:r>
      <w:bookmarkEnd w:id="1124"/>
      <w:bookmarkEnd w:id="1125"/>
    </w:p>
    <w:p w14:paraId="61F6935A" w14:textId="028C9B1B" w:rsidR="005302E9" w:rsidRPr="005302E9" w:rsidRDefault="005302E9" w:rsidP="005302E9">
      <w:pPr>
        <w:pStyle w:val="DHHSbody"/>
      </w:pPr>
      <w:r w:rsidRPr="005302E9">
        <w:rPr>
          <w:noProof/>
        </w:rPr>
        <w:drawing>
          <wp:inline distT="0" distB="0" distL="0" distR="0" wp14:anchorId="67270BE2" wp14:editId="596B02EE">
            <wp:extent cx="6471904" cy="3358836"/>
            <wp:effectExtent l="0" t="0" r="5715" b="0"/>
            <wp:docPr id="1110204994" name="Picture 1110204994" descr="This figure present data via a bar graph on the proportion of women who have a mammogram by BreastScreen Victoria who rate the service from highly satisfactory to unsure for the period 2014 to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4994" name="Picture 1110204994" descr="This figure present data via a bar graph on the proportion of women who have a mammogram by BreastScreen Victoria who rate the service from highly satisfactory to unsure for the period 2014 to 2022."/>
                    <pic:cNvPicPr/>
                  </pic:nvPicPr>
                  <pic:blipFill>
                    <a:blip r:embed="rId175"/>
                    <a:stretch>
                      <a:fillRect/>
                    </a:stretch>
                  </pic:blipFill>
                  <pic:spPr>
                    <a:xfrm>
                      <a:off x="0" y="0"/>
                      <a:ext cx="6491621" cy="3369069"/>
                    </a:xfrm>
                    <a:prstGeom prst="rect">
                      <a:avLst/>
                    </a:prstGeom>
                  </pic:spPr>
                </pic:pic>
              </a:graphicData>
            </a:graphic>
          </wp:inline>
        </w:drawing>
      </w:r>
    </w:p>
    <w:p w14:paraId="4F14A257" w14:textId="10BC689B" w:rsidR="00FA47CC" w:rsidRPr="003E159E" w:rsidRDefault="00FA47CC" w:rsidP="00E87AAA">
      <w:pPr>
        <w:pStyle w:val="Body"/>
      </w:pPr>
    </w:p>
    <w:p w14:paraId="3725B7F6" w14:textId="77777777" w:rsidR="00A02E8B" w:rsidRPr="00772F6F" w:rsidRDefault="00A02E8B" w:rsidP="00A02E8B">
      <w:pPr>
        <w:pStyle w:val="Tablefigurenote"/>
        <w:rPr>
          <w:i/>
          <w:iCs/>
          <w:sz w:val="18"/>
          <w:szCs w:val="18"/>
        </w:rPr>
      </w:pPr>
      <w:r w:rsidRPr="00772F6F">
        <w:rPr>
          <w:i/>
          <w:iCs/>
          <w:sz w:val="18"/>
          <w:szCs w:val="18"/>
        </w:rPr>
        <w:t>Notes:</w:t>
      </w:r>
    </w:p>
    <w:p w14:paraId="1A574C05" w14:textId="69929331" w:rsidR="00A02E8B" w:rsidRPr="00772F6F" w:rsidRDefault="00A02E8B" w:rsidP="00A02E8B">
      <w:pPr>
        <w:pStyle w:val="Tablefigurenote"/>
        <w:rPr>
          <w:i/>
          <w:iCs/>
          <w:sz w:val="18"/>
          <w:szCs w:val="18"/>
        </w:rPr>
      </w:pPr>
      <w:r w:rsidRPr="00772F6F">
        <w:rPr>
          <w:i/>
          <w:iCs/>
          <w:sz w:val="18"/>
          <w:szCs w:val="18"/>
        </w:rPr>
        <w:t>Question 21: Overall, how satisfied were you with the entire breast screening process?</w:t>
      </w:r>
    </w:p>
    <w:p w14:paraId="65A4CA7B" w14:textId="24AF8B8F" w:rsidR="001D26EC" w:rsidRPr="00772F6F" w:rsidRDefault="00CA30B4" w:rsidP="00B9737C">
      <w:pPr>
        <w:pStyle w:val="Tablefigurenote"/>
        <w:rPr>
          <w:i/>
          <w:iCs/>
          <w:color w:val="000000"/>
          <w:sz w:val="18"/>
          <w:szCs w:val="18"/>
        </w:rPr>
      </w:pPr>
      <w:bookmarkStart w:id="1126" w:name="_Hlk111795340"/>
      <w:r w:rsidRPr="00772F6F">
        <w:rPr>
          <w:i/>
          <w:iCs/>
          <w:sz w:val="18"/>
          <w:szCs w:val="18"/>
        </w:rPr>
        <w:t>Total sample</w:t>
      </w:r>
      <w:r w:rsidR="00A02E8B" w:rsidRPr="00772F6F">
        <w:rPr>
          <w:i/>
          <w:iCs/>
          <w:sz w:val="18"/>
          <w:szCs w:val="18"/>
        </w:rPr>
        <w:t>:</w:t>
      </w:r>
      <w:r w:rsidRPr="00772F6F">
        <w:rPr>
          <w:i/>
          <w:iCs/>
          <w:sz w:val="18"/>
          <w:szCs w:val="18"/>
        </w:rPr>
        <w:t xml:space="preserve"> </w:t>
      </w:r>
      <w:r w:rsidR="001D26EC" w:rsidRPr="00772F6F">
        <w:rPr>
          <w:i/>
          <w:iCs/>
          <w:sz w:val="18"/>
          <w:szCs w:val="18"/>
        </w:rPr>
        <w:t>2014</w:t>
      </w:r>
      <w:r w:rsidR="00A02E8B" w:rsidRPr="00772F6F">
        <w:rPr>
          <w:i/>
          <w:iCs/>
          <w:sz w:val="18"/>
          <w:szCs w:val="18"/>
        </w:rPr>
        <w:t>,</w:t>
      </w:r>
      <w:r w:rsidR="001D26EC" w:rsidRPr="00772F6F">
        <w:rPr>
          <w:i/>
          <w:iCs/>
          <w:sz w:val="18"/>
          <w:szCs w:val="18"/>
        </w:rPr>
        <w:t xml:space="preserve"> n</w:t>
      </w:r>
      <w:r w:rsidR="00702BEF" w:rsidRPr="00772F6F">
        <w:rPr>
          <w:i/>
          <w:iCs/>
          <w:sz w:val="18"/>
          <w:szCs w:val="18"/>
        </w:rPr>
        <w:t xml:space="preserve"> </w:t>
      </w:r>
      <w:r w:rsidR="001D26EC" w:rsidRPr="00772F6F">
        <w:rPr>
          <w:i/>
          <w:iCs/>
          <w:sz w:val="18"/>
          <w:szCs w:val="18"/>
        </w:rPr>
        <w:t>=</w:t>
      </w:r>
      <w:r w:rsidR="00702BEF" w:rsidRPr="00772F6F">
        <w:rPr>
          <w:i/>
          <w:iCs/>
          <w:sz w:val="18"/>
          <w:szCs w:val="18"/>
        </w:rPr>
        <w:t xml:space="preserve"> </w:t>
      </w:r>
      <w:r w:rsidR="001D26EC" w:rsidRPr="00772F6F">
        <w:rPr>
          <w:i/>
          <w:iCs/>
          <w:sz w:val="18"/>
          <w:szCs w:val="18"/>
        </w:rPr>
        <w:t>3,153; 2015</w:t>
      </w:r>
      <w:r w:rsidR="00A02E8B" w:rsidRPr="00772F6F">
        <w:rPr>
          <w:i/>
          <w:iCs/>
          <w:sz w:val="18"/>
          <w:szCs w:val="18"/>
        </w:rPr>
        <w:t>,</w:t>
      </w:r>
      <w:r w:rsidR="001D26EC" w:rsidRPr="00772F6F">
        <w:rPr>
          <w:i/>
          <w:iCs/>
          <w:sz w:val="18"/>
          <w:szCs w:val="18"/>
        </w:rPr>
        <w:t xml:space="preserve"> n</w:t>
      </w:r>
      <w:r w:rsidR="00702BEF" w:rsidRPr="00772F6F">
        <w:rPr>
          <w:i/>
          <w:iCs/>
          <w:sz w:val="18"/>
          <w:szCs w:val="18"/>
        </w:rPr>
        <w:t xml:space="preserve"> </w:t>
      </w:r>
      <w:r w:rsidR="001D26EC" w:rsidRPr="00772F6F">
        <w:rPr>
          <w:i/>
          <w:iCs/>
          <w:sz w:val="18"/>
          <w:szCs w:val="18"/>
        </w:rPr>
        <w:t>=</w:t>
      </w:r>
      <w:r w:rsidR="00702BEF" w:rsidRPr="00772F6F">
        <w:rPr>
          <w:i/>
          <w:iCs/>
          <w:sz w:val="18"/>
          <w:szCs w:val="18"/>
        </w:rPr>
        <w:t xml:space="preserve"> </w:t>
      </w:r>
      <w:r w:rsidR="001D26EC" w:rsidRPr="00772F6F">
        <w:rPr>
          <w:i/>
          <w:iCs/>
          <w:sz w:val="18"/>
          <w:szCs w:val="18"/>
        </w:rPr>
        <w:t>3,976; 2016</w:t>
      </w:r>
      <w:r w:rsidR="00A02E8B" w:rsidRPr="00772F6F">
        <w:rPr>
          <w:i/>
          <w:iCs/>
          <w:sz w:val="18"/>
          <w:szCs w:val="18"/>
        </w:rPr>
        <w:t>,</w:t>
      </w:r>
      <w:r w:rsidR="001D26EC" w:rsidRPr="00772F6F">
        <w:rPr>
          <w:i/>
          <w:iCs/>
          <w:sz w:val="18"/>
          <w:szCs w:val="18"/>
        </w:rPr>
        <w:t xml:space="preserve"> n</w:t>
      </w:r>
      <w:r w:rsidR="00702BEF" w:rsidRPr="00772F6F">
        <w:rPr>
          <w:i/>
          <w:iCs/>
          <w:sz w:val="18"/>
          <w:szCs w:val="18"/>
        </w:rPr>
        <w:t xml:space="preserve"> </w:t>
      </w:r>
      <w:r w:rsidR="001D26EC" w:rsidRPr="00772F6F">
        <w:rPr>
          <w:i/>
          <w:iCs/>
          <w:sz w:val="18"/>
          <w:szCs w:val="18"/>
        </w:rPr>
        <w:t>=</w:t>
      </w:r>
      <w:r w:rsidR="00702BEF" w:rsidRPr="00772F6F">
        <w:rPr>
          <w:i/>
          <w:iCs/>
          <w:sz w:val="18"/>
          <w:szCs w:val="18"/>
        </w:rPr>
        <w:t xml:space="preserve"> </w:t>
      </w:r>
      <w:r w:rsidR="001D26EC" w:rsidRPr="00772F6F">
        <w:rPr>
          <w:i/>
          <w:iCs/>
          <w:sz w:val="18"/>
          <w:szCs w:val="18"/>
        </w:rPr>
        <w:t>4,022</w:t>
      </w:r>
      <w:r w:rsidR="005162CE" w:rsidRPr="00772F6F">
        <w:rPr>
          <w:i/>
          <w:iCs/>
          <w:sz w:val="18"/>
          <w:szCs w:val="18"/>
        </w:rPr>
        <w:t>; 2017</w:t>
      </w:r>
      <w:r w:rsidR="00A02E8B" w:rsidRPr="00772F6F">
        <w:rPr>
          <w:i/>
          <w:iCs/>
          <w:sz w:val="18"/>
          <w:szCs w:val="18"/>
        </w:rPr>
        <w:t>,</w:t>
      </w:r>
      <w:r w:rsidR="005162CE" w:rsidRPr="00772F6F">
        <w:rPr>
          <w:i/>
          <w:iCs/>
          <w:sz w:val="18"/>
          <w:szCs w:val="18"/>
        </w:rPr>
        <w:t xml:space="preserve"> n</w:t>
      </w:r>
      <w:r w:rsidR="00702BEF" w:rsidRPr="00772F6F">
        <w:rPr>
          <w:i/>
          <w:iCs/>
          <w:sz w:val="18"/>
          <w:szCs w:val="18"/>
        </w:rPr>
        <w:t xml:space="preserve"> </w:t>
      </w:r>
      <w:r w:rsidR="005162CE" w:rsidRPr="00772F6F">
        <w:rPr>
          <w:i/>
          <w:iCs/>
          <w:sz w:val="18"/>
          <w:szCs w:val="18"/>
        </w:rPr>
        <w:t>=</w:t>
      </w:r>
      <w:r w:rsidR="00702BEF" w:rsidRPr="00772F6F">
        <w:rPr>
          <w:i/>
          <w:iCs/>
          <w:sz w:val="18"/>
          <w:szCs w:val="18"/>
        </w:rPr>
        <w:t xml:space="preserve"> </w:t>
      </w:r>
      <w:r w:rsidR="005162CE" w:rsidRPr="00772F6F">
        <w:rPr>
          <w:i/>
          <w:iCs/>
          <w:sz w:val="18"/>
          <w:szCs w:val="18"/>
        </w:rPr>
        <w:t>6,447; 2018</w:t>
      </w:r>
      <w:r w:rsidR="00A02E8B" w:rsidRPr="00772F6F">
        <w:rPr>
          <w:i/>
          <w:iCs/>
          <w:sz w:val="18"/>
          <w:szCs w:val="18"/>
        </w:rPr>
        <w:t>,</w:t>
      </w:r>
      <w:r w:rsidR="005162CE" w:rsidRPr="00772F6F">
        <w:rPr>
          <w:i/>
          <w:iCs/>
          <w:sz w:val="18"/>
          <w:szCs w:val="18"/>
        </w:rPr>
        <w:t xml:space="preserve"> n</w:t>
      </w:r>
      <w:r w:rsidR="00702BEF" w:rsidRPr="00772F6F">
        <w:rPr>
          <w:i/>
          <w:iCs/>
          <w:sz w:val="18"/>
          <w:szCs w:val="18"/>
        </w:rPr>
        <w:t xml:space="preserve"> </w:t>
      </w:r>
      <w:r w:rsidR="005162CE" w:rsidRPr="00772F6F">
        <w:rPr>
          <w:i/>
          <w:iCs/>
          <w:sz w:val="18"/>
          <w:szCs w:val="18"/>
        </w:rPr>
        <w:t>=</w:t>
      </w:r>
      <w:r w:rsidR="00702BEF" w:rsidRPr="00772F6F">
        <w:rPr>
          <w:i/>
          <w:iCs/>
          <w:sz w:val="18"/>
          <w:szCs w:val="18"/>
        </w:rPr>
        <w:t xml:space="preserve"> </w:t>
      </w:r>
      <w:r w:rsidR="005162CE" w:rsidRPr="00772F6F">
        <w:rPr>
          <w:i/>
          <w:iCs/>
          <w:sz w:val="18"/>
          <w:szCs w:val="18"/>
        </w:rPr>
        <w:t>11,423</w:t>
      </w:r>
      <w:r w:rsidR="0064489D" w:rsidRPr="00772F6F">
        <w:rPr>
          <w:i/>
          <w:iCs/>
          <w:sz w:val="18"/>
          <w:szCs w:val="18"/>
        </w:rPr>
        <w:t xml:space="preserve">; 2019, </w:t>
      </w:r>
      <w:r w:rsidR="00261ADA" w:rsidRPr="00772F6F">
        <w:rPr>
          <w:i/>
          <w:iCs/>
          <w:sz w:val="18"/>
          <w:szCs w:val="18"/>
        </w:rPr>
        <w:t>n =</w:t>
      </w:r>
      <w:r w:rsidR="005C3613" w:rsidRPr="00772F6F">
        <w:rPr>
          <w:i/>
          <w:iCs/>
          <w:sz w:val="18"/>
          <w:szCs w:val="18"/>
        </w:rPr>
        <w:t>13,255;</w:t>
      </w:r>
      <w:r w:rsidR="00261ADA" w:rsidRPr="00772F6F">
        <w:rPr>
          <w:i/>
          <w:iCs/>
          <w:sz w:val="18"/>
          <w:szCs w:val="18"/>
        </w:rPr>
        <w:t xml:space="preserve"> 2020, n</w:t>
      </w:r>
      <w:r w:rsidR="002A0ED1" w:rsidRPr="00772F6F">
        <w:rPr>
          <w:i/>
          <w:iCs/>
          <w:sz w:val="18"/>
          <w:szCs w:val="18"/>
        </w:rPr>
        <w:t xml:space="preserve"> </w:t>
      </w:r>
      <w:r w:rsidR="00261ADA" w:rsidRPr="00772F6F">
        <w:rPr>
          <w:i/>
          <w:iCs/>
          <w:sz w:val="18"/>
          <w:szCs w:val="18"/>
        </w:rPr>
        <w:t>=</w:t>
      </w:r>
      <w:r w:rsidR="002A0ED1" w:rsidRPr="00772F6F">
        <w:rPr>
          <w:i/>
          <w:iCs/>
          <w:sz w:val="18"/>
          <w:szCs w:val="18"/>
        </w:rPr>
        <w:t xml:space="preserve"> </w:t>
      </w:r>
      <w:r w:rsidR="00261ADA" w:rsidRPr="00772F6F">
        <w:rPr>
          <w:i/>
          <w:iCs/>
          <w:color w:val="000000"/>
          <w:sz w:val="18"/>
          <w:szCs w:val="18"/>
        </w:rPr>
        <w:t>44,551</w:t>
      </w:r>
      <w:r w:rsidR="00EA132D" w:rsidRPr="00772F6F">
        <w:rPr>
          <w:i/>
          <w:iCs/>
          <w:color w:val="000000"/>
          <w:sz w:val="18"/>
          <w:szCs w:val="18"/>
        </w:rPr>
        <w:t>;</w:t>
      </w:r>
      <w:r w:rsidR="00CE1675" w:rsidRPr="00772F6F">
        <w:rPr>
          <w:i/>
          <w:iCs/>
          <w:color w:val="000000"/>
          <w:sz w:val="18"/>
          <w:szCs w:val="18"/>
        </w:rPr>
        <w:t xml:space="preserve"> </w:t>
      </w:r>
      <w:r w:rsidR="00261ADA" w:rsidRPr="00772F6F">
        <w:rPr>
          <w:i/>
          <w:iCs/>
          <w:sz w:val="18"/>
          <w:szCs w:val="18"/>
        </w:rPr>
        <w:t xml:space="preserve">2021, </w:t>
      </w:r>
      <w:r w:rsidR="0064489D" w:rsidRPr="00772F6F">
        <w:rPr>
          <w:i/>
          <w:iCs/>
          <w:sz w:val="18"/>
          <w:szCs w:val="18"/>
        </w:rPr>
        <w:t>n</w:t>
      </w:r>
      <w:r w:rsidR="002A0ED1" w:rsidRPr="00772F6F">
        <w:rPr>
          <w:i/>
          <w:iCs/>
          <w:sz w:val="18"/>
          <w:szCs w:val="18"/>
        </w:rPr>
        <w:t xml:space="preserve"> </w:t>
      </w:r>
      <w:r w:rsidR="0064489D" w:rsidRPr="00772F6F">
        <w:rPr>
          <w:i/>
          <w:iCs/>
          <w:sz w:val="18"/>
          <w:szCs w:val="18"/>
        </w:rPr>
        <w:t>=</w:t>
      </w:r>
      <w:r w:rsidR="00261ADA" w:rsidRPr="00772F6F">
        <w:rPr>
          <w:i/>
          <w:iCs/>
          <w:sz w:val="18"/>
          <w:szCs w:val="18"/>
        </w:rPr>
        <w:t xml:space="preserve"> 131,050</w:t>
      </w:r>
      <w:r w:rsidR="00CE1675" w:rsidRPr="00772F6F">
        <w:rPr>
          <w:i/>
          <w:iCs/>
          <w:sz w:val="18"/>
          <w:szCs w:val="18"/>
        </w:rPr>
        <w:t>; 2022, n</w:t>
      </w:r>
      <w:r w:rsidR="002A0ED1" w:rsidRPr="00772F6F">
        <w:rPr>
          <w:i/>
          <w:iCs/>
          <w:sz w:val="18"/>
          <w:szCs w:val="18"/>
        </w:rPr>
        <w:t xml:space="preserve"> </w:t>
      </w:r>
      <w:r w:rsidR="00CE1675" w:rsidRPr="00772F6F">
        <w:rPr>
          <w:i/>
          <w:iCs/>
          <w:sz w:val="18"/>
          <w:szCs w:val="18"/>
        </w:rPr>
        <w:t>=</w:t>
      </w:r>
      <w:r w:rsidR="002A0ED1" w:rsidRPr="00772F6F">
        <w:rPr>
          <w:i/>
          <w:iCs/>
          <w:sz w:val="18"/>
          <w:szCs w:val="18"/>
        </w:rPr>
        <w:t xml:space="preserve"> </w:t>
      </w:r>
      <w:r w:rsidR="00CE1675" w:rsidRPr="00772F6F">
        <w:rPr>
          <w:i/>
          <w:iCs/>
          <w:color w:val="000000"/>
          <w:sz w:val="18"/>
          <w:szCs w:val="18"/>
        </w:rPr>
        <w:t>115,468</w:t>
      </w:r>
    </w:p>
    <w:p w14:paraId="2D9C6256" w14:textId="49F017D9" w:rsidR="00DA0438" w:rsidRPr="00772F6F" w:rsidRDefault="00DA0438" w:rsidP="00241773">
      <w:pPr>
        <w:pStyle w:val="Tablecaption"/>
        <w:rPr>
          <w:sz w:val="20"/>
        </w:rPr>
      </w:pPr>
      <w:bookmarkStart w:id="1127" w:name="_Toc18908744"/>
      <w:bookmarkStart w:id="1128" w:name="_Toc132491543"/>
      <w:bookmarkStart w:id="1129" w:name="_Toc140834934"/>
      <w:bookmarkEnd w:id="1126"/>
      <w:r w:rsidRPr="00772F6F">
        <w:rPr>
          <w:sz w:val="20"/>
        </w:rPr>
        <w:t>Table 16.1</w:t>
      </w:r>
      <w:r w:rsidR="00D13361" w:rsidRPr="00772F6F">
        <w:rPr>
          <w:sz w:val="20"/>
        </w:rPr>
        <w:t>:</w:t>
      </w:r>
      <w:r w:rsidRPr="00772F6F">
        <w:rPr>
          <w:sz w:val="20"/>
        </w:rPr>
        <w:t xml:space="preserve"> Proportion of women who have a mammogram by BreastScreen Victoria who rate the service from highly satisfactory to unsure</w:t>
      </w:r>
      <w:r w:rsidR="002426D7" w:rsidRPr="00772F6F">
        <w:rPr>
          <w:sz w:val="20"/>
        </w:rPr>
        <w:t>, 2014–20</w:t>
      </w:r>
      <w:r w:rsidR="00BC68B8" w:rsidRPr="00772F6F">
        <w:rPr>
          <w:sz w:val="20"/>
        </w:rPr>
        <w:t>2</w:t>
      </w:r>
      <w:bookmarkEnd w:id="1127"/>
      <w:r w:rsidR="00CE1675" w:rsidRPr="00772F6F">
        <w:rPr>
          <w:sz w:val="20"/>
        </w:rPr>
        <w:t>2</w:t>
      </w:r>
      <w:bookmarkEnd w:id="1128"/>
      <w:bookmarkEnd w:id="1129"/>
    </w:p>
    <w:tbl>
      <w:tblPr>
        <w:tblW w:w="9140" w:type="dxa"/>
        <w:jc w:val="center"/>
        <w:tblLook w:val="04A0" w:firstRow="1" w:lastRow="0" w:firstColumn="1" w:lastColumn="0" w:noHBand="0" w:noVBand="1"/>
      </w:tblPr>
      <w:tblGrid>
        <w:gridCol w:w="2208"/>
        <w:gridCol w:w="1012"/>
        <w:gridCol w:w="851"/>
        <w:gridCol w:w="777"/>
        <w:gridCol w:w="843"/>
        <w:gridCol w:w="712"/>
        <w:gridCol w:w="699"/>
        <w:gridCol w:w="699"/>
        <w:gridCol w:w="699"/>
        <w:gridCol w:w="684"/>
      </w:tblGrid>
      <w:tr w:rsidR="00CE1675" w:rsidRPr="00901923" w14:paraId="64AE4225" w14:textId="0610D418" w:rsidTr="00B9737C">
        <w:trPr>
          <w:trHeight w:val="268"/>
          <w:tblHeader/>
          <w:jc w:val="center"/>
        </w:trPr>
        <w:tc>
          <w:tcPr>
            <w:tcW w:w="2208" w:type="dxa"/>
            <w:tcBorders>
              <w:top w:val="nil"/>
              <w:left w:val="nil"/>
              <w:bottom w:val="single" w:sz="8" w:space="0" w:color="C00000"/>
              <w:right w:val="nil"/>
            </w:tcBorders>
            <w:shd w:val="clear" w:color="000000" w:fill="EDCDCF"/>
            <w:noWrap/>
            <w:vAlign w:val="center"/>
            <w:hideMark/>
          </w:tcPr>
          <w:p w14:paraId="0A37007C" w14:textId="77777777" w:rsidR="00CE1675" w:rsidRPr="00901923" w:rsidRDefault="00CE1675" w:rsidP="00B9737C">
            <w:pPr>
              <w:pStyle w:val="Tablecolhead"/>
            </w:pPr>
            <w:r w:rsidRPr="00901923">
              <w:t>Question 21</w:t>
            </w:r>
          </w:p>
        </w:tc>
        <w:tc>
          <w:tcPr>
            <w:tcW w:w="1012" w:type="dxa"/>
            <w:tcBorders>
              <w:top w:val="nil"/>
              <w:left w:val="nil"/>
              <w:bottom w:val="single" w:sz="8" w:space="0" w:color="C00000"/>
              <w:right w:val="nil"/>
            </w:tcBorders>
            <w:shd w:val="clear" w:color="000000" w:fill="EDCDCF"/>
            <w:noWrap/>
            <w:vAlign w:val="center"/>
            <w:hideMark/>
          </w:tcPr>
          <w:p w14:paraId="7B1A53E9" w14:textId="77777777" w:rsidR="00CE1675" w:rsidRPr="00901923" w:rsidRDefault="00CE1675" w:rsidP="00B9737C">
            <w:pPr>
              <w:pStyle w:val="Tablecolhead"/>
            </w:pPr>
            <w:r w:rsidRPr="00901923">
              <w:t>2014</w:t>
            </w:r>
          </w:p>
        </w:tc>
        <w:tc>
          <w:tcPr>
            <w:tcW w:w="851" w:type="dxa"/>
            <w:tcBorders>
              <w:top w:val="nil"/>
              <w:left w:val="nil"/>
              <w:bottom w:val="single" w:sz="8" w:space="0" w:color="C00000"/>
              <w:right w:val="nil"/>
            </w:tcBorders>
            <w:shd w:val="clear" w:color="000000" w:fill="EDCDCF"/>
            <w:noWrap/>
            <w:vAlign w:val="center"/>
            <w:hideMark/>
          </w:tcPr>
          <w:p w14:paraId="3C11FAB2" w14:textId="77777777" w:rsidR="00CE1675" w:rsidRPr="00901923" w:rsidRDefault="00CE1675" w:rsidP="00B9737C">
            <w:pPr>
              <w:pStyle w:val="Tablecolhead"/>
            </w:pPr>
            <w:r w:rsidRPr="00901923">
              <w:t>2015</w:t>
            </w:r>
          </w:p>
        </w:tc>
        <w:tc>
          <w:tcPr>
            <w:tcW w:w="777" w:type="dxa"/>
            <w:tcBorders>
              <w:top w:val="nil"/>
              <w:left w:val="nil"/>
              <w:bottom w:val="single" w:sz="8" w:space="0" w:color="C00000"/>
              <w:right w:val="nil"/>
            </w:tcBorders>
            <w:shd w:val="clear" w:color="000000" w:fill="EDCDCF"/>
            <w:noWrap/>
            <w:vAlign w:val="center"/>
            <w:hideMark/>
          </w:tcPr>
          <w:p w14:paraId="18CB4B9E" w14:textId="77777777" w:rsidR="00CE1675" w:rsidRPr="00901923" w:rsidRDefault="00CE1675" w:rsidP="00B9737C">
            <w:pPr>
              <w:pStyle w:val="Tablecolhead"/>
            </w:pPr>
            <w:r w:rsidRPr="00901923">
              <w:t>2016</w:t>
            </w:r>
          </w:p>
        </w:tc>
        <w:tc>
          <w:tcPr>
            <w:tcW w:w="843" w:type="dxa"/>
            <w:tcBorders>
              <w:top w:val="nil"/>
              <w:left w:val="nil"/>
              <w:bottom w:val="single" w:sz="8" w:space="0" w:color="C00000"/>
              <w:right w:val="nil"/>
            </w:tcBorders>
            <w:shd w:val="clear" w:color="000000" w:fill="EDCDCF"/>
            <w:noWrap/>
            <w:vAlign w:val="center"/>
            <w:hideMark/>
          </w:tcPr>
          <w:p w14:paraId="4A20B4C7" w14:textId="77777777" w:rsidR="00CE1675" w:rsidRPr="00901923" w:rsidRDefault="00CE1675" w:rsidP="00B9737C">
            <w:pPr>
              <w:pStyle w:val="Tablecolhead"/>
            </w:pPr>
            <w:r w:rsidRPr="00901923">
              <w:t>2017</w:t>
            </w:r>
          </w:p>
        </w:tc>
        <w:tc>
          <w:tcPr>
            <w:tcW w:w="712" w:type="dxa"/>
            <w:tcBorders>
              <w:top w:val="nil"/>
              <w:left w:val="nil"/>
              <w:bottom w:val="single" w:sz="8" w:space="0" w:color="C00000"/>
              <w:right w:val="nil"/>
            </w:tcBorders>
            <w:shd w:val="clear" w:color="000000" w:fill="EDCDCF"/>
            <w:noWrap/>
            <w:vAlign w:val="center"/>
            <w:hideMark/>
          </w:tcPr>
          <w:p w14:paraId="63C421F7" w14:textId="77777777" w:rsidR="00CE1675" w:rsidRPr="00901923" w:rsidRDefault="00CE1675" w:rsidP="00B9737C">
            <w:pPr>
              <w:pStyle w:val="Tablecolhead"/>
            </w:pPr>
            <w:r w:rsidRPr="00901923">
              <w:t>2018</w:t>
            </w:r>
          </w:p>
        </w:tc>
        <w:tc>
          <w:tcPr>
            <w:tcW w:w="699" w:type="dxa"/>
            <w:tcBorders>
              <w:top w:val="nil"/>
              <w:left w:val="nil"/>
              <w:bottom w:val="single" w:sz="8" w:space="0" w:color="C00000"/>
              <w:right w:val="nil"/>
            </w:tcBorders>
            <w:shd w:val="clear" w:color="000000" w:fill="EDCDCF"/>
            <w:vAlign w:val="center"/>
            <w:hideMark/>
          </w:tcPr>
          <w:p w14:paraId="7657DB3E" w14:textId="77777777" w:rsidR="00CE1675" w:rsidRPr="00901923" w:rsidRDefault="00CE1675" w:rsidP="00B9737C">
            <w:pPr>
              <w:pStyle w:val="Tablecolhead"/>
            </w:pPr>
            <w:r w:rsidRPr="00901923">
              <w:t>2019</w:t>
            </w:r>
          </w:p>
        </w:tc>
        <w:tc>
          <w:tcPr>
            <w:tcW w:w="699" w:type="dxa"/>
            <w:tcBorders>
              <w:top w:val="nil"/>
              <w:left w:val="nil"/>
              <w:bottom w:val="single" w:sz="8" w:space="0" w:color="C00000"/>
              <w:right w:val="nil"/>
            </w:tcBorders>
            <w:shd w:val="clear" w:color="000000" w:fill="EDCDCF"/>
            <w:vAlign w:val="center"/>
            <w:hideMark/>
          </w:tcPr>
          <w:p w14:paraId="2382C38D" w14:textId="77777777" w:rsidR="00CE1675" w:rsidRPr="00901923" w:rsidRDefault="00CE1675" w:rsidP="00B9737C">
            <w:pPr>
              <w:pStyle w:val="Tablecolhead"/>
            </w:pPr>
            <w:r w:rsidRPr="00901923">
              <w:t>2020</w:t>
            </w:r>
          </w:p>
        </w:tc>
        <w:tc>
          <w:tcPr>
            <w:tcW w:w="699" w:type="dxa"/>
            <w:tcBorders>
              <w:top w:val="nil"/>
              <w:left w:val="nil"/>
              <w:bottom w:val="single" w:sz="8" w:space="0" w:color="C00000"/>
              <w:right w:val="nil"/>
            </w:tcBorders>
            <w:shd w:val="clear" w:color="000000" w:fill="EDCDCF"/>
            <w:vAlign w:val="center"/>
            <w:hideMark/>
          </w:tcPr>
          <w:p w14:paraId="6A94AC98" w14:textId="77777777" w:rsidR="00CE1675" w:rsidRPr="00901923" w:rsidRDefault="00CE1675" w:rsidP="00B9737C">
            <w:pPr>
              <w:pStyle w:val="Tablecolhead"/>
            </w:pPr>
            <w:r w:rsidRPr="00901923">
              <w:t>2021</w:t>
            </w:r>
          </w:p>
        </w:tc>
        <w:tc>
          <w:tcPr>
            <w:tcW w:w="640" w:type="dxa"/>
            <w:tcBorders>
              <w:top w:val="nil"/>
              <w:left w:val="nil"/>
              <w:bottom w:val="single" w:sz="8" w:space="0" w:color="C00000"/>
              <w:right w:val="nil"/>
            </w:tcBorders>
            <w:shd w:val="clear" w:color="000000" w:fill="EDCDCF"/>
            <w:vAlign w:val="center"/>
          </w:tcPr>
          <w:p w14:paraId="4EA55DC2" w14:textId="1F795DD3" w:rsidR="00CE1675" w:rsidRPr="00901923" w:rsidRDefault="00CE1675" w:rsidP="00B9737C">
            <w:pPr>
              <w:pStyle w:val="Tablecolhead"/>
            </w:pPr>
            <w:r>
              <w:t>2022</w:t>
            </w:r>
          </w:p>
        </w:tc>
      </w:tr>
      <w:tr w:rsidR="00CE1675" w:rsidRPr="00901923" w14:paraId="37460554" w14:textId="390AA86E" w:rsidTr="00CE1675">
        <w:trPr>
          <w:trHeight w:val="268"/>
          <w:jc w:val="center"/>
        </w:trPr>
        <w:tc>
          <w:tcPr>
            <w:tcW w:w="2208" w:type="dxa"/>
            <w:tcBorders>
              <w:top w:val="nil"/>
              <w:left w:val="nil"/>
              <w:bottom w:val="single" w:sz="8" w:space="0" w:color="C00000"/>
              <w:right w:val="nil"/>
            </w:tcBorders>
            <w:shd w:val="clear" w:color="000000" w:fill="FFFFFF"/>
            <w:noWrap/>
            <w:vAlign w:val="center"/>
            <w:hideMark/>
          </w:tcPr>
          <w:p w14:paraId="0C2C7A1C" w14:textId="77777777" w:rsidR="00CE1675" w:rsidRPr="00901923" w:rsidRDefault="00CE1675" w:rsidP="00B9737C">
            <w:pPr>
              <w:pStyle w:val="Tabletext"/>
              <w:rPr>
                <w:color w:val="000000"/>
              </w:rPr>
            </w:pPr>
            <w:r w:rsidRPr="00901923">
              <w:t xml:space="preserve">Highly satisfied </w:t>
            </w:r>
          </w:p>
        </w:tc>
        <w:tc>
          <w:tcPr>
            <w:tcW w:w="1012" w:type="dxa"/>
            <w:tcBorders>
              <w:top w:val="nil"/>
              <w:left w:val="nil"/>
              <w:bottom w:val="single" w:sz="8" w:space="0" w:color="C00000"/>
              <w:right w:val="nil"/>
            </w:tcBorders>
            <w:shd w:val="clear" w:color="000000" w:fill="FFFFFF"/>
            <w:noWrap/>
            <w:vAlign w:val="center"/>
            <w:hideMark/>
          </w:tcPr>
          <w:p w14:paraId="21553088" w14:textId="55334E0A" w:rsidR="00CE1675" w:rsidRPr="00901923" w:rsidRDefault="00CE1675" w:rsidP="00B9737C">
            <w:pPr>
              <w:pStyle w:val="Tabletext"/>
              <w:rPr>
                <w:color w:val="000000"/>
              </w:rPr>
            </w:pPr>
            <w:r w:rsidRPr="00901923">
              <w:t>9</w:t>
            </w:r>
            <w:r w:rsidR="00301B95">
              <w:t>0</w:t>
            </w:r>
            <w:r w:rsidRPr="00901923">
              <w:t>%</w:t>
            </w:r>
          </w:p>
        </w:tc>
        <w:tc>
          <w:tcPr>
            <w:tcW w:w="851" w:type="dxa"/>
            <w:tcBorders>
              <w:top w:val="nil"/>
              <w:left w:val="nil"/>
              <w:bottom w:val="single" w:sz="8" w:space="0" w:color="C00000"/>
              <w:right w:val="nil"/>
            </w:tcBorders>
            <w:shd w:val="clear" w:color="000000" w:fill="FFFFFF"/>
            <w:noWrap/>
            <w:vAlign w:val="center"/>
            <w:hideMark/>
          </w:tcPr>
          <w:p w14:paraId="5C339943" w14:textId="77777777" w:rsidR="00CE1675" w:rsidRPr="00901923" w:rsidRDefault="00CE1675" w:rsidP="00B9737C">
            <w:pPr>
              <w:pStyle w:val="Tabletext"/>
              <w:rPr>
                <w:color w:val="000000"/>
              </w:rPr>
            </w:pPr>
            <w:r w:rsidRPr="00901923">
              <w:t>90%</w:t>
            </w:r>
          </w:p>
        </w:tc>
        <w:tc>
          <w:tcPr>
            <w:tcW w:w="777" w:type="dxa"/>
            <w:tcBorders>
              <w:top w:val="nil"/>
              <w:left w:val="nil"/>
              <w:bottom w:val="single" w:sz="8" w:space="0" w:color="C00000"/>
              <w:right w:val="nil"/>
            </w:tcBorders>
            <w:shd w:val="clear" w:color="000000" w:fill="FFFFFF"/>
            <w:noWrap/>
            <w:vAlign w:val="center"/>
            <w:hideMark/>
          </w:tcPr>
          <w:p w14:paraId="428B8099" w14:textId="77777777" w:rsidR="00CE1675" w:rsidRPr="00901923" w:rsidRDefault="00CE1675" w:rsidP="00B9737C">
            <w:pPr>
              <w:pStyle w:val="Tabletext"/>
              <w:rPr>
                <w:color w:val="000000"/>
              </w:rPr>
            </w:pPr>
            <w:r w:rsidRPr="00901923">
              <w:t>91%</w:t>
            </w:r>
          </w:p>
        </w:tc>
        <w:tc>
          <w:tcPr>
            <w:tcW w:w="843" w:type="dxa"/>
            <w:tcBorders>
              <w:top w:val="nil"/>
              <w:left w:val="nil"/>
              <w:bottom w:val="single" w:sz="8" w:space="0" w:color="C00000"/>
              <w:right w:val="nil"/>
            </w:tcBorders>
            <w:shd w:val="clear" w:color="000000" w:fill="FFFFFF"/>
            <w:noWrap/>
            <w:vAlign w:val="center"/>
            <w:hideMark/>
          </w:tcPr>
          <w:p w14:paraId="7CD13E93" w14:textId="77777777" w:rsidR="00CE1675" w:rsidRPr="00901923" w:rsidRDefault="00CE1675" w:rsidP="00B9737C">
            <w:pPr>
              <w:pStyle w:val="Tabletext"/>
              <w:rPr>
                <w:color w:val="000000"/>
              </w:rPr>
            </w:pPr>
            <w:r w:rsidRPr="00901923">
              <w:t>92%</w:t>
            </w:r>
          </w:p>
        </w:tc>
        <w:tc>
          <w:tcPr>
            <w:tcW w:w="712" w:type="dxa"/>
            <w:tcBorders>
              <w:top w:val="nil"/>
              <w:left w:val="nil"/>
              <w:bottom w:val="single" w:sz="8" w:space="0" w:color="C00000"/>
              <w:right w:val="nil"/>
            </w:tcBorders>
            <w:shd w:val="clear" w:color="000000" w:fill="FFFFFF"/>
            <w:noWrap/>
            <w:vAlign w:val="center"/>
            <w:hideMark/>
          </w:tcPr>
          <w:p w14:paraId="025A9B2C" w14:textId="77777777" w:rsidR="00CE1675" w:rsidRPr="00901923" w:rsidRDefault="00CE1675" w:rsidP="00B9737C">
            <w:pPr>
              <w:pStyle w:val="Tabletext"/>
              <w:rPr>
                <w:color w:val="000000"/>
              </w:rPr>
            </w:pPr>
            <w:r w:rsidRPr="00901923">
              <w:t>93%</w:t>
            </w:r>
          </w:p>
        </w:tc>
        <w:tc>
          <w:tcPr>
            <w:tcW w:w="699" w:type="dxa"/>
            <w:tcBorders>
              <w:top w:val="nil"/>
              <w:left w:val="nil"/>
              <w:bottom w:val="single" w:sz="8" w:space="0" w:color="C00000"/>
              <w:right w:val="nil"/>
            </w:tcBorders>
            <w:shd w:val="clear" w:color="000000" w:fill="FFFFFF"/>
            <w:vAlign w:val="center"/>
            <w:hideMark/>
          </w:tcPr>
          <w:p w14:paraId="68FF8D92" w14:textId="77777777" w:rsidR="00CE1675" w:rsidRPr="00901923" w:rsidRDefault="00CE1675" w:rsidP="00B9737C">
            <w:pPr>
              <w:pStyle w:val="Tabletext"/>
              <w:rPr>
                <w:color w:val="000000"/>
              </w:rPr>
            </w:pPr>
            <w:r w:rsidRPr="00901923">
              <w:t>91%</w:t>
            </w:r>
          </w:p>
        </w:tc>
        <w:tc>
          <w:tcPr>
            <w:tcW w:w="699" w:type="dxa"/>
            <w:tcBorders>
              <w:top w:val="nil"/>
              <w:left w:val="nil"/>
              <w:bottom w:val="single" w:sz="8" w:space="0" w:color="C00000"/>
              <w:right w:val="nil"/>
            </w:tcBorders>
            <w:shd w:val="clear" w:color="000000" w:fill="FFFFFF"/>
            <w:vAlign w:val="center"/>
            <w:hideMark/>
          </w:tcPr>
          <w:p w14:paraId="2EE708C9" w14:textId="77777777" w:rsidR="00CE1675" w:rsidRPr="00901923" w:rsidRDefault="00CE1675" w:rsidP="00B9737C">
            <w:pPr>
              <w:pStyle w:val="Tabletext"/>
            </w:pPr>
            <w:r w:rsidRPr="00901923">
              <w:t>91%</w:t>
            </w:r>
          </w:p>
        </w:tc>
        <w:tc>
          <w:tcPr>
            <w:tcW w:w="699" w:type="dxa"/>
            <w:tcBorders>
              <w:top w:val="nil"/>
              <w:left w:val="nil"/>
              <w:bottom w:val="single" w:sz="8" w:space="0" w:color="C00000"/>
              <w:right w:val="nil"/>
            </w:tcBorders>
            <w:shd w:val="clear" w:color="000000" w:fill="FFFFFF"/>
            <w:vAlign w:val="center"/>
            <w:hideMark/>
          </w:tcPr>
          <w:p w14:paraId="7048E354" w14:textId="001E1100" w:rsidR="00CE1675" w:rsidRPr="00901923" w:rsidRDefault="00CE1675" w:rsidP="00B9737C">
            <w:pPr>
              <w:pStyle w:val="Tabletext"/>
            </w:pPr>
            <w:r w:rsidRPr="00901923">
              <w:t>90</w:t>
            </w:r>
            <w:r>
              <w:t>%</w:t>
            </w:r>
          </w:p>
        </w:tc>
        <w:tc>
          <w:tcPr>
            <w:tcW w:w="640" w:type="dxa"/>
            <w:tcBorders>
              <w:top w:val="nil"/>
              <w:left w:val="nil"/>
              <w:bottom w:val="single" w:sz="8" w:space="0" w:color="C00000"/>
              <w:right w:val="nil"/>
            </w:tcBorders>
            <w:shd w:val="clear" w:color="000000" w:fill="FFFFFF"/>
          </w:tcPr>
          <w:p w14:paraId="68EC4C57" w14:textId="6F87940F" w:rsidR="00CE1675" w:rsidRPr="00901923" w:rsidRDefault="00CE1675" w:rsidP="00B9737C">
            <w:pPr>
              <w:pStyle w:val="Tabletext"/>
            </w:pPr>
            <w:r>
              <w:t>91%</w:t>
            </w:r>
          </w:p>
        </w:tc>
      </w:tr>
      <w:tr w:rsidR="00CE1675" w:rsidRPr="00901923" w14:paraId="32096F2B" w14:textId="4C399147" w:rsidTr="00CE1675">
        <w:trPr>
          <w:trHeight w:val="268"/>
          <w:jc w:val="center"/>
        </w:trPr>
        <w:tc>
          <w:tcPr>
            <w:tcW w:w="2208" w:type="dxa"/>
            <w:tcBorders>
              <w:top w:val="nil"/>
              <w:left w:val="nil"/>
              <w:bottom w:val="single" w:sz="8" w:space="0" w:color="C00000"/>
              <w:right w:val="nil"/>
            </w:tcBorders>
            <w:shd w:val="clear" w:color="000000" w:fill="FFFFFF"/>
            <w:noWrap/>
            <w:vAlign w:val="center"/>
            <w:hideMark/>
          </w:tcPr>
          <w:p w14:paraId="14472C14" w14:textId="77777777" w:rsidR="00CE1675" w:rsidRPr="00901923" w:rsidRDefault="00CE1675" w:rsidP="00B9737C">
            <w:pPr>
              <w:pStyle w:val="Tabletext"/>
              <w:rPr>
                <w:color w:val="000000"/>
              </w:rPr>
            </w:pPr>
            <w:r w:rsidRPr="00901923">
              <w:t xml:space="preserve">Somewhat satisfied </w:t>
            </w:r>
          </w:p>
        </w:tc>
        <w:tc>
          <w:tcPr>
            <w:tcW w:w="1012" w:type="dxa"/>
            <w:tcBorders>
              <w:top w:val="nil"/>
              <w:left w:val="nil"/>
              <w:bottom w:val="single" w:sz="8" w:space="0" w:color="C00000"/>
              <w:right w:val="nil"/>
            </w:tcBorders>
            <w:shd w:val="clear" w:color="000000" w:fill="FFFFFF"/>
            <w:noWrap/>
            <w:vAlign w:val="center"/>
            <w:hideMark/>
          </w:tcPr>
          <w:p w14:paraId="0972B676" w14:textId="77777777" w:rsidR="00CE1675" w:rsidRPr="00901923" w:rsidRDefault="00CE1675" w:rsidP="00B9737C">
            <w:pPr>
              <w:pStyle w:val="Tabletext"/>
              <w:rPr>
                <w:color w:val="000000"/>
              </w:rPr>
            </w:pPr>
            <w:r w:rsidRPr="00901923">
              <w:t>8%</w:t>
            </w:r>
          </w:p>
        </w:tc>
        <w:tc>
          <w:tcPr>
            <w:tcW w:w="851" w:type="dxa"/>
            <w:tcBorders>
              <w:top w:val="nil"/>
              <w:left w:val="nil"/>
              <w:bottom w:val="single" w:sz="8" w:space="0" w:color="C00000"/>
              <w:right w:val="nil"/>
            </w:tcBorders>
            <w:shd w:val="clear" w:color="000000" w:fill="FFFFFF"/>
            <w:noWrap/>
            <w:vAlign w:val="center"/>
            <w:hideMark/>
          </w:tcPr>
          <w:p w14:paraId="10CE9361" w14:textId="77777777" w:rsidR="00CE1675" w:rsidRPr="00901923" w:rsidRDefault="00CE1675" w:rsidP="00B9737C">
            <w:pPr>
              <w:pStyle w:val="Tabletext"/>
              <w:rPr>
                <w:color w:val="000000"/>
              </w:rPr>
            </w:pPr>
            <w:r w:rsidRPr="00901923">
              <w:t>8%</w:t>
            </w:r>
          </w:p>
        </w:tc>
        <w:tc>
          <w:tcPr>
            <w:tcW w:w="777" w:type="dxa"/>
            <w:tcBorders>
              <w:top w:val="nil"/>
              <w:left w:val="nil"/>
              <w:bottom w:val="single" w:sz="8" w:space="0" w:color="C00000"/>
              <w:right w:val="nil"/>
            </w:tcBorders>
            <w:shd w:val="clear" w:color="000000" w:fill="FFFFFF"/>
            <w:noWrap/>
            <w:vAlign w:val="center"/>
            <w:hideMark/>
          </w:tcPr>
          <w:p w14:paraId="5FF8A0CA" w14:textId="77777777" w:rsidR="00CE1675" w:rsidRPr="00901923" w:rsidRDefault="00CE1675" w:rsidP="00B9737C">
            <w:pPr>
              <w:pStyle w:val="Tabletext"/>
              <w:rPr>
                <w:color w:val="000000"/>
              </w:rPr>
            </w:pPr>
            <w:r w:rsidRPr="00901923">
              <w:t>7%</w:t>
            </w:r>
          </w:p>
        </w:tc>
        <w:tc>
          <w:tcPr>
            <w:tcW w:w="843" w:type="dxa"/>
            <w:tcBorders>
              <w:top w:val="nil"/>
              <w:left w:val="nil"/>
              <w:bottom w:val="single" w:sz="8" w:space="0" w:color="C00000"/>
              <w:right w:val="nil"/>
            </w:tcBorders>
            <w:shd w:val="clear" w:color="000000" w:fill="FFFFFF"/>
            <w:noWrap/>
            <w:vAlign w:val="center"/>
            <w:hideMark/>
          </w:tcPr>
          <w:p w14:paraId="603D5A32" w14:textId="77777777" w:rsidR="00CE1675" w:rsidRPr="00901923" w:rsidRDefault="00CE1675" w:rsidP="00B9737C">
            <w:pPr>
              <w:pStyle w:val="Tabletext"/>
              <w:rPr>
                <w:color w:val="000000"/>
              </w:rPr>
            </w:pPr>
            <w:r w:rsidRPr="00901923">
              <w:t>7%</w:t>
            </w:r>
          </w:p>
        </w:tc>
        <w:tc>
          <w:tcPr>
            <w:tcW w:w="712" w:type="dxa"/>
            <w:tcBorders>
              <w:top w:val="nil"/>
              <w:left w:val="nil"/>
              <w:bottom w:val="single" w:sz="8" w:space="0" w:color="C00000"/>
              <w:right w:val="nil"/>
            </w:tcBorders>
            <w:shd w:val="clear" w:color="000000" w:fill="FFFFFF"/>
            <w:noWrap/>
            <w:vAlign w:val="center"/>
            <w:hideMark/>
          </w:tcPr>
          <w:p w14:paraId="2CBA10D3" w14:textId="77777777" w:rsidR="00CE1675" w:rsidRPr="00901923" w:rsidRDefault="00CE1675" w:rsidP="00B9737C">
            <w:pPr>
              <w:pStyle w:val="Tabletext"/>
              <w:rPr>
                <w:color w:val="000000"/>
              </w:rPr>
            </w:pPr>
            <w:r w:rsidRPr="00901923">
              <w:t>6%</w:t>
            </w:r>
          </w:p>
        </w:tc>
        <w:tc>
          <w:tcPr>
            <w:tcW w:w="699" w:type="dxa"/>
            <w:tcBorders>
              <w:top w:val="nil"/>
              <w:left w:val="nil"/>
              <w:bottom w:val="single" w:sz="8" w:space="0" w:color="C00000"/>
              <w:right w:val="nil"/>
            </w:tcBorders>
            <w:shd w:val="clear" w:color="000000" w:fill="FFFFFF"/>
            <w:vAlign w:val="center"/>
            <w:hideMark/>
          </w:tcPr>
          <w:p w14:paraId="79242E43" w14:textId="77777777" w:rsidR="00CE1675" w:rsidRPr="00901923" w:rsidRDefault="00CE1675" w:rsidP="00B9737C">
            <w:pPr>
              <w:pStyle w:val="Tabletext"/>
              <w:rPr>
                <w:color w:val="000000"/>
              </w:rPr>
            </w:pPr>
            <w:r w:rsidRPr="00901923">
              <w:t>7%</w:t>
            </w:r>
          </w:p>
        </w:tc>
        <w:tc>
          <w:tcPr>
            <w:tcW w:w="699" w:type="dxa"/>
            <w:tcBorders>
              <w:top w:val="nil"/>
              <w:left w:val="nil"/>
              <w:bottom w:val="single" w:sz="8" w:space="0" w:color="C00000"/>
              <w:right w:val="nil"/>
            </w:tcBorders>
            <w:shd w:val="clear" w:color="000000" w:fill="FFFFFF"/>
            <w:vAlign w:val="center"/>
            <w:hideMark/>
          </w:tcPr>
          <w:p w14:paraId="7C0FC8B5" w14:textId="77777777" w:rsidR="00CE1675" w:rsidRPr="00901923" w:rsidRDefault="00CE1675" w:rsidP="00B9737C">
            <w:pPr>
              <w:pStyle w:val="Tabletext"/>
            </w:pPr>
            <w:r w:rsidRPr="00901923">
              <w:t>7%</w:t>
            </w:r>
          </w:p>
        </w:tc>
        <w:tc>
          <w:tcPr>
            <w:tcW w:w="699" w:type="dxa"/>
            <w:tcBorders>
              <w:top w:val="nil"/>
              <w:left w:val="nil"/>
              <w:bottom w:val="single" w:sz="8" w:space="0" w:color="C00000"/>
              <w:right w:val="nil"/>
            </w:tcBorders>
            <w:shd w:val="clear" w:color="000000" w:fill="FFFFFF"/>
            <w:vAlign w:val="center"/>
            <w:hideMark/>
          </w:tcPr>
          <w:p w14:paraId="0493B813" w14:textId="77777777" w:rsidR="00CE1675" w:rsidRPr="00901923" w:rsidRDefault="00CE1675" w:rsidP="00B9737C">
            <w:pPr>
              <w:pStyle w:val="Tabletext"/>
            </w:pPr>
            <w:r w:rsidRPr="00901923">
              <w:t>8%</w:t>
            </w:r>
          </w:p>
        </w:tc>
        <w:tc>
          <w:tcPr>
            <w:tcW w:w="640" w:type="dxa"/>
            <w:tcBorders>
              <w:top w:val="nil"/>
              <w:left w:val="nil"/>
              <w:bottom w:val="single" w:sz="8" w:space="0" w:color="C00000"/>
              <w:right w:val="nil"/>
            </w:tcBorders>
            <w:shd w:val="clear" w:color="000000" w:fill="FFFFFF"/>
          </w:tcPr>
          <w:p w14:paraId="57872B4E" w14:textId="44E6FBB3" w:rsidR="00CE1675" w:rsidRPr="00901923" w:rsidRDefault="00CE1675" w:rsidP="00B9737C">
            <w:pPr>
              <w:pStyle w:val="Tabletext"/>
            </w:pPr>
            <w:r>
              <w:t>7%</w:t>
            </w:r>
          </w:p>
        </w:tc>
      </w:tr>
      <w:tr w:rsidR="00CE1675" w:rsidRPr="00901923" w14:paraId="4A3F9A81" w14:textId="7795395B" w:rsidTr="003B391F">
        <w:trPr>
          <w:trHeight w:val="268"/>
          <w:jc w:val="center"/>
        </w:trPr>
        <w:tc>
          <w:tcPr>
            <w:tcW w:w="2208" w:type="dxa"/>
            <w:tcBorders>
              <w:top w:val="nil"/>
              <w:left w:val="nil"/>
              <w:bottom w:val="single" w:sz="8" w:space="0" w:color="C00000"/>
              <w:right w:val="nil"/>
            </w:tcBorders>
            <w:shd w:val="clear" w:color="000000" w:fill="FFFFFF"/>
            <w:noWrap/>
            <w:vAlign w:val="center"/>
            <w:hideMark/>
          </w:tcPr>
          <w:p w14:paraId="2EFA9C4A" w14:textId="77777777" w:rsidR="00CE1675" w:rsidRPr="00901923" w:rsidRDefault="00CE1675" w:rsidP="00B9737C">
            <w:pPr>
              <w:pStyle w:val="Tabletext"/>
              <w:rPr>
                <w:color w:val="000000"/>
              </w:rPr>
            </w:pPr>
            <w:r w:rsidRPr="00901923">
              <w:t xml:space="preserve">Neither satisfied nor dissatisfied </w:t>
            </w:r>
          </w:p>
        </w:tc>
        <w:tc>
          <w:tcPr>
            <w:tcW w:w="1012" w:type="dxa"/>
            <w:tcBorders>
              <w:top w:val="nil"/>
              <w:left w:val="nil"/>
              <w:bottom w:val="single" w:sz="8" w:space="0" w:color="C00000"/>
              <w:right w:val="nil"/>
            </w:tcBorders>
            <w:shd w:val="clear" w:color="000000" w:fill="FFFFFF"/>
            <w:noWrap/>
            <w:vAlign w:val="center"/>
            <w:hideMark/>
          </w:tcPr>
          <w:p w14:paraId="5F4A8A4A" w14:textId="77777777" w:rsidR="00CE1675" w:rsidRPr="00901923" w:rsidRDefault="00CE1675" w:rsidP="00B9737C">
            <w:pPr>
              <w:pStyle w:val="Tabletext"/>
              <w:rPr>
                <w:color w:val="000000"/>
              </w:rPr>
            </w:pPr>
            <w:r w:rsidRPr="00901923">
              <w:t>1%</w:t>
            </w:r>
          </w:p>
        </w:tc>
        <w:tc>
          <w:tcPr>
            <w:tcW w:w="851" w:type="dxa"/>
            <w:tcBorders>
              <w:top w:val="nil"/>
              <w:left w:val="nil"/>
              <w:bottom w:val="single" w:sz="8" w:space="0" w:color="C00000"/>
              <w:right w:val="nil"/>
            </w:tcBorders>
            <w:shd w:val="clear" w:color="000000" w:fill="FFFFFF"/>
            <w:noWrap/>
            <w:vAlign w:val="center"/>
            <w:hideMark/>
          </w:tcPr>
          <w:p w14:paraId="49A816B1" w14:textId="77777777" w:rsidR="00CE1675" w:rsidRPr="00901923" w:rsidRDefault="00CE1675" w:rsidP="00B9737C">
            <w:pPr>
              <w:pStyle w:val="Tabletext"/>
              <w:rPr>
                <w:color w:val="000000"/>
              </w:rPr>
            </w:pPr>
            <w:r w:rsidRPr="00901923">
              <w:t>1%</w:t>
            </w:r>
          </w:p>
        </w:tc>
        <w:tc>
          <w:tcPr>
            <w:tcW w:w="777" w:type="dxa"/>
            <w:tcBorders>
              <w:top w:val="nil"/>
              <w:left w:val="nil"/>
              <w:bottom w:val="single" w:sz="8" w:space="0" w:color="C00000"/>
              <w:right w:val="nil"/>
            </w:tcBorders>
            <w:shd w:val="clear" w:color="000000" w:fill="FFFFFF"/>
            <w:noWrap/>
            <w:vAlign w:val="center"/>
            <w:hideMark/>
          </w:tcPr>
          <w:p w14:paraId="507B6E06" w14:textId="77777777" w:rsidR="00CE1675" w:rsidRPr="00901923" w:rsidRDefault="00CE1675" w:rsidP="00B9737C">
            <w:pPr>
              <w:pStyle w:val="Tabletext"/>
              <w:rPr>
                <w:color w:val="000000"/>
              </w:rPr>
            </w:pPr>
            <w:r w:rsidRPr="00901923">
              <w:t>1%</w:t>
            </w:r>
          </w:p>
        </w:tc>
        <w:tc>
          <w:tcPr>
            <w:tcW w:w="843" w:type="dxa"/>
            <w:tcBorders>
              <w:top w:val="nil"/>
              <w:left w:val="nil"/>
              <w:bottom w:val="single" w:sz="8" w:space="0" w:color="C00000"/>
              <w:right w:val="nil"/>
            </w:tcBorders>
            <w:shd w:val="clear" w:color="000000" w:fill="FFFFFF"/>
            <w:noWrap/>
            <w:vAlign w:val="center"/>
            <w:hideMark/>
          </w:tcPr>
          <w:p w14:paraId="2A38C156" w14:textId="77777777" w:rsidR="00CE1675" w:rsidRPr="00901923" w:rsidRDefault="00CE1675" w:rsidP="00B9737C">
            <w:pPr>
              <w:pStyle w:val="Tabletext"/>
              <w:rPr>
                <w:color w:val="000000"/>
              </w:rPr>
            </w:pPr>
            <w:r w:rsidRPr="00901923">
              <w:t>1%</w:t>
            </w:r>
          </w:p>
        </w:tc>
        <w:tc>
          <w:tcPr>
            <w:tcW w:w="712" w:type="dxa"/>
            <w:tcBorders>
              <w:top w:val="nil"/>
              <w:left w:val="nil"/>
              <w:bottom w:val="single" w:sz="8" w:space="0" w:color="C00000"/>
              <w:right w:val="nil"/>
            </w:tcBorders>
            <w:shd w:val="clear" w:color="000000" w:fill="FFFFFF"/>
            <w:noWrap/>
            <w:vAlign w:val="center"/>
            <w:hideMark/>
          </w:tcPr>
          <w:p w14:paraId="5E5DBBF5" w14:textId="77777777" w:rsidR="00CE1675" w:rsidRPr="00901923" w:rsidRDefault="00CE1675" w:rsidP="00B9737C">
            <w:pPr>
              <w:pStyle w:val="Tabletext"/>
              <w:rPr>
                <w:color w:val="000000"/>
              </w:rPr>
            </w:pPr>
            <w:r w:rsidRPr="00901923">
              <w:t>1%</w:t>
            </w:r>
          </w:p>
        </w:tc>
        <w:tc>
          <w:tcPr>
            <w:tcW w:w="699" w:type="dxa"/>
            <w:tcBorders>
              <w:top w:val="nil"/>
              <w:left w:val="nil"/>
              <w:bottom w:val="single" w:sz="8" w:space="0" w:color="C00000"/>
              <w:right w:val="nil"/>
            </w:tcBorders>
            <w:shd w:val="clear" w:color="000000" w:fill="FFFFFF"/>
            <w:vAlign w:val="center"/>
            <w:hideMark/>
          </w:tcPr>
          <w:p w14:paraId="4D009D4A" w14:textId="77777777" w:rsidR="00CE1675" w:rsidRPr="00901923" w:rsidRDefault="00CE1675" w:rsidP="00B9737C">
            <w:pPr>
              <w:pStyle w:val="Tabletext"/>
              <w:rPr>
                <w:color w:val="000000"/>
              </w:rPr>
            </w:pPr>
            <w:r w:rsidRPr="00901923">
              <w:t>1%</w:t>
            </w:r>
          </w:p>
        </w:tc>
        <w:tc>
          <w:tcPr>
            <w:tcW w:w="699" w:type="dxa"/>
            <w:tcBorders>
              <w:top w:val="nil"/>
              <w:left w:val="nil"/>
              <w:bottom w:val="single" w:sz="8" w:space="0" w:color="C00000"/>
              <w:right w:val="nil"/>
            </w:tcBorders>
            <w:shd w:val="clear" w:color="000000" w:fill="FFFFFF"/>
            <w:noWrap/>
            <w:vAlign w:val="center"/>
            <w:hideMark/>
          </w:tcPr>
          <w:p w14:paraId="2B9F0051" w14:textId="3E682714" w:rsidR="00CE1675" w:rsidRPr="00901923" w:rsidRDefault="00301B95" w:rsidP="00B9737C">
            <w:pPr>
              <w:pStyle w:val="Tabletext"/>
            </w:pPr>
            <w:r>
              <w:t>0</w:t>
            </w:r>
          </w:p>
        </w:tc>
        <w:tc>
          <w:tcPr>
            <w:tcW w:w="699" w:type="dxa"/>
            <w:tcBorders>
              <w:top w:val="nil"/>
              <w:left w:val="nil"/>
              <w:bottom w:val="single" w:sz="8" w:space="0" w:color="C00000"/>
              <w:right w:val="nil"/>
            </w:tcBorders>
            <w:shd w:val="clear" w:color="000000" w:fill="FFFFFF"/>
            <w:noWrap/>
            <w:vAlign w:val="center"/>
            <w:hideMark/>
          </w:tcPr>
          <w:p w14:paraId="0DDBF480" w14:textId="1664BE71" w:rsidR="00CE1675" w:rsidRPr="00901923" w:rsidRDefault="00301B95" w:rsidP="00B9737C">
            <w:pPr>
              <w:pStyle w:val="Tabletext"/>
            </w:pPr>
            <w:r>
              <w:t>0</w:t>
            </w:r>
          </w:p>
        </w:tc>
        <w:tc>
          <w:tcPr>
            <w:tcW w:w="640" w:type="dxa"/>
            <w:tcBorders>
              <w:top w:val="nil"/>
              <w:left w:val="nil"/>
              <w:bottom w:val="single" w:sz="8" w:space="0" w:color="C00000"/>
              <w:right w:val="nil"/>
            </w:tcBorders>
            <w:shd w:val="clear" w:color="000000" w:fill="FFFFFF"/>
            <w:vAlign w:val="center"/>
          </w:tcPr>
          <w:p w14:paraId="32C65916" w14:textId="5800F3B5" w:rsidR="00CE1675" w:rsidRPr="00901923" w:rsidRDefault="00301B95" w:rsidP="00B9737C">
            <w:pPr>
              <w:pStyle w:val="Tabletext"/>
            </w:pPr>
            <w:r>
              <w:t>0</w:t>
            </w:r>
          </w:p>
        </w:tc>
      </w:tr>
      <w:tr w:rsidR="00CE1675" w:rsidRPr="00901923" w14:paraId="5442D00F" w14:textId="7E5472BC" w:rsidTr="003B391F">
        <w:trPr>
          <w:trHeight w:val="268"/>
          <w:jc w:val="center"/>
        </w:trPr>
        <w:tc>
          <w:tcPr>
            <w:tcW w:w="2208" w:type="dxa"/>
            <w:tcBorders>
              <w:top w:val="nil"/>
              <w:left w:val="nil"/>
              <w:bottom w:val="single" w:sz="8" w:space="0" w:color="C00000"/>
              <w:right w:val="nil"/>
            </w:tcBorders>
            <w:shd w:val="clear" w:color="000000" w:fill="FFFFFF"/>
            <w:noWrap/>
            <w:vAlign w:val="center"/>
            <w:hideMark/>
          </w:tcPr>
          <w:p w14:paraId="05173610" w14:textId="77777777" w:rsidR="00CE1675" w:rsidRPr="00901923" w:rsidRDefault="00CE1675" w:rsidP="00B9737C">
            <w:pPr>
              <w:pStyle w:val="Tabletext"/>
              <w:rPr>
                <w:color w:val="000000"/>
              </w:rPr>
            </w:pPr>
            <w:r w:rsidRPr="00901923">
              <w:t xml:space="preserve">Somewhat dissatisfied </w:t>
            </w:r>
          </w:p>
        </w:tc>
        <w:tc>
          <w:tcPr>
            <w:tcW w:w="1012" w:type="dxa"/>
            <w:tcBorders>
              <w:top w:val="nil"/>
              <w:left w:val="nil"/>
              <w:bottom w:val="single" w:sz="8" w:space="0" w:color="C00000"/>
              <w:right w:val="nil"/>
            </w:tcBorders>
            <w:shd w:val="clear" w:color="000000" w:fill="FFFFFF"/>
            <w:noWrap/>
            <w:vAlign w:val="center"/>
            <w:hideMark/>
          </w:tcPr>
          <w:p w14:paraId="6681A634" w14:textId="77777777" w:rsidR="00CE1675" w:rsidRPr="00901923" w:rsidRDefault="00CE1675" w:rsidP="00B9737C">
            <w:pPr>
              <w:pStyle w:val="Tabletext"/>
              <w:rPr>
                <w:color w:val="000000"/>
              </w:rPr>
            </w:pPr>
            <w:r w:rsidRPr="00901923">
              <w:t>1%</w:t>
            </w:r>
          </w:p>
        </w:tc>
        <w:tc>
          <w:tcPr>
            <w:tcW w:w="851" w:type="dxa"/>
            <w:tcBorders>
              <w:top w:val="nil"/>
              <w:left w:val="nil"/>
              <w:bottom w:val="single" w:sz="8" w:space="0" w:color="C00000"/>
              <w:right w:val="nil"/>
            </w:tcBorders>
            <w:shd w:val="clear" w:color="000000" w:fill="FFFFFF"/>
            <w:noWrap/>
            <w:vAlign w:val="center"/>
            <w:hideMark/>
          </w:tcPr>
          <w:p w14:paraId="16D2010B" w14:textId="77777777" w:rsidR="00CE1675" w:rsidRPr="00901923" w:rsidRDefault="00CE1675" w:rsidP="00B9737C">
            <w:pPr>
              <w:pStyle w:val="Tabletext"/>
              <w:rPr>
                <w:color w:val="000000"/>
              </w:rPr>
            </w:pPr>
            <w:r w:rsidRPr="00901923">
              <w:t>1%</w:t>
            </w:r>
          </w:p>
        </w:tc>
        <w:tc>
          <w:tcPr>
            <w:tcW w:w="777" w:type="dxa"/>
            <w:tcBorders>
              <w:top w:val="nil"/>
              <w:left w:val="nil"/>
              <w:bottom w:val="single" w:sz="8" w:space="0" w:color="C00000"/>
              <w:right w:val="nil"/>
            </w:tcBorders>
            <w:shd w:val="clear" w:color="000000" w:fill="FFFFFF"/>
            <w:noWrap/>
            <w:vAlign w:val="center"/>
            <w:hideMark/>
          </w:tcPr>
          <w:p w14:paraId="117EC8E8" w14:textId="77777777" w:rsidR="00CE1675" w:rsidRPr="00901923" w:rsidRDefault="00CE1675" w:rsidP="00B9737C">
            <w:pPr>
              <w:pStyle w:val="Tabletext"/>
              <w:rPr>
                <w:color w:val="000000"/>
              </w:rPr>
            </w:pPr>
            <w:r w:rsidRPr="00901923">
              <w:t>1%</w:t>
            </w:r>
          </w:p>
        </w:tc>
        <w:tc>
          <w:tcPr>
            <w:tcW w:w="843" w:type="dxa"/>
            <w:tcBorders>
              <w:top w:val="nil"/>
              <w:left w:val="nil"/>
              <w:bottom w:val="single" w:sz="8" w:space="0" w:color="C00000"/>
              <w:right w:val="nil"/>
            </w:tcBorders>
            <w:shd w:val="clear" w:color="000000" w:fill="FFFFFF"/>
            <w:noWrap/>
            <w:vAlign w:val="center"/>
            <w:hideMark/>
          </w:tcPr>
          <w:p w14:paraId="47EE31D1" w14:textId="77777777" w:rsidR="00CE1675" w:rsidRPr="00901923" w:rsidRDefault="00CE1675" w:rsidP="00B9737C">
            <w:pPr>
              <w:pStyle w:val="Tabletext"/>
              <w:rPr>
                <w:color w:val="000000"/>
              </w:rPr>
            </w:pPr>
            <w:r w:rsidRPr="00901923">
              <w:t>0</w:t>
            </w:r>
          </w:p>
        </w:tc>
        <w:tc>
          <w:tcPr>
            <w:tcW w:w="712" w:type="dxa"/>
            <w:tcBorders>
              <w:top w:val="nil"/>
              <w:left w:val="nil"/>
              <w:bottom w:val="single" w:sz="8" w:space="0" w:color="C00000"/>
              <w:right w:val="nil"/>
            </w:tcBorders>
            <w:shd w:val="clear" w:color="000000" w:fill="FFFFFF"/>
            <w:noWrap/>
            <w:vAlign w:val="center"/>
            <w:hideMark/>
          </w:tcPr>
          <w:p w14:paraId="17F9E7FC" w14:textId="77777777" w:rsidR="00CE1675" w:rsidRPr="00901923" w:rsidRDefault="00CE1675" w:rsidP="00B9737C">
            <w:pPr>
              <w:pStyle w:val="Tabletext"/>
              <w:rPr>
                <w:color w:val="000000"/>
              </w:rPr>
            </w:pPr>
            <w:r w:rsidRPr="00901923">
              <w:t>0</w:t>
            </w:r>
          </w:p>
        </w:tc>
        <w:tc>
          <w:tcPr>
            <w:tcW w:w="699" w:type="dxa"/>
            <w:tcBorders>
              <w:top w:val="nil"/>
              <w:left w:val="nil"/>
              <w:bottom w:val="single" w:sz="8" w:space="0" w:color="C00000"/>
              <w:right w:val="nil"/>
            </w:tcBorders>
            <w:shd w:val="clear" w:color="000000" w:fill="FFFFFF"/>
            <w:vAlign w:val="center"/>
            <w:hideMark/>
          </w:tcPr>
          <w:p w14:paraId="694565D7" w14:textId="77777777" w:rsidR="00CE1675" w:rsidRPr="00901923" w:rsidRDefault="00CE1675" w:rsidP="00B9737C">
            <w:pPr>
              <w:pStyle w:val="Tabletext"/>
              <w:rPr>
                <w:color w:val="000000"/>
              </w:rPr>
            </w:pPr>
            <w:r w:rsidRPr="00901923">
              <w:t>1%</w:t>
            </w:r>
          </w:p>
        </w:tc>
        <w:tc>
          <w:tcPr>
            <w:tcW w:w="699" w:type="dxa"/>
            <w:tcBorders>
              <w:top w:val="nil"/>
              <w:left w:val="nil"/>
              <w:bottom w:val="single" w:sz="8" w:space="0" w:color="C00000"/>
              <w:right w:val="nil"/>
            </w:tcBorders>
            <w:shd w:val="clear" w:color="000000" w:fill="FFFFFF"/>
            <w:noWrap/>
            <w:vAlign w:val="center"/>
            <w:hideMark/>
          </w:tcPr>
          <w:p w14:paraId="2660EB42" w14:textId="147BBC36" w:rsidR="00CE1675" w:rsidRPr="00901923" w:rsidRDefault="00301B95" w:rsidP="00B9737C">
            <w:pPr>
              <w:pStyle w:val="Tabletext"/>
            </w:pPr>
            <w:r>
              <w:t>0</w:t>
            </w:r>
          </w:p>
        </w:tc>
        <w:tc>
          <w:tcPr>
            <w:tcW w:w="699" w:type="dxa"/>
            <w:tcBorders>
              <w:top w:val="nil"/>
              <w:left w:val="nil"/>
              <w:bottom w:val="single" w:sz="8" w:space="0" w:color="C00000"/>
              <w:right w:val="nil"/>
            </w:tcBorders>
            <w:shd w:val="clear" w:color="000000" w:fill="FFFFFF"/>
            <w:noWrap/>
            <w:vAlign w:val="center"/>
            <w:hideMark/>
          </w:tcPr>
          <w:p w14:paraId="6F2E0A02" w14:textId="69F0118C" w:rsidR="00CE1675" w:rsidRPr="00901923" w:rsidRDefault="00301B95" w:rsidP="00B9737C">
            <w:pPr>
              <w:pStyle w:val="Tabletext"/>
            </w:pPr>
            <w:r>
              <w:t>0</w:t>
            </w:r>
          </w:p>
        </w:tc>
        <w:tc>
          <w:tcPr>
            <w:tcW w:w="640" w:type="dxa"/>
            <w:tcBorders>
              <w:top w:val="nil"/>
              <w:left w:val="nil"/>
              <w:bottom w:val="single" w:sz="8" w:space="0" w:color="C00000"/>
              <w:right w:val="nil"/>
            </w:tcBorders>
            <w:shd w:val="clear" w:color="000000" w:fill="FFFFFF"/>
            <w:vAlign w:val="center"/>
          </w:tcPr>
          <w:p w14:paraId="08C29D06" w14:textId="39DE0EF6" w:rsidR="00CE1675" w:rsidRPr="00901923" w:rsidRDefault="00301B95" w:rsidP="00B9737C">
            <w:pPr>
              <w:pStyle w:val="Tabletext"/>
            </w:pPr>
            <w:r>
              <w:t>0</w:t>
            </w:r>
          </w:p>
        </w:tc>
      </w:tr>
      <w:tr w:rsidR="00301B95" w:rsidRPr="00901923" w14:paraId="016BC267" w14:textId="2D0E9312" w:rsidTr="003B391F">
        <w:trPr>
          <w:trHeight w:val="268"/>
          <w:jc w:val="center"/>
        </w:trPr>
        <w:tc>
          <w:tcPr>
            <w:tcW w:w="2208" w:type="dxa"/>
            <w:tcBorders>
              <w:top w:val="nil"/>
              <w:left w:val="nil"/>
              <w:bottom w:val="single" w:sz="8" w:space="0" w:color="C00000"/>
              <w:right w:val="nil"/>
            </w:tcBorders>
            <w:shd w:val="clear" w:color="000000" w:fill="FFFFFF"/>
            <w:noWrap/>
            <w:vAlign w:val="center"/>
            <w:hideMark/>
          </w:tcPr>
          <w:p w14:paraId="2234A77E" w14:textId="77777777" w:rsidR="00301B95" w:rsidRPr="00901923" w:rsidRDefault="00301B95" w:rsidP="00B9737C">
            <w:pPr>
              <w:pStyle w:val="Tabletext"/>
              <w:rPr>
                <w:color w:val="000000"/>
              </w:rPr>
            </w:pPr>
            <w:r w:rsidRPr="00901923">
              <w:t xml:space="preserve">Highly dissatisfied </w:t>
            </w:r>
          </w:p>
        </w:tc>
        <w:tc>
          <w:tcPr>
            <w:tcW w:w="1012" w:type="dxa"/>
            <w:tcBorders>
              <w:top w:val="nil"/>
              <w:left w:val="nil"/>
              <w:bottom w:val="single" w:sz="8" w:space="0" w:color="C00000"/>
              <w:right w:val="nil"/>
            </w:tcBorders>
            <w:shd w:val="clear" w:color="000000" w:fill="FFFFFF"/>
            <w:noWrap/>
            <w:vAlign w:val="center"/>
            <w:hideMark/>
          </w:tcPr>
          <w:p w14:paraId="590A50A8" w14:textId="77777777" w:rsidR="00301B95" w:rsidRPr="00901923" w:rsidRDefault="00301B95" w:rsidP="00B9737C">
            <w:pPr>
              <w:pStyle w:val="Tabletext"/>
              <w:rPr>
                <w:color w:val="000000"/>
              </w:rPr>
            </w:pPr>
            <w:r w:rsidRPr="00901923">
              <w:t>0</w:t>
            </w:r>
          </w:p>
        </w:tc>
        <w:tc>
          <w:tcPr>
            <w:tcW w:w="851" w:type="dxa"/>
            <w:tcBorders>
              <w:top w:val="nil"/>
              <w:left w:val="nil"/>
              <w:bottom w:val="single" w:sz="8" w:space="0" w:color="C00000"/>
              <w:right w:val="nil"/>
            </w:tcBorders>
            <w:shd w:val="clear" w:color="000000" w:fill="FFFFFF"/>
            <w:noWrap/>
            <w:vAlign w:val="center"/>
            <w:hideMark/>
          </w:tcPr>
          <w:p w14:paraId="7BC52C99" w14:textId="77777777" w:rsidR="00301B95" w:rsidRPr="00901923" w:rsidRDefault="00301B95" w:rsidP="00B9737C">
            <w:pPr>
              <w:pStyle w:val="Tabletext"/>
              <w:rPr>
                <w:color w:val="000000"/>
              </w:rPr>
            </w:pPr>
            <w:r w:rsidRPr="00901923">
              <w:t>0</w:t>
            </w:r>
          </w:p>
        </w:tc>
        <w:tc>
          <w:tcPr>
            <w:tcW w:w="777" w:type="dxa"/>
            <w:tcBorders>
              <w:top w:val="nil"/>
              <w:left w:val="nil"/>
              <w:bottom w:val="single" w:sz="8" w:space="0" w:color="C00000"/>
              <w:right w:val="nil"/>
            </w:tcBorders>
            <w:shd w:val="clear" w:color="000000" w:fill="FFFFFF"/>
            <w:noWrap/>
            <w:vAlign w:val="center"/>
            <w:hideMark/>
          </w:tcPr>
          <w:p w14:paraId="564CD52E" w14:textId="77777777" w:rsidR="00301B95" w:rsidRPr="00901923" w:rsidRDefault="00301B95" w:rsidP="00B9737C">
            <w:pPr>
              <w:pStyle w:val="Tabletext"/>
              <w:rPr>
                <w:color w:val="000000"/>
              </w:rPr>
            </w:pPr>
            <w:r w:rsidRPr="00901923">
              <w:t>0</w:t>
            </w:r>
          </w:p>
        </w:tc>
        <w:tc>
          <w:tcPr>
            <w:tcW w:w="843" w:type="dxa"/>
            <w:tcBorders>
              <w:top w:val="nil"/>
              <w:left w:val="nil"/>
              <w:bottom w:val="single" w:sz="8" w:space="0" w:color="C00000"/>
              <w:right w:val="nil"/>
            </w:tcBorders>
            <w:shd w:val="clear" w:color="000000" w:fill="FFFFFF"/>
            <w:noWrap/>
            <w:vAlign w:val="center"/>
            <w:hideMark/>
          </w:tcPr>
          <w:p w14:paraId="5C9B1941" w14:textId="77777777" w:rsidR="00301B95" w:rsidRPr="00901923" w:rsidRDefault="00301B95" w:rsidP="00B9737C">
            <w:pPr>
              <w:pStyle w:val="Tabletext"/>
              <w:rPr>
                <w:color w:val="000000"/>
              </w:rPr>
            </w:pPr>
            <w:r w:rsidRPr="00901923">
              <w:t>0</w:t>
            </w:r>
          </w:p>
        </w:tc>
        <w:tc>
          <w:tcPr>
            <w:tcW w:w="712" w:type="dxa"/>
            <w:tcBorders>
              <w:top w:val="nil"/>
              <w:left w:val="nil"/>
              <w:bottom w:val="single" w:sz="8" w:space="0" w:color="C00000"/>
              <w:right w:val="nil"/>
            </w:tcBorders>
            <w:shd w:val="clear" w:color="000000" w:fill="FFFFFF"/>
            <w:noWrap/>
            <w:vAlign w:val="center"/>
            <w:hideMark/>
          </w:tcPr>
          <w:p w14:paraId="4524C0C2" w14:textId="77777777" w:rsidR="00301B95" w:rsidRPr="00901923" w:rsidRDefault="00301B95" w:rsidP="00B9737C">
            <w:pPr>
              <w:pStyle w:val="Tabletext"/>
              <w:rPr>
                <w:color w:val="000000"/>
              </w:rPr>
            </w:pPr>
            <w:r w:rsidRPr="00901923">
              <w:t>0</w:t>
            </w:r>
          </w:p>
        </w:tc>
        <w:tc>
          <w:tcPr>
            <w:tcW w:w="699" w:type="dxa"/>
            <w:tcBorders>
              <w:top w:val="nil"/>
              <w:left w:val="nil"/>
              <w:bottom w:val="single" w:sz="8" w:space="0" w:color="C00000"/>
              <w:right w:val="nil"/>
            </w:tcBorders>
            <w:shd w:val="clear" w:color="000000" w:fill="FFFFFF"/>
            <w:vAlign w:val="center"/>
            <w:hideMark/>
          </w:tcPr>
          <w:p w14:paraId="2E03ACC4" w14:textId="77777777" w:rsidR="00301B95" w:rsidRPr="00901923" w:rsidRDefault="00301B95" w:rsidP="00B9737C">
            <w:pPr>
              <w:pStyle w:val="Tabletext"/>
              <w:rPr>
                <w:color w:val="000000"/>
              </w:rPr>
            </w:pPr>
            <w:r w:rsidRPr="00901923">
              <w:t>0</w:t>
            </w:r>
          </w:p>
        </w:tc>
        <w:tc>
          <w:tcPr>
            <w:tcW w:w="699" w:type="dxa"/>
            <w:tcBorders>
              <w:top w:val="nil"/>
              <w:left w:val="nil"/>
              <w:bottom w:val="single" w:sz="8" w:space="0" w:color="C00000"/>
              <w:right w:val="nil"/>
            </w:tcBorders>
            <w:shd w:val="clear" w:color="000000" w:fill="FFFFFF"/>
            <w:noWrap/>
            <w:vAlign w:val="center"/>
            <w:hideMark/>
          </w:tcPr>
          <w:p w14:paraId="5E07B052" w14:textId="7AD33358" w:rsidR="00301B95" w:rsidRPr="00901923" w:rsidRDefault="00301B95" w:rsidP="00B9737C">
            <w:pPr>
              <w:pStyle w:val="Tabletext"/>
            </w:pPr>
            <w:r>
              <w:t>0</w:t>
            </w:r>
          </w:p>
        </w:tc>
        <w:tc>
          <w:tcPr>
            <w:tcW w:w="699" w:type="dxa"/>
            <w:tcBorders>
              <w:top w:val="nil"/>
              <w:left w:val="nil"/>
              <w:bottom w:val="single" w:sz="8" w:space="0" w:color="C00000"/>
              <w:right w:val="nil"/>
            </w:tcBorders>
            <w:shd w:val="clear" w:color="000000" w:fill="FFFFFF"/>
            <w:noWrap/>
            <w:vAlign w:val="center"/>
            <w:hideMark/>
          </w:tcPr>
          <w:p w14:paraId="680420D0" w14:textId="1365BE84" w:rsidR="00301B95" w:rsidRPr="00901923" w:rsidRDefault="00301B95" w:rsidP="00B9737C">
            <w:pPr>
              <w:pStyle w:val="Tabletext"/>
            </w:pPr>
            <w:r>
              <w:t>0</w:t>
            </w:r>
          </w:p>
        </w:tc>
        <w:tc>
          <w:tcPr>
            <w:tcW w:w="640" w:type="dxa"/>
            <w:tcBorders>
              <w:top w:val="nil"/>
              <w:left w:val="nil"/>
              <w:bottom w:val="single" w:sz="8" w:space="0" w:color="C00000"/>
              <w:right w:val="nil"/>
            </w:tcBorders>
            <w:shd w:val="clear" w:color="000000" w:fill="FFFFFF"/>
            <w:vAlign w:val="center"/>
          </w:tcPr>
          <w:p w14:paraId="232CF39B" w14:textId="7B238FFC" w:rsidR="00301B95" w:rsidRPr="00901923" w:rsidRDefault="00301B95" w:rsidP="00B9737C">
            <w:pPr>
              <w:pStyle w:val="Tabletext"/>
            </w:pPr>
            <w:r>
              <w:t>0</w:t>
            </w:r>
          </w:p>
        </w:tc>
      </w:tr>
      <w:tr w:rsidR="00CE1675" w:rsidRPr="00901923" w14:paraId="38D27C0E" w14:textId="0E8A4187" w:rsidTr="003B391F">
        <w:trPr>
          <w:trHeight w:val="268"/>
          <w:jc w:val="center"/>
        </w:trPr>
        <w:tc>
          <w:tcPr>
            <w:tcW w:w="2208" w:type="dxa"/>
            <w:tcBorders>
              <w:top w:val="nil"/>
              <w:left w:val="nil"/>
              <w:bottom w:val="single" w:sz="8" w:space="0" w:color="C00000"/>
              <w:right w:val="nil"/>
            </w:tcBorders>
            <w:shd w:val="clear" w:color="000000" w:fill="FFFFFF"/>
            <w:noWrap/>
            <w:vAlign w:val="center"/>
            <w:hideMark/>
          </w:tcPr>
          <w:p w14:paraId="1E0DA00B" w14:textId="37923B0D" w:rsidR="00CE1675" w:rsidRPr="00901923" w:rsidRDefault="00CE1675" w:rsidP="00B9737C">
            <w:pPr>
              <w:pStyle w:val="Tabletext"/>
              <w:rPr>
                <w:color w:val="000000"/>
              </w:rPr>
            </w:pPr>
            <w:r w:rsidRPr="00901923">
              <w:t xml:space="preserve">Unsure </w:t>
            </w:r>
          </w:p>
        </w:tc>
        <w:tc>
          <w:tcPr>
            <w:tcW w:w="1012" w:type="dxa"/>
            <w:tcBorders>
              <w:top w:val="nil"/>
              <w:left w:val="nil"/>
              <w:bottom w:val="single" w:sz="8" w:space="0" w:color="C00000"/>
              <w:right w:val="nil"/>
            </w:tcBorders>
            <w:shd w:val="clear" w:color="000000" w:fill="FFFFFF"/>
            <w:noWrap/>
            <w:vAlign w:val="center"/>
            <w:hideMark/>
          </w:tcPr>
          <w:p w14:paraId="0BC18970" w14:textId="77777777" w:rsidR="00CE1675" w:rsidRPr="00901923" w:rsidRDefault="00CE1675" w:rsidP="00B9737C">
            <w:pPr>
              <w:pStyle w:val="Tabletext"/>
              <w:rPr>
                <w:color w:val="000000"/>
              </w:rPr>
            </w:pPr>
            <w:r w:rsidRPr="00901923">
              <w:t>0</w:t>
            </w:r>
          </w:p>
        </w:tc>
        <w:tc>
          <w:tcPr>
            <w:tcW w:w="851" w:type="dxa"/>
            <w:tcBorders>
              <w:top w:val="nil"/>
              <w:left w:val="nil"/>
              <w:bottom w:val="single" w:sz="8" w:space="0" w:color="C00000"/>
              <w:right w:val="nil"/>
            </w:tcBorders>
            <w:shd w:val="clear" w:color="000000" w:fill="FFFFFF"/>
            <w:noWrap/>
            <w:vAlign w:val="center"/>
            <w:hideMark/>
          </w:tcPr>
          <w:p w14:paraId="1AC23896" w14:textId="77777777" w:rsidR="00CE1675" w:rsidRPr="00901923" w:rsidRDefault="00CE1675" w:rsidP="00B9737C">
            <w:pPr>
              <w:pStyle w:val="Tabletext"/>
              <w:rPr>
                <w:color w:val="000000"/>
              </w:rPr>
            </w:pPr>
            <w:r w:rsidRPr="00901923">
              <w:t>0</w:t>
            </w:r>
          </w:p>
        </w:tc>
        <w:tc>
          <w:tcPr>
            <w:tcW w:w="777" w:type="dxa"/>
            <w:tcBorders>
              <w:top w:val="nil"/>
              <w:left w:val="nil"/>
              <w:bottom w:val="single" w:sz="8" w:space="0" w:color="C00000"/>
              <w:right w:val="nil"/>
            </w:tcBorders>
            <w:shd w:val="clear" w:color="000000" w:fill="FFFFFF"/>
            <w:noWrap/>
            <w:vAlign w:val="center"/>
            <w:hideMark/>
          </w:tcPr>
          <w:p w14:paraId="280198BD" w14:textId="77777777" w:rsidR="00CE1675" w:rsidRPr="00901923" w:rsidRDefault="00CE1675" w:rsidP="00B9737C">
            <w:pPr>
              <w:pStyle w:val="Tabletext"/>
              <w:rPr>
                <w:color w:val="000000"/>
              </w:rPr>
            </w:pPr>
            <w:r w:rsidRPr="00901923">
              <w:t>0</w:t>
            </w:r>
          </w:p>
        </w:tc>
        <w:tc>
          <w:tcPr>
            <w:tcW w:w="843" w:type="dxa"/>
            <w:tcBorders>
              <w:top w:val="nil"/>
              <w:left w:val="nil"/>
              <w:bottom w:val="single" w:sz="8" w:space="0" w:color="C00000"/>
              <w:right w:val="nil"/>
            </w:tcBorders>
            <w:shd w:val="clear" w:color="000000" w:fill="FFFFFF"/>
            <w:noWrap/>
            <w:vAlign w:val="center"/>
            <w:hideMark/>
          </w:tcPr>
          <w:p w14:paraId="604D5C5E" w14:textId="77777777" w:rsidR="00CE1675" w:rsidRPr="00901923" w:rsidRDefault="00CE1675" w:rsidP="00B9737C">
            <w:pPr>
              <w:pStyle w:val="Tabletext"/>
              <w:rPr>
                <w:color w:val="000000"/>
              </w:rPr>
            </w:pPr>
            <w:r w:rsidRPr="00901923">
              <w:t>0</w:t>
            </w:r>
          </w:p>
        </w:tc>
        <w:tc>
          <w:tcPr>
            <w:tcW w:w="712" w:type="dxa"/>
            <w:tcBorders>
              <w:top w:val="nil"/>
              <w:left w:val="nil"/>
              <w:bottom w:val="single" w:sz="8" w:space="0" w:color="C00000"/>
              <w:right w:val="nil"/>
            </w:tcBorders>
            <w:shd w:val="clear" w:color="000000" w:fill="FFFFFF"/>
            <w:noWrap/>
            <w:vAlign w:val="center"/>
            <w:hideMark/>
          </w:tcPr>
          <w:p w14:paraId="12DD7235" w14:textId="77777777" w:rsidR="00CE1675" w:rsidRPr="00901923" w:rsidRDefault="00CE1675" w:rsidP="00B9737C">
            <w:pPr>
              <w:pStyle w:val="Tabletext"/>
              <w:rPr>
                <w:color w:val="000000"/>
              </w:rPr>
            </w:pPr>
            <w:r w:rsidRPr="00901923">
              <w:t>0</w:t>
            </w:r>
          </w:p>
        </w:tc>
        <w:tc>
          <w:tcPr>
            <w:tcW w:w="699" w:type="dxa"/>
            <w:tcBorders>
              <w:top w:val="nil"/>
              <w:left w:val="nil"/>
              <w:bottom w:val="single" w:sz="8" w:space="0" w:color="C00000"/>
              <w:right w:val="nil"/>
            </w:tcBorders>
            <w:shd w:val="clear" w:color="000000" w:fill="FFFFFF"/>
            <w:vAlign w:val="center"/>
            <w:hideMark/>
          </w:tcPr>
          <w:p w14:paraId="54731433" w14:textId="77777777" w:rsidR="00CE1675" w:rsidRPr="00901923" w:rsidRDefault="00CE1675" w:rsidP="00B9737C">
            <w:pPr>
              <w:pStyle w:val="Tabletext"/>
              <w:rPr>
                <w:color w:val="000000"/>
              </w:rPr>
            </w:pPr>
            <w:r w:rsidRPr="00901923">
              <w:t>0</w:t>
            </w:r>
          </w:p>
        </w:tc>
        <w:tc>
          <w:tcPr>
            <w:tcW w:w="699" w:type="dxa"/>
            <w:tcBorders>
              <w:top w:val="nil"/>
              <w:left w:val="nil"/>
              <w:bottom w:val="single" w:sz="8" w:space="0" w:color="C00000"/>
              <w:right w:val="nil"/>
            </w:tcBorders>
            <w:shd w:val="clear" w:color="000000" w:fill="FFFFFF"/>
            <w:noWrap/>
            <w:vAlign w:val="center"/>
            <w:hideMark/>
          </w:tcPr>
          <w:p w14:paraId="5DDAC42A" w14:textId="4E0F0CA5" w:rsidR="00CE1675" w:rsidRPr="00901923" w:rsidRDefault="00466425" w:rsidP="00B9737C">
            <w:pPr>
              <w:pStyle w:val="Tabletext"/>
            </w:pPr>
            <w:r>
              <w:t>0</w:t>
            </w:r>
          </w:p>
        </w:tc>
        <w:tc>
          <w:tcPr>
            <w:tcW w:w="699" w:type="dxa"/>
            <w:tcBorders>
              <w:top w:val="nil"/>
              <w:left w:val="nil"/>
              <w:bottom w:val="single" w:sz="8" w:space="0" w:color="C00000"/>
              <w:right w:val="nil"/>
            </w:tcBorders>
            <w:shd w:val="clear" w:color="000000" w:fill="FFFFFF"/>
            <w:noWrap/>
            <w:vAlign w:val="center"/>
            <w:hideMark/>
          </w:tcPr>
          <w:p w14:paraId="2CA45EB8" w14:textId="4BEDF1E8" w:rsidR="00CE1675" w:rsidRPr="00901923" w:rsidRDefault="00466425" w:rsidP="00B9737C">
            <w:pPr>
              <w:pStyle w:val="Tabletext"/>
            </w:pPr>
            <w:r>
              <w:t>0</w:t>
            </w:r>
          </w:p>
        </w:tc>
        <w:tc>
          <w:tcPr>
            <w:tcW w:w="640" w:type="dxa"/>
            <w:tcBorders>
              <w:top w:val="nil"/>
              <w:left w:val="nil"/>
              <w:bottom w:val="single" w:sz="8" w:space="0" w:color="C00000"/>
              <w:right w:val="nil"/>
            </w:tcBorders>
            <w:shd w:val="clear" w:color="000000" w:fill="FFFFFF"/>
            <w:vAlign w:val="center"/>
          </w:tcPr>
          <w:p w14:paraId="69007EB4" w14:textId="00658B2E" w:rsidR="00CE1675" w:rsidRPr="00901923" w:rsidRDefault="00466425" w:rsidP="00B9737C">
            <w:pPr>
              <w:pStyle w:val="Tabletext"/>
            </w:pPr>
            <w:r>
              <w:t>0</w:t>
            </w:r>
          </w:p>
        </w:tc>
      </w:tr>
      <w:tr w:rsidR="00CE1675" w:rsidRPr="00901923" w14:paraId="423E2DB5" w14:textId="5309B51A" w:rsidTr="00301B95">
        <w:trPr>
          <w:trHeight w:val="268"/>
          <w:jc w:val="center"/>
        </w:trPr>
        <w:tc>
          <w:tcPr>
            <w:tcW w:w="2208" w:type="dxa"/>
            <w:tcBorders>
              <w:top w:val="nil"/>
              <w:left w:val="nil"/>
              <w:bottom w:val="single" w:sz="8" w:space="0" w:color="C00000"/>
              <w:right w:val="nil"/>
            </w:tcBorders>
            <w:shd w:val="clear" w:color="000000" w:fill="FFFFFF"/>
            <w:noWrap/>
            <w:vAlign w:val="center"/>
            <w:hideMark/>
          </w:tcPr>
          <w:p w14:paraId="7DEDFC4D" w14:textId="77777777" w:rsidR="00CE1675" w:rsidRPr="00901923" w:rsidRDefault="00CE1675" w:rsidP="00B9737C">
            <w:pPr>
              <w:pStyle w:val="Tabletext"/>
              <w:rPr>
                <w:color w:val="000000"/>
              </w:rPr>
            </w:pPr>
            <w:r w:rsidRPr="00901923">
              <w:t xml:space="preserve">Unknown </w:t>
            </w:r>
          </w:p>
        </w:tc>
        <w:tc>
          <w:tcPr>
            <w:tcW w:w="1012" w:type="dxa"/>
            <w:tcBorders>
              <w:top w:val="nil"/>
              <w:left w:val="nil"/>
              <w:bottom w:val="single" w:sz="8" w:space="0" w:color="C00000"/>
              <w:right w:val="nil"/>
            </w:tcBorders>
            <w:shd w:val="clear" w:color="000000" w:fill="FFFFFF"/>
            <w:noWrap/>
            <w:vAlign w:val="center"/>
            <w:hideMark/>
          </w:tcPr>
          <w:p w14:paraId="2DF5004C" w14:textId="753EF98B" w:rsidR="00CE1675" w:rsidRPr="00901923" w:rsidRDefault="00CE1675" w:rsidP="00B9737C">
            <w:pPr>
              <w:pStyle w:val="Tabletext"/>
            </w:pPr>
            <w:r w:rsidRPr="00901923">
              <w:t>0</w:t>
            </w:r>
          </w:p>
        </w:tc>
        <w:tc>
          <w:tcPr>
            <w:tcW w:w="851" w:type="dxa"/>
            <w:tcBorders>
              <w:top w:val="nil"/>
              <w:left w:val="nil"/>
              <w:bottom w:val="single" w:sz="8" w:space="0" w:color="C00000"/>
              <w:right w:val="nil"/>
            </w:tcBorders>
            <w:shd w:val="clear" w:color="000000" w:fill="FFFFFF"/>
            <w:noWrap/>
            <w:vAlign w:val="center"/>
            <w:hideMark/>
          </w:tcPr>
          <w:p w14:paraId="2B1933DC" w14:textId="57F426FF" w:rsidR="00CE1675" w:rsidRPr="00901923" w:rsidRDefault="00CE1675" w:rsidP="00B9737C">
            <w:pPr>
              <w:pStyle w:val="Tabletext"/>
            </w:pPr>
            <w:r w:rsidRPr="00901923">
              <w:t>0</w:t>
            </w:r>
          </w:p>
        </w:tc>
        <w:tc>
          <w:tcPr>
            <w:tcW w:w="777" w:type="dxa"/>
            <w:tcBorders>
              <w:top w:val="nil"/>
              <w:left w:val="nil"/>
              <w:bottom w:val="single" w:sz="8" w:space="0" w:color="C00000"/>
              <w:right w:val="nil"/>
            </w:tcBorders>
            <w:shd w:val="clear" w:color="000000" w:fill="FFFFFF"/>
            <w:noWrap/>
            <w:vAlign w:val="center"/>
            <w:hideMark/>
          </w:tcPr>
          <w:p w14:paraId="00E74702" w14:textId="39C04083" w:rsidR="00CE1675" w:rsidRPr="00901923" w:rsidRDefault="00CE1675" w:rsidP="00B9737C">
            <w:pPr>
              <w:pStyle w:val="Tabletext"/>
            </w:pPr>
            <w:r w:rsidRPr="00901923">
              <w:t>0</w:t>
            </w:r>
          </w:p>
        </w:tc>
        <w:tc>
          <w:tcPr>
            <w:tcW w:w="843" w:type="dxa"/>
            <w:tcBorders>
              <w:top w:val="nil"/>
              <w:left w:val="nil"/>
              <w:bottom w:val="single" w:sz="8" w:space="0" w:color="C00000"/>
              <w:right w:val="nil"/>
            </w:tcBorders>
            <w:shd w:val="clear" w:color="000000" w:fill="FFFFFF"/>
            <w:noWrap/>
            <w:vAlign w:val="center"/>
            <w:hideMark/>
          </w:tcPr>
          <w:p w14:paraId="439BC129" w14:textId="4C05A32C" w:rsidR="00CE1675" w:rsidRPr="00901923" w:rsidRDefault="00CE1675" w:rsidP="00B9737C">
            <w:pPr>
              <w:pStyle w:val="Tabletext"/>
            </w:pPr>
            <w:r w:rsidRPr="00901923">
              <w:t>0</w:t>
            </w:r>
          </w:p>
        </w:tc>
        <w:tc>
          <w:tcPr>
            <w:tcW w:w="712" w:type="dxa"/>
            <w:tcBorders>
              <w:top w:val="nil"/>
              <w:left w:val="nil"/>
              <w:bottom w:val="single" w:sz="8" w:space="0" w:color="C00000"/>
              <w:right w:val="nil"/>
            </w:tcBorders>
            <w:shd w:val="clear" w:color="000000" w:fill="FFFFFF"/>
            <w:noWrap/>
            <w:vAlign w:val="center"/>
            <w:hideMark/>
          </w:tcPr>
          <w:p w14:paraId="494E2CE5" w14:textId="4AC67853" w:rsidR="00CE1675" w:rsidRPr="00901923" w:rsidRDefault="00CE1675" w:rsidP="00B9737C">
            <w:pPr>
              <w:pStyle w:val="Tabletext"/>
            </w:pPr>
            <w:r w:rsidRPr="00901923">
              <w:t>0</w:t>
            </w:r>
          </w:p>
        </w:tc>
        <w:tc>
          <w:tcPr>
            <w:tcW w:w="699" w:type="dxa"/>
            <w:tcBorders>
              <w:top w:val="nil"/>
              <w:left w:val="nil"/>
              <w:bottom w:val="single" w:sz="8" w:space="0" w:color="C00000"/>
              <w:right w:val="nil"/>
            </w:tcBorders>
            <w:shd w:val="clear" w:color="000000" w:fill="FFFFFF"/>
            <w:noWrap/>
            <w:vAlign w:val="center"/>
            <w:hideMark/>
          </w:tcPr>
          <w:p w14:paraId="571D1AD1" w14:textId="78935FB8" w:rsidR="00CE1675" w:rsidRPr="00901923" w:rsidRDefault="00CE1675" w:rsidP="00B9737C">
            <w:pPr>
              <w:pStyle w:val="Tabletext"/>
            </w:pPr>
            <w:r w:rsidRPr="00901923">
              <w:t>0</w:t>
            </w:r>
          </w:p>
        </w:tc>
        <w:tc>
          <w:tcPr>
            <w:tcW w:w="699" w:type="dxa"/>
            <w:tcBorders>
              <w:top w:val="nil"/>
              <w:left w:val="nil"/>
              <w:bottom w:val="single" w:sz="8" w:space="0" w:color="C00000"/>
              <w:right w:val="nil"/>
            </w:tcBorders>
            <w:shd w:val="clear" w:color="000000" w:fill="FFFFFF"/>
            <w:vAlign w:val="center"/>
            <w:hideMark/>
          </w:tcPr>
          <w:p w14:paraId="129AA4A9" w14:textId="1E579F26" w:rsidR="00CE1675" w:rsidRPr="00901923" w:rsidRDefault="00CE1675" w:rsidP="00B9737C">
            <w:pPr>
              <w:pStyle w:val="Tabletext"/>
            </w:pPr>
            <w:r w:rsidRPr="00901923">
              <w:t>2</w:t>
            </w:r>
            <w:r w:rsidR="00301B95">
              <w:t>%</w:t>
            </w:r>
          </w:p>
        </w:tc>
        <w:tc>
          <w:tcPr>
            <w:tcW w:w="699" w:type="dxa"/>
            <w:tcBorders>
              <w:top w:val="nil"/>
              <w:left w:val="nil"/>
              <w:bottom w:val="single" w:sz="8" w:space="0" w:color="C00000"/>
              <w:right w:val="nil"/>
            </w:tcBorders>
            <w:shd w:val="clear" w:color="000000" w:fill="FFFFFF"/>
            <w:vAlign w:val="center"/>
            <w:hideMark/>
          </w:tcPr>
          <w:p w14:paraId="51ABADFA" w14:textId="53D7F0DB" w:rsidR="00CE1675" w:rsidRPr="00901923" w:rsidRDefault="00301B95" w:rsidP="00B9737C">
            <w:pPr>
              <w:pStyle w:val="Tabletext"/>
            </w:pPr>
            <w:r>
              <w:t>1%</w:t>
            </w:r>
          </w:p>
        </w:tc>
        <w:tc>
          <w:tcPr>
            <w:tcW w:w="640" w:type="dxa"/>
            <w:tcBorders>
              <w:top w:val="nil"/>
              <w:left w:val="nil"/>
              <w:bottom w:val="single" w:sz="8" w:space="0" w:color="C00000"/>
              <w:right w:val="nil"/>
            </w:tcBorders>
            <w:shd w:val="clear" w:color="000000" w:fill="FFFFFF"/>
            <w:vAlign w:val="center"/>
          </w:tcPr>
          <w:p w14:paraId="36758DFF" w14:textId="3F70D13A" w:rsidR="00CE1675" w:rsidRPr="00901923" w:rsidRDefault="00301B95" w:rsidP="00B9737C">
            <w:pPr>
              <w:pStyle w:val="Tabletext"/>
            </w:pPr>
            <w:r>
              <w:t>1%</w:t>
            </w:r>
          </w:p>
        </w:tc>
      </w:tr>
    </w:tbl>
    <w:p w14:paraId="15DD717C" w14:textId="6D07BD83" w:rsidR="002F48B6" w:rsidRPr="00772F6F" w:rsidRDefault="002F48B6" w:rsidP="00B9737C">
      <w:pPr>
        <w:pStyle w:val="Tablefigurenote"/>
        <w:rPr>
          <w:i/>
          <w:iCs/>
          <w:sz w:val="18"/>
          <w:szCs w:val="18"/>
        </w:rPr>
      </w:pPr>
      <w:r w:rsidRPr="00772F6F">
        <w:rPr>
          <w:i/>
          <w:iCs/>
          <w:sz w:val="18"/>
          <w:szCs w:val="18"/>
        </w:rPr>
        <w:t>Source: BreastScreen Victoria, 202</w:t>
      </w:r>
      <w:r w:rsidR="00CE1675" w:rsidRPr="00772F6F">
        <w:rPr>
          <w:i/>
          <w:iCs/>
          <w:sz w:val="18"/>
          <w:szCs w:val="18"/>
        </w:rPr>
        <w:t>3</w:t>
      </w:r>
    </w:p>
    <w:p w14:paraId="055D4E37" w14:textId="38370136" w:rsidR="00AF7428" w:rsidRPr="00671C7A" w:rsidRDefault="00AF7428" w:rsidP="007C7F00">
      <w:pPr>
        <w:pStyle w:val="Heading4"/>
      </w:pPr>
      <w:r>
        <w:lastRenderedPageBreak/>
        <w:t>Measure assessment</w:t>
      </w:r>
    </w:p>
    <w:p w14:paraId="678E3DA3" w14:textId="6BB5AFE3" w:rsidR="00AF7428" w:rsidRPr="00061321" w:rsidRDefault="00AF7428" w:rsidP="00606436">
      <w:pPr>
        <w:pStyle w:val="Body"/>
        <w:rPr>
          <w:color w:val="00B050"/>
        </w:rPr>
      </w:pPr>
      <w:r>
        <w:t xml:space="preserve">Traffic light rating: </w:t>
      </w:r>
      <w:r w:rsidRPr="00D207B2">
        <w:rPr>
          <w:b/>
          <w:color w:val="007B4B"/>
        </w:rPr>
        <w:t>Green</w:t>
      </w:r>
      <w:r w:rsidR="00061321">
        <w:t xml:space="preserve"> (satisfactory result)</w:t>
      </w:r>
    </w:p>
    <w:p w14:paraId="56DF961E" w14:textId="77777777" w:rsidR="00CD258C" w:rsidRDefault="00AF7428" w:rsidP="00606436">
      <w:pPr>
        <w:pStyle w:val="Body"/>
      </w:pPr>
      <w:r>
        <w:t>Overall trend: Moving in the right direction</w:t>
      </w:r>
    </w:p>
    <w:p w14:paraId="3529FE53" w14:textId="23BEA25D" w:rsidR="00CD258C" w:rsidRPr="00CD258C" w:rsidRDefault="00AF7428" w:rsidP="00606436">
      <w:pPr>
        <w:pStyle w:val="Body"/>
      </w:pPr>
      <w:r w:rsidRPr="00AF7428">
        <w:t>Commentary: BreastScreen Victoria is</w:t>
      </w:r>
      <w:r w:rsidR="001C75D2">
        <w:t xml:space="preserve"> an accredited part of BreastScreen Australia, a </w:t>
      </w:r>
      <w:r w:rsidRPr="00AF7428">
        <w:t xml:space="preserve">national breast cancer screening program inviting women </w:t>
      </w:r>
      <w:r w:rsidR="00404506">
        <w:t xml:space="preserve">(including trans women, trans men and non-binary people who fit the eligibility criteria) </w:t>
      </w:r>
      <w:r w:rsidRPr="00AF7428">
        <w:t xml:space="preserve">aged 50–74 to have free breast screens every two years. The aim of this program is to reduce </w:t>
      </w:r>
      <w:r w:rsidRPr="00AF7428">
        <w:rPr>
          <w:color w:val="000000"/>
        </w:rPr>
        <w:t>breast cancer deaths through early detection of the disease.</w:t>
      </w:r>
    </w:p>
    <w:p w14:paraId="270E82E1" w14:textId="671D8E0D" w:rsidR="00AF7428" w:rsidRPr="00466425" w:rsidRDefault="00AF7428" w:rsidP="00606436">
      <w:pPr>
        <w:pStyle w:val="Body"/>
      </w:pPr>
      <w:r w:rsidRPr="00AF7428">
        <w:t xml:space="preserve">BreastScreen Victoria has a network of services around the state including </w:t>
      </w:r>
      <w:r w:rsidR="00354BE4">
        <w:t>4</w:t>
      </w:r>
      <w:r w:rsidR="00C82759">
        <w:t>4</w:t>
      </w:r>
      <w:r w:rsidR="00354BE4">
        <w:t xml:space="preserve"> permanent</w:t>
      </w:r>
      <w:r w:rsidR="00840325">
        <w:t xml:space="preserve"> </w:t>
      </w:r>
      <w:r w:rsidRPr="00AF7428">
        <w:t>screening clinics and</w:t>
      </w:r>
      <w:r w:rsidR="00354BE4">
        <w:t xml:space="preserve"> </w:t>
      </w:r>
      <w:r w:rsidR="00F01CE0">
        <w:t>eight</w:t>
      </w:r>
      <w:r w:rsidR="00354BE4">
        <w:t xml:space="preserve"> assessment services</w:t>
      </w:r>
      <w:r w:rsidR="00C82759">
        <w:t xml:space="preserve"> that is continuing to expand to meet the needs of the growing eligible population</w:t>
      </w:r>
      <w:r w:rsidR="00354BE4">
        <w:t>. The</w:t>
      </w:r>
      <w:r w:rsidRPr="00AF7428">
        <w:t xml:space="preserve"> Mobile Screening Service visits</w:t>
      </w:r>
      <w:r w:rsidR="00F52034">
        <w:t xml:space="preserve"> rural and regional locations throughout the state</w:t>
      </w:r>
      <w:r w:rsidRPr="00AF7428">
        <w:t xml:space="preserve"> every two years.</w:t>
      </w:r>
      <w:r>
        <w:t xml:space="preserve"> </w:t>
      </w:r>
      <w:r w:rsidR="00466425" w:rsidRPr="00466425">
        <w:t xml:space="preserve">BreastScreen Victoria conducted client satisfaction survey </w:t>
      </w:r>
      <w:r w:rsidR="00F01CE0">
        <w:t xml:space="preserve">each year </w:t>
      </w:r>
      <w:r w:rsidR="00466425" w:rsidRPr="00466425">
        <w:t xml:space="preserve">between 2013 and </w:t>
      </w:r>
      <w:r w:rsidR="00B9737C" w:rsidRPr="00466425">
        <w:t>20</w:t>
      </w:r>
      <w:r w:rsidR="00B9737C">
        <w:t>1</w:t>
      </w:r>
      <w:r w:rsidR="00B9737C" w:rsidRPr="00466425">
        <w:t>9 and</w:t>
      </w:r>
      <w:r w:rsidR="00466425" w:rsidRPr="00466425">
        <w:t xml:space="preserve"> </w:t>
      </w:r>
      <w:r w:rsidR="00F01CE0">
        <w:t xml:space="preserve">has run </w:t>
      </w:r>
      <w:r w:rsidR="00466425" w:rsidRPr="00466425">
        <w:t xml:space="preserve">a real-time client satisfaction survey </w:t>
      </w:r>
      <w:r w:rsidR="00466425">
        <w:t>since</w:t>
      </w:r>
      <w:r w:rsidR="00466425" w:rsidRPr="00466425">
        <w:t xml:space="preserve"> 2020. Th</w:t>
      </w:r>
      <w:r w:rsidR="00466425">
        <w:t>is</w:t>
      </w:r>
      <w:r w:rsidR="00466425" w:rsidRPr="00466425">
        <w:t xml:space="preserve"> survey measures and monitors all aspects of service delivery received by women undergoing a breast screen including their intention to return for rescreening.</w:t>
      </w:r>
    </w:p>
    <w:p w14:paraId="42F1BE70" w14:textId="45847388" w:rsidR="00CB5244" w:rsidRPr="00A451D4" w:rsidRDefault="00C277BB" w:rsidP="00606436">
      <w:pPr>
        <w:pStyle w:val="Body"/>
        <w:rPr>
          <w:rStyle w:val="Heading3Char"/>
        </w:rPr>
      </w:pPr>
      <w:r>
        <w:t xml:space="preserve">While no target has been set for this measure, overall satisfaction with the breast screening </w:t>
      </w:r>
      <w:r w:rsidR="00A02E8B">
        <w:t xml:space="preserve">service </w:t>
      </w:r>
      <w:r>
        <w:t xml:space="preserve">continues to be very </w:t>
      </w:r>
      <w:r w:rsidR="00E9641F">
        <w:t xml:space="preserve">high. Since </w:t>
      </w:r>
      <w:r w:rsidR="003E4E4F">
        <w:t xml:space="preserve">the baseline year </w:t>
      </w:r>
      <w:r w:rsidR="00F01CE0">
        <w:t xml:space="preserve">of </w:t>
      </w:r>
      <w:r w:rsidR="00E9641F">
        <w:t>201</w:t>
      </w:r>
      <w:r w:rsidR="00261ADA">
        <w:t>4</w:t>
      </w:r>
      <w:r w:rsidR="00E9641F">
        <w:t xml:space="preserve">, more than </w:t>
      </w:r>
      <w:r w:rsidR="00702BEF">
        <w:t>nine</w:t>
      </w:r>
      <w:r w:rsidR="00E9641F">
        <w:t xml:space="preserve"> in 10</w:t>
      </w:r>
      <w:r>
        <w:t xml:space="preserve"> women are highly satisfied with their overall experience.</w:t>
      </w:r>
      <w:r w:rsidR="00952FC7">
        <w:t xml:space="preserve"> </w:t>
      </w:r>
      <w:r w:rsidR="00261ADA">
        <w:t>Up until 2020 l</w:t>
      </w:r>
      <w:r>
        <w:t xml:space="preserve">ess than </w:t>
      </w:r>
      <w:r w:rsidR="00F01CE0">
        <w:t>2</w:t>
      </w:r>
      <w:r w:rsidR="0054537F">
        <w:t>%</w:t>
      </w:r>
      <w:r>
        <w:t xml:space="preserve"> of women </w:t>
      </w:r>
      <w:r w:rsidR="00301B95">
        <w:t xml:space="preserve">reported being </w:t>
      </w:r>
      <w:r>
        <w:t xml:space="preserve">neutral or dissatisfied with their experience, reinforcing that nearly all </w:t>
      </w:r>
      <w:r w:rsidR="005162CE">
        <w:t>are extremely satisfied overall</w:t>
      </w:r>
      <w:r w:rsidR="00A02E8B">
        <w:t>,</w:t>
      </w:r>
      <w:r w:rsidR="005162CE">
        <w:t xml:space="preserve"> particularly given that the sample size has grown significantly over the past </w:t>
      </w:r>
      <w:r w:rsidR="00261ADA">
        <w:t xml:space="preserve">eight </w:t>
      </w:r>
      <w:r w:rsidR="005162CE">
        <w:t>years</w:t>
      </w:r>
      <w:r w:rsidR="00DA0438">
        <w:t xml:space="preserve"> (Figure 16.1 and Table 16.1)</w:t>
      </w:r>
      <w:r w:rsidR="005162CE">
        <w:t>.</w:t>
      </w:r>
      <w:bookmarkStart w:id="1130" w:name="_Measure_16.2_–"/>
      <w:bookmarkEnd w:id="1130"/>
      <w:r w:rsidR="00E44FD2" w:rsidRPr="00AF7428">
        <w:br w:type="page"/>
      </w:r>
      <w:bookmarkStart w:id="1131" w:name="_Toc19008208"/>
      <w:r w:rsidR="00605A7F" w:rsidRPr="00B9737C">
        <w:rPr>
          <w:rStyle w:val="Heading3Char"/>
          <w:b/>
          <w:bCs w:val="0"/>
        </w:rPr>
        <w:lastRenderedPageBreak/>
        <w:t>Measure 16.2 –</w:t>
      </w:r>
      <w:r w:rsidR="000C2F6F" w:rsidRPr="00B9737C">
        <w:rPr>
          <w:rStyle w:val="Heading3Char"/>
          <w:b/>
          <w:bCs w:val="0"/>
        </w:rPr>
        <w:t xml:space="preserve"> Proportion of women</w:t>
      </w:r>
      <w:r w:rsidR="00333559" w:rsidRPr="00B9737C">
        <w:rPr>
          <w:rStyle w:val="Heading3Char"/>
          <w:b/>
          <w:bCs w:val="0"/>
        </w:rPr>
        <w:t xml:space="preserve"> who are rescreened at BreastScreen Victoria within 27 months after the first screen</w:t>
      </w:r>
      <w:bookmarkEnd w:id="1131"/>
    </w:p>
    <w:p w14:paraId="4F23A83A" w14:textId="628CB9F0" w:rsidR="001159C0" w:rsidRDefault="00B60CC1" w:rsidP="008D320F">
      <w:pPr>
        <w:pStyle w:val="Figurecaption"/>
        <w:rPr>
          <w:sz w:val="20"/>
        </w:rPr>
      </w:pPr>
      <w:bookmarkStart w:id="1132" w:name="_Toc19008209"/>
      <w:bookmarkStart w:id="1133" w:name="_Toc19008387"/>
      <w:bookmarkStart w:id="1134" w:name="_Toc19008534"/>
      <w:bookmarkStart w:id="1135" w:name="_Toc19008681"/>
      <w:bookmarkStart w:id="1136" w:name="_Toc132553108"/>
      <w:bookmarkStart w:id="1137" w:name="_Toc140827725"/>
      <w:r w:rsidRPr="00772F6F">
        <w:rPr>
          <w:sz w:val="20"/>
        </w:rPr>
        <w:t>Figure 16.2</w:t>
      </w:r>
      <w:r w:rsidR="00C03D95" w:rsidRPr="00772F6F">
        <w:rPr>
          <w:sz w:val="20"/>
        </w:rPr>
        <w:t>:</w:t>
      </w:r>
      <w:r w:rsidR="001159C0" w:rsidRPr="00772F6F">
        <w:rPr>
          <w:sz w:val="20"/>
        </w:rPr>
        <w:t xml:space="preserve"> </w:t>
      </w:r>
      <w:r w:rsidR="00E74E76" w:rsidRPr="00772F6F">
        <w:rPr>
          <w:sz w:val="20"/>
        </w:rPr>
        <w:t>A</w:t>
      </w:r>
      <w:r w:rsidR="001159C0" w:rsidRPr="00772F6F">
        <w:rPr>
          <w:sz w:val="20"/>
        </w:rPr>
        <w:t>ge</w:t>
      </w:r>
      <w:r w:rsidR="00702BEF" w:rsidRPr="00772F6F">
        <w:rPr>
          <w:sz w:val="20"/>
        </w:rPr>
        <w:t>-</w:t>
      </w:r>
      <w:r w:rsidR="001159C0" w:rsidRPr="00772F6F">
        <w:rPr>
          <w:sz w:val="20"/>
        </w:rPr>
        <w:t>adjusted proportion of women screened during 2014</w:t>
      </w:r>
      <w:r w:rsidR="008E7333" w:rsidRPr="00772F6F">
        <w:rPr>
          <w:sz w:val="20"/>
        </w:rPr>
        <w:t xml:space="preserve"> and 201</w:t>
      </w:r>
      <w:r w:rsidR="009B55A4">
        <w:rPr>
          <w:sz w:val="20"/>
        </w:rPr>
        <w:t>8</w:t>
      </w:r>
      <w:r w:rsidR="001159C0" w:rsidRPr="00772F6F">
        <w:rPr>
          <w:sz w:val="20"/>
        </w:rPr>
        <w:t xml:space="preserve"> who rescreened within 27 months, first screening round, by state and territory, women aged 50</w:t>
      </w:r>
      <w:r w:rsidR="00702BEF" w:rsidRPr="00772F6F">
        <w:rPr>
          <w:sz w:val="20"/>
        </w:rPr>
        <w:t>–</w:t>
      </w:r>
      <w:r w:rsidR="001159C0" w:rsidRPr="00772F6F">
        <w:rPr>
          <w:sz w:val="20"/>
        </w:rPr>
        <w:t>72 years</w:t>
      </w:r>
      <w:bookmarkEnd w:id="1132"/>
      <w:bookmarkEnd w:id="1133"/>
      <w:bookmarkEnd w:id="1134"/>
      <w:bookmarkEnd w:id="1135"/>
      <w:bookmarkEnd w:id="1136"/>
      <w:bookmarkEnd w:id="1137"/>
    </w:p>
    <w:p w14:paraId="25F9953C" w14:textId="779C0C84" w:rsidR="00CB5244" w:rsidRDefault="005302E9" w:rsidP="009B55A4">
      <w:pPr>
        <w:pStyle w:val="DHHSbody"/>
      </w:pPr>
      <w:r w:rsidRPr="005302E9">
        <w:rPr>
          <w:noProof/>
        </w:rPr>
        <w:drawing>
          <wp:inline distT="0" distB="0" distL="0" distR="0" wp14:anchorId="42E0381B" wp14:editId="21F2B87B">
            <wp:extent cx="5784400" cy="3159660"/>
            <wp:effectExtent l="0" t="0" r="6985" b="3175"/>
            <wp:docPr id="1110204993" name="Picture 1110204993" descr="This figure presents data on the age-adjusted proportion of women screened during 2014 and 2018 who rescreened within 27 months, first screening round, by state and territory, women aged 50–72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4993" name="Picture 1110204993" descr="This figure presents data on the age-adjusted proportion of women screened during 2014 and 2018 who rescreened within 27 months, first screening round, by state and territory, women aged 50–72 years."/>
                    <pic:cNvPicPr/>
                  </pic:nvPicPr>
                  <pic:blipFill>
                    <a:blip r:embed="rId176"/>
                    <a:stretch>
                      <a:fillRect/>
                    </a:stretch>
                  </pic:blipFill>
                  <pic:spPr>
                    <a:xfrm>
                      <a:off x="0" y="0"/>
                      <a:ext cx="5810646" cy="3173996"/>
                    </a:xfrm>
                    <a:prstGeom prst="rect">
                      <a:avLst/>
                    </a:prstGeom>
                  </pic:spPr>
                </pic:pic>
              </a:graphicData>
            </a:graphic>
          </wp:inline>
        </w:drawing>
      </w:r>
    </w:p>
    <w:p w14:paraId="26F06352" w14:textId="1C61F8BA" w:rsidR="00A02E8B" w:rsidRPr="00772F6F" w:rsidRDefault="00A02E8B" w:rsidP="00B44969">
      <w:pPr>
        <w:pStyle w:val="Tablefigurenote"/>
        <w:rPr>
          <w:i/>
          <w:iCs/>
          <w:sz w:val="18"/>
          <w:szCs w:val="18"/>
        </w:rPr>
      </w:pPr>
      <w:r w:rsidRPr="00772F6F">
        <w:rPr>
          <w:i/>
          <w:iCs/>
          <w:sz w:val="18"/>
          <w:szCs w:val="18"/>
          <w:lang w:eastAsia="en-AU"/>
        </w:rPr>
        <w:t>Source</w:t>
      </w:r>
      <w:r w:rsidR="00DA60B4" w:rsidRPr="00772F6F">
        <w:rPr>
          <w:i/>
          <w:iCs/>
          <w:sz w:val="18"/>
          <w:szCs w:val="18"/>
          <w:lang w:eastAsia="en-AU"/>
        </w:rPr>
        <w:t>s</w:t>
      </w:r>
      <w:r w:rsidRPr="00772F6F">
        <w:rPr>
          <w:i/>
          <w:iCs/>
          <w:sz w:val="18"/>
          <w:szCs w:val="18"/>
          <w:lang w:eastAsia="en-AU"/>
        </w:rPr>
        <w:t>:</w:t>
      </w:r>
      <w:r w:rsidR="008E7333" w:rsidRPr="00772F6F">
        <w:rPr>
          <w:i/>
          <w:iCs/>
          <w:sz w:val="18"/>
          <w:szCs w:val="18"/>
        </w:rPr>
        <w:t xml:space="preserve"> Australian Institute of Health and Welfare. BreastScreen Australia monitoring report</w:t>
      </w:r>
      <w:r w:rsidR="009B55A4">
        <w:rPr>
          <w:i/>
          <w:iCs/>
          <w:sz w:val="18"/>
          <w:szCs w:val="18"/>
        </w:rPr>
        <w:t xml:space="preserve">s </w:t>
      </w:r>
      <w:r w:rsidR="008E7333" w:rsidRPr="00772F6F">
        <w:rPr>
          <w:i/>
          <w:iCs/>
          <w:sz w:val="18"/>
          <w:szCs w:val="18"/>
        </w:rPr>
        <w:t>2018</w:t>
      </w:r>
      <w:r w:rsidR="006F3985">
        <w:rPr>
          <w:i/>
          <w:iCs/>
          <w:sz w:val="18"/>
          <w:szCs w:val="18"/>
        </w:rPr>
        <w:t xml:space="preserve"> and </w:t>
      </w:r>
      <w:r w:rsidR="009B55A4">
        <w:rPr>
          <w:i/>
          <w:iCs/>
          <w:sz w:val="18"/>
          <w:szCs w:val="18"/>
        </w:rPr>
        <w:t>2022</w:t>
      </w:r>
      <w:r w:rsidR="008E7333" w:rsidRPr="00772F6F">
        <w:rPr>
          <w:i/>
          <w:iCs/>
          <w:sz w:val="18"/>
          <w:szCs w:val="18"/>
        </w:rPr>
        <w:t xml:space="preserve">. </w:t>
      </w:r>
    </w:p>
    <w:p w14:paraId="74D67216" w14:textId="77777777" w:rsidR="00F01CE0" w:rsidRPr="00772F6F" w:rsidRDefault="00F01CE0" w:rsidP="00B44969">
      <w:pPr>
        <w:pStyle w:val="Tablefigurenote"/>
        <w:rPr>
          <w:i/>
          <w:iCs/>
          <w:sz w:val="18"/>
          <w:szCs w:val="18"/>
        </w:rPr>
      </w:pPr>
      <w:r w:rsidRPr="00772F6F">
        <w:rPr>
          <w:i/>
          <w:iCs/>
          <w:sz w:val="18"/>
          <w:szCs w:val="18"/>
        </w:rPr>
        <w:t>Notes:</w:t>
      </w:r>
    </w:p>
    <w:p w14:paraId="79084743" w14:textId="10A714D2" w:rsidR="00CD1BB7" w:rsidRPr="00772F6F" w:rsidRDefault="00CD1BB7" w:rsidP="00B44969">
      <w:pPr>
        <w:pStyle w:val="Tablefigurenote"/>
        <w:rPr>
          <w:i/>
          <w:iCs/>
          <w:sz w:val="18"/>
          <w:szCs w:val="18"/>
          <w:lang w:eastAsia="en-AU"/>
        </w:rPr>
      </w:pPr>
      <w:r w:rsidRPr="00772F6F">
        <w:rPr>
          <w:i/>
          <w:iCs/>
          <w:sz w:val="18"/>
          <w:szCs w:val="18"/>
        </w:rPr>
        <w:t>The target age group used for rescreening (prior to 2014) was 50–67 rather than 50–69 because women aged 68–69 at that time of their screen would be outside the target age group of 50–69 when they would be due for their rescreen. The target age group for women screened from 2014 onwards has changed and is now 50–72.</w:t>
      </w:r>
    </w:p>
    <w:p w14:paraId="1C4846C7" w14:textId="758FC0B3" w:rsidR="009B55A4" w:rsidRPr="006F3985" w:rsidRDefault="00D963B5" w:rsidP="006F3985">
      <w:pPr>
        <w:pStyle w:val="Tablefigurenote"/>
        <w:rPr>
          <w:sz w:val="18"/>
          <w:szCs w:val="18"/>
        </w:rPr>
      </w:pPr>
      <w:r w:rsidRPr="00772F6F">
        <w:rPr>
          <w:i/>
          <w:iCs/>
          <w:sz w:val="18"/>
          <w:szCs w:val="18"/>
        </w:rPr>
        <w:t>‘Age-standardised rate’ is the number of women rescreened within 27 months as a percentage of women screened, age-standardised to the population of women attending a BreastScreen Australia service in 2008.</w:t>
      </w:r>
    </w:p>
    <w:p w14:paraId="26837021" w14:textId="06766FF3" w:rsidR="009B55A4" w:rsidRPr="006F3985" w:rsidRDefault="009B55A4" w:rsidP="006F3985">
      <w:pPr>
        <w:pStyle w:val="Tablecaption"/>
      </w:pPr>
      <w:bookmarkStart w:id="1138" w:name="_Toc140834935"/>
      <w:r>
        <w:t>Table</w:t>
      </w:r>
      <w:r w:rsidRPr="009B55A4">
        <w:t xml:space="preserve"> 16.2: Age-adjusted proportion of women screened during 2014 </w:t>
      </w:r>
      <w:r>
        <w:t>to</w:t>
      </w:r>
      <w:r w:rsidRPr="009B55A4">
        <w:t xml:space="preserve"> 201</w:t>
      </w:r>
      <w:r>
        <w:t>8</w:t>
      </w:r>
      <w:r w:rsidRPr="009B55A4">
        <w:t xml:space="preserve"> who rescreened within 27 months, first screening round, by state and territory, women aged 50–72 years</w:t>
      </w:r>
      <w:bookmarkEnd w:id="1138"/>
    </w:p>
    <w:tbl>
      <w:tblPr>
        <w:tblW w:w="9294" w:type="dxa"/>
        <w:jc w:val="center"/>
        <w:tblLook w:val="04A0" w:firstRow="1" w:lastRow="0" w:firstColumn="1" w:lastColumn="0" w:noHBand="0" w:noVBand="1"/>
      </w:tblPr>
      <w:tblGrid>
        <w:gridCol w:w="2105"/>
        <w:gridCol w:w="971"/>
        <w:gridCol w:w="819"/>
        <w:gridCol w:w="748"/>
        <w:gridCol w:w="810"/>
        <w:gridCol w:w="686"/>
        <w:gridCol w:w="636"/>
        <w:gridCol w:w="675"/>
        <w:gridCol w:w="675"/>
        <w:gridCol w:w="1169"/>
      </w:tblGrid>
      <w:tr w:rsidR="009B55A4" w:rsidRPr="00901923" w14:paraId="7ACA934E" w14:textId="77777777" w:rsidTr="009B55A4">
        <w:trPr>
          <w:trHeight w:val="225"/>
          <w:tblHeader/>
          <w:jc w:val="center"/>
        </w:trPr>
        <w:tc>
          <w:tcPr>
            <w:tcW w:w="2105" w:type="dxa"/>
            <w:tcBorders>
              <w:top w:val="nil"/>
              <w:left w:val="nil"/>
              <w:bottom w:val="single" w:sz="8" w:space="0" w:color="C00000"/>
              <w:right w:val="nil"/>
            </w:tcBorders>
            <w:shd w:val="clear" w:color="000000" w:fill="EDCDCF"/>
            <w:noWrap/>
            <w:vAlign w:val="center"/>
            <w:hideMark/>
          </w:tcPr>
          <w:p w14:paraId="1B625C18" w14:textId="35BAA3DE" w:rsidR="009B55A4" w:rsidRPr="00901923" w:rsidRDefault="009B55A4" w:rsidP="00536710">
            <w:pPr>
              <w:pStyle w:val="Tablecolhead"/>
            </w:pPr>
          </w:p>
        </w:tc>
        <w:tc>
          <w:tcPr>
            <w:tcW w:w="971" w:type="dxa"/>
            <w:tcBorders>
              <w:top w:val="nil"/>
              <w:left w:val="nil"/>
              <w:bottom w:val="single" w:sz="8" w:space="0" w:color="C00000"/>
              <w:right w:val="nil"/>
            </w:tcBorders>
            <w:shd w:val="clear" w:color="000000" w:fill="EDCDCF"/>
            <w:noWrap/>
            <w:vAlign w:val="center"/>
            <w:hideMark/>
          </w:tcPr>
          <w:p w14:paraId="2773CF93" w14:textId="13E86C95" w:rsidR="009B55A4" w:rsidRPr="00901923" w:rsidRDefault="009B55A4" w:rsidP="00536710">
            <w:pPr>
              <w:pStyle w:val="Tablecolhead"/>
            </w:pPr>
            <w:r>
              <w:t>VIC</w:t>
            </w:r>
          </w:p>
        </w:tc>
        <w:tc>
          <w:tcPr>
            <w:tcW w:w="819" w:type="dxa"/>
            <w:tcBorders>
              <w:top w:val="nil"/>
              <w:left w:val="nil"/>
              <w:bottom w:val="single" w:sz="8" w:space="0" w:color="C00000"/>
              <w:right w:val="nil"/>
            </w:tcBorders>
            <w:shd w:val="clear" w:color="000000" w:fill="EDCDCF"/>
            <w:noWrap/>
            <w:vAlign w:val="center"/>
            <w:hideMark/>
          </w:tcPr>
          <w:p w14:paraId="20EEFF7D" w14:textId="01586B8C" w:rsidR="009B55A4" w:rsidRPr="00901923" w:rsidRDefault="009B55A4" w:rsidP="00536710">
            <w:pPr>
              <w:pStyle w:val="Tablecolhead"/>
            </w:pPr>
            <w:r>
              <w:t>NSW</w:t>
            </w:r>
          </w:p>
        </w:tc>
        <w:tc>
          <w:tcPr>
            <w:tcW w:w="748" w:type="dxa"/>
            <w:tcBorders>
              <w:top w:val="nil"/>
              <w:left w:val="nil"/>
              <w:bottom w:val="single" w:sz="8" w:space="0" w:color="C00000"/>
              <w:right w:val="nil"/>
            </w:tcBorders>
            <w:shd w:val="clear" w:color="000000" w:fill="EDCDCF"/>
            <w:noWrap/>
            <w:vAlign w:val="center"/>
            <w:hideMark/>
          </w:tcPr>
          <w:p w14:paraId="0BCC2406" w14:textId="300078D7" w:rsidR="009B55A4" w:rsidRPr="00901923" w:rsidRDefault="009B55A4" w:rsidP="00536710">
            <w:pPr>
              <w:pStyle w:val="Tablecolhead"/>
            </w:pPr>
            <w:r>
              <w:t>QLD</w:t>
            </w:r>
          </w:p>
        </w:tc>
        <w:tc>
          <w:tcPr>
            <w:tcW w:w="810" w:type="dxa"/>
            <w:tcBorders>
              <w:top w:val="nil"/>
              <w:left w:val="nil"/>
              <w:bottom w:val="single" w:sz="8" w:space="0" w:color="C00000"/>
              <w:right w:val="nil"/>
            </w:tcBorders>
            <w:shd w:val="clear" w:color="000000" w:fill="EDCDCF"/>
            <w:noWrap/>
            <w:vAlign w:val="center"/>
            <w:hideMark/>
          </w:tcPr>
          <w:p w14:paraId="318EA3D7" w14:textId="548C5996" w:rsidR="009B55A4" w:rsidRPr="00901923" w:rsidRDefault="009B55A4" w:rsidP="00536710">
            <w:pPr>
              <w:pStyle w:val="Tablecolhead"/>
            </w:pPr>
            <w:r>
              <w:t>WA</w:t>
            </w:r>
          </w:p>
        </w:tc>
        <w:tc>
          <w:tcPr>
            <w:tcW w:w="686" w:type="dxa"/>
            <w:tcBorders>
              <w:top w:val="nil"/>
              <w:left w:val="nil"/>
              <w:bottom w:val="single" w:sz="8" w:space="0" w:color="C00000"/>
              <w:right w:val="nil"/>
            </w:tcBorders>
            <w:shd w:val="clear" w:color="000000" w:fill="EDCDCF"/>
            <w:noWrap/>
            <w:vAlign w:val="center"/>
            <w:hideMark/>
          </w:tcPr>
          <w:p w14:paraId="483048A5" w14:textId="4655530A" w:rsidR="009B55A4" w:rsidRPr="00901923" w:rsidRDefault="009B55A4" w:rsidP="00536710">
            <w:pPr>
              <w:pStyle w:val="Tablecolhead"/>
            </w:pPr>
            <w:r>
              <w:t>SA</w:t>
            </w:r>
          </w:p>
        </w:tc>
        <w:tc>
          <w:tcPr>
            <w:tcW w:w="636" w:type="dxa"/>
            <w:tcBorders>
              <w:top w:val="nil"/>
              <w:left w:val="nil"/>
              <w:bottom w:val="single" w:sz="8" w:space="0" w:color="C00000"/>
              <w:right w:val="nil"/>
            </w:tcBorders>
            <w:shd w:val="clear" w:color="000000" w:fill="EDCDCF"/>
            <w:vAlign w:val="center"/>
            <w:hideMark/>
          </w:tcPr>
          <w:p w14:paraId="7F5FBE1A" w14:textId="1DCC4720" w:rsidR="009B55A4" w:rsidRPr="00901923" w:rsidRDefault="009B55A4" w:rsidP="00536710">
            <w:pPr>
              <w:pStyle w:val="Tablecolhead"/>
            </w:pPr>
            <w:r>
              <w:t>TAS</w:t>
            </w:r>
          </w:p>
        </w:tc>
        <w:tc>
          <w:tcPr>
            <w:tcW w:w="675" w:type="dxa"/>
            <w:tcBorders>
              <w:top w:val="nil"/>
              <w:left w:val="nil"/>
              <w:bottom w:val="single" w:sz="8" w:space="0" w:color="C00000"/>
              <w:right w:val="nil"/>
            </w:tcBorders>
            <w:shd w:val="clear" w:color="000000" w:fill="EDCDCF"/>
            <w:vAlign w:val="center"/>
            <w:hideMark/>
          </w:tcPr>
          <w:p w14:paraId="170CD552" w14:textId="20902AE4" w:rsidR="009B55A4" w:rsidRPr="00901923" w:rsidRDefault="009B55A4" w:rsidP="00536710">
            <w:pPr>
              <w:pStyle w:val="Tablecolhead"/>
            </w:pPr>
            <w:r>
              <w:t>ACT</w:t>
            </w:r>
          </w:p>
        </w:tc>
        <w:tc>
          <w:tcPr>
            <w:tcW w:w="675" w:type="dxa"/>
            <w:tcBorders>
              <w:top w:val="nil"/>
              <w:left w:val="nil"/>
              <w:bottom w:val="single" w:sz="8" w:space="0" w:color="C00000"/>
              <w:right w:val="nil"/>
            </w:tcBorders>
            <w:shd w:val="clear" w:color="000000" w:fill="EDCDCF"/>
            <w:vAlign w:val="center"/>
            <w:hideMark/>
          </w:tcPr>
          <w:p w14:paraId="62607797" w14:textId="2395E125" w:rsidR="009B55A4" w:rsidRPr="00901923" w:rsidRDefault="009B55A4" w:rsidP="00536710">
            <w:pPr>
              <w:pStyle w:val="Tablecolhead"/>
            </w:pPr>
            <w:r>
              <w:t>NT</w:t>
            </w:r>
          </w:p>
        </w:tc>
        <w:tc>
          <w:tcPr>
            <w:tcW w:w="1169" w:type="dxa"/>
            <w:tcBorders>
              <w:top w:val="nil"/>
              <w:left w:val="nil"/>
              <w:bottom w:val="single" w:sz="8" w:space="0" w:color="C00000"/>
              <w:right w:val="nil"/>
            </w:tcBorders>
            <w:shd w:val="clear" w:color="000000" w:fill="EDCDCF"/>
            <w:vAlign w:val="center"/>
          </w:tcPr>
          <w:p w14:paraId="29D8BCAA" w14:textId="685CE9BB" w:rsidR="009B55A4" w:rsidRPr="00901923" w:rsidRDefault="009B55A4" w:rsidP="00536710">
            <w:pPr>
              <w:pStyle w:val="Tablecolhead"/>
            </w:pPr>
            <w:r>
              <w:t>Australia</w:t>
            </w:r>
          </w:p>
        </w:tc>
      </w:tr>
      <w:tr w:rsidR="009B55A4" w:rsidRPr="00901923" w14:paraId="56CB3062" w14:textId="77777777" w:rsidTr="009B55A4">
        <w:trPr>
          <w:trHeight w:val="225"/>
          <w:jc w:val="center"/>
        </w:trPr>
        <w:tc>
          <w:tcPr>
            <w:tcW w:w="2105" w:type="dxa"/>
            <w:tcBorders>
              <w:top w:val="nil"/>
              <w:left w:val="nil"/>
              <w:bottom w:val="single" w:sz="8" w:space="0" w:color="C00000"/>
              <w:right w:val="nil"/>
            </w:tcBorders>
            <w:shd w:val="clear" w:color="000000" w:fill="FFFFFF"/>
            <w:noWrap/>
            <w:vAlign w:val="center"/>
            <w:hideMark/>
          </w:tcPr>
          <w:p w14:paraId="48821777" w14:textId="233E594D" w:rsidR="009B55A4" w:rsidRPr="00901923" w:rsidRDefault="009B55A4" w:rsidP="009B55A4">
            <w:pPr>
              <w:pStyle w:val="Tabletext"/>
              <w:rPr>
                <w:color w:val="000000"/>
              </w:rPr>
            </w:pPr>
            <w:r>
              <w:t>2014</w:t>
            </w:r>
          </w:p>
        </w:tc>
        <w:tc>
          <w:tcPr>
            <w:tcW w:w="971" w:type="dxa"/>
            <w:tcBorders>
              <w:top w:val="nil"/>
              <w:left w:val="nil"/>
              <w:bottom w:val="single" w:sz="8" w:space="0" w:color="C00000"/>
              <w:right w:val="nil"/>
            </w:tcBorders>
            <w:shd w:val="clear" w:color="000000" w:fill="FFFFFF"/>
            <w:noWrap/>
            <w:vAlign w:val="bottom"/>
          </w:tcPr>
          <w:p w14:paraId="41CAFB16" w14:textId="33E4DB53" w:rsidR="009B55A4" w:rsidRPr="009B55A4" w:rsidRDefault="009B55A4" w:rsidP="009B55A4">
            <w:pPr>
              <w:pStyle w:val="Tabletext"/>
              <w:rPr>
                <w:rFonts w:cs="Arial"/>
                <w:color w:val="000000"/>
                <w:szCs w:val="21"/>
              </w:rPr>
            </w:pPr>
            <w:r w:rsidRPr="009B55A4">
              <w:rPr>
                <w:rFonts w:cs="Arial"/>
                <w:color w:val="000000"/>
                <w:szCs w:val="21"/>
              </w:rPr>
              <w:t>57.7</w:t>
            </w:r>
          </w:p>
        </w:tc>
        <w:tc>
          <w:tcPr>
            <w:tcW w:w="819" w:type="dxa"/>
            <w:tcBorders>
              <w:top w:val="nil"/>
              <w:left w:val="nil"/>
              <w:bottom w:val="single" w:sz="8" w:space="0" w:color="C00000"/>
              <w:right w:val="nil"/>
            </w:tcBorders>
            <w:shd w:val="clear" w:color="000000" w:fill="FFFFFF"/>
            <w:noWrap/>
            <w:vAlign w:val="bottom"/>
          </w:tcPr>
          <w:p w14:paraId="230F4014" w14:textId="6DBEC030" w:rsidR="009B55A4" w:rsidRPr="009B55A4" w:rsidRDefault="009B55A4" w:rsidP="009B55A4">
            <w:pPr>
              <w:pStyle w:val="Tabletext"/>
              <w:rPr>
                <w:rFonts w:cs="Arial"/>
                <w:color w:val="000000"/>
                <w:szCs w:val="21"/>
              </w:rPr>
            </w:pPr>
            <w:r w:rsidRPr="009B55A4">
              <w:rPr>
                <w:rFonts w:cs="Arial"/>
                <w:color w:val="000000"/>
                <w:szCs w:val="21"/>
              </w:rPr>
              <w:t>62.6</w:t>
            </w:r>
          </w:p>
        </w:tc>
        <w:tc>
          <w:tcPr>
            <w:tcW w:w="748" w:type="dxa"/>
            <w:tcBorders>
              <w:top w:val="nil"/>
              <w:left w:val="nil"/>
              <w:bottom w:val="single" w:sz="8" w:space="0" w:color="C00000"/>
              <w:right w:val="nil"/>
            </w:tcBorders>
            <w:shd w:val="clear" w:color="000000" w:fill="FFFFFF"/>
            <w:noWrap/>
            <w:vAlign w:val="bottom"/>
          </w:tcPr>
          <w:p w14:paraId="1B1A04E0" w14:textId="49DFE4C0" w:rsidR="009B55A4" w:rsidRPr="009B55A4" w:rsidRDefault="009B55A4" w:rsidP="009B55A4">
            <w:pPr>
              <w:pStyle w:val="Tabletext"/>
              <w:rPr>
                <w:rFonts w:cs="Arial"/>
                <w:color w:val="000000"/>
                <w:szCs w:val="21"/>
              </w:rPr>
            </w:pPr>
            <w:r w:rsidRPr="009B55A4">
              <w:rPr>
                <w:rFonts w:cs="Arial"/>
                <w:color w:val="000000"/>
                <w:szCs w:val="21"/>
              </w:rPr>
              <w:t>62.4</w:t>
            </w:r>
          </w:p>
        </w:tc>
        <w:tc>
          <w:tcPr>
            <w:tcW w:w="810" w:type="dxa"/>
            <w:tcBorders>
              <w:top w:val="nil"/>
              <w:left w:val="nil"/>
              <w:bottom w:val="single" w:sz="8" w:space="0" w:color="C00000"/>
              <w:right w:val="nil"/>
            </w:tcBorders>
            <w:shd w:val="clear" w:color="000000" w:fill="FFFFFF"/>
            <w:noWrap/>
            <w:vAlign w:val="bottom"/>
          </w:tcPr>
          <w:p w14:paraId="5039D566" w14:textId="2D578892" w:rsidR="009B55A4" w:rsidRPr="009B55A4" w:rsidRDefault="009B55A4" w:rsidP="009B55A4">
            <w:pPr>
              <w:pStyle w:val="Tabletext"/>
              <w:rPr>
                <w:rFonts w:cs="Arial"/>
                <w:color w:val="000000"/>
                <w:szCs w:val="21"/>
              </w:rPr>
            </w:pPr>
            <w:r w:rsidRPr="009B55A4">
              <w:rPr>
                <w:rFonts w:cs="Arial"/>
                <w:color w:val="000000"/>
                <w:szCs w:val="21"/>
              </w:rPr>
              <w:t>51.9</w:t>
            </w:r>
          </w:p>
        </w:tc>
        <w:tc>
          <w:tcPr>
            <w:tcW w:w="686" w:type="dxa"/>
            <w:tcBorders>
              <w:top w:val="nil"/>
              <w:left w:val="nil"/>
              <w:bottom w:val="single" w:sz="8" w:space="0" w:color="C00000"/>
              <w:right w:val="nil"/>
            </w:tcBorders>
            <w:shd w:val="clear" w:color="000000" w:fill="FFFFFF"/>
            <w:noWrap/>
            <w:vAlign w:val="bottom"/>
          </w:tcPr>
          <w:p w14:paraId="55BC8398" w14:textId="121F1552" w:rsidR="009B55A4" w:rsidRPr="009B55A4" w:rsidRDefault="009B55A4" w:rsidP="009B55A4">
            <w:pPr>
              <w:pStyle w:val="Tabletext"/>
              <w:rPr>
                <w:rFonts w:cs="Arial"/>
                <w:color w:val="000000"/>
                <w:szCs w:val="21"/>
              </w:rPr>
            </w:pPr>
            <w:r w:rsidRPr="009B55A4">
              <w:rPr>
                <w:rFonts w:cs="Arial"/>
                <w:color w:val="000000"/>
                <w:szCs w:val="21"/>
              </w:rPr>
              <w:t>59.2</w:t>
            </w:r>
          </w:p>
        </w:tc>
        <w:tc>
          <w:tcPr>
            <w:tcW w:w="636" w:type="dxa"/>
            <w:tcBorders>
              <w:top w:val="nil"/>
              <w:left w:val="nil"/>
              <w:bottom w:val="single" w:sz="8" w:space="0" w:color="C00000"/>
              <w:right w:val="nil"/>
            </w:tcBorders>
            <w:shd w:val="clear" w:color="000000" w:fill="FFFFFF"/>
            <w:vAlign w:val="bottom"/>
          </w:tcPr>
          <w:p w14:paraId="3C113A62" w14:textId="4D819AD1" w:rsidR="009B55A4" w:rsidRPr="009B55A4" w:rsidRDefault="009B55A4" w:rsidP="009B55A4">
            <w:pPr>
              <w:pStyle w:val="Tabletext"/>
              <w:rPr>
                <w:rFonts w:cs="Arial"/>
                <w:color w:val="000000"/>
                <w:szCs w:val="21"/>
              </w:rPr>
            </w:pPr>
            <w:r w:rsidRPr="009B55A4">
              <w:rPr>
                <w:rFonts w:cs="Arial"/>
                <w:color w:val="000000"/>
                <w:szCs w:val="21"/>
              </w:rPr>
              <w:t>65.2</w:t>
            </w:r>
          </w:p>
        </w:tc>
        <w:tc>
          <w:tcPr>
            <w:tcW w:w="675" w:type="dxa"/>
            <w:tcBorders>
              <w:top w:val="nil"/>
              <w:left w:val="nil"/>
              <w:bottom w:val="single" w:sz="8" w:space="0" w:color="C00000"/>
              <w:right w:val="nil"/>
            </w:tcBorders>
            <w:shd w:val="clear" w:color="000000" w:fill="FFFFFF"/>
            <w:vAlign w:val="bottom"/>
          </w:tcPr>
          <w:p w14:paraId="7BF9851C" w14:textId="001D2E54" w:rsidR="009B55A4" w:rsidRPr="009B55A4" w:rsidRDefault="009B55A4" w:rsidP="009B55A4">
            <w:pPr>
              <w:pStyle w:val="Tabletext"/>
              <w:rPr>
                <w:rFonts w:cs="Arial"/>
                <w:szCs w:val="21"/>
              </w:rPr>
            </w:pPr>
            <w:r w:rsidRPr="009B55A4">
              <w:rPr>
                <w:rFonts w:cs="Arial"/>
                <w:color w:val="000000"/>
                <w:szCs w:val="21"/>
              </w:rPr>
              <w:t>57.9</w:t>
            </w:r>
          </w:p>
        </w:tc>
        <w:tc>
          <w:tcPr>
            <w:tcW w:w="675" w:type="dxa"/>
            <w:tcBorders>
              <w:top w:val="nil"/>
              <w:left w:val="nil"/>
              <w:bottom w:val="single" w:sz="8" w:space="0" w:color="C00000"/>
              <w:right w:val="nil"/>
            </w:tcBorders>
            <w:shd w:val="clear" w:color="000000" w:fill="FFFFFF"/>
            <w:vAlign w:val="bottom"/>
          </w:tcPr>
          <w:p w14:paraId="2E747643" w14:textId="7A86FD4A" w:rsidR="009B55A4" w:rsidRPr="009B55A4" w:rsidRDefault="009B55A4" w:rsidP="009B55A4">
            <w:pPr>
              <w:pStyle w:val="Tabletext"/>
              <w:rPr>
                <w:rFonts w:cs="Arial"/>
                <w:szCs w:val="21"/>
              </w:rPr>
            </w:pPr>
            <w:r w:rsidRPr="009B55A4">
              <w:rPr>
                <w:rFonts w:cs="Arial"/>
                <w:color w:val="000000"/>
                <w:szCs w:val="21"/>
              </w:rPr>
              <w:t>43.1</w:t>
            </w:r>
          </w:p>
        </w:tc>
        <w:tc>
          <w:tcPr>
            <w:tcW w:w="1169" w:type="dxa"/>
            <w:tcBorders>
              <w:top w:val="nil"/>
              <w:left w:val="nil"/>
              <w:bottom w:val="single" w:sz="8" w:space="0" w:color="C00000"/>
              <w:right w:val="nil"/>
            </w:tcBorders>
            <w:shd w:val="clear" w:color="000000" w:fill="FFFFFF"/>
            <w:vAlign w:val="bottom"/>
          </w:tcPr>
          <w:p w14:paraId="44E9C22E" w14:textId="063C0F4F" w:rsidR="009B55A4" w:rsidRPr="009B55A4" w:rsidRDefault="009B55A4" w:rsidP="009B55A4">
            <w:pPr>
              <w:pStyle w:val="Tabletext"/>
              <w:rPr>
                <w:rFonts w:cs="Arial"/>
                <w:szCs w:val="21"/>
              </w:rPr>
            </w:pPr>
            <w:r w:rsidRPr="009B55A4">
              <w:rPr>
                <w:rFonts w:cs="Arial"/>
                <w:color w:val="000000"/>
                <w:szCs w:val="21"/>
              </w:rPr>
              <w:t>60</w:t>
            </w:r>
            <w:r>
              <w:rPr>
                <w:rFonts w:cs="Arial"/>
                <w:color w:val="000000"/>
                <w:szCs w:val="21"/>
              </w:rPr>
              <w:t>.0</w:t>
            </w:r>
          </w:p>
        </w:tc>
      </w:tr>
      <w:tr w:rsidR="009B55A4" w:rsidRPr="00901923" w14:paraId="7C193690" w14:textId="77777777" w:rsidTr="009B55A4">
        <w:trPr>
          <w:trHeight w:val="225"/>
          <w:jc w:val="center"/>
        </w:trPr>
        <w:tc>
          <w:tcPr>
            <w:tcW w:w="2105" w:type="dxa"/>
            <w:tcBorders>
              <w:top w:val="nil"/>
              <w:left w:val="nil"/>
              <w:bottom w:val="single" w:sz="8" w:space="0" w:color="C00000"/>
              <w:right w:val="nil"/>
            </w:tcBorders>
            <w:shd w:val="clear" w:color="000000" w:fill="FFFFFF"/>
            <w:noWrap/>
            <w:vAlign w:val="center"/>
            <w:hideMark/>
          </w:tcPr>
          <w:p w14:paraId="4C0BF8FE" w14:textId="24035A4F" w:rsidR="009B55A4" w:rsidRPr="00901923" w:rsidRDefault="009B55A4" w:rsidP="009B55A4">
            <w:pPr>
              <w:pStyle w:val="Tabletext"/>
              <w:rPr>
                <w:color w:val="000000"/>
              </w:rPr>
            </w:pPr>
            <w:r>
              <w:t>2015</w:t>
            </w:r>
          </w:p>
        </w:tc>
        <w:tc>
          <w:tcPr>
            <w:tcW w:w="971" w:type="dxa"/>
            <w:tcBorders>
              <w:top w:val="nil"/>
              <w:left w:val="nil"/>
              <w:bottom w:val="single" w:sz="8" w:space="0" w:color="C00000"/>
              <w:right w:val="nil"/>
            </w:tcBorders>
            <w:shd w:val="clear" w:color="000000" w:fill="FFFFFF"/>
            <w:noWrap/>
            <w:vAlign w:val="bottom"/>
          </w:tcPr>
          <w:p w14:paraId="025BF681" w14:textId="276D3BA1" w:rsidR="009B55A4" w:rsidRPr="009B55A4" w:rsidRDefault="009B55A4" w:rsidP="009B55A4">
            <w:pPr>
              <w:pStyle w:val="Tabletext"/>
              <w:rPr>
                <w:rFonts w:cs="Arial"/>
                <w:color w:val="000000"/>
                <w:szCs w:val="21"/>
              </w:rPr>
            </w:pPr>
            <w:r w:rsidRPr="009B55A4">
              <w:rPr>
                <w:rFonts w:cs="Arial"/>
                <w:color w:val="000000"/>
                <w:szCs w:val="21"/>
              </w:rPr>
              <w:t>59.9</w:t>
            </w:r>
          </w:p>
        </w:tc>
        <w:tc>
          <w:tcPr>
            <w:tcW w:w="819" w:type="dxa"/>
            <w:tcBorders>
              <w:top w:val="nil"/>
              <w:left w:val="nil"/>
              <w:bottom w:val="single" w:sz="8" w:space="0" w:color="C00000"/>
              <w:right w:val="nil"/>
            </w:tcBorders>
            <w:shd w:val="clear" w:color="000000" w:fill="FFFFFF"/>
            <w:noWrap/>
            <w:vAlign w:val="bottom"/>
          </w:tcPr>
          <w:p w14:paraId="1D0C5841" w14:textId="24954B6F" w:rsidR="009B55A4" w:rsidRPr="009B55A4" w:rsidRDefault="009B55A4" w:rsidP="009B55A4">
            <w:pPr>
              <w:pStyle w:val="Tabletext"/>
              <w:rPr>
                <w:rFonts w:cs="Arial"/>
                <w:color w:val="000000"/>
                <w:szCs w:val="21"/>
              </w:rPr>
            </w:pPr>
            <w:r w:rsidRPr="009B55A4">
              <w:rPr>
                <w:rFonts w:cs="Arial"/>
                <w:color w:val="000000"/>
                <w:szCs w:val="21"/>
              </w:rPr>
              <w:t>63.9</w:t>
            </w:r>
          </w:p>
        </w:tc>
        <w:tc>
          <w:tcPr>
            <w:tcW w:w="748" w:type="dxa"/>
            <w:tcBorders>
              <w:top w:val="nil"/>
              <w:left w:val="nil"/>
              <w:bottom w:val="single" w:sz="8" w:space="0" w:color="C00000"/>
              <w:right w:val="nil"/>
            </w:tcBorders>
            <w:shd w:val="clear" w:color="000000" w:fill="FFFFFF"/>
            <w:noWrap/>
            <w:vAlign w:val="bottom"/>
          </w:tcPr>
          <w:p w14:paraId="7DA28197" w14:textId="0E7BA0CB" w:rsidR="009B55A4" w:rsidRPr="009B55A4" w:rsidRDefault="009B55A4" w:rsidP="009B55A4">
            <w:pPr>
              <w:pStyle w:val="Tabletext"/>
              <w:rPr>
                <w:rFonts w:cs="Arial"/>
                <w:color w:val="000000"/>
                <w:szCs w:val="21"/>
              </w:rPr>
            </w:pPr>
            <w:r w:rsidRPr="009B55A4">
              <w:rPr>
                <w:rFonts w:cs="Arial"/>
                <w:color w:val="000000"/>
                <w:szCs w:val="21"/>
              </w:rPr>
              <w:t>58.3</w:t>
            </w:r>
          </w:p>
        </w:tc>
        <w:tc>
          <w:tcPr>
            <w:tcW w:w="810" w:type="dxa"/>
            <w:tcBorders>
              <w:top w:val="nil"/>
              <w:left w:val="nil"/>
              <w:bottom w:val="single" w:sz="8" w:space="0" w:color="C00000"/>
              <w:right w:val="nil"/>
            </w:tcBorders>
            <w:shd w:val="clear" w:color="000000" w:fill="FFFFFF"/>
            <w:noWrap/>
            <w:vAlign w:val="bottom"/>
          </w:tcPr>
          <w:p w14:paraId="5E5275BD" w14:textId="37D43974" w:rsidR="009B55A4" w:rsidRPr="009B55A4" w:rsidRDefault="009B55A4" w:rsidP="009B55A4">
            <w:pPr>
              <w:pStyle w:val="Tabletext"/>
              <w:rPr>
                <w:rFonts w:cs="Arial"/>
                <w:color w:val="000000"/>
                <w:szCs w:val="21"/>
              </w:rPr>
            </w:pPr>
            <w:r w:rsidRPr="009B55A4">
              <w:rPr>
                <w:rFonts w:cs="Arial"/>
                <w:color w:val="000000"/>
                <w:szCs w:val="21"/>
              </w:rPr>
              <w:t>51.4</w:t>
            </w:r>
          </w:p>
        </w:tc>
        <w:tc>
          <w:tcPr>
            <w:tcW w:w="686" w:type="dxa"/>
            <w:tcBorders>
              <w:top w:val="nil"/>
              <w:left w:val="nil"/>
              <w:bottom w:val="single" w:sz="8" w:space="0" w:color="C00000"/>
              <w:right w:val="nil"/>
            </w:tcBorders>
            <w:shd w:val="clear" w:color="000000" w:fill="FFFFFF"/>
            <w:noWrap/>
            <w:vAlign w:val="bottom"/>
          </w:tcPr>
          <w:p w14:paraId="1C7BC57B" w14:textId="63ACE956" w:rsidR="009B55A4" w:rsidRPr="009B55A4" w:rsidRDefault="009B55A4" w:rsidP="009B55A4">
            <w:pPr>
              <w:pStyle w:val="Tabletext"/>
              <w:rPr>
                <w:rFonts w:cs="Arial"/>
                <w:color w:val="000000"/>
                <w:szCs w:val="21"/>
              </w:rPr>
            </w:pPr>
            <w:r w:rsidRPr="009B55A4">
              <w:rPr>
                <w:rFonts w:cs="Arial"/>
                <w:color w:val="000000"/>
                <w:szCs w:val="21"/>
              </w:rPr>
              <w:t>66.4</w:t>
            </w:r>
          </w:p>
        </w:tc>
        <w:tc>
          <w:tcPr>
            <w:tcW w:w="636" w:type="dxa"/>
            <w:tcBorders>
              <w:top w:val="nil"/>
              <w:left w:val="nil"/>
              <w:bottom w:val="single" w:sz="8" w:space="0" w:color="C00000"/>
              <w:right w:val="nil"/>
            </w:tcBorders>
            <w:shd w:val="clear" w:color="000000" w:fill="FFFFFF"/>
            <w:vAlign w:val="bottom"/>
          </w:tcPr>
          <w:p w14:paraId="5353AFC9" w14:textId="7B806C0B" w:rsidR="009B55A4" w:rsidRPr="009B55A4" w:rsidRDefault="009B55A4" w:rsidP="009B55A4">
            <w:pPr>
              <w:pStyle w:val="Tabletext"/>
              <w:rPr>
                <w:rFonts w:cs="Arial"/>
                <w:color w:val="000000"/>
                <w:szCs w:val="21"/>
              </w:rPr>
            </w:pPr>
            <w:r w:rsidRPr="009B55A4">
              <w:rPr>
                <w:rFonts w:cs="Arial"/>
                <w:color w:val="000000"/>
                <w:szCs w:val="21"/>
              </w:rPr>
              <w:t>65.7</w:t>
            </w:r>
          </w:p>
        </w:tc>
        <w:tc>
          <w:tcPr>
            <w:tcW w:w="675" w:type="dxa"/>
            <w:tcBorders>
              <w:top w:val="nil"/>
              <w:left w:val="nil"/>
              <w:bottom w:val="single" w:sz="8" w:space="0" w:color="C00000"/>
              <w:right w:val="nil"/>
            </w:tcBorders>
            <w:shd w:val="clear" w:color="000000" w:fill="FFFFFF"/>
            <w:vAlign w:val="bottom"/>
          </w:tcPr>
          <w:p w14:paraId="4C8BA363" w14:textId="25D2C151" w:rsidR="009B55A4" w:rsidRPr="009B55A4" w:rsidRDefault="009B55A4" w:rsidP="009B55A4">
            <w:pPr>
              <w:pStyle w:val="Tabletext"/>
              <w:rPr>
                <w:rFonts w:cs="Arial"/>
                <w:szCs w:val="21"/>
              </w:rPr>
            </w:pPr>
            <w:r w:rsidRPr="009B55A4">
              <w:rPr>
                <w:rFonts w:cs="Arial"/>
                <w:color w:val="000000"/>
                <w:szCs w:val="21"/>
              </w:rPr>
              <w:t>63</w:t>
            </w:r>
            <w:r w:rsidR="006F3985">
              <w:rPr>
                <w:rFonts w:cs="Arial"/>
                <w:color w:val="000000"/>
                <w:szCs w:val="21"/>
              </w:rPr>
              <w:t>.0</w:t>
            </w:r>
          </w:p>
        </w:tc>
        <w:tc>
          <w:tcPr>
            <w:tcW w:w="675" w:type="dxa"/>
            <w:tcBorders>
              <w:top w:val="nil"/>
              <w:left w:val="nil"/>
              <w:bottom w:val="single" w:sz="8" w:space="0" w:color="C00000"/>
              <w:right w:val="nil"/>
            </w:tcBorders>
            <w:shd w:val="clear" w:color="000000" w:fill="FFFFFF"/>
            <w:vAlign w:val="bottom"/>
          </w:tcPr>
          <w:p w14:paraId="2407DFFD" w14:textId="774B13E4" w:rsidR="009B55A4" w:rsidRPr="009B55A4" w:rsidRDefault="009B55A4" w:rsidP="009B55A4">
            <w:pPr>
              <w:pStyle w:val="Tabletext"/>
              <w:rPr>
                <w:rFonts w:cs="Arial"/>
                <w:szCs w:val="21"/>
              </w:rPr>
            </w:pPr>
            <w:r w:rsidRPr="009B55A4">
              <w:rPr>
                <w:rFonts w:cs="Arial"/>
                <w:color w:val="000000"/>
                <w:szCs w:val="21"/>
              </w:rPr>
              <w:t>43.9</w:t>
            </w:r>
          </w:p>
        </w:tc>
        <w:tc>
          <w:tcPr>
            <w:tcW w:w="1169" w:type="dxa"/>
            <w:tcBorders>
              <w:top w:val="nil"/>
              <w:left w:val="nil"/>
              <w:bottom w:val="single" w:sz="8" w:space="0" w:color="C00000"/>
              <w:right w:val="nil"/>
            </w:tcBorders>
            <w:shd w:val="clear" w:color="000000" w:fill="FFFFFF"/>
            <w:vAlign w:val="bottom"/>
          </w:tcPr>
          <w:p w14:paraId="5D28AA46" w14:textId="164718DA" w:rsidR="009B55A4" w:rsidRPr="009B55A4" w:rsidRDefault="009B55A4" w:rsidP="009B55A4">
            <w:pPr>
              <w:pStyle w:val="Tabletext"/>
              <w:rPr>
                <w:rFonts w:cs="Arial"/>
                <w:szCs w:val="21"/>
              </w:rPr>
            </w:pPr>
            <w:r w:rsidRPr="009B55A4">
              <w:rPr>
                <w:rFonts w:cs="Arial"/>
                <w:color w:val="000000"/>
                <w:szCs w:val="21"/>
              </w:rPr>
              <w:t>60.9</w:t>
            </w:r>
          </w:p>
        </w:tc>
      </w:tr>
      <w:tr w:rsidR="009B55A4" w:rsidRPr="00901923" w14:paraId="23275BBA" w14:textId="77777777" w:rsidTr="009B55A4">
        <w:trPr>
          <w:trHeight w:val="225"/>
          <w:jc w:val="center"/>
        </w:trPr>
        <w:tc>
          <w:tcPr>
            <w:tcW w:w="2105" w:type="dxa"/>
            <w:tcBorders>
              <w:top w:val="nil"/>
              <w:left w:val="nil"/>
              <w:bottom w:val="single" w:sz="8" w:space="0" w:color="C00000"/>
              <w:right w:val="nil"/>
            </w:tcBorders>
            <w:shd w:val="clear" w:color="000000" w:fill="FFFFFF"/>
            <w:noWrap/>
            <w:vAlign w:val="center"/>
            <w:hideMark/>
          </w:tcPr>
          <w:p w14:paraId="6E4F2B2B" w14:textId="2769EF10" w:rsidR="009B55A4" w:rsidRPr="00901923" w:rsidRDefault="009B55A4" w:rsidP="009B55A4">
            <w:pPr>
              <w:pStyle w:val="Tabletext"/>
              <w:rPr>
                <w:color w:val="000000"/>
              </w:rPr>
            </w:pPr>
            <w:r>
              <w:t>2016</w:t>
            </w:r>
          </w:p>
        </w:tc>
        <w:tc>
          <w:tcPr>
            <w:tcW w:w="971" w:type="dxa"/>
            <w:tcBorders>
              <w:top w:val="nil"/>
              <w:left w:val="nil"/>
              <w:bottom w:val="single" w:sz="8" w:space="0" w:color="C00000"/>
              <w:right w:val="nil"/>
            </w:tcBorders>
            <w:shd w:val="clear" w:color="000000" w:fill="FFFFFF"/>
            <w:noWrap/>
            <w:vAlign w:val="bottom"/>
          </w:tcPr>
          <w:p w14:paraId="6E38105F" w14:textId="07AE6B78" w:rsidR="009B55A4" w:rsidRPr="009B55A4" w:rsidRDefault="009B55A4" w:rsidP="009B55A4">
            <w:pPr>
              <w:pStyle w:val="Tabletext"/>
              <w:rPr>
                <w:rFonts w:cs="Arial"/>
                <w:color w:val="000000"/>
                <w:szCs w:val="21"/>
              </w:rPr>
            </w:pPr>
            <w:r w:rsidRPr="009B55A4">
              <w:rPr>
                <w:rFonts w:cs="Arial"/>
                <w:color w:val="000000"/>
                <w:szCs w:val="21"/>
              </w:rPr>
              <w:t>60</w:t>
            </w:r>
            <w:r w:rsidR="006F3985">
              <w:rPr>
                <w:rFonts w:cs="Arial"/>
                <w:color w:val="000000"/>
                <w:szCs w:val="21"/>
              </w:rPr>
              <w:t>.0</w:t>
            </w:r>
          </w:p>
        </w:tc>
        <w:tc>
          <w:tcPr>
            <w:tcW w:w="819" w:type="dxa"/>
            <w:tcBorders>
              <w:top w:val="nil"/>
              <w:left w:val="nil"/>
              <w:bottom w:val="single" w:sz="8" w:space="0" w:color="C00000"/>
              <w:right w:val="nil"/>
            </w:tcBorders>
            <w:shd w:val="clear" w:color="000000" w:fill="FFFFFF"/>
            <w:noWrap/>
            <w:vAlign w:val="bottom"/>
          </w:tcPr>
          <w:p w14:paraId="77D9012C" w14:textId="1AF700F3" w:rsidR="009B55A4" w:rsidRPr="009B55A4" w:rsidRDefault="009B55A4" w:rsidP="009B55A4">
            <w:pPr>
              <w:pStyle w:val="Tabletext"/>
              <w:rPr>
                <w:rFonts w:cs="Arial"/>
                <w:color w:val="000000"/>
                <w:szCs w:val="21"/>
              </w:rPr>
            </w:pPr>
            <w:r w:rsidRPr="009B55A4">
              <w:rPr>
                <w:rFonts w:cs="Arial"/>
                <w:color w:val="000000"/>
                <w:szCs w:val="21"/>
              </w:rPr>
              <w:t>62.8</w:t>
            </w:r>
          </w:p>
        </w:tc>
        <w:tc>
          <w:tcPr>
            <w:tcW w:w="748" w:type="dxa"/>
            <w:tcBorders>
              <w:top w:val="nil"/>
              <w:left w:val="nil"/>
              <w:bottom w:val="single" w:sz="8" w:space="0" w:color="C00000"/>
              <w:right w:val="nil"/>
            </w:tcBorders>
            <w:shd w:val="clear" w:color="000000" w:fill="FFFFFF"/>
            <w:noWrap/>
            <w:vAlign w:val="bottom"/>
          </w:tcPr>
          <w:p w14:paraId="5B0EEE24" w14:textId="5C40C919" w:rsidR="009B55A4" w:rsidRPr="009B55A4" w:rsidRDefault="009B55A4" w:rsidP="009B55A4">
            <w:pPr>
              <w:pStyle w:val="Tabletext"/>
              <w:rPr>
                <w:rFonts w:cs="Arial"/>
                <w:color w:val="000000"/>
                <w:szCs w:val="21"/>
              </w:rPr>
            </w:pPr>
            <w:r w:rsidRPr="009B55A4">
              <w:rPr>
                <w:rFonts w:cs="Arial"/>
                <w:color w:val="000000"/>
                <w:szCs w:val="21"/>
              </w:rPr>
              <w:t>60</w:t>
            </w:r>
            <w:r w:rsidR="006F3985">
              <w:rPr>
                <w:rFonts w:cs="Arial"/>
                <w:color w:val="000000"/>
                <w:szCs w:val="21"/>
              </w:rPr>
              <w:t>.0</w:t>
            </w:r>
          </w:p>
        </w:tc>
        <w:tc>
          <w:tcPr>
            <w:tcW w:w="810" w:type="dxa"/>
            <w:tcBorders>
              <w:top w:val="nil"/>
              <w:left w:val="nil"/>
              <w:bottom w:val="single" w:sz="8" w:space="0" w:color="C00000"/>
              <w:right w:val="nil"/>
            </w:tcBorders>
            <w:shd w:val="clear" w:color="000000" w:fill="FFFFFF"/>
            <w:noWrap/>
            <w:vAlign w:val="bottom"/>
          </w:tcPr>
          <w:p w14:paraId="66D2D057" w14:textId="4F606E36" w:rsidR="009B55A4" w:rsidRPr="009B55A4" w:rsidRDefault="009B55A4" w:rsidP="009B55A4">
            <w:pPr>
              <w:pStyle w:val="Tabletext"/>
              <w:rPr>
                <w:rFonts w:cs="Arial"/>
                <w:color w:val="000000"/>
                <w:szCs w:val="21"/>
              </w:rPr>
            </w:pPr>
            <w:r w:rsidRPr="009B55A4">
              <w:rPr>
                <w:rFonts w:cs="Arial"/>
                <w:color w:val="000000"/>
                <w:szCs w:val="21"/>
              </w:rPr>
              <w:t>49.5</w:t>
            </w:r>
          </w:p>
        </w:tc>
        <w:tc>
          <w:tcPr>
            <w:tcW w:w="686" w:type="dxa"/>
            <w:tcBorders>
              <w:top w:val="nil"/>
              <w:left w:val="nil"/>
              <w:bottom w:val="single" w:sz="8" w:space="0" w:color="C00000"/>
              <w:right w:val="nil"/>
            </w:tcBorders>
            <w:shd w:val="clear" w:color="000000" w:fill="FFFFFF"/>
            <w:noWrap/>
            <w:vAlign w:val="bottom"/>
          </w:tcPr>
          <w:p w14:paraId="408F7DB6" w14:textId="4170FDA3" w:rsidR="009B55A4" w:rsidRPr="009B55A4" w:rsidRDefault="009B55A4" w:rsidP="009B55A4">
            <w:pPr>
              <w:pStyle w:val="Tabletext"/>
              <w:rPr>
                <w:rFonts w:cs="Arial"/>
                <w:color w:val="000000"/>
                <w:szCs w:val="21"/>
              </w:rPr>
            </w:pPr>
            <w:r w:rsidRPr="009B55A4">
              <w:rPr>
                <w:rFonts w:cs="Arial"/>
                <w:color w:val="000000"/>
                <w:szCs w:val="21"/>
              </w:rPr>
              <w:t>61.3</w:t>
            </w:r>
          </w:p>
        </w:tc>
        <w:tc>
          <w:tcPr>
            <w:tcW w:w="636" w:type="dxa"/>
            <w:tcBorders>
              <w:top w:val="nil"/>
              <w:left w:val="nil"/>
              <w:bottom w:val="single" w:sz="8" w:space="0" w:color="C00000"/>
              <w:right w:val="nil"/>
            </w:tcBorders>
            <w:shd w:val="clear" w:color="000000" w:fill="FFFFFF"/>
            <w:vAlign w:val="bottom"/>
          </w:tcPr>
          <w:p w14:paraId="5BD67C5E" w14:textId="26BF1EE6" w:rsidR="009B55A4" w:rsidRPr="009B55A4" w:rsidRDefault="009B55A4" w:rsidP="009B55A4">
            <w:pPr>
              <w:pStyle w:val="Tabletext"/>
              <w:rPr>
                <w:rFonts w:cs="Arial"/>
                <w:color w:val="000000"/>
                <w:szCs w:val="21"/>
              </w:rPr>
            </w:pPr>
            <w:r w:rsidRPr="009B55A4">
              <w:rPr>
                <w:rFonts w:cs="Arial"/>
                <w:color w:val="000000"/>
                <w:szCs w:val="21"/>
              </w:rPr>
              <w:t>70.7</w:t>
            </w:r>
          </w:p>
        </w:tc>
        <w:tc>
          <w:tcPr>
            <w:tcW w:w="675" w:type="dxa"/>
            <w:tcBorders>
              <w:top w:val="nil"/>
              <w:left w:val="nil"/>
              <w:bottom w:val="single" w:sz="8" w:space="0" w:color="C00000"/>
              <w:right w:val="nil"/>
            </w:tcBorders>
            <w:shd w:val="clear" w:color="000000" w:fill="FFFFFF"/>
            <w:noWrap/>
            <w:vAlign w:val="bottom"/>
          </w:tcPr>
          <w:p w14:paraId="4E6E0667" w14:textId="0D111860" w:rsidR="009B55A4" w:rsidRPr="009B55A4" w:rsidRDefault="009B55A4" w:rsidP="009B55A4">
            <w:pPr>
              <w:pStyle w:val="Tabletext"/>
              <w:rPr>
                <w:rFonts w:cs="Arial"/>
                <w:szCs w:val="21"/>
              </w:rPr>
            </w:pPr>
            <w:r w:rsidRPr="009B55A4">
              <w:rPr>
                <w:rFonts w:cs="Arial"/>
                <w:color w:val="000000"/>
                <w:szCs w:val="21"/>
              </w:rPr>
              <w:t>57.2</w:t>
            </w:r>
          </w:p>
        </w:tc>
        <w:tc>
          <w:tcPr>
            <w:tcW w:w="675" w:type="dxa"/>
            <w:tcBorders>
              <w:top w:val="nil"/>
              <w:left w:val="nil"/>
              <w:bottom w:val="single" w:sz="8" w:space="0" w:color="C00000"/>
              <w:right w:val="nil"/>
            </w:tcBorders>
            <w:shd w:val="clear" w:color="000000" w:fill="FFFFFF"/>
            <w:noWrap/>
            <w:vAlign w:val="bottom"/>
          </w:tcPr>
          <w:p w14:paraId="6DF8789A" w14:textId="63E0E4E7" w:rsidR="009B55A4" w:rsidRPr="009B55A4" w:rsidRDefault="009B55A4" w:rsidP="009B55A4">
            <w:pPr>
              <w:pStyle w:val="Tabletext"/>
              <w:rPr>
                <w:rFonts w:cs="Arial"/>
                <w:szCs w:val="21"/>
              </w:rPr>
            </w:pPr>
            <w:r w:rsidRPr="009B55A4">
              <w:rPr>
                <w:rFonts w:cs="Arial"/>
                <w:color w:val="000000"/>
                <w:szCs w:val="21"/>
              </w:rPr>
              <w:t>47.1</w:t>
            </w:r>
          </w:p>
        </w:tc>
        <w:tc>
          <w:tcPr>
            <w:tcW w:w="1169" w:type="dxa"/>
            <w:tcBorders>
              <w:top w:val="nil"/>
              <w:left w:val="nil"/>
              <w:bottom w:val="single" w:sz="8" w:space="0" w:color="C00000"/>
              <w:right w:val="nil"/>
            </w:tcBorders>
            <w:shd w:val="clear" w:color="000000" w:fill="FFFFFF"/>
            <w:vAlign w:val="bottom"/>
          </w:tcPr>
          <w:p w14:paraId="7037AE51" w14:textId="45BA5D71" w:rsidR="009B55A4" w:rsidRPr="009B55A4" w:rsidRDefault="009B55A4" w:rsidP="009B55A4">
            <w:pPr>
              <w:pStyle w:val="Tabletext"/>
              <w:rPr>
                <w:rFonts w:cs="Arial"/>
                <w:szCs w:val="21"/>
              </w:rPr>
            </w:pPr>
            <w:r w:rsidRPr="009B55A4">
              <w:rPr>
                <w:rFonts w:cs="Arial"/>
                <w:color w:val="000000"/>
                <w:szCs w:val="21"/>
              </w:rPr>
              <w:t>60.6</w:t>
            </w:r>
          </w:p>
        </w:tc>
      </w:tr>
      <w:tr w:rsidR="009B55A4" w:rsidRPr="00901923" w14:paraId="34120DD5" w14:textId="77777777" w:rsidTr="009B55A4">
        <w:trPr>
          <w:trHeight w:val="225"/>
          <w:jc w:val="center"/>
        </w:trPr>
        <w:tc>
          <w:tcPr>
            <w:tcW w:w="2105" w:type="dxa"/>
            <w:tcBorders>
              <w:top w:val="nil"/>
              <w:left w:val="nil"/>
              <w:bottom w:val="single" w:sz="8" w:space="0" w:color="C00000"/>
              <w:right w:val="nil"/>
            </w:tcBorders>
            <w:shd w:val="clear" w:color="000000" w:fill="FFFFFF"/>
            <w:noWrap/>
            <w:vAlign w:val="center"/>
            <w:hideMark/>
          </w:tcPr>
          <w:p w14:paraId="37F6C39D" w14:textId="6EE94485" w:rsidR="009B55A4" w:rsidRPr="00901923" w:rsidRDefault="009B55A4" w:rsidP="009B55A4">
            <w:pPr>
              <w:pStyle w:val="Tabletext"/>
              <w:rPr>
                <w:color w:val="000000"/>
              </w:rPr>
            </w:pPr>
            <w:r>
              <w:t>2017</w:t>
            </w:r>
            <w:r w:rsidRPr="00901923">
              <w:t xml:space="preserve"> </w:t>
            </w:r>
          </w:p>
        </w:tc>
        <w:tc>
          <w:tcPr>
            <w:tcW w:w="971" w:type="dxa"/>
            <w:tcBorders>
              <w:top w:val="nil"/>
              <w:left w:val="nil"/>
              <w:bottom w:val="single" w:sz="8" w:space="0" w:color="C00000"/>
              <w:right w:val="nil"/>
            </w:tcBorders>
            <w:shd w:val="clear" w:color="000000" w:fill="FFFFFF"/>
            <w:noWrap/>
            <w:vAlign w:val="bottom"/>
          </w:tcPr>
          <w:p w14:paraId="10BB3E19" w14:textId="199F84A1" w:rsidR="009B55A4" w:rsidRPr="009B55A4" w:rsidRDefault="009B55A4" w:rsidP="009B55A4">
            <w:pPr>
              <w:pStyle w:val="Tabletext"/>
              <w:rPr>
                <w:rFonts w:cs="Arial"/>
                <w:color w:val="000000"/>
                <w:szCs w:val="21"/>
              </w:rPr>
            </w:pPr>
            <w:r w:rsidRPr="009B55A4">
              <w:rPr>
                <w:rFonts w:cs="Arial"/>
                <w:color w:val="000000"/>
                <w:szCs w:val="21"/>
              </w:rPr>
              <w:t>59.8</w:t>
            </w:r>
          </w:p>
        </w:tc>
        <w:tc>
          <w:tcPr>
            <w:tcW w:w="819" w:type="dxa"/>
            <w:tcBorders>
              <w:top w:val="nil"/>
              <w:left w:val="nil"/>
              <w:bottom w:val="single" w:sz="8" w:space="0" w:color="C00000"/>
              <w:right w:val="nil"/>
            </w:tcBorders>
            <w:shd w:val="clear" w:color="000000" w:fill="FFFFFF"/>
            <w:noWrap/>
            <w:vAlign w:val="bottom"/>
          </w:tcPr>
          <w:p w14:paraId="7A49F34F" w14:textId="17428DE0" w:rsidR="009B55A4" w:rsidRPr="009B55A4" w:rsidRDefault="009B55A4" w:rsidP="009B55A4">
            <w:pPr>
              <w:pStyle w:val="Tabletext"/>
              <w:rPr>
                <w:rFonts w:cs="Arial"/>
                <w:color w:val="000000"/>
                <w:szCs w:val="21"/>
              </w:rPr>
            </w:pPr>
            <w:r w:rsidRPr="009B55A4">
              <w:rPr>
                <w:rFonts w:cs="Arial"/>
                <w:color w:val="000000"/>
                <w:szCs w:val="21"/>
              </w:rPr>
              <w:t>64</w:t>
            </w:r>
            <w:r w:rsidR="006F3985">
              <w:rPr>
                <w:rFonts w:cs="Arial"/>
                <w:color w:val="000000"/>
                <w:szCs w:val="21"/>
              </w:rPr>
              <w:t>.0</w:t>
            </w:r>
          </w:p>
        </w:tc>
        <w:tc>
          <w:tcPr>
            <w:tcW w:w="748" w:type="dxa"/>
            <w:tcBorders>
              <w:top w:val="nil"/>
              <w:left w:val="nil"/>
              <w:bottom w:val="single" w:sz="8" w:space="0" w:color="C00000"/>
              <w:right w:val="nil"/>
            </w:tcBorders>
            <w:shd w:val="clear" w:color="000000" w:fill="FFFFFF"/>
            <w:noWrap/>
            <w:vAlign w:val="bottom"/>
          </w:tcPr>
          <w:p w14:paraId="020820AE" w14:textId="5140363E" w:rsidR="009B55A4" w:rsidRPr="009B55A4" w:rsidRDefault="009B55A4" w:rsidP="009B55A4">
            <w:pPr>
              <w:pStyle w:val="Tabletext"/>
              <w:rPr>
                <w:rFonts w:cs="Arial"/>
                <w:color w:val="000000"/>
                <w:szCs w:val="21"/>
              </w:rPr>
            </w:pPr>
            <w:r w:rsidRPr="009B55A4">
              <w:rPr>
                <w:rFonts w:cs="Arial"/>
                <w:color w:val="000000"/>
                <w:szCs w:val="21"/>
              </w:rPr>
              <w:t>60.8</w:t>
            </w:r>
          </w:p>
        </w:tc>
        <w:tc>
          <w:tcPr>
            <w:tcW w:w="810" w:type="dxa"/>
            <w:tcBorders>
              <w:top w:val="nil"/>
              <w:left w:val="nil"/>
              <w:bottom w:val="single" w:sz="8" w:space="0" w:color="C00000"/>
              <w:right w:val="nil"/>
            </w:tcBorders>
            <w:shd w:val="clear" w:color="000000" w:fill="FFFFFF"/>
            <w:noWrap/>
            <w:vAlign w:val="bottom"/>
          </w:tcPr>
          <w:p w14:paraId="0CDA53CF" w14:textId="276DC12A" w:rsidR="009B55A4" w:rsidRPr="009B55A4" w:rsidRDefault="009B55A4" w:rsidP="009B55A4">
            <w:pPr>
              <w:pStyle w:val="Tabletext"/>
              <w:rPr>
                <w:rFonts w:cs="Arial"/>
                <w:color w:val="000000"/>
                <w:szCs w:val="21"/>
              </w:rPr>
            </w:pPr>
            <w:r w:rsidRPr="009B55A4">
              <w:rPr>
                <w:rFonts w:cs="Arial"/>
                <w:color w:val="000000"/>
                <w:szCs w:val="21"/>
              </w:rPr>
              <w:t>48.8</w:t>
            </w:r>
          </w:p>
        </w:tc>
        <w:tc>
          <w:tcPr>
            <w:tcW w:w="686" w:type="dxa"/>
            <w:tcBorders>
              <w:top w:val="nil"/>
              <w:left w:val="nil"/>
              <w:bottom w:val="single" w:sz="8" w:space="0" w:color="C00000"/>
              <w:right w:val="nil"/>
            </w:tcBorders>
            <w:shd w:val="clear" w:color="000000" w:fill="FFFFFF"/>
            <w:noWrap/>
            <w:vAlign w:val="bottom"/>
          </w:tcPr>
          <w:p w14:paraId="2ECDE034" w14:textId="38983D87" w:rsidR="009B55A4" w:rsidRPr="009B55A4" w:rsidRDefault="009B55A4" w:rsidP="009B55A4">
            <w:pPr>
              <w:pStyle w:val="Tabletext"/>
              <w:rPr>
                <w:rFonts w:cs="Arial"/>
                <w:color w:val="000000"/>
                <w:szCs w:val="21"/>
              </w:rPr>
            </w:pPr>
            <w:r w:rsidRPr="009B55A4">
              <w:rPr>
                <w:rFonts w:cs="Arial"/>
                <w:color w:val="000000"/>
                <w:szCs w:val="21"/>
              </w:rPr>
              <w:t>66.7</w:t>
            </w:r>
          </w:p>
        </w:tc>
        <w:tc>
          <w:tcPr>
            <w:tcW w:w="636" w:type="dxa"/>
            <w:tcBorders>
              <w:top w:val="nil"/>
              <w:left w:val="nil"/>
              <w:bottom w:val="single" w:sz="8" w:space="0" w:color="C00000"/>
              <w:right w:val="nil"/>
            </w:tcBorders>
            <w:shd w:val="clear" w:color="000000" w:fill="FFFFFF"/>
            <w:vAlign w:val="bottom"/>
          </w:tcPr>
          <w:p w14:paraId="2B1EF79C" w14:textId="437D32A5" w:rsidR="009B55A4" w:rsidRPr="009B55A4" w:rsidRDefault="009B55A4" w:rsidP="009B55A4">
            <w:pPr>
              <w:pStyle w:val="Tabletext"/>
              <w:rPr>
                <w:rFonts w:cs="Arial"/>
                <w:color w:val="000000"/>
                <w:szCs w:val="21"/>
              </w:rPr>
            </w:pPr>
            <w:r w:rsidRPr="009B55A4">
              <w:rPr>
                <w:rFonts w:cs="Arial"/>
                <w:color w:val="000000"/>
                <w:szCs w:val="21"/>
              </w:rPr>
              <w:t>69.8</w:t>
            </w:r>
          </w:p>
        </w:tc>
        <w:tc>
          <w:tcPr>
            <w:tcW w:w="675" w:type="dxa"/>
            <w:tcBorders>
              <w:top w:val="nil"/>
              <w:left w:val="nil"/>
              <w:bottom w:val="single" w:sz="8" w:space="0" w:color="C00000"/>
              <w:right w:val="nil"/>
            </w:tcBorders>
            <w:shd w:val="clear" w:color="000000" w:fill="FFFFFF"/>
            <w:noWrap/>
            <w:vAlign w:val="bottom"/>
          </w:tcPr>
          <w:p w14:paraId="5E0DE643" w14:textId="350CAC2C" w:rsidR="009B55A4" w:rsidRPr="009B55A4" w:rsidRDefault="009B55A4" w:rsidP="009B55A4">
            <w:pPr>
              <w:pStyle w:val="Tabletext"/>
              <w:rPr>
                <w:rFonts w:cs="Arial"/>
                <w:szCs w:val="21"/>
              </w:rPr>
            </w:pPr>
            <w:r w:rsidRPr="009B55A4">
              <w:rPr>
                <w:rFonts w:cs="Arial"/>
                <w:color w:val="000000"/>
                <w:szCs w:val="21"/>
              </w:rPr>
              <w:t>52.6</w:t>
            </w:r>
          </w:p>
        </w:tc>
        <w:tc>
          <w:tcPr>
            <w:tcW w:w="675" w:type="dxa"/>
            <w:tcBorders>
              <w:top w:val="nil"/>
              <w:left w:val="nil"/>
              <w:bottom w:val="single" w:sz="8" w:space="0" w:color="C00000"/>
              <w:right w:val="nil"/>
            </w:tcBorders>
            <w:shd w:val="clear" w:color="000000" w:fill="FFFFFF"/>
            <w:noWrap/>
            <w:vAlign w:val="bottom"/>
          </w:tcPr>
          <w:p w14:paraId="56477E94" w14:textId="4235F1B8" w:rsidR="009B55A4" w:rsidRPr="009B55A4" w:rsidRDefault="009B55A4" w:rsidP="009B55A4">
            <w:pPr>
              <w:pStyle w:val="Tabletext"/>
              <w:rPr>
                <w:rFonts w:cs="Arial"/>
                <w:szCs w:val="21"/>
              </w:rPr>
            </w:pPr>
            <w:r w:rsidRPr="009B55A4">
              <w:rPr>
                <w:rFonts w:cs="Arial"/>
                <w:color w:val="000000"/>
                <w:szCs w:val="21"/>
              </w:rPr>
              <w:t>47.3</w:t>
            </w:r>
          </w:p>
        </w:tc>
        <w:tc>
          <w:tcPr>
            <w:tcW w:w="1169" w:type="dxa"/>
            <w:tcBorders>
              <w:top w:val="nil"/>
              <w:left w:val="nil"/>
              <w:bottom w:val="single" w:sz="8" w:space="0" w:color="C00000"/>
              <w:right w:val="nil"/>
            </w:tcBorders>
            <w:shd w:val="clear" w:color="000000" w:fill="FFFFFF"/>
            <w:vAlign w:val="bottom"/>
          </w:tcPr>
          <w:p w14:paraId="0FCFDB05" w14:textId="2A87029A" w:rsidR="009B55A4" w:rsidRPr="009B55A4" w:rsidRDefault="009B55A4" w:rsidP="009B55A4">
            <w:pPr>
              <w:pStyle w:val="Tabletext"/>
              <w:rPr>
                <w:rFonts w:cs="Arial"/>
                <w:szCs w:val="21"/>
              </w:rPr>
            </w:pPr>
            <w:r w:rsidRPr="009B55A4">
              <w:rPr>
                <w:rFonts w:cs="Arial"/>
                <w:color w:val="000000"/>
                <w:szCs w:val="21"/>
              </w:rPr>
              <w:t>60.9</w:t>
            </w:r>
          </w:p>
        </w:tc>
      </w:tr>
      <w:tr w:rsidR="009B55A4" w:rsidRPr="00901923" w14:paraId="76B91F32" w14:textId="77777777" w:rsidTr="009B55A4">
        <w:trPr>
          <w:trHeight w:val="225"/>
          <w:jc w:val="center"/>
        </w:trPr>
        <w:tc>
          <w:tcPr>
            <w:tcW w:w="2105" w:type="dxa"/>
            <w:tcBorders>
              <w:top w:val="nil"/>
              <w:left w:val="nil"/>
              <w:bottom w:val="single" w:sz="8" w:space="0" w:color="C00000"/>
              <w:right w:val="nil"/>
            </w:tcBorders>
            <w:shd w:val="clear" w:color="000000" w:fill="FFFFFF"/>
            <w:noWrap/>
            <w:vAlign w:val="center"/>
            <w:hideMark/>
          </w:tcPr>
          <w:p w14:paraId="33A97501" w14:textId="6D2E4CE2" w:rsidR="009B55A4" w:rsidRPr="00901923" w:rsidRDefault="009B55A4" w:rsidP="009B55A4">
            <w:pPr>
              <w:pStyle w:val="Tabletext"/>
              <w:rPr>
                <w:color w:val="000000"/>
              </w:rPr>
            </w:pPr>
            <w:r>
              <w:t>2018</w:t>
            </w:r>
          </w:p>
        </w:tc>
        <w:tc>
          <w:tcPr>
            <w:tcW w:w="971" w:type="dxa"/>
            <w:tcBorders>
              <w:top w:val="nil"/>
              <w:left w:val="nil"/>
              <w:bottom w:val="single" w:sz="8" w:space="0" w:color="C00000"/>
              <w:right w:val="nil"/>
            </w:tcBorders>
            <w:shd w:val="clear" w:color="000000" w:fill="FFFFFF"/>
            <w:noWrap/>
            <w:vAlign w:val="bottom"/>
          </w:tcPr>
          <w:p w14:paraId="06FA6BED" w14:textId="187B90DC" w:rsidR="009B55A4" w:rsidRPr="009B55A4" w:rsidRDefault="009B55A4" w:rsidP="009B55A4">
            <w:pPr>
              <w:pStyle w:val="Tabletext"/>
              <w:rPr>
                <w:rFonts w:cs="Arial"/>
                <w:color w:val="000000"/>
                <w:szCs w:val="21"/>
              </w:rPr>
            </w:pPr>
            <w:r w:rsidRPr="009B55A4">
              <w:rPr>
                <w:rFonts w:cs="Arial"/>
                <w:color w:val="000000"/>
                <w:szCs w:val="21"/>
              </w:rPr>
              <w:t>35.3</w:t>
            </w:r>
          </w:p>
        </w:tc>
        <w:tc>
          <w:tcPr>
            <w:tcW w:w="819" w:type="dxa"/>
            <w:tcBorders>
              <w:top w:val="nil"/>
              <w:left w:val="nil"/>
              <w:bottom w:val="single" w:sz="8" w:space="0" w:color="C00000"/>
              <w:right w:val="nil"/>
            </w:tcBorders>
            <w:shd w:val="clear" w:color="000000" w:fill="FFFFFF"/>
            <w:noWrap/>
            <w:vAlign w:val="bottom"/>
          </w:tcPr>
          <w:p w14:paraId="500B1E4A" w14:textId="57710344" w:rsidR="009B55A4" w:rsidRPr="009B55A4" w:rsidRDefault="009B55A4" w:rsidP="009B55A4">
            <w:pPr>
              <w:pStyle w:val="Tabletext"/>
              <w:rPr>
                <w:rFonts w:cs="Arial"/>
                <w:color w:val="000000"/>
                <w:szCs w:val="21"/>
              </w:rPr>
            </w:pPr>
            <w:r w:rsidRPr="009B55A4">
              <w:rPr>
                <w:rFonts w:cs="Arial"/>
                <w:color w:val="000000"/>
                <w:szCs w:val="21"/>
              </w:rPr>
              <w:t>46.1</w:t>
            </w:r>
          </w:p>
        </w:tc>
        <w:tc>
          <w:tcPr>
            <w:tcW w:w="748" w:type="dxa"/>
            <w:tcBorders>
              <w:top w:val="nil"/>
              <w:left w:val="nil"/>
              <w:bottom w:val="single" w:sz="8" w:space="0" w:color="C00000"/>
              <w:right w:val="nil"/>
            </w:tcBorders>
            <w:shd w:val="clear" w:color="000000" w:fill="FFFFFF"/>
            <w:noWrap/>
            <w:vAlign w:val="bottom"/>
          </w:tcPr>
          <w:p w14:paraId="5595E9C1" w14:textId="25971C26" w:rsidR="009B55A4" w:rsidRPr="009B55A4" w:rsidRDefault="009B55A4" w:rsidP="009B55A4">
            <w:pPr>
              <w:pStyle w:val="Tabletext"/>
              <w:rPr>
                <w:rFonts w:cs="Arial"/>
                <w:color w:val="000000"/>
                <w:szCs w:val="21"/>
              </w:rPr>
            </w:pPr>
            <w:r w:rsidRPr="009B55A4">
              <w:rPr>
                <w:rFonts w:cs="Arial"/>
                <w:color w:val="000000"/>
                <w:szCs w:val="21"/>
              </w:rPr>
              <w:t>52.6</w:t>
            </w:r>
          </w:p>
        </w:tc>
        <w:tc>
          <w:tcPr>
            <w:tcW w:w="810" w:type="dxa"/>
            <w:tcBorders>
              <w:top w:val="nil"/>
              <w:left w:val="nil"/>
              <w:bottom w:val="single" w:sz="8" w:space="0" w:color="C00000"/>
              <w:right w:val="nil"/>
            </w:tcBorders>
            <w:shd w:val="clear" w:color="000000" w:fill="FFFFFF"/>
            <w:noWrap/>
            <w:vAlign w:val="bottom"/>
          </w:tcPr>
          <w:p w14:paraId="73356807" w14:textId="311FAC7B" w:rsidR="009B55A4" w:rsidRPr="009B55A4" w:rsidRDefault="009B55A4" w:rsidP="009B55A4">
            <w:pPr>
              <w:pStyle w:val="Tabletext"/>
              <w:rPr>
                <w:rFonts w:cs="Arial"/>
                <w:color w:val="000000"/>
                <w:szCs w:val="21"/>
              </w:rPr>
            </w:pPr>
            <w:r w:rsidRPr="009B55A4">
              <w:rPr>
                <w:rFonts w:cs="Arial"/>
                <w:color w:val="000000"/>
                <w:szCs w:val="21"/>
              </w:rPr>
              <w:t>36.3</w:t>
            </w:r>
          </w:p>
        </w:tc>
        <w:tc>
          <w:tcPr>
            <w:tcW w:w="686" w:type="dxa"/>
            <w:tcBorders>
              <w:top w:val="nil"/>
              <w:left w:val="nil"/>
              <w:bottom w:val="single" w:sz="8" w:space="0" w:color="C00000"/>
              <w:right w:val="nil"/>
            </w:tcBorders>
            <w:shd w:val="clear" w:color="000000" w:fill="FFFFFF"/>
            <w:noWrap/>
            <w:vAlign w:val="bottom"/>
          </w:tcPr>
          <w:p w14:paraId="62E4C95B" w14:textId="2728B9E2" w:rsidR="009B55A4" w:rsidRPr="009B55A4" w:rsidRDefault="009B55A4" w:rsidP="009B55A4">
            <w:pPr>
              <w:pStyle w:val="Tabletext"/>
              <w:rPr>
                <w:rFonts w:cs="Arial"/>
                <w:color w:val="000000"/>
                <w:szCs w:val="21"/>
              </w:rPr>
            </w:pPr>
            <w:r w:rsidRPr="009B55A4">
              <w:rPr>
                <w:rFonts w:cs="Arial"/>
                <w:color w:val="000000"/>
                <w:szCs w:val="21"/>
              </w:rPr>
              <w:t>39.9</w:t>
            </w:r>
          </w:p>
        </w:tc>
        <w:tc>
          <w:tcPr>
            <w:tcW w:w="636" w:type="dxa"/>
            <w:tcBorders>
              <w:top w:val="nil"/>
              <w:left w:val="nil"/>
              <w:bottom w:val="single" w:sz="8" w:space="0" w:color="C00000"/>
              <w:right w:val="nil"/>
            </w:tcBorders>
            <w:shd w:val="clear" w:color="000000" w:fill="FFFFFF"/>
            <w:vAlign w:val="bottom"/>
          </w:tcPr>
          <w:p w14:paraId="7E0D88CA" w14:textId="606FECB7" w:rsidR="009B55A4" w:rsidRPr="009B55A4" w:rsidRDefault="009B55A4" w:rsidP="009B55A4">
            <w:pPr>
              <w:pStyle w:val="Tabletext"/>
              <w:rPr>
                <w:rFonts w:cs="Arial"/>
                <w:color w:val="000000"/>
                <w:szCs w:val="21"/>
              </w:rPr>
            </w:pPr>
            <w:r w:rsidRPr="009B55A4">
              <w:rPr>
                <w:rFonts w:cs="Arial"/>
                <w:color w:val="000000"/>
                <w:szCs w:val="21"/>
              </w:rPr>
              <w:t>57.2</w:t>
            </w:r>
          </w:p>
        </w:tc>
        <w:tc>
          <w:tcPr>
            <w:tcW w:w="675" w:type="dxa"/>
            <w:tcBorders>
              <w:top w:val="nil"/>
              <w:left w:val="nil"/>
              <w:bottom w:val="single" w:sz="8" w:space="0" w:color="C00000"/>
              <w:right w:val="nil"/>
            </w:tcBorders>
            <w:shd w:val="clear" w:color="000000" w:fill="FFFFFF"/>
            <w:noWrap/>
            <w:vAlign w:val="bottom"/>
          </w:tcPr>
          <w:p w14:paraId="68459A54" w14:textId="40D90B9C" w:rsidR="009B55A4" w:rsidRPr="009B55A4" w:rsidRDefault="009B55A4" w:rsidP="009B55A4">
            <w:pPr>
              <w:pStyle w:val="Tabletext"/>
              <w:rPr>
                <w:rFonts w:cs="Arial"/>
                <w:szCs w:val="21"/>
              </w:rPr>
            </w:pPr>
            <w:r w:rsidRPr="009B55A4">
              <w:rPr>
                <w:rFonts w:cs="Arial"/>
                <w:color w:val="000000"/>
                <w:szCs w:val="21"/>
              </w:rPr>
              <w:t>50.9</w:t>
            </w:r>
          </w:p>
        </w:tc>
        <w:tc>
          <w:tcPr>
            <w:tcW w:w="675" w:type="dxa"/>
            <w:tcBorders>
              <w:top w:val="nil"/>
              <w:left w:val="nil"/>
              <w:bottom w:val="single" w:sz="8" w:space="0" w:color="C00000"/>
              <w:right w:val="nil"/>
            </w:tcBorders>
            <w:shd w:val="clear" w:color="000000" w:fill="FFFFFF"/>
            <w:noWrap/>
            <w:vAlign w:val="bottom"/>
          </w:tcPr>
          <w:p w14:paraId="513E668D" w14:textId="619F456C" w:rsidR="009B55A4" w:rsidRPr="009B55A4" w:rsidRDefault="009B55A4" w:rsidP="009B55A4">
            <w:pPr>
              <w:pStyle w:val="Tabletext"/>
              <w:rPr>
                <w:rFonts w:cs="Arial"/>
                <w:szCs w:val="21"/>
              </w:rPr>
            </w:pPr>
            <w:r w:rsidRPr="009B55A4">
              <w:rPr>
                <w:rFonts w:cs="Arial"/>
                <w:color w:val="000000"/>
                <w:szCs w:val="21"/>
              </w:rPr>
              <w:t>37.1</w:t>
            </w:r>
          </w:p>
        </w:tc>
        <w:tc>
          <w:tcPr>
            <w:tcW w:w="1169" w:type="dxa"/>
            <w:tcBorders>
              <w:top w:val="nil"/>
              <w:left w:val="nil"/>
              <w:bottom w:val="single" w:sz="8" w:space="0" w:color="C00000"/>
              <w:right w:val="nil"/>
            </w:tcBorders>
            <w:shd w:val="clear" w:color="000000" w:fill="FFFFFF"/>
            <w:vAlign w:val="bottom"/>
          </w:tcPr>
          <w:p w14:paraId="61F1077D" w14:textId="363733B3" w:rsidR="009B55A4" w:rsidRPr="009B55A4" w:rsidRDefault="009B55A4" w:rsidP="009B55A4">
            <w:pPr>
              <w:pStyle w:val="Tabletext"/>
              <w:rPr>
                <w:rFonts w:cs="Arial"/>
                <w:szCs w:val="21"/>
              </w:rPr>
            </w:pPr>
            <w:r w:rsidRPr="009B55A4">
              <w:rPr>
                <w:rFonts w:cs="Arial"/>
                <w:color w:val="000000"/>
                <w:szCs w:val="21"/>
              </w:rPr>
              <w:t>44.2</w:t>
            </w:r>
          </w:p>
        </w:tc>
      </w:tr>
    </w:tbl>
    <w:p w14:paraId="0F46D98D" w14:textId="7DF7FD27" w:rsidR="009B55A4" w:rsidRPr="00772F6F" w:rsidRDefault="009B55A4" w:rsidP="009B55A4">
      <w:pPr>
        <w:pStyle w:val="Tablefigurenote"/>
        <w:rPr>
          <w:i/>
          <w:iCs/>
          <w:sz w:val="18"/>
          <w:szCs w:val="18"/>
        </w:rPr>
      </w:pPr>
      <w:r w:rsidRPr="00772F6F">
        <w:rPr>
          <w:i/>
          <w:iCs/>
          <w:sz w:val="18"/>
          <w:szCs w:val="18"/>
          <w:lang w:eastAsia="en-AU"/>
        </w:rPr>
        <w:t>Sources:</w:t>
      </w:r>
      <w:r w:rsidRPr="00772F6F">
        <w:rPr>
          <w:i/>
          <w:iCs/>
          <w:sz w:val="18"/>
          <w:szCs w:val="18"/>
        </w:rPr>
        <w:t xml:space="preserve"> Australian Institute of Health and Welfare. BreastScreen Australia monitoring report</w:t>
      </w:r>
      <w:r>
        <w:rPr>
          <w:i/>
          <w:iCs/>
          <w:sz w:val="18"/>
          <w:szCs w:val="18"/>
        </w:rPr>
        <w:t xml:space="preserve">s </w:t>
      </w:r>
      <w:r w:rsidRPr="00772F6F">
        <w:rPr>
          <w:i/>
          <w:iCs/>
          <w:sz w:val="18"/>
          <w:szCs w:val="18"/>
        </w:rPr>
        <w:t>2018</w:t>
      </w:r>
      <w:r>
        <w:rPr>
          <w:i/>
          <w:iCs/>
          <w:sz w:val="18"/>
          <w:szCs w:val="18"/>
        </w:rPr>
        <w:t>-2022</w:t>
      </w:r>
      <w:r w:rsidRPr="00772F6F">
        <w:rPr>
          <w:i/>
          <w:iCs/>
          <w:sz w:val="18"/>
          <w:szCs w:val="18"/>
        </w:rPr>
        <w:t xml:space="preserve">. </w:t>
      </w:r>
    </w:p>
    <w:p w14:paraId="7C68EE44" w14:textId="77777777" w:rsidR="00CB5244" w:rsidRPr="00671C7A" w:rsidRDefault="00CB5244" w:rsidP="007C7F00">
      <w:pPr>
        <w:pStyle w:val="Heading4"/>
      </w:pPr>
      <w:r>
        <w:t>Measure assessment</w:t>
      </w:r>
    </w:p>
    <w:p w14:paraId="5C948953" w14:textId="77777777" w:rsidR="006F3985" w:rsidRPr="00EA78AF" w:rsidRDefault="006F3985" w:rsidP="006F3985">
      <w:pPr>
        <w:pStyle w:val="Body"/>
        <w:rPr>
          <w:sz w:val="20"/>
        </w:rPr>
      </w:pPr>
      <w:r w:rsidRPr="00EA78AF">
        <w:rPr>
          <w:sz w:val="20"/>
        </w:rPr>
        <w:t>Traffic light rating:</w:t>
      </w:r>
      <w:r w:rsidRPr="00EA78AF">
        <w:rPr>
          <w:color w:val="AF272F"/>
          <w:sz w:val="20"/>
        </w:rPr>
        <w:t xml:space="preserve"> </w:t>
      </w:r>
      <w:r w:rsidRPr="00EA78AF">
        <w:rPr>
          <w:b/>
          <w:color w:val="AF272F"/>
          <w:sz w:val="20"/>
        </w:rPr>
        <w:t xml:space="preserve">Red </w:t>
      </w:r>
      <w:r w:rsidRPr="00EA78AF">
        <w:rPr>
          <w:sz w:val="20"/>
        </w:rPr>
        <w:t>(result is of concern)</w:t>
      </w:r>
    </w:p>
    <w:p w14:paraId="70613754" w14:textId="478C5A75" w:rsidR="006F3985" w:rsidRPr="006F3985" w:rsidRDefault="006F3985" w:rsidP="00E87AAA">
      <w:pPr>
        <w:pStyle w:val="Body"/>
        <w:rPr>
          <w:sz w:val="20"/>
        </w:rPr>
      </w:pPr>
      <w:r w:rsidRPr="00EA78AF">
        <w:rPr>
          <w:sz w:val="20"/>
        </w:rPr>
        <w:t xml:space="preserve">Overall trend: </w:t>
      </w:r>
      <w:r>
        <w:rPr>
          <w:sz w:val="20"/>
        </w:rPr>
        <w:t>Not moving in the right direction</w:t>
      </w:r>
    </w:p>
    <w:p w14:paraId="692A577F" w14:textId="76189A4E" w:rsidR="00CC48BD" w:rsidRDefault="00CB5244" w:rsidP="00E87AAA">
      <w:pPr>
        <w:pStyle w:val="Body"/>
      </w:pPr>
      <w:r w:rsidRPr="00A97F46">
        <w:rPr>
          <w:rFonts w:cs="Arial"/>
          <w:lang w:eastAsia="en-AU"/>
        </w:rPr>
        <w:t>Commentary:</w:t>
      </w:r>
      <w:r w:rsidR="005B346B" w:rsidRPr="00A97F46">
        <w:rPr>
          <w:rFonts w:cs="Arial"/>
          <w:lang w:eastAsia="en-AU"/>
        </w:rPr>
        <w:t xml:space="preserve"> </w:t>
      </w:r>
      <w:r w:rsidR="00CC48BD" w:rsidRPr="00A97F46">
        <w:t xml:space="preserve">Although the recommended screening interval is </w:t>
      </w:r>
      <w:r w:rsidR="00702BEF">
        <w:t>two</w:t>
      </w:r>
      <w:r w:rsidR="00CC48BD" w:rsidRPr="00A97F46">
        <w:t xml:space="preserve"> years (24 months), 27 months is used to allow a reasonable timeframe for women to respond to invitations. </w:t>
      </w:r>
      <w:r w:rsidR="00DD0782" w:rsidRPr="00A97F46">
        <w:t xml:space="preserve">The proportion of women </w:t>
      </w:r>
      <w:r w:rsidR="00A621C0">
        <w:t>who re</w:t>
      </w:r>
      <w:r w:rsidR="00DD0782" w:rsidRPr="00A97F46">
        <w:t>screened during 2014</w:t>
      </w:r>
      <w:r w:rsidR="008E7333">
        <w:t xml:space="preserve"> </w:t>
      </w:r>
      <w:r w:rsidR="009B55A4">
        <w:t xml:space="preserve">(baseline year) </w:t>
      </w:r>
      <w:r w:rsidR="008E7333">
        <w:t>and 201</w:t>
      </w:r>
      <w:r w:rsidR="009B55A4">
        <w:t>8</w:t>
      </w:r>
      <w:r w:rsidR="00DD0782" w:rsidRPr="00A97F46">
        <w:t xml:space="preserve"> who rescreened within 27 months</w:t>
      </w:r>
      <w:r w:rsidR="00B130D4">
        <w:t xml:space="preserve"> of their</w:t>
      </w:r>
      <w:r w:rsidR="00DD0782" w:rsidRPr="00A97F46">
        <w:t xml:space="preserve"> </w:t>
      </w:r>
      <w:r w:rsidR="00DD0782" w:rsidRPr="00A97F46">
        <w:lastRenderedPageBreak/>
        <w:t>first screening around</w:t>
      </w:r>
      <w:r w:rsidR="00B130D4">
        <w:t xml:space="preserve"> </w:t>
      </w:r>
      <w:r w:rsidR="00DD0782" w:rsidRPr="00A97F46">
        <w:t>is shown</w:t>
      </w:r>
      <w:r w:rsidR="00B60CC1">
        <w:t xml:space="preserve"> in Figure 16.2</w:t>
      </w:r>
      <w:r w:rsidR="00DD0782" w:rsidRPr="00A97F46">
        <w:t>.</w:t>
      </w:r>
      <w:r w:rsidR="00A621C0">
        <w:t xml:space="preserve"> </w:t>
      </w:r>
      <w:r w:rsidR="006F3985">
        <w:t xml:space="preserve">Figure 16.2 shows a significant decrease in the number of women in Victoria who rescreened within 27 months after the first screen from 57.7 in 2014 to 35.3 in 2018. </w:t>
      </w:r>
      <w:r w:rsidR="00A621C0">
        <w:t xml:space="preserve">Compared </w:t>
      </w:r>
      <w:r w:rsidR="002C060B" w:rsidRPr="002C060B">
        <w:t xml:space="preserve">with </w:t>
      </w:r>
      <w:r w:rsidR="006F3985">
        <w:t xml:space="preserve">other states such as </w:t>
      </w:r>
      <w:r w:rsidR="00A621C0">
        <w:t xml:space="preserve">Western Australia and </w:t>
      </w:r>
      <w:r w:rsidR="00CA4010">
        <w:t xml:space="preserve">the </w:t>
      </w:r>
      <w:r w:rsidR="006F3985">
        <w:t>Northern Territory</w:t>
      </w:r>
      <w:r w:rsidR="00A621C0">
        <w:t xml:space="preserve">, the proportion of women who rescreened between 2014 </w:t>
      </w:r>
      <w:r w:rsidR="006F3985">
        <w:t>to</w:t>
      </w:r>
      <w:r w:rsidR="00A621C0">
        <w:t xml:space="preserve"> 201</w:t>
      </w:r>
      <w:r w:rsidR="006F3985">
        <w:t>8</w:t>
      </w:r>
      <w:r w:rsidR="00A621C0">
        <w:t xml:space="preserve"> </w:t>
      </w:r>
      <w:r w:rsidR="00483BC6">
        <w:t xml:space="preserve">was higher </w:t>
      </w:r>
      <w:r w:rsidR="00A621C0">
        <w:t>but is still lower than the national rate</w:t>
      </w:r>
      <w:r w:rsidR="00483BC6">
        <w:t xml:space="preserve"> (Table 16.2)</w:t>
      </w:r>
      <w:r w:rsidR="00A621C0">
        <w:t>.</w:t>
      </w:r>
    </w:p>
    <w:p w14:paraId="7454D30D" w14:textId="19352862" w:rsidR="00605A7F" w:rsidRPr="00A451D4" w:rsidRDefault="00FF03E9" w:rsidP="00E87AAA">
      <w:pPr>
        <w:pStyle w:val="Body"/>
        <w:rPr>
          <w:rStyle w:val="Heading3Char"/>
        </w:rPr>
      </w:pPr>
      <w:r>
        <w:t>While there is no target for this measure</w:t>
      </w:r>
      <w:r w:rsidR="00B130D4">
        <w:t>,</w:t>
      </w:r>
      <w:r>
        <w:t xml:space="preserve"> t</w:t>
      </w:r>
      <w:r w:rsidRPr="00FF03E9">
        <w:t>here is a clear relationship between women’s satisfaction of their breast screening experience and their intention to return. Women who are dissatisfied are less likely to intend to return for another breast screen in future. A high rescreen rate is important to both increase the likelihood of breast cancers being detected early and to maintain overall participation.</w:t>
      </w:r>
      <w:bookmarkStart w:id="1139" w:name="_Measure_16.3_–"/>
      <w:bookmarkEnd w:id="1139"/>
      <w:r w:rsidR="00CB5244">
        <w:br w:type="page"/>
      </w:r>
      <w:bookmarkStart w:id="1140" w:name="_Toc19008210"/>
      <w:bookmarkStart w:id="1141" w:name="_Hlk356328"/>
      <w:r w:rsidR="00605A7F" w:rsidRPr="00DA60B4">
        <w:rPr>
          <w:rStyle w:val="Heading3Char"/>
          <w:b/>
          <w:bCs w:val="0"/>
        </w:rPr>
        <w:lastRenderedPageBreak/>
        <w:t>Measure 16.3 –</w:t>
      </w:r>
      <w:r w:rsidR="000C2F6F" w:rsidRPr="00DA60B4">
        <w:rPr>
          <w:rStyle w:val="Heading3Char"/>
          <w:b/>
          <w:bCs w:val="0"/>
        </w:rPr>
        <w:t xml:space="preserve"> Proportion of women</w:t>
      </w:r>
      <w:r w:rsidR="00333559" w:rsidRPr="00DA60B4">
        <w:rPr>
          <w:rStyle w:val="Heading3Char"/>
          <w:b/>
          <w:bCs w:val="0"/>
        </w:rPr>
        <w:t xml:space="preserve"> who are rescreened for cervi</w:t>
      </w:r>
      <w:r w:rsidR="00356527" w:rsidRPr="00DA60B4">
        <w:rPr>
          <w:rStyle w:val="Heading3Char"/>
          <w:b/>
          <w:bCs w:val="0"/>
        </w:rPr>
        <w:t>cal</w:t>
      </w:r>
      <w:r w:rsidR="00333559" w:rsidRPr="00DA60B4">
        <w:rPr>
          <w:rStyle w:val="Heading3Char"/>
          <w:b/>
          <w:bCs w:val="0"/>
        </w:rPr>
        <w:t xml:space="preserve"> cancer within </w:t>
      </w:r>
      <w:r w:rsidR="00702BEF" w:rsidRPr="00DA60B4">
        <w:rPr>
          <w:rStyle w:val="Heading3Char"/>
          <w:b/>
          <w:bCs w:val="0"/>
        </w:rPr>
        <w:t>three</w:t>
      </w:r>
      <w:r w:rsidR="00AD6984" w:rsidRPr="00DA60B4">
        <w:rPr>
          <w:rStyle w:val="Heading3Char"/>
          <w:b/>
          <w:bCs w:val="0"/>
        </w:rPr>
        <w:t xml:space="preserve"> months of receiving a 27-month cervical screening register reminder letter</w:t>
      </w:r>
      <w:bookmarkEnd w:id="1140"/>
    </w:p>
    <w:p w14:paraId="4C232E90" w14:textId="0495CC68" w:rsidR="007F66DF" w:rsidRPr="00772F6F" w:rsidRDefault="007F66DF" w:rsidP="008D320F">
      <w:pPr>
        <w:pStyle w:val="Tablecaption"/>
        <w:rPr>
          <w:sz w:val="20"/>
        </w:rPr>
      </w:pPr>
      <w:bookmarkStart w:id="1142" w:name="_Toc18908745"/>
      <w:bookmarkStart w:id="1143" w:name="_Toc132491544"/>
      <w:bookmarkStart w:id="1144" w:name="_Toc140834936"/>
      <w:r w:rsidRPr="00772F6F">
        <w:rPr>
          <w:sz w:val="20"/>
        </w:rPr>
        <w:t>Table 16.3</w:t>
      </w:r>
      <w:r w:rsidR="00D13361" w:rsidRPr="00772F6F">
        <w:rPr>
          <w:sz w:val="20"/>
        </w:rPr>
        <w:t>:</w:t>
      </w:r>
      <w:r w:rsidRPr="00772F6F">
        <w:rPr>
          <w:sz w:val="20"/>
        </w:rPr>
        <w:t xml:space="preserve"> </w:t>
      </w:r>
      <w:r w:rsidR="00CE2DB5" w:rsidRPr="00772F6F">
        <w:rPr>
          <w:sz w:val="20"/>
        </w:rPr>
        <w:t>Proportion of women sent a reminder letter to rescreen at 27 months after a negative Pap test and the number who re-screened</w:t>
      </w:r>
      <w:r w:rsidR="00C822DF" w:rsidRPr="00772F6F">
        <w:rPr>
          <w:sz w:val="20"/>
        </w:rPr>
        <w:t xml:space="preserve">, </w:t>
      </w:r>
      <w:bookmarkEnd w:id="1142"/>
      <w:r w:rsidR="00DF25DA" w:rsidRPr="00772F6F">
        <w:rPr>
          <w:sz w:val="20"/>
        </w:rPr>
        <w:t>Victoria 2015</w:t>
      </w:r>
      <w:r w:rsidR="005A32D4" w:rsidRPr="00772F6F">
        <w:rPr>
          <w:sz w:val="20"/>
        </w:rPr>
        <w:t>–</w:t>
      </w:r>
      <w:r w:rsidR="00DF25DA" w:rsidRPr="00772F6F">
        <w:rPr>
          <w:sz w:val="20"/>
        </w:rPr>
        <w:t>2017</w:t>
      </w:r>
      <w:bookmarkEnd w:id="1143"/>
      <w:bookmarkEnd w:id="1144"/>
    </w:p>
    <w:tbl>
      <w:tblPr>
        <w:tblW w:w="9336" w:type="dxa"/>
        <w:tblInd w:w="-15" w:type="dxa"/>
        <w:shd w:val="clear" w:color="auto" w:fill="EDCDCF"/>
        <w:tblLook w:val="04A0" w:firstRow="1" w:lastRow="0" w:firstColumn="1" w:lastColumn="0" w:noHBand="0" w:noVBand="1"/>
      </w:tblPr>
      <w:tblGrid>
        <w:gridCol w:w="5954"/>
        <w:gridCol w:w="1134"/>
        <w:gridCol w:w="1134"/>
        <w:gridCol w:w="1114"/>
      </w:tblGrid>
      <w:tr w:rsidR="00DF25DA" w:rsidRPr="00901923" w14:paraId="58DDD5C4" w14:textId="77777777" w:rsidTr="00901923">
        <w:trPr>
          <w:trHeight w:val="172"/>
        </w:trPr>
        <w:tc>
          <w:tcPr>
            <w:tcW w:w="5954" w:type="dxa"/>
            <w:tcBorders>
              <w:left w:val="single" w:sz="12" w:space="0" w:color="FFFFFF" w:themeColor="background1"/>
              <w:bottom w:val="single" w:sz="4" w:space="0" w:color="C00000"/>
              <w:right w:val="single" w:sz="6" w:space="0" w:color="FFFFFF" w:themeColor="background1"/>
            </w:tcBorders>
            <w:shd w:val="clear" w:color="auto" w:fill="EDCDCF"/>
            <w:vAlign w:val="center"/>
            <w:hideMark/>
          </w:tcPr>
          <w:p w14:paraId="21B1C42C" w14:textId="0DC2C06C" w:rsidR="00DF25DA" w:rsidRPr="00901923" w:rsidRDefault="00DF25DA" w:rsidP="00E25AF5">
            <w:pPr>
              <w:pStyle w:val="Tablecolhead"/>
              <w:rPr>
                <w:sz w:val="18"/>
                <w:szCs w:val="18"/>
              </w:rPr>
            </w:pPr>
            <w:r w:rsidRPr="00901923">
              <w:rPr>
                <w:sz w:val="18"/>
                <w:szCs w:val="18"/>
              </w:rPr>
              <w:t>Year</w:t>
            </w:r>
          </w:p>
        </w:tc>
        <w:tc>
          <w:tcPr>
            <w:tcW w:w="1134"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EDCDCF"/>
            <w:vAlign w:val="center"/>
            <w:hideMark/>
          </w:tcPr>
          <w:p w14:paraId="3BBF8E72" w14:textId="591EE3BE" w:rsidR="00DF25DA" w:rsidRPr="00901923" w:rsidRDefault="00DF25DA" w:rsidP="00E25AF5">
            <w:pPr>
              <w:pStyle w:val="Tablecolhead"/>
              <w:rPr>
                <w:sz w:val="18"/>
                <w:szCs w:val="18"/>
              </w:rPr>
            </w:pPr>
            <w:r w:rsidRPr="00901923">
              <w:rPr>
                <w:sz w:val="18"/>
                <w:szCs w:val="18"/>
              </w:rPr>
              <w:t>2015</w:t>
            </w:r>
          </w:p>
        </w:tc>
        <w:tc>
          <w:tcPr>
            <w:tcW w:w="1134"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EDCDCF"/>
            <w:vAlign w:val="center"/>
            <w:hideMark/>
          </w:tcPr>
          <w:p w14:paraId="3EC889AD" w14:textId="04DA6A2A" w:rsidR="00DF25DA" w:rsidRPr="00901923" w:rsidRDefault="00DF25DA" w:rsidP="00E25AF5">
            <w:pPr>
              <w:pStyle w:val="Tablecolhead"/>
              <w:rPr>
                <w:sz w:val="18"/>
                <w:szCs w:val="18"/>
              </w:rPr>
            </w:pPr>
            <w:r w:rsidRPr="00901923">
              <w:rPr>
                <w:sz w:val="18"/>
                <w:szCs w:val="18"/>
              </w:rPr>
              <w:t>2016</w:t>
            </w:r>
          </w:p>
        </w:tc>
        <w:tc>
          <w:tcPr>
            <w:tcW w:w="1114"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EDCDCF"/>
            <w:vAlign w:val="center"/>
            <w:hideMark/>
          </w:tcPr>
          <w:p w14:paraId="2E5678A8" w14:textId="6976A015" w:rsidR="00DF25DA" w:rsidRPr="00901923" w:rsidRDefault="00DF25DA" w:rsidP="00E25AF5">
            <w:pPr>
              <w:pStyle w:val="Tablecolhead"/>
              <w:rPr>
                <w:sz w:val="18"/>
                <w:szCs w:val="18"/>
              </w:rPr>
            </w:pPr>
            <w:r w:rsidRPr="00901923">
              <w:rPr>
                <w:sz w:val="18"/>
                <w:szCs w:val="18"/>
              </w:rPr>
              <w:t>2017</w:t>
            </w:r>
          </w:p>
        </w:tc>
      </w:tr>
      <w:tr w:rsidR="00DF25DA" w:rsidRPr="00901923" w14:paraId="2B8346A5" w14:textId="77777777" w:rsidTr="00901923">
        <w:trPr>
          <w:trHeight w:val="235"/>
        </w:trPr>
        <w:tc>
          <w:tcPr>
            <w:tcW w:w="5954" w:type="dxa"/>
            <w:tcBorders>
              <w:top w:val="single" w:sz="4" w:space="0" w:color="C00000"/>
              <w:left w:val="single" w:sz="12" w:space="0" w:color="FFFFFF" w:themeColor="background1"/>
              <w:bottom w:val="single" w:sz="4" w:space="0" w:color="C00000"/>
              <w:right w:val="single" w:sz="6" w:space="0" w:color="FFFFFF" w:themeColor="background1"/>
            </w:tcBorders>
            <w:shd w:val="clear" w:color="auto" w:fill="auto"/>
            <w:noWrap/>
            <w:vAlign w:val="center"/>
            <w:hideMark/>
          </w:tcPr>
          <w:p w14:paraId="515EA9DA" w14:textId="48DF0040" w:rsidR="00DF25DA" w:rsidRPr="00901923" w:rsidRDefault="00DF25DA" w:rsidP="00E25AF5">
            <w:pPr>
              <w:pStyle w:val="Tabletext"/>
              <w:rPr>
                <w:sz w:val="18"/>
                <w:szCs w:val="18"/>
              </w:rPr>
            </w:pPr>
            <w:r w:rsidRPr="00901923">
              <w:rPr>
                <w:sz w:val="18"/>
                <w:szCs w:val="18"/>
              </w:rPr>
              <w:t>Percentage (%) of women who rescreened within 27 months following a negative test</w:t>
            </w:r>
          </w:p>
        </w:tc>
        <w:tc>
          <w:tcPr>
            <w:tcW w:w="1134"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37A6EE62" w14:textId="7AB1A4FE" w:rsidR="00DF25DA" w:rsidRPr="00901923" w:rsidRDefault="00DF25DA" w:rsidP="00E25AF5">
            <w:pPr>
              <w:pStyle w:val="Tabletext"/>
              <w:rPr>
                <w:sz w:val="18"/>
                <w:szCs w:val="18"/>
              </w:rPr>
            </w:pPr>
            <w:r w:rsidRPr="00901923">
              <w:rPr>
                <w:sz w:val="18"/>
                <w:szCs w:val="18"/>
              </w:rPr>
              <w:t>31.9</w:t>
            </w:r>
          </w:p>
        </w:tc>
        <w:tc>
          <w:tcPr>
            <w:tcW w:w="1134"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1A13E571" w14:textId="5B2DAD52" w:rsidR="00DF25DA" w:rsidRPr="00901923" w:rsidRDefault="00DF25DA" w:rsidP="00E25AF5">
            <w:pPr>
              <w:pStyle w:val="Tabletext"/>
              <w:rPr>
                <w:sz w:val="18"/>
                <w:szCs w:val="18"/>
              </w:rPr>
            </w:pPr>
            <w:r w:rsidRPr="00901923">
              <w:rPr>
                <w:sz w:val="18"/>
                <w:szCs w:val="18"/>
              </w:rPr>
              <w:t>51.4</w:t>
            </w:r>
          </w:p>
        </w:tc>
        <w:tc>
          <w:tcPr>
            <w:tcW w:w="1114"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0855F09A" w14:textId="729EFDB8" w:rsidR="00DF25DA" w:rsidRPr="00901923" w:rsidRDefault="00DF25DA" w:rsidP="00E25AF5">
            <w:pPr>
              <w:pStyle w:val="Tabletext"/>
              <w:rPr>
                <w:sz w:val="18"/>
                <w:szCs w:val="18"/>
              </w:rPr>
            </w:pPr>
            <w:r w:rsidRPr="00901923">
              <w:rPr>
                <w:sz w:val="18"/>
                <w:szCs w:val="18"/>
              </w:rPr>
              <w:t>50.4</w:t>
            </w:r>
          </w:p>
        </w:tc>
      </w:tr>
    </w:tbl>
    <w:p w14:paraId="64BF79FE" w14:textId="5556F29D" w:rsidR="002426D7" w:rsidRPr="00772F6F" w:rsidRDefault="002426D7" w:rsidP="00561DBE">
      <w:pPr>
        <w:pStyle w:val="Tablefigurenote"/>
        <w:rPr>
          <w:i/>
          <w:iCs/>
          <w:sz w:val="18"/>
          <w:szCs w:val="18"/>
        </w:rPr>
      </w:pPr>
      <w:r w:rsidRPr="00772F6F">
        <w:rPr>
          <w:i/>
          <w:iCs/>
          <w:sz w:val="18"/>
          <w:szCs w:val="18"/>
        </w:rPr>
        <w:t xml:space="preserve">Source: </w:t>
      </w:r>
      <w:r w:rsidR="009711D6" w:rsidRPr="00772F6F">
        <w:rPr>
          <w:i/>
          <w:iCs/>
          <w:sz w:val="18"/>
          <w:szCs w:val="18"/>
        </w:rPr>
        <w:t>Australian Centre for the Prevention of Cervical Cancer, Melbourne</w:t>
      </w:r>
    </w:p>
    <w:p w14:paraId="1C18932C" w14:textId="5EA2A96E" w:rsidR="00DF25DA" w:rsidRPr="00772F6F" w:rsidRDefault="00EB275A" w:rsidP="00DA60B4">
      <w:pPr>
        <w:pStyle w:val="Tablefigurenote"/>
        <w:rPr>
          <w:i/>
          <w:iCs/>
          <w:sz w:val="18"/>
          <w:szCs w:val="18"/>
        </w:rPr>
      </w:pPr>
      <w:r w:rsidRPr="00772F6F">
        <w:rPr>
          <w:i/>
          <w:iCs/>
          <w:sz w:val="18"/>
          <w:szCs w:val="18"/>
        </w:rPr>
        <w:t>Note</w:t>
      </w:r>
      <w:r w:rsidR="0008023D" w:rsidRPr="00772F6F">
        <w:rPr>
          <w:i/>
          <w:iCs/>
          <w:sz w:val="18"/>
          <w:szCs w:val="18"/>
        </w:rPr>
        <w:t>:</w:t>
      </w:r>
      <w:r w:rsidR="00D13361" w:rsidRPr="00772F6F">
        <w:rPr>
          <w:i/>
          <w:iCs/>
          <w:sz w:val="18"/>
          <w:szCs w:val="18"/>
        </w:rPr>
        <w:t xml:space="preserve"> </w:t>
      </w:r>
      <w:r w:rsidR="00DF25DA" w:rsidRPr="00772F6F">
        <w:rPr>
          <w:i/>
          <w:iCs/>
          <w:sz w:val="18"/>
          <w:szCs w:val="18"/>
        </w:rPr>
        <w:t xml:space="preserve">Data presented for 2017 is partially complete </w:t>
      </w:r>
      <w:r w:rsidR="00D2246E" w:rsidRPr="00772F6F">
        <w:rPr>
          <w:i/>
          <w:iCs/>
          <w:sz w:val="18"/>
          <w:szCs w:val="18"/>
        </w:rPr>
        <w:t>(only</w:t>
      </w:r>
      <w:r w:rsidR="00DF25DA" w:rsidRPr="00772F6F">
        <w:rPr>
          <w:i/>
          <w:iCs/>
          <w:sz w:val="18"/>
          <w:szCs w:val="18"/>
        </w:rPr>
        <w:t xml:space="preserve"> up to 30 November 2017</w:t>
      </w:r>
      <w:r w:rsidR="00D2246E" w:rsidRPr="00772F6F">
        <w:rPr>
          <w:i/>
          <w:iCs/>
          <w:sz w:val="18"/>
          <w:szCs w:val="18"/>
        </w:rPr>
        <w:t>)</w:t>
      </w:r>
      <w:r w:rsidR="00DF25DA" w:rsidRPr="00772F6F">
        <w:rPr>
          <w:i/>
          <w:iCs/>
          <w:sz w:val="18"/>
          <w:szCs w:val="18"/>
        </w:rPr>
        <w:t xml:space="preserve"> to account for a change in policy</w:t>
      </w:r>
      <w:r w:rsidR="005A32D4" w:rsidRPr="00772F6F">
        <w:rPr>
          <w:i/>
          <w:iCs/>
          <w:sz w:val="18"/>
          <w:szCs w:val="18"/>
        </w:rPr>
        <w:t xml:space="preserve"> (new testing frequency)</w:t>
      </w:r>
      <w:r w:rsidR="00DF25DA" w:rsidRPr="00772F6F">
        <w:rPr>
          <w:i/>
          <w:iCs/>
          <w:sz w:val="18"/>
          <w:szCs w:val="18"/>
        </w:rPr>
        <w:t>.</w:t>
      </w:r>
    </w:p>
    <w:p w14:paraId="3FBF0093" w14:textId="71F71342" w:rsidR="00920EA6" w:rsidRPr="00671C7A" w:rsidRDefault="00920EA6" w:rsidP="007C7F00">
      <w:pPr>
        <w:pStyle w:val="Heading4"/>
      </w:pPr>
      <w:r>
        <w:t>Measure assessment</w:t>
      </w:r>
    </w:p>
    <w:p w14:paraId="1D85CCF0" w14:textId="552C274E" w:rsidR="00514D56" w:rsidRPr="00F270EA" w:rsidRDefault="00514D56" w:rsidP="00606436">
      <w:pPr>
        <w:pStyle w:val="Body"/>
      </w:pPr>
      <w:r w:rsidRPr="00CC5019">
        <w:t xml:space="preserve">Traffic light rating: </w:t>
      </w:r>
      <w:r w:rsidR="00F270EA" w:rsidRPr="00DA60B4">
        <w:rPr>
          <w:b/>
          <w:color w:val="C5511A"/>
        </w:rPr>
        <w:t xml:space="preserve">Amber </w:t>
      </w:r>
      <w:r w:rsidR="00F270EA" w:rsidRPr="00EA3932">
        <w:t>(desired result not yet evident)</w:t>
      </w:r>
      <w:r w:rsidRPr="00CC5019">
        <w:rPr>
          <w:b/>
          <w:color w:val="FFC000"/>
        </w:rPr>
        <w:t xml:space="preserve"> </w:t>
      </w:r>
    </w:p>
    <w:p w14:paraId="3113DC3E" w14:textId="4ABCE3A2" w:rsidR="00514D56" w:rsidRPr="00CC5019" w:rsidRDefault="00514D56" w:rsidP="00606436">
      <w:pPr>
        <w:pStyle w:val="Body"/>
      </w:pPr>
      <w:r w:rsidRPr="00CC5019">
        <w:t xml:space="preserve">Overall trend: </w:t>
      </w:r>
      <w:r w:rsidR="004219FB">
        <w:t xml:space="preserve">Moving in the right direction, </w:t>
      </w:r>
      <w:r w:rsidR="008C547E">
        <w:t xml:space="preserve">but </w:t>
      </w:r>
      <w:r w:rsidR="004219FB">
        <w:t xml:space="preserve">a new baseline measure will need to be established to account for policy changes </w:t>
      </w:r>
      <w:r w:rsidR="008C547E">
        <w:t xml:space="preserve">that </w:t>
      </w:r>
      <w:r w:rsidR="004219FB">
        <w:t>took effect</w:t>
      </w:r>
      <w:r w:rsidR="00D2246E">
        <w:t xml:space="preserve"> on</w:t>
      </w:r>
      <w:r w:rsidR="004219FB">
        <w:t xml:space="preserve"> 1 December 2017.</w:t>
      </w:r>
    </w:p>
    <w:p w14:paraId="61F5142F" w14:textId="10E3F025" w:rsidR="00514D56" w:rsidRDefault="00514D56" w:rsidP="00E87AAA">
      <w:pPr>
        <w:pStyle w:val="Body"/>
        <w:rPr>
          <w:rFonts w:eastAsiaTheme="minorHAnsi" w:cs="Arial"/>
        </w:rPr>
      </w:pPr>
      <w:r w:rsidRPr="00CC5019">
        <w:t xml:space="preserve">Commentary: </w:t>
      </w:r>
      <w:r w:rsidR="005A32D4">
        <w:t>Table 16.3</w:t>
      </w:r>
      <w:r w:rsidRPr="00CC5019">
        <w:t xml:space="preserve"> shows </w:t>
      </w:r>
      <w:r>
        <w:t>that a cervical screening register letter reminding women to rescreen sent at 27 months after a previous negative Pap test prompt</w:t>
      </w:r>
      <w:r w:rsidR="00D76592">
        <w:t>s</w:t>
      </w:r>
      <w:r>
        <w:t xml:space="preserve"> many women to rescreen. The </w:t>
      </w:r>
      <w:r w:rsidR="005A32D4">
        <w:t xml:space="preserve">proportion of woman who rescreened after receiving a reminder letter </w:t>
      </w:r>
      <w:r w:rsidR="004219FB">
        <w:t>following</w:t>
      </w:r>
      <w:r w:rsidR="005A32D4">
        <w:t xml:space="preserve"> a negative test increased from 31.7</w:t>
      </w:r>
      <w:r w:rsidR="0054537F">
        <w:t>%</w:t>
      </w:r>
      <w:r w:rsidR="005A32D4">
        <w:t xml:space="preserve"> </w:t>
      </w:r>
      <w:r w:rsidR="004219FB">
        <w:t>in 2015 to 50.4</w:t>
      </w:r>
      <w:r w:rsidR="0054537F">
        <w:t>%</w:t>
      </w:r>
      <w:r w:rsidR="004219FB">
        <w:t xml:space="preserve"> in 2017 (</w:t>
      </w:r>
      <w:r w:rsidR="00D2246E">
        <w:t xml:space="preserve">note: </w:t>
      </w:r>
      <w:r w:rsidR="004219FB">
        <w:t>incomplete data)</w:t>
      </w:r>
      <w:r>
        <w:t>.</w:t>
      </w:r>
    </w:p>
    <w:p w14:paraId="7726FD70" w14:textId="603A551A" w:rsidR="005868A8" w:rsidRDefault="004219FB" w:rsidP="00E87AAA">
      <w:pPr>
        <w:pStyle w:val="Body"/>
      </w:pPr>
      <w:r>
        <w:t>It is important to note that this is the last report</w:t>
      </w:r>
      <w:r w:rsidR="00514D56">
        <w:rPr>
          <w:rStyle w:val="FootnoteReference"/>
          <w:lang w:eastAsia="en-AU"/>
        </w:rPr>
        <w:footnoteReference w:id="213"/>
      </w:r>
      <w:r w:rsidR="00514D56">
        <w:t xml:space="preserve"> using the current measure.</w:t>
      </w:r>
      <w:r w:rsidR="00952FC7">
        <w:t xml:space="preserve"> </w:t>
      </w:r>
      <w:r>
        <w:t>A</w:t>
      </w:r>
      <w:r w:rsidR="00514D56">
        <w:t xml:space="preserve"> new baseline will be established to reflect changes under the renewed national cervical screening program.</w:t>
      </w:r>
      <w:r w:rsidR="00514D56" w:rsidRPr="00866E0C">
        <w:t xml:space="preserve"> </w:t>
      </w:r>
      <w:r w:rsidR="00514D56">
        <w:t>From 1 December 2017, changes were made to program policy</w:t>
      </w:r>
      <w:r w:rsidR="00702BEF">
        <w:t>,</w:t>
      </w:r>
      <w:r w:rsidR="00514D56">
        <w:rPr>
          <w:rStyle w:val="FootnoteReference"/>
          <w:lang w:eastAsia="en-AU"/>
        </w:rPr>
        <w:footnoteReference w:id="214"/>
      </w:r>
      <w:r w:rsidR="00514D56">
        <w:t xml:space="preserve"> the test type</w:t>
      </w:r>
      <w:r w:rsidR="00D2246E">
        <w:t>, the</w:t>
      </w:r>
      <w:r w:rsidR="00514D56">
        <w:t xml:space="preserve"> screening </w:t>
      </w:r>
      <w:r w:rsidR="00AD19AC">
        <w:t>frequency/</w:t>
      </w:r>
      <w:r w:rsidR="00514D56">
        <w:t>interval</w:t>
      </w:r>
      <w:r w:rsidR="00514D56">
        <w:rPr>
          <w:rStyle w:val="FootnoteReference"/>
          <w:lang w:eastAsia="en-AU"/>
        </w:rPr>
        <w:footnoteReference w:id="215"/>
      </w:r>
      <w:r w:rsidR="00514D56">
        <w:t xml:space="preserve"> and the </w:t>
      </w:r>
      <w:r w:rsidR="00514D56" w:rsidRPr="00DF4943">
        <w:t>target age range</w:t>
      </w:r>
      <w:r w:rsidR="00514D56">
        <w:t>.</w:t>
      </w:r>
      <w:r w:rsidR="00514D56">
        <w:rPr>
          <w:rStyle w:val="FootnoteReference"/>
          <w:lang w:eastAsia="en-AU"/>
        </w:rPr>
        <w:footnoteReference w:id="216"/>
      </w:r>
    </w:p>
    <w:p w14:paraId="673DB7C9" w14:textId="7ED8E160" w:rsidR="00C3012E" w:rsidRDefault="00DF25DA" w:rsidP="00E87AAA">
      <w:pPr>
        <w:pStyle w:val="Body"/>
        <w:rPr>
          <w:lang w:eastAsia="en-AU"/>
        </w:rPr>
      </w:pPr>
      <w:r>
        <w:t xml:space="preserve">As noted in the </w:t>
      </w:r>
      <w:r w:rsidRPr="009711D6">
        <w:rPr>
          <w:i/>
          <w:iCs/>
        </w:rPr>
        <w:t xml:space="preserve">Cancer </w:t>
      </w:r>
      <w:r w:rsidR="00D2246E" w:rsidRPr="009711D6">
        <w:rPr>
          <w:i/>
          <w:iCs/>
        </w:rPr>
        <w:t>plan monitoring and evaluation framework baseline report</w:t>
      </w:r>
      <w:r w:rsidR="00D2246E">
        <w:t xml:space="preserve"> </w:t>
      </w:r>
      <w:r>
        <w:t>(2020), this measure (and baseline year) has been amended to reflect the renewed National Cervical Screening Program (</w:t>
      </w:r>
      <w:r w:rsidR="00D2246E">
        <w:t>beginning</w:t>
      </w:r>
      <w:r>
        <w:t xml:space="preserve"> 1 December 2017)</w:t>
      </w:r>
      <w:r w:rsidR="00AD19AC">
        <w:t>.</w:t>
      </w:r>
    </w:p>
    <w:p w14:paraId="7B807947" w14:textId="2F2A427A" w:rsidR="00605A7F" w:rsidRPr="00DA60B4" w:rsidRDefault="008E642F" w:rsidP="00A451D4">
      <w:pPr>
        <w:pStyle w:val="Heading3"/>
        <w:rPr>
          <w:b/>
          <w:bCs w:val="0"/>
        </w:rPr>
      </w:pPr>
      <w:bookmarkStart w:id="1145" w:name="_Measure_16.4_–"/>
      <w:bookmarkEnd w:id="1145"/>
      <w:r>
        <w:br w:type="page"/>
      </w:r>
      <w:bookmarkStart w:id="1146" w:name="_Hlk1637172"/>
      <w:bookmarkStart w:id="1147" w:name="_Toc19008212"/>
      <w:bookmarkEnd w:id="1141"/>
      <w:r w:rsidR="00605A7F" w:rsidRPr="76BE792E">
        <w:rPr>
          <w:b/>
        </w:rPr>
        <w:lastRenderedPageBreak/>
        <w:t>Measure 16.4 –</w:t>
      </w:r>
      <w:r w:rsidR="00544CCD" w:rsidRPr="76BE792E">
        <w:rPr>
          <w:b/>
        </w:rPr>
        <w:t xml:space="preserve"> Proportion of adults who are rescreened by </w:t>
      </w:r>
      <w:r w:rsidR="00D2246E" w:rsidRPr="76BE792E">
        <w:rPr>
          <w:b/>
        </w:rPr>
        <w:t xml:space="preserve">the </w:t>
      </w:r>
      <w:r w:rsidR="00544CCD" w:rsidRPr="76BE792E">
        <w:rPr>
          <w:b/>
        </w:rPr>
        <w:t>National Bowel Cancer Screening Program</w:t>
      </w:r>
      <w:r w:rsidR="00220971" w:rsidRPr="76BE792E">
        <w:rPr>
          <w:rStyle w:val="FootnoteReference"/>
          <w:b/>
          <w:lang w:eastAsia="en-AU"/>
        </w:rPr>
        <w:footnoteReference w:id="217"/>
      </w:r>
      <w:bookmarkEnd w:id="1147"/>
    </w:p>
    <w:p w14:paraId="0AB98AFD" w14:textId="5ACE3E83" w:rsidR="00260221" w:rsidRDefault="006E2DDE" w:rsidP="008D320F">
      <w:pPr>
        <w:pStyle w:val="Figurecaption"/>
        <w:rPr>
          <w:sz w:val="20"/>
        </w:rPr>
      </w:pPr>
      <w:bookmarkStart w:id="1148" w:name="_Toc19008213"/>
      <w:bookmarkStart w:id="1149" w:name="_Toc19008389"/>
      <w:bookmarkStart w:id="1150" w:name="_Toc19008536"/>
      <w:bookmarkStart w:id="1151" w:name="_Toc19008683"/>
      <w:bookmarkStart w:id="1152" w:name="_Toc132553109"/>
      <w:bookmarkStart w:id="1153" w:name="_Toc140827726"/>
      <w:r w:rsidRPr="00772F6F">
        <w:rPr>
          <w:sz w:val="20"/>
        </w:rPr>
        <w:t>Figure</w:t>
      </w:r>
      <w:r w:rsidR="00260221" w:rsidRPr="00772F6F">
        <w:rPr>
          <w:sz w:val="20"/>
        </w:rPr>
        <w:t xml:space="preserve"> 16.4</w:t>
      </w:r>
      <w:r w:rsidR="00C03D95" w:rsidRPr="00772F6F">
        <w:rPr>
          <w:sz w:val="20"/>
        </w:rPr>
        <w:t>:</w:t>
      </w:r>
      <w:r w:rsidR="00260221" w:rsidRPr="00772F6F">
        <w:rPr>
          <w:sz w:val="20"/>
        </w:rPr>
        <w:t xml:space="preserve"> Proportion of adults </w:t>
      </w:r>
      <w:r w:rsidR="00DE050B" w:rsidRPr="00772F6F">
        <w:rPr>
          <w:sz w:val="20"/>
        </w:rPr>
        <w:t>age</w:t>
      </w:r>
      <w:r w:rsidR="00F269E9" w:rsidRPr="00772F6F">
        <w:rPr>
          <w:sz w:val="20"/>
        </w:rPr>
        <w:t>d</w:t>
      </w:r>
      <w:r w:rsidR="00DE050B" w:rsidRPr="00772F6F">
        <w:rPr>
          <w:sz w:val="20"/>
        </w:rPr>
        <w:t xml:space="preserve"> 50</w:t>
      </w:r>
      <w:r w:rsidR="00702BEF" w:rsidRPr="00772F6F">
        <w:rPr>
          <w:sz w:val="20"/>
        </w:rPr>
        <w:t>–</w:t>
      </w:r>
      <w:r w:rsidR="00DE050B" w:rsidRPr="00772F6F">
        <w:rPr>
          <w:sz w:val="20"/>
        </w:rPr>
        <w:t>74</w:t>
      </w:r>
      <w:r w:rsidR="00F269E9" w:rsidRPr="00772F6F">
        <w:rPr>
          <w:sz w:val="20"/>
        </w:rPr>
        <w:t xml:space="preserve"> </w:t>
      </w:r>
      <w:r w:rsidR="00260221" w:rsidRPr="00772F6F">
        <w:rPr>
          <w:sz w:val="20"/>
        </w:rPr>
        <w:t>who are rescreened</w:t>
      </w:r>
      <w:r w:rsidR="0005355F" w:rsidRPr="00772F6F">
        <w:rPr>
          <w:sz w:val="20"/>
        </w:rPr>
        <w:t xml:space="preserve"> (in subsequent rounds)</w:t>
      </w:r>
      <w:r w:rsidR="00260221" w:rsidRPr="00772F6F">
        <w:rPr>
          <w:sz w:val="20"/>
        </w:rPr>
        <w:t xml:space="preserve"> by the National Bowel </w:t>
      </w:r>
      <w:r w:rsidRPr="00772F6F">
        <w:rPr>
          <w:sz w:val="20"/>
        </w:rPr>
        <w:t>Cancer Screening Program</w:t>
      </w:r>
      <w:r w:rsidR="00F269E9" w:rsidRPr="00772F6F">
        <w:rPr>
          <w:sz w:val="20"/>
        </w:rPr>
        <w:t>, Victoria</w:t>
      </w:r>
      <w:r w:rsidR="00403FA1" w:rsidRPr="00772F6F">
        <w:rPr>
          <w:sz w:val="20"/>
        </w:rPr>
        <w:t xml:space="preserve"> and Australia</w:t>
      </w:r>
      <w:r w:rsidR="00F269E9" w:rsidRPr="00772F6F">
        <w:rPr>
          <w:sz w:val="20"/>
        </w:rPr>
        <w:t>, 2014</w:t>
      </w:r>
      <w:r w:rsidR="00702BEF" w:rsidRPr="00772F6F">
        <w:rPr>
          <w:sz w:val="20"/>
        </w:rPr>
        <w:t>–</w:t>
      </w:r>
      <w:r w:rsidR="00F269E9" w:rsidRPr="00772F6F">
        <w:rPr>
          <w:sz w:val="20"/>
        </w:rPr>
        <w:t>2015 to</w:t>
      </w:r>
      <w:bookmarkEnd w:id="1148"/>
      <w:bookmarkEnd w:id="1149"/>
      <w:bookmarkEnd w:id="1150"/>
      <w:bookmarkEnd w:id="1151"/>
      <w:bookmarkEnd w:id="1152"/>
      <w:r w:rsidR="00042281">
        <w:rPr>
          <w:sz w:val="20"/>
        </w:rPr>
        <w:t xml:space="preserve"> 2020</w:t>
      </w:r>
      <w:r w:rsidR="00042281" w:rsidRPr="00772F6F">
        <w:rPr>
          <w:sz w:val="20"/>
        </w:rPr>
        <w:t>–</w:t>
      </w:r>
      <w:r w:rsidR="00042281">
        <w:rPr>
          <w:sz w:val="20"/>
        </w:rPr>
        <w:t>2021</w:t>
      </w:r>
      <w:bookmarkEnd w:id="1153"/>
    </w:p>
    <w:p w14:paraId="73A80B40" w14:textId="3C7B5586" w:rsidR="00E4356E" w:rsidRPr="00E4356E" w:rsidRDefault="005302E9" w:rsidP="00E4356E">
      <w:pPr>
        <w:pStyle w:val="DHHSbody"/>
      </w:pPr>
      <w:r w:rsidRPr="005302E9">
        <w:rPr>
          <w:noProof/>
        </w:rPr>
        <w:drawing>
          <wp:inline distT="0" distB="0" distL="0" distR="0" wp14:anchorId="46F1A67B" wp14:editId="74AA1883">
            <wp:extent cx="5795010" cy="3087232"/>
            <wp:effectExtent l="0" t="0" r="0" b="0"/>
            <wp:docPr id="1110204992" name="Picture 1110204992" descr="This figure presents data on the proportion of adults aged 50 to 74 who are rescreened (in subsequent rounds) by the National Bowel Cancer Screening Program for both Victoria and Australia from 2014-15 to 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4992" name="Picture 1110204992" descr="This figure presents data on the proportion of adults aged 50 to 74 who are rescreened (in subsequent rounds) by the National Bowel Cancer Screening Program for both Victoria and Australia from 2014-15 to 2020-21."/>
                    <pic:cNvPicPr/>
                  </pic:nvPicPr>
                  <pic:blipFill>
                    <a:blip r:embed="rId177"/>
                    <a:stretch>
                      <a:fillRect/>
                    </a:stretch>
                  </pic:blipFill>
                  <pic:spPr>
                    <a:xfrm>
                      <a:off x="0" y="0"/>
                      <a:ext cx="5824087" cy="3102722"/>
                    </a:xfrm>
                    <a:prstGeom prst="rect">
                      <a:avLst/>
                    </a:prstGeom>
                  </pic:spPr>
                </pic:pic>
              </a:graphicData>
            </a:graphic>
          </wp:inline>
        </w:drawing>
      </w:r>
    </w:p>
    <w:p w14:paraId="0B15B87F" w14:textId="2C3214B2" w:rsidR="008B23DA" w:rsidRPr="00772F6F" w:rsidRDefault="008B23DA" w:rsidP="00561DBE">
      <w:pPr>
        <w:pStyle w:val="Tablefigurenote"/>
        <w:rPr>
          <w:i/>
          <w:iCs/>
          <w:sz w:val="18"/>
          <w:szCs w:val="18"/>
        </w:rPr>
      </w:pPr>
      <w:r w:rsidRPr="00772F6F">
        <w:rPr>
          <w:i/>
          <w:iCs/>
          <w:sz w:val="18"/>
          <w:szCs w:val="18"/>
        </w:rPr>
        <w:t>Source: AIHW National Bowel Cancer Screening Program monitoring report</w:t>
      </w:r>
      <w:r w:rsidR="00E4356E">
        <w:rPr>
          <w:i/>
          <w:iCs/>
          <w:sz w:val="18"/>
          <w:szCs w:val="18"/>
        </w:rPr>
        <w:t>s</w:t>
      </w:r>
    </w:p>
    <w:p w14:paraId="73530F6F" w14:textId="3DBC7C9C" w:rsidR="00C4317A" w:rsidRPr="002570C6" w:rsidRDefault="00C4317A" w:rsidP="00561DBE">
      <w:pPr>
        <w:pStyle w:val="Tablefigurenote"/>
        <w:rPr>
          <w:i/>
          <w:iCs/>
          <w:sz w:val="18"/>
          <w:szCs w:val="18"/>
        </w:rPr>
      </w:pPr>
      <w:r w:rsidRPr="002570C6">
        <w:rPr>
          <w:i/>
          <w:iCs/>
          <w:sz w:val="18"/>
          <w:szCs w:val="18"/>
        </w:rPr>
        <w:t>Note:</w:t>
      </w:r>
      <w:r w:rsidR="00DE050B" w:rsidRPr="002570C6">
        <w:rPr>
          <w:i/>
          <w:iCs/>
          <w:sz w:val="18"/>
          <w:szCs w:val="18"/>
        </w:rPr>
        <w:t xml:space="preserve"> </w:t>
      </w:r>
      <w:r w:rsidR="00B15B20" w:rsidRPr="002570C6">
        <w:rPr>
          <w:i/>
          <w:iCs/>
          <w:sz w:val="18"/>
          <w:szCs w:val="18"/>
        </w:rPr>
        <w:t xml:space="preserve">Figure 16.4 </w:t>
      </w:r>
      <w:r w:rsidR="00DE050B" w:rsidRPr="002570C6">
        <w:rPr>
          <w:i/>
          <w:iCs/>
          <w:sz w:val="18"/>
          <w:szCs w:val="18"/>
        </w:rPr>
        <w:t>includes all first-round invitations</w:t>
      </w:r>
      <w:r w:rsidR="00D2246E" w:rsidRPr="002570C6">
        <w:rPr>
          <w:i/>
          <w:iCs/>
          <w:sz w:val="18"/>
          <w:szCs w:val="18"/>
        </w:rPr>
        <w:t>.</w:t>
      </w:r>
    </w:p>
    <w:p w14:paraId="76BBC013" w14:textId="7649B8CA" w:rsidR="00DE050B" w:rsidRDefault="00DE050B" w:rsidP="00561DBE">
      <w:pPr>
        <w:pStyle w:val="Tablefigurenote"/>
        <w:rPr>
          <w:rFonts w:cs="Arial"/>
          <w:sz w:val="18"/>
          <w:szCs w:val="18"/>
        </w:rPr>
      </w:pPr>
      <w:r w:rsidRPr="002570C6">
        <w:rPr>
          <w:rFonts w:cs="Arial"/>
          <w:i/>
          <w:iCs/>
          <w:sz w:val="18"/>
          <w:szCs w:val="18"/>
        </w:rPr>
        <w:t>Participation data for 2014</w:t>
      </w:r>
      <w:r w:rsidR="00702BEF" w:rsidRPr="002570C6">
        <w:rPr>
          <w:rFonts w:cs="Arial"/>
          <w:i/>
          <w:iCs/>
          <w:sz w:val="18"/>
          <w:szCs w:val="18"/>
        </w:rPr>
        <w:t>–</w:t>
      </w:r>
      <w:r w:rsidRPr="002570C6">
        <w:rPr>
          <w:rFonts w:cs="Arial"/>
          <w:i/>
          <w:iCs/>
          <w:sz w:val="18"/>
          <w:szCs w:val="18"/>
        </w:rPr>
        <w:t>201</w:t>
      </w:r>
      <w:r w:rsidR="005E1862" w:rsidRPr="002570C6">
        <w:rPr>
          <w:rFonts w:cs="Arial"/>
          <w:i/>
          <w:iCs/>
          <w:sz w:val="18"/>
          <w:szCs w:val="18"/>
        </w:rPr>
        <w:t xml:space="preserve">5 is based on </w:t>
      </w:r>
      <w:r w:rsidR="004D7142" w:rsidRPr="002570C6">
        <w:rPr>
          <w:rFonts w:cs="Arial"/>
          <w:i/>
          <w:iCs/>
          <w:sz w:val="18"/>
          <w:szCs w:val="18"/>
        </w:rPr>
        <w:t xml:space="preserve">the </w:t>
      </w:r>
      <w:r w:rsidR="007A4BCA" w:rsidRPr="002570C6">
        <w:rPr>
          <w:rFonts w:cs="Arial"/>
          <w:i/>
          <w:iCs/>
          <w:sz w:val="18"/>
          <w:szCs w:val="18"/>
        </w:rPr>
        <w:t>National Bowel Cancer Screening Program Register as at 31 December 2016, 30 June 2017</w:t>
      </w:r>
      <w:r w:rsidR="004856A3" w:rsidRPr="002570C6">
        <w:rPr>
          <w:rFonts w:cs="Arial"/>
          <w:i/>
          <w:iCs/>
          <w:sz w:val="18"/>
          <w:szCs w:val="18"/>
        </w:rPr>
        <w:t>,</w:t>
      </w:r>
      <w:r w:rsidR="007A4BCA" w:rsidRPr="002570C6">
        <w:rPr>
          <w:rFonts w:cs="Arial"/>
          <w:i/>
          <w:iCs/>
          <w:sz w:val="18"/>
          <w:szCs w:val="18"/>
        </w:rPr>
        <w:t xml:space="preserve"> 30 June 2018</w:t>
      </w:r>
      <w:r w:rsidR="00044780" w:rsidRPr="002570C6">
        <w:rPr>
          <w:rFonts w:cs="Arial"/>
          <w:i/>
          <w:iCs/>
          <w:sz w:val="18"/>
          <w:szCs w:val="18"/>
        </w:rPr>
        <w:t xml:space="preserve"> and 30 June 2021</w:t>
      </w:r>
      <w:r w:rsidR="007A4BCA" w:rsidRPr="002570C6">
        <w:rPr>
          <w:rFonts w:cs="Arial"/>
          <w:i/>
          <w:iCs/>
          <w:sz w:val="18"/>
          <w:szCs w:val="18"/>
        </w:rPr>
        <w:t>.</w:t>
      </w:r>
      <w:r w:rsidR="00584F5E" w:rsidRPr="002570C6">
        <w:rPr>
          <w:rFonts w:cs="Arial"/>
          <w:i/>
          <w:iCs/>
          <w:sz w:val="18"/>
          <w:szCs w:val="18"/>
        </w:rPr>
        <w:t xml:space="preserve"> </w:t>
      </w:r>
      <w:r w:rsidR="00584F5E" w:rsidRPr="002570C6">
        <w:rPr>
          <w:rFonts w:cs="Arial"/>
          <w:sz w:val="18"/>
          <w:szCs w:val="18"/>
        </w:rPr>
        <w:t xml:space="preserve">From 2020 all Australians (including Victorians) aged between 50 and 74 years are now offered free screening every two years. The specific ages invited within the 50–74 age for the periods covered in this report are shown in </w:t>
      </w:r>
      <w:r w:rsidR="002570C6">
        <w:rPr>
          <w:rFonts w:cs="Arial"/>
          <w:sz w:val="18"/>
          <w:szCs w:val="18"/>
        </w:rPr>
        <w:t>Table 16.4.</w:t>
      </w:r>
    </w:p>
    <w:p w14:paraId="05430B3B" w14:textId="07B334CE" w:rsidR="002570C6" w:rsidRPr="008F5E9C" w:rsidRDefault="002570C6" w:rsidP="002570C6">
      <w:pPr>
        <w:pStyle w:val="Tablecaption"/>
        <w:rPr>
          <w:sz w:val="18"/>
          <w:szCs w:val="18"/>
        </w:rPr>
      </w:pPr>
      <w:bookmarkStart w:id="1154" w:name="_Toc140834937"/>
      <w:r w:rsidRPr="008F5E9C">
        <w:t>Table 16.4: National Bowel Cancer Screening Program ages invited by year</w:t>
      </w:r>
      <w:bookmarkEnd w:id="1154"/>
    </w:p>
    <w:tbl>
      <w:tblPr>
        <w:tblStyle w:val="TableGrid"/>
        <w:tblW w:w="0" w:type="auto"/>
        <w:tblInd w:w="-5" w:type="dxa"/>
        <w:tblLook w:val="04A0" w:firstRow="1" w:lastRow="0" w:firstColumn="1" w:lastColumn="0" w:noHBand="0" w:noVBand="1"/>
      </w:tblPr>
      <w:tblGrid>
        <w:gridCol w:w="1843"/>
        <w:gridCol w:w="1985"/>
        <w:gridCol w:w="5453"/>
      </w:tblGrid>
      <w:tr w:rsidR="00584F5E" w:rsidRPr="00584F5E" w14:paraId="1CD3718C" w14:textId="77777777" w:rsidTr="00584F5E">
        <w:tc>
          <w:tcPr>
            <w:tcW w:w="1843" w:type="dxa"/>
          </w:tcPr>
          <w:p w14:paraId="73BD64C4" w14:textId="267753F3" w:rsidR="00584F5E" w:rsidRPr="00584F5E" w:rsidRDefault="00584F5E" w:rsidP="00561DBE">
            <w:pPr>
              <w:pStyle w:val="Tablefigurenote"/>
              <w:rPr>
                <w:rFonts w:cs="Arial"/>
                <w:b/>
                <w:bCs/>
                <w:i/>
                <w:iCs/>
                <w:sz w:val="18"/>
                <w:szCs w:val="18"/>
              </w:rPr>
            </w:pPr>
            <w:r w:rsidRPr="00584F5E">
              <w:rPr>
                <w:rFonts w:cs="Arial"/>
                <w:b/>
                <w:bCs/>
                <w:i/>
                <w:iCs/>
                <w:sz w:val="18"/>
                <w:szCs w:val="18"/>
              </w:rPr>
              <w:t>Start date</w:t>
            </w:r>
          </w:p>
        </w:tc>
        <w:tc>
          <w:tcPr>
            <w:tcW w:w="1985" w:type="dxa"/>
          </w:tcPr>
          <w:p w14:paraId="43CFAF49" w14:textId="294E58C5" w:rsidR="00584F5E" w:rsidRPr="00584F5E" w:rsidRDefault="00584F5E" w:rsidP="00561DBE">
            <w:pPr>
              <w:pStyle w:val="Tablefigurenote"/>
              <w:rPr>
                <w:rFonts w:cs="Arial"/>
                <w:b/>
                <w:bCs/>
                <w:i/>
                <w:iCs/>
                <w:sz w:val="18"/>
                <w:szCs w:val="18"/>
              </w:rPr>
            </w:pPr>
            <w:r w:rsidRPr="00584F5E">
              <w:rPr>
                <w:rFonts w:cs="Arial"/>
                <w:b/>
                <w:bCs/>
                <w:i/>
                <w:iCs/>
                <w:sz w:val="18"/>
                <w:szCs w:val="18"/>
              </w:rPr>
              <w:t>End date</w:t>
            </w:r>
          </w:p>
        </w:tc>
        <w:tc>
          <w:tcPr>
            <w:tcW w:w="5453" w:type="dxa"/>
          </w:tcPr>
          <w:p w14:paraId="11845592" w14:textId="7B61B409" w:rsidR="00584F5E" w:rsidRPr="00584F5E" w:rsidRDefault="00584F5E" w:rsidP="00561DBE">
            <w:pPr>
              <w:pStyle w:val="Tablefigurenote"/>
              <w:rPr>
                <w:rFonts w:cs="Arial"/>
                <w:b/>
                <w:bCs/>
                <w:i/>
                <w:iCs/>
                <w:sz w:val="18"/>
                <w:szCs w:val="18"/>
              </w:rPr>
            </w:pPr>
            <w:r w:rsidRPr="00584F5E">
              <w:rPr>
                <w:rFonts w:cs="Arial"/>
                <w:b/>
                <w:bCs/>
                <w:i/>
                <w:iCs/>
                <w:sz w:val="18"/>
                <w:szCs w:val="18"/>
              </w:rPr>
              <w:t>Ages invited</w:t>
            </w:r>
          </w:p>
        </w:tc>
      </w:tr>
      <w:tr w:rsidR="00584F5E" w:rsidRPr="00584F5E" w14:paraId="3072C4E9" w14:textId="77777777" w:rsidTr="00584F5E">
        <w:tc>
          <w:tcPr>
            <w:tcW w:w="1843" w:type="dxa"/>
          </w:tcPr>
          <w:p w14:paraId="76B7C17A" w14:textId="6613FB81" w:rsidR="00584F5E" w:rsidRPr="002570C6" w:rsidRDefault="00584F5E" w:rsidP="00584F5E">
            <w:pPr>
              <w:pStyle w:val="Tablefigurenote"/>
              <w:rPr>
                <w:rFonts w:cs="Arial"/>
                <w:i/>
                <w:iCs/>
                <w:sz w:val="18"/>
                <w:szCs w:val="18"/>
              </w:rPr>
            </w:pPr>
            <w:r w:rsidRPr="00584F5E">
              <w:rPr>
                <w:rFonts w:cs="Arial"/>
                <w:i/>
                <w:iCs/>
                <w:sz w:val="18"/>
                <w:szCs w:val="18"/>
              </w:rPr>
              <w:t>1 January 2015</w:t>
            </w:r>
          </w:p>
        </w:tc>
        <w:tc>
          <w:tcPr>
            <w:tcW w:w="1985" w:type="dxa"/>
          </w:tcPr>
          <w:p w14:paraId="02865950" w14:textId="27A46D84" w:rsidR="00584F5E" w:rsidRPr="002570C6" w:rsidRDefault="00584F5E" w:rsidP="00584F5E">
            <w:pPr>
              <w:pStyle w:val="Tablefigurenote"/>
              <w:rPr>
                <w:rFonts w:cs="Arial"/>
                <w:i/>
                <w:iCs/>
                <w:sz w:val="18"/>
                <w:szCs w:val="18"/>
              </w:rPr>
            </w:pPr>
            <w:r w:rsidRPr="00584F5E">
              <w:rPr>
                <w:rFonts w:cs="Arial"/>
                <w:i/>
                <w:iCs/>
                <w:sz w:val="18"/>
                <w:szCs w:val="18"/>
              </w:rPr>
              <w:t>31 December 2015</w:t>
            </w:r>
          </w:p>
        </w:tc>
        <w:tc>
          <w:tcPr>
            <w:tcW w:w="5453" w:type="dxa"/>
          </w:tcPr>
          <w:p w14:paraId="771D0C6E" w14:textId="6A0A18C6" w:rsidR="00584F5E" w:rsidRPr="002570C6" w:rsidRDefault="00584F5E" w:rsidP="00584F5E">
            <w:pPr>
              <w:pStyle w:val="Tablefigurenote"/>
              <w:rPr>
                <w:rFonts w:cs="Arial"/>
                <w:i/>
                <w:iCs/>
                <w:sz w:val="18"/>
                <w:szCs w:val="18"/>
              </w:rPr>
            </w:pPr>
            <w:r w:rsidRPr="00584F5E">
              <w:rPr>
                <w:rFonts w:cs="Arial"/>
                <w:i/>
                <w:iCs/>
                <w:sz w:val="18"/>
                <w:szCs w:val="18"/>
              </w:rPr>
              <w:t>50, 55, 60, 65, 70 and 74</w:t>
            </w:r>
          </w:p>
        </w:tc>
      </w:tr>
      <w:tr w:rsidR="00584F5E" w:rsidRPr="00584F5E" w14:paraId="3DA7F79C" w14:textId="77777777" w:rsidTr="00584F5E">
        <w:tc>
          <w:tcPr>
            <w:tcW w:w="1843" w:type="dxa"/>
          </w:tcPr>
          <w:p w14:paraId="3DF8ED3F" w14:textId="20654A22" w:rsidR="00584F5E" w:rsidRPr="002570C6" w:rsidRDefault="00584F5E" w:rsidP="00584F5E">
            <w:pPr>
              <w:pStyle w:val="Tablefigurenote"/>
              <w:rPr>
                <w:rFonts w:cs="Arial"/>
                <w:i/>
                <w:iCs/>
                <w:sz w:val="18"/>
                <w:szCs w:val="18"/>
              </w:rPr>
            </w:pPr>
            <w:r w:rsidRPr="00584F5E">
              <w:rPr>
                <w:rFonts w:cs="Arial"/>
                <w:i/>
                <w:iCs/>
                <w:sz w:val="18"/>
                <w:szCs w:val="18"/>
              </w:rPr>
              <w:t>1 January 2016</w:t>
            </w:r>
          </w:p>
        </w:tc>
        <w:tc>
          <w:tcPr>
            <w:tcW w:w="1985" w:type="dxa"/>
          </w:tcPr>
          <w:p w14:paraId="11B2521F" w14:textId="68D9CAE6" w:rsidR="00584F5E" w:rsidRPr="002570C6" w:rsidRDefault="00584F5E" w:rsidP="00584F5E">
            <w:pPr>
              <w:pStyle w:val="Tablefigurenote"/>
              <w:rPr>
                <w:rFonts w:cs="Arial"/>
                <w:i/>
                <w:iCs/>
                <w:sz w:val="18"/>
                <w:szCs w:val="18"/>
              </w:rPr>
            </w:pPr>
            <w:r w:rsidRPr="00584F5E">
              <w:rPr>
                <w:rFonts w:cs="Arial"/>
                <w:i/>
                <w:iCs/>
                <w:sz w:val="18"/>
                <w:szCs w:val="18"/>
              </w:rPr>
              <w:t>31 December 2016</w:t>
            </w:r>
          </w:p>
        </w:tc>
        <w:tc>
          <w:tcPr>
            <w:tcW w:w="5453" w:type="dxa"/>
          </w:tcPr>
          <w:p w14:paraId="010526A3" w14:textId="0649BD83" w:rsidR="00584F5E" w:rsidRPr="002570C6" w:rsidRDefault="00584F5E" w:rsidP="00584F5E">
            <w:pPr>
              <w:pStyle w:val="Tablefigurenote"/>
              <w:rPr>
                <w:rFonts w:cs="Arial"/>
                <w:i/>
                <w:iCs/>
                <w:sz w:val="18"/>
                <w:szCs w:val="18"/>
              </w:rPr>
            </w:pPr>
            <w:r w:rsidRPr="00584F5E">
              <w:rPr>
                <w:rFonts w:cs="Arial"/>
                <w:i/>
                <w:iCs/>
                <w:sz w:val="18"/>
                <w:szCs w:val="18"/>
              </w:rPr>
              <w:t>50, 55, 60, 64, 65, 70, 72 and 74</w:t>
            </w:r>
          </w:p>
        </w:tc>
      </w:tr>
      <w:tr w:rsidR="00584F5E" w:rsidRPr="00584F5E" w14:paraId="4AF3AA41" w14:textId="77777777" w:rsidTr="00584F5E">
        <w:tc>
          <w:tcPr>
            <w:tcW w:w="1843" w:type="dxa"/>
          </w:tcPr>
          <w:p w14:paraId="6FD2DE95" w14:textId="6F4CD2C5" w:rsidR="00584F5E" w:rsidRPr="002570C6" w:rsidRDefault="00584F5E" w:rsidP="00584F5E">
            <w:pPr>
              <w:pStyle w:val="Tablefigurenote"/>
              <w:rPr>
                <w:rFonts w:cs="Arial"/>
                <w:i/>
                <w:iCs/>
                <w:sz w:val="18"/>
                <w:szCs w:val="18"/>
              </w:rPr>
            </w:pPr>
            <w:r w:rsidRPr="00584F5E">
              <w:rPr>
                <w:rFonts w:cs="Arial"/>
                <w:i/>
                <w:iCs/>
                <w:sz w:val="18"/>
                <w:szCs w:val="18"/>
              </w:rPr>
              <w:t>1 January 2017</w:t>
            </w:r>
          </w:p>
        </w:tc>
        <w:tc>
          <w:tcPr>
            <w:tcW w:w="1985" w:type="dxa"/>
          </w:tcPr>
          <w:p w14:paraId="07B1E74E" w14:textId="713EB47E" w:rsidR="00584F5E" w:rsidRPr="002570C6" w:rsidRDefault="00584F5E" w:rsidP="00584F5E">
            <w:pPr>
              <w:pStyle w:val="Tablefigurenote"/>
              <w:rPr>
                <w:rFonts w:cs="Arial"/>
                <w:i/>
                <w:iCs/>
                <w:sz w:val="18"/>
                <w:szCs w:val="18"/>
              </w:rPr>
            </w:pPr>
            <w:r w:rsidRPr="00584F5E">
              <w:rPr>
                <w:rFonts w:cs="Arial"/>
                <w:i/>
                <w:iCs/>
                <w:sz w:val="18"/>
                <w:szCs w:val="18"/>
              </w:rPr>
              <w:t>31 December 2017</w:t>
            </w:r>
          </w:p>
        </w:tc>
        <w:tc>
          <w:tcPr>
            <w:tcW w:w="5453" w:type="dxa"/>
          </w:tcPr>
          <w:p w14:paraId="4F034179" w14:textId="0D9F3964" w:rsidR="00584F5E" w:rsidRPr="002570C6" w:rsidRDefault="00584F5E" w:rsidP="00584F5E">
            <w:pPr>
              <w:pStyle w:val="Tablefigurenote"/>
              <w:rPr>
                <w:rFonts w:cs="Arial"/>
                <w:i/>
                <w:iCs/>
                <w:sz w:val="18"/>
                <w:szCs w:val="18"/>
              </w:rPr>
            </w:pPr>
            <w:r w:rsidRPr="00584F5E">
              <w:rPr>
                <w:rFonts w:cs="Arial"/>
                <w:i/>
                <w:iCs/>
                <w:sz w:val="18"/>
                <w:szCs w:val="18"/>
              </w:rPr>
              <w:t>50, 54, 55, 58, 60, 64, 68, 70, 72 and 74</w:t>
            </w:r>
          </w:p>
        </w:tc>
      </w:tr>
      <w:tr w:rsidR="00584F5E" w:rsidRPr="00584F5E" w14:paraId="7B9231AE" w14:textId="77777777" w:rsidTr="00584F5E">
        <w:tc>
          <w:tcPr>
            <w:tcW w:w="1843" w:type="dxa"/>
          </w:tcPr>
          <w:p w14:paraId="00D75DA7" w14:textId="30696F4C" w:rsidR="00584F5E" w:rsidRPr="002570C6" w:rsidRDefault="00584F5E" w:rsidP="00584F5E">
            <w:pPr>
              <w:pStyle w:val="Tablefigurenote"/>
              <w:rPr>
                <w:rFonts w:cs="Arial"/>
                <w:i/>
                <w:iCs/>
                <w:sz w:val="18"/>
                <w:szCs w:val="18"/>
              </w:rPr>
            </w:pPr>
            <w:r w:rsidRPr="00584F5E">
              <w:rPr>
                <w:rFonts w:cs="Arial"/>
                <w:i/>
                <w:iCs/>
                <w:sz w:val="18"/>
                <w:szCs w:val="18"/>
              </w:rPr>
              <w:t>1 January 2018</w:t>
            </w:r>
          </w:p>
        </w:tc>
        <w:tc>
          <w:tcPr>
            <w:tcW w:w="1985" w:type="dxa"/>
          </w:tcPr>
          <w:p w14:paraId="61308192" w14:textId="57DF7267" w:rsidR="00584F5E" w:rsidRPr="002570C6" w:rsidRDefault="00584F5E" w:rsidP="00584F5E">
            <w:pPr>
              <w:pStyle w:val="Tablefigurenote"/>
              <w:rPr>
                <w:rFonts w:cs="Arial"/>
                <w:i/>
                <w:iCs/>
                <w:sz w:val="18"/>
                <w:szCs w:val="18"/>
              </w:rPr>
            </w:pPr>
            <w:r w:rsidRPr="00584F5E">
              <w:rPr>
                <w:rFonts w:cs="Arial"/>
                <w:i/>
                <w:iCs/>
                <w:sz w:val="18"/>
                <w:szCs w:val="18"/>
              </w:rPr>
              <w:t>31 December 2018</w:t>
            </w:r>
          </w:p>
        </w:tc>
        <w:tc>
          <w:tcPr>
            <w:tcW w:w="5453" w:type="dxa"/>
          </w:tcPr>
          <w:p w14:paraId="1CE796D5" w14:textId="3234B14F" w:rsidR="00584F5E" w:rsidRPr="002570C6" w:rsidRDefault="00584F5E" w:rsidP="00584F5E">
            <w:pPr>
              <w:pStyle w:val="Tablefigurenote"/>
              <w:rPr>
                <w:rFonts w:cs="Arial"/>
                <w:i/>
                <w:iCs/>
                <w:sz w:val="18"/>
                <w:szCs w:val="18"/>
              </w:rPr>
            </w:pPr>
            <w:r w:rsidRPr="00584F5E">
              <w:rPr>
                <w:rFonts w:cs="Arial"/>
                <w:i/>
                <w:iCs/>
                <w:sz w:val="18"/>
                <w:szCs w:val="18"/>
              </w:rPr>
              <w:t>50, 54, 58, 60, 62, 64, 66, 68, 70, 72 and 74</w:t>
            </w:r>
          </w:p>
        </w:tc>
      </w:tr>
      <w:tr w:rsidR="00584F5E" w:rsidRPr="00584F5E" w14:paraId="3316267D" w14:textId="77777777" w:rsidTr="00584F5E">
        <w:tc>
          <w:tcPr>
            <w:tcW w:w="1843" w:type="dxa"/>
          </w:tcPr>
          <w:p w14:paraId="16EA8AB1" w14:textId="36A0E078" w:rsidR="00584F5E" w:rsidRPr="002570C6" w:rsidRDefault="00584F5E" w:rsidP="00584F5E">
            <w:pPr>
              <w:pStyle w:val="Tablefigurenote"/>
              <w:rPr>
                <w:rFonts w:cs="Arial"/>
                <w:i/>
                <w:iCs/>
                <w:sz w:val="18"/>
                <w:szCs w:val="18"/>
              </w:rPr>
            </w:pPr>
            <w:r w:rsidRPr="00584F5E">
              <w:rPr>
                <w:rFonts w:cs="Arial"/>
                <w:i/>
                <w:iCs/>
                <w:sz w:val="18"/>
                <w:szCs w:val="18"/>
              </w:rPr>
              <w:t>1 January 2019</w:t>
            </w:r>
          </w:p>
        </w:tc>
        <w:tc>
          <w:tcPr>
            <w:tcW w:w="1985" w:type="dxa"/>
          </w:tcPr>
          <w:p w14:paraId="3ED76B49" w14:textId="54D027B8" w:rsidR="00584F5E" w:rsidRPr="002570C6" w:rsidRDefault="00584F5E" w:rsidP="00584F5E">
            <w:pPr>
              <w:pStyle w:val="Tablefigurenote"/>
              <w:rPr>
                <w:rFonts w:cs="Arial"/>
                <w:i/>
                <w:iCs/>
                <w:sz w:val="18"/>
                <w:szCs w:val="18"/>
              </w:rPr>
            </w:pPr>
            <w:r w:rsidRPr="00584F5E">
              <w:rPr>
                <w:rFonts w:cs="Arial"/>
                <w:i/>
                <w:iCs/>
                <w:sz w:val="18"/>
                <w:szCs w:val="18"/>
              </w:rPr>
              <w:t>ongoing</w:t>
            </w:r>
          </w:p>
        </w:tc>
        <w:tc>
          <w:tcPr>
            <w:tcW w:w="5453" w:type="dxa"/>
          </w:tcPr>
          <w:p w14:paraId="693BB831" w14:textId="5090ACA9" w:rsidR="00584F5E" w:rsidRPr="002570C6" w:rsidRDefault="00584F5E" w:rsidP="00584F5E">
            <w:pPr>
              <w:pStyle w:val="Tablefigurenote"/>
              <w:rPr>
                <w:rFonts w:cs="Arial"/>
                <w:i/>
                <w:iCs/>
                <w:sz w:val="18"/>
                <w:szCs w:val="18"/>
              </w:rPr>
            </w:pPr>
            <w:r w:rsidRPr="00584F5E">
              <w:rPr>
                <w:rFonts w:cs="Arial"/>
                <w:i/>
                <w:iCs/>
                <w:sz w:val="18"/>
                <w:szCs w:val="18"/>
              </w:rPr>
              <w:t>50, 52, 54, 56, 58, 60, 62, 64, 66, 68, 70, 72 and 74</w:t>
            </w:r>
          </w:p>
        </w:tc>
      </w:tr>
    </w:tbl>
    <w:p w14:paraId="5B539689" w14:textId="77777777" w:rsidR="00FD65F4" w:rsidRPr="00671C7A" w:rsidRDefault="00FD65F4" w:rsidP="007C7F00">
      <w:pPr>
        <w:pStyle w:val="Heading4"/>
      </w:pPr>
      <w:r>
        <w:lastRenderedPageBreak/>
        <w:t>Measure assessment</w:t>
      </w:r>
    </w:p>
    <w:p w14:paraId="205AFE56" w14:textId="77777777" w:rsidR="00352D84" w:rsidRPr="00061321" w:rsidRDefault="00FD65F4" w:rsidP="00606436">
      <w:pPr>
        <w:pStyle w:val="Body"/>
        <w:rPr>
          <w:color w:val="00B050"/>
        </w:rPr>
      </w:pPr>
      <w:r w:rsidRPr="008B23DA">
        <w:t>Traffic light rating:</w:t>
      </w:r>
      <w:r>
        <w:t xml:space="preserve"> </w:t>
      </w:r>
      <w:r w:rsidR="00352D84" w:rsidRPr="00D207B2">
        <w:rPr>
          <w:b/>
          <w:color w:val="007B4B"/>
        </w:rPr>
        <w:t>Green</w:t>
      </w:r>
      <w:r w:rsidR="00352D84">
        <w:t xml:space="preserve"> (satisfactory result)</w:t>
      </w:r>
    </w:p>
    <w:p w14:paraId="036D1ADB" w14:textId="11378B0E" w:rsidR="003B142E" w:rsidRPr="00B2651E" w:rsidRDefault="00FD65F4" w:rsidP="00606436">
      <w:pPr>
        <w:pStyle w:val="Body"/>
      </w:pPr>
      <w:r w:rsidRPr="008B23DA">
        <w:t>Overall trend:</w:t>
      </w:r>
      <w:r>
        <w:t xml:space="preserve"> </w:t>
      </w:r>
      <w:r w:rsidR="0056391A">
        <w:t>Moving in the right direction from baseline year</w:t>
      </w:r>
      <w:bookmarkEnd w:id="1117"/>
    </w:p>
    <w:p w14:paraId="117653BC" w14:textId="2EE95C71" w:rsidR="00600F98" w:rsidRPr="007D6BCA" w:rsidRDefault="00B2651E" w:rsidP="00E87AAA">
      <w:pPr>
        <w:pStyle w:val="Body"/>
      </w:pPr>
      <w:r w:rsidRPr="008D320F">
        <w:t xml:space="preserve">Commentary: While no target has been set for this measure, a high rescreen rate is important to increase the likelihood of </w:t>
      </w:r>
      <w:r w:rsidR="00520B59" w:rsidRPr="008D320F">
        <w:rPr>
          <w:rFonts w:cs="Arial"/>
          <w:lang w:val="en"/>
        </w:rPr>
        <w:t xml:space="preserve">CRCs </w:t>
      </w:r>
      <w:r w:rsidRPr="008D320F">
        <w:t xml:space="preserve">being detected early and treated successfully. It also </w:t>
      </w:r>
      <w:r w:rsidR="00A577A8" w:rsidRPr="008D320F">
        <w:t>shows</w:t>
      </w:r>
      <w:r w:rsidRPr="008D320F">
        <w:t xml:space="preserve"> the acceptability of the faecal occult blood test and the National Bowel Cancer Screening Program more broadly by </w:t>
      </w:r>
      <w:r w:rsidR="00520B59" w:rsidRPr="008D320F">
        <w:t>p</w:t>
      </w:r>
      <w:r w:rsidRPr="008D320F">
        <w:t>rogram participants.</w:t>
      </w:r>
      <w:r w:rsidR="00952FC7" w:rsidRPr="008D320F">
        <w:t xml:space="preserve"> </w:t>
      </w:r>
      <w:r w:rsidRPr="008D320F">
        <w:t>Figure 16.4 shows that since 2014</w:t>
      </w:r>
      <w:r w:rsidR="00CA6D80" w:rsidRPr="008D320F">
        <w:t>–</w:t>
      </w:r>
      <w:r w:rsidRPr="008D320F">
        <w:t>2015 the proportion of Victorian adults (50</w:t>
      </w:r>
      <w:r w:rsidR="00702BEF" w:rsidRPr="008D320F">
        <w:t>–</w:t>
      </w:r>
      <w:r w:rsidRPr="008D320F">
        <w:t>74 y</w:t>
      </w:r>
      <w:r w:rsidR="00E9274F" w:rsidRPr="008D320F">
        <w:t>ea</w:t>
      </w:r>
      <w:r w:rsidRPr="008D320F">
        <w:t xml:space="preserve">rs) who are rescreened via the National Bowel Cancer Screening Program is </w:t>
      </w:r>
      <w:r w:rsidR="00710423" w:rsidRPr="008D320F">
        <w:t xml:space="preserve">slowly </w:t>
      </w:r>
      <w:r w:rsidRPr="008D320F">
        <w:t>increasing and is higher than the national rate.</w:t>
      </w:r>
      <w:r w:rsidR="00952FC7" w:rsidRPr="008D320F">
        <w:t xml:space="preserve"> </w:t>
      </w:r>
      <w:r w:rsidRPr="008D320F">
        <w:t xml:space="preserve">It is anticipated that this trend will continue to improve as the program expands. </w:t>
      </w:r>
      <w:bookmarkEnd w:id="1146"/>
      <w:r w:rsidR="00600F98" w:rsidRPr="007D6BCA">
        <w:br w:type="page"/>
      </w:r>
    </w:p>
    <w:p w14:paraId="61C8E811" w14:textId="0402DB09" w:rsidR="00CC52BE" w:rsidRPr="007D6BCA" w:rsidRDefault="00CC52BE" w:rsidP="007D6BCA">
      <w:pPr>
        <w:pStyle w:val="Heading1"/>
        <w:rPr>
          <w:rFonts w:eastAsia="Times"/>
          <w:b/>
        </w:rPr>
      </w:pPr>
      <w:bookmarkStart w:id="1155" w:name="_Toc19008214"/>
      <w:bookmarkStart w:id="1156" w:name="_Toc140843428"/>
      <w:r w:rsidRPr="007D6BCA">
        <w:lastRenderedPageBreak/>
        <w:t>Outcome: I</w:t>
      </w:r>
      <w:r w:rsidR="007C04C7" w:rsidRPr="007D6BCA">
        <w:t>ntegrated research systems</w:t>
      </w:r>
      <w:bookmarkEnd w:id="1155"/>
      <w:bookmarkEnd w:id="1156"/>
    </w:p>
    <w:p w14:paraId="737BB4AE" w14:textId="23F46631" w:rsidR="00D36332" w:rsidRPr="00B91C4A" w:rsidRDefault="00537A4F" w:rsidP="006053E7">
      <w:pPr>
        <w:pStyle w:val="Heading2"/>
      </w:pPr>
      <w:bookmarkStart w:id="1157" w:name="_Toc19008215"/>
      <w:bookmarkStart w:id="1158" w:name="_Toc140843429"/>
      <w:r w:rsidRPr="00B91C4A">
        <w:t>Key result: Innovations and improved evidence of best practice</w:t>
      </w:r>
      <w:bookmarkEnd w:id="1157"/>
      <w:bookmarkEnd w:id="1158"/>
    </w:p>
    <w:p w14:paraId="6BCF759D" w14:textId="77777777" w:rsidR="00396706" w:rsidRPr="00DA60B4" w:rsidRDefault="00D36332" w:rsidP="00A451D4">
      <w:pPr>
        <w:pStyle w:val="Heading3"/>
        <w:rPr>
          <w:b/>
          <w:bCs w:val="0"/>
        </w:rPr>
      </w:pPr>
      <w:bookmarkStart w:id="1159" w:name="_Measure_17.1_–"/>
      <w:bookmarkStart w:id="1160" w:name="_Toc19008216"/>
      <w:bookmarkEnd w:id="1159"/>
      <w:r w:rsidRPr="76BE792E">
        <w:rPr>
          <w:b/>
        </w:rPr>
        <w:t>Measure 17.1 – Number of new enrolments in cancer intervention clinical trials</w:t>
      </w:r>
      <w:r w:rsidR="007A0509" w:rsidRPr="76BE792E">
        <w:rPr>
          <w:rStyle w:val="FootnoteReference"/>
          <w:b/>
          <w:lang w:eastAsia="en-AU"/>
        </w:rPr>
        <w:footnoteReference w:id="218"/>
      </w:r>
      <w:bookmarkEnd w:id="1160"/>
    </w:p>
    <w:p w14:paraId="567AC795" w14:textId="3C2918B0" w:rsidR="00B578CE" w:rsidRDefault="0046084D" w:rsidP="00901923">
      <w:pPr>
        <w:pStyle w:val="Figurecaption"/>
        <w:rPr>
          <w:sz w:val="20"/>
        </w:rPr>
      </w:pPr>
      <w:bookmarkStart w:id="1161" w:name="_Toc19008217"/>
      <w:bookmarkStart w:id="1162" w:name="_Toc19008390"/>
      <w:bookmarkStart w:id="1163" w:name="_Toc19008537"/>
      <w:bookmarkStart w:id="1164" w:name="_Toc19008684"/>
      <w:bookmarkStart w:id="1165" w:name="_Toc132553110"/>
      <w:bookmarkStart w:id="1166" w:name="_Toc140827727"/>
      <w:r w:rsidRPr="00772F6F">
        <w:rPr>
          <w:sz w:val="20"/>
        </w:rPr>
        <w:t>Figure 17.1</w:t>
      </w:r>
      <w:r w:rsidR="00C03D95" w:rsidRPr="00772F6F">
        <w:rPr>
          <w:sz w:val="20"/>
        </w:rPr>
        <w:t>:</w:t>
      </w:r>
      <w:r w:rsidRPr="00772F6F">
        <w:rPr>
          <w:sz w:val="20"/>
        </w:rPr>
        <w:t xml:space="preserve"> Number of </w:t>
      </w:r>
      <w:r w:rsidR="00F90409" w:rsidRPr="00772F6F">
        <w:rPr>
          <w:sz w:val="20"/>
        </w:rPr>
        <w:t>n</w:t>
      </w:r>
      <w:r w:rsidRPr="00772F6F">
        <w:rPr>
          <w:sz w:val="20"/>
        </w:rPr>
        <w:t>ew enrolments in cancer intervention clinical t</w:t>
      </w:r>
      <w:r w:rsidR="00B44B18" w:rsidRPr="00772F6F">
        <w:rPr>
          <w:sz w:val="20"/>
        </w:rPr>
        <w:t>rials</w:t>
      </w:r>
      <w:r w:rsidRPr="00772F6F">
        <w:rPr>
          <w:sz w:val="20"/>
        </w:rPr>
        <w:t xml:space="preserve"> </w:t>
      </w:r>
      <w:r w:rsidR="00436F7D" w:rsidRPr="00772F6F">
        <w:rPr>
          <w:sz w:val="20"/>
        </w:rPr>
        <w:t>in Victoria</w:t>
      </w:r>
      <w:r w:rsidR="00C42DBF" w:rsidRPr="00772F6F">
        <w:rPr>
          <w:sz w:val="20"/>
        </w:rPr>
        <w:t>,</w:t>
      </w:r>
      <w:r w:rsidR="00436F7D" w:rsidRPr="00772F6F">
        <w:rPr>
          <w:sz w:val="20"/>
        </w:rPr>
        <w:t xml:space="preserve"> </w:t>
      </w:r>
      <w:r w:rsidRPr="00772F6F">
        <w:rPr>
          <w:sz w:val="20"/>
        </w:rPr>
        <w:t>by year</w:t>
      </w:r>
      <w:r w:rsidR="00B44B18" w:rsidRPr="00772F6F">
        <w:rPr>
          <w:sz w:val="20"/>
        </w:rPr>
        <w:t>, 201</w:t>
      </w:r>
      <w:r w:rsidR="00A84239" w:rsidRPr="00772F6F">
        <w:rPr>
          <w:sz w:val="20"/>
        </w:rPr>
        <w:t>6</w:t>
      </w:r>
      <w:r w:rsidR="00702BEF" w:rsidRPr="00772F6F">
        <w:rPr>
          <w:sz w:val="20"/>
        </w:rPr>
        <w:t>–</w:t>
      </w:r>
      <w:r w:rsidR="00B44B18" w:rsidRPr="00772F6F">
        <w:rPr>
          <w:sz w:val="20"/>
        </w:rPr>
        <w:t>20</w:t>
      </w:r>
      <w:r w:rsidR="00DC41C7" w:rsidRPr="00772F6F">
        <w:rPr>
          <w:sz w:val="20"/>
        </w:rPr>
        <w:t>2</w:t>
      </w:r>
      <w:bookmarkEnd w:id="1161"/>
      <w:bookmarkEnd w:id="1162"/>
      <w:bookmarkEnd w:id="1163"/>
      <w:bookmarkEnd w:id="1164"/>
      <w:r w:rsidR="00B578CE" w:rsidRPr="00772F6F">
        <w:rPr>
          <w:sz w:val="20"/>
        </w:rPr>
        <w:t>1</w:t>
      </w:r>
      <w:bookmarkEnd w:id="1165"/>
      <w:bookmarkEnd w:id="1166"/>
    </w:p>
    <w:p w14:paraId="0FA4F321" w14:textId="194CF492" w:rsidR="00482DD3" w:rsidRPr="00482DD3" w:rsidRDefault="00482DD3" w:rsidP="00482DD3">
      <w:pPr>
        <w:pStyle w:val="DHHSbody"/>
      </w:pPr>
      <w:r w:rsidRPr="00482DD3">
        <w:rPr>
          <w:noProof/>
        </w:rPr>
        <w:drawing>
          <wp:inline distT="0" distB="0" distL="0" distR="0" wp14:anchorId="384F4567" wp14:editId="61A3155F">
            <wp:extent cx="6137048" cy="4194313"/>
            <wp:effectExtent l="0" t="0" r="0" b="0"/>
            <wp:docPr id="414" name="Picture 414" descr="This figure presents data via a bar graph showing the number of new enrolments in cancer interventions clinical trials in Victoria  from 2016 t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descr="This figure presents data via a bar graph showing the number of new enrolments in cancer interventions clinical trials in Victoria  from 2016 to 2021."/>
                    <pic:cNvPicPr/>
                  </pic:nvPicPr>
                  <pic:blipFill>
                    <a:blip r:embed="rId178"/>
                    <a:stretch>
                      <a:fillRect/>
                    </a:stretch>
                  </pic:blipFill>
                  <pic:spPr>
                    <a:xfrm>
                      <a:off x="0" y="0"/>
                      <a:ext cx="6160376" cy="4210256"/>
                    </a:xfrm>
                    <a:prstGeom prst="rect">
                      <a:avLst/>
                    </a:prstGeom>
                  </pic:spPr>
                </pic:pic>
              </a:graphicData>
            </a:graphic>
          </wp:inline>
        </w:drawing>
      </w:r>
    </w:p>
    <w:p w14:paraId="37EF461D" w14:textId="430F99FF" w:rsidR="00B578CE" w:rsidRPr="00B578CE" w:rsidRDefault="00B578CE" w:rsidP="00E87AAA">
      <w:pPr>
        <w:pStyle w:val="Body"/>
      </w:pPr>
    </w:p>
    <w:p w14:paraId="7DBF8FBA" w14:textId="04A7F40C" w:rsidR="002426D7" w:rsidRPr="00772F6F" w:rsidRDefault="002426D7" w:rsidP="002426D7">
      <w:pPr>
        <w:pStyle w:val="Tablefigurenote"/>
        <w:rPr>
          <w:i/>
          <w:iCs/>
          <w:sz w:val="18"/>
          <w:szCs w:val="18"/>
        </w:rPr>
      </w:pPr>
      <w:r w:rsidRPr="00772F6F">
        <w:rPr>
          <w:i/>
          <w:iCs/>
          <w:sz w:val="18"/>
          <w:szCs w:val="18"/>
        </w:rPr>
        <w:t>Source: Annual Cancer Trials Management Scheme data</w:t>
      </w:r>
    </w:p>
    <w:p w14:paraId="3B513DD2" w14:textId="5852CE34" w:rsidR="00D176AC" w:rsidRPr="00772F6F" w:rsidRDefault="00A64D33" w:rsidP="00F50756">
      <w:pPr>
        <w:pStyle w:val="Tablefigurenote"/>
        <w:rPr>
          <w:i/>
          <w:iCs/>
          <w:sz w:val="18"/>
          <w:szCs w:val="18"/>
        </w:rPr>
      </w:pPr>
      <w:r w:rsidRPr="00772F6F">
        <w:rPr>
          <w:i/>
          <w:iCs/>
          <w:sz w:val="18"/>
          <w:szCs w:val="18"/>
        </w:rPr>
        <w:t>Note</w:t>
      </w:r>
      <w:r w:rsidR="007A1856" w:rsidRPr="00772F6F">
        <w:rPr>
          <w:i/>
          <w:iCs/>
          <w:sz w:val="18"/>
          <w:szCs w:val="18"/>
        </w:rPr>
        <w:t>s</w:t>
      </w:r>
      <w:r w:rsidR="00D176AC" w:rsidRPr="00772F6F">
        <w:rPr>
          <w:i/>
          <w:iCs/>
          <w:sz w:val="18"/>
          <w:szCs w:val="18"/>
        </w:rPr>
        <w:t>:</w:t>
      </w:r>
    </w:p>
    <w:p w14:paraId="6873C4B9" w14:textId="6A4ED0CF" w:rsidR="001D0FB8" w:rsidRPr="00772F6F" w:rsidRDefault="001D0FB8" w:rsidP="00F505A5">
      <w:pPr>
        <w:pStyle w:val="Tablefigurenote"/>
        <w:rPr>
          <w:i/>
          <w:iCs/>
          <w:sz w:val="18"/>
          <w:szCs w:val="18"/>
        </w:rPr>
      </w:pPr>
      <w:r w:rsidRPr="00772F6F">
        <w:rPr>
          <w:i/>
          <w:iCs/>
          <w:sz w:val="18"/>
          <w:szCs w:val="18"/>
        </w:rPr>
        <w:t xml:space="preserve">This analysis reports trials with a </w:t>
      </w:r>
      <w:r w:rsidR="00B41603" w:rsidRPr="00772F6F">
        <w:rPr>
          <w:i/>
          <w:iCs/>
          <w:sz w:val="18"/>
          <w:szCs w:val="18"/>
        </w:rPr>
        <w:t>‘</w:t>
      </w:r>
      <w:r w:rsidR="000D6900" w:rsidRPr="00772F6F">
        <w:rPr>
          <w:i/>
          <w:iCs/>
          <w:sz w:val="18"/>
          <w:szCs w:val="18"/>
        </w:rPr>
        <w:t>t</w:t>
      </w:r>
      <w:r w:rsidRPr="00772F6F">
        <w:rPr>
          <w:i/>
          <w:iCs/>
          <w:sz w:val="18"/>
          <w:szCs w:val="18"/>
        </w:rPr>
        <w:t>reatment</w:t>
      </w:r>
      <w:r w:rsidR="00B41603" w:rsidRPr="00772F6F">
        <w:rPr>
          <w:i/>
          <w:iCs/>
          <w:sz w:val="18"/>
          <w:szCs w:val="18"/>
        </w:rPr>
        <w:t>’</w:t>
      </w:r>
      <w:r w:rsidRPr="00772F6F">
        <w:rPr>
          <w:i/>
          <w:iCs/>
          <w:sz w:val="18"/>
          <w:szCs w:val="18"/>
        </w:rPr>
        <w:t xml:space="preserve"> Common Scientific Outline</w:t>
      </w:r>
      <w:r w:rsidR="000435CB" w:rsidRPr="00772F6F">
        <w:rPr>
          <w:i/>
          <w:iCs/>
          <w:sz w:val="18"/>
          <w:szCs w:val="18"/>
        </w:rPr>
        <w:t xml:space="preserve">, </w:t>
      </w:r>
      <w:r w:rsidRPr="00772F6F">
        <w:rPr>
          <w:i/>
          <w:iCs/>
          <w:sz w:val="18"/>
          <w:szCs w:val="18"/>
        </w:rPr>
        <w:t>defined as a clinical</w:t>
      </w:r>
      <w:r w:rsidR="00BE11C4" w:rsidRPr="00772F6F">
        <w:rPr>
          <w:i/>
          <w:iCs/>
          <w:sz w:val="18"/>
          <w:szCs w:val="18"/>
        </w:rPr>
        <w:t xml:space="preserve"> </w:t>
      </w:r>
      <w:r w:rsidRPr="00772F6F">
        <w:rPr>
          <w:i/>
          <w:iCs/>
          <w:sz w:val="18"/>
          <w:szCs w:val="18"/>
        </w:rPr>
        <w:t>trial according to World Health Organization criteria.</w:t>
      </w:r>
    </w:p>
    <w:p w14:paraId="3E55202B" w14:textId="51519FB6" w:rsidR="006D2C78" w:rsidRPr="00C832AD" w:rsidRDefault="00A64D33" w:rsidP="00C832AD">
      <w:pPr>
        <w:pStyle w:val="Tablefigurenote"/>
      </w:pPr>
      <w:r w:rsidRPr="00772F6F">
        <w:rPr>
          <w:i/>
          <w:iCs/>
          <w:sz w:val="18"/>
          <w:szCs w:val="18"/>
        </w:rPr>
        <w:t>Interstate patients have been included in the number of new enrolments in cancer intervention clinical trials.</w:t>
      </w:r>
      <w:r w:rsidR="002C46BC" w:rsidRPr="00772F6F">
        <w:rPr>
          <w:i/>
          <w:iCs/>
          <w:sz w:val="18"/>
          <w:szCs w:val="18"/>
        </w:rPr>
        <w:t xml:space="preserve"> Number of reporting sites = 37.</w:t>
      </w:r>
      <w:r w:rsidR="006D2C78">
        <w:br w:type="page"/>
      </w:r>
    </w:p>
    <w:p w14:paraId="23511995" w14:textId="4877C6B6" w:rsidR="00E921FB" w:rsidRDefault="00E921FB" w:rsidP="008D320F">
      <w:pPr>
        <w:pStyle w:val="Figurecaption"/>
        <w:rPr>
          <w:sz w:val="20"/>
        </w:rPr>
      </w:pPr>
      <w:bookmarkStart w:id="1167" w:name="_Toc19008218"/>
      <w:bookmarkStart w:id="1168" w:name="_Toc19008391"/>
      <w:bookmarkStart w:id="1169" w:name="_Toc19008538"/>
      <w:bookmarkStart w:id="1170" w:name="_Toc19008685"/>
      <w:bookmarkStart w:id="1171" w:name="_Toc132553111"/>
      <w:bookmarkStart w:id="1172" w:name="_Toc140827728"/>
      <w:r w:rsidRPr="00772F6F">
        <w:rPr>
          <w:sz w:val="20"/>
        </w:rPr>
        <w:lastRenderedPageBreak/>
        <w:t>Figure 17.1.2</w:t>
      </w:r>
      <w:r w:rsidR="006048DC" w:rsidRPr="00772F6F">
        <w:rPr>
          <w:sz w:val="20"/>
        </w:rPr>
        <w:t>:</w:t>
      </w:r>
      <w:r w:rsidRPr="00772F6F">
        <w:rPr>
          <w:sz w:val="20"/>
        </w:rPr>
        <w:t xml:space="preserve"> Proportion of new enrolments in cancer intervention clinical trials in Victoria stratified by tumour stream, by year</w:t>
      </w:r>
      <w:r w:rsidR="002426D7" w:rsidRPr="00772F6F">
        <w:rPr>
          <w:sz w:val="20"/>
        </w:rPr>
        <w:t>,</w:t>
      </w:r>
      <w:r w:rsidRPr="00772F6F">
        <w:rPr>
          <w:sz w:val="20"/>
        </w:rPr>
        <w:t xml:space="preserve"> 201</w:t>
      </w:r>
      <w:r w:rsidR="00A84239" w:rsidRPr="00772F6F">
        <w:rPr>
          <w:sz w:val="20"/>
        </w:rPr>
        <w:t>6</w:t>
      </w:r>
      <w:r w:rsidR="00702BEF" w:rsidRPr="00772F6F">
        <w:rPr>
          <w:sz w:val="20"/>
        </w:rPr>
        <w:t>–</w:t>
      </w:r>
      <w:r w:rsidRPr="00772F6F">
        <w:rPr>
          <w:sz w:val="20"/>
        </w:rPr>
        <w:t>20</w:t>
      </w:r>
      <w:r w:rsidR="00456B29" w:rsidRPr="00772F6F">
        <w:rPr>
          <w:sz w:val="20"/>
        </w:rPr>
        <w:t>2</w:t>
      </w:r>
      <w:bookmarkEnd w:id="1167"/>
      <w:bookmarkEnd w:id="1168"/>
      <w:bookmarkEnd w:id="1169"/>
      <w:bookmarkEnd w:id="1170"/>
      <w:r w:rsidR="00D00F98" w:rsidRPr="00772F6F">
        <w:rPr>
          <w:sz w:val="20"/>
        </w:rPr>
        <w:t>1</w:t>
      </w:r>
      <w:bookmarkEnd w:id="1171"/>
      <w:bookmarkEnd w:id="1172"/>
    </w:p>
    <w:p w14:paraId="6648AD34" w14:textId="63EA4870" w:rsidR="00E921FB" w:rsidRPr="00C659FF" w:rsidRDefault="00482DD3" w:rsidP="0055111B">
      <w:pPr>
        <w:pStyle w:val="DHHSbody"/>
      </w:pPr>
      <w:r w:rsidRPr="00482DD3">
        <w:rPr>
          <w:noProof/>
        </w:rPr>
        <w:drawing>
          <wp:inline distT="0" distB="0" distL="0" distR="0" wp14:anchorId="133D0BCE" wp14:editId="08B92A3C">
            <wp:extent cx="6284595" cy="3816626"/>
            <wp:effectExtent l="0" t="0" r="1905" b="0"/>
            <wp:docPr id="415" name="Picture 415" descr="This figure shows the proportion of new of new enrolments in cancer intervention clinical trials in Victoria stratified by tumour stream, by year, 2016–2021. The data set is available under 'Measure 17.1 – Number of new enrolments in cancer intervention clinical trials'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15" descr="This figure shows the proportion of new of new enrolments in cancer intervention clinical trials in Victoria stratified by tumour stream, by year, 2016–2021. The data set is available under 'Measure 17.1 – Number of new enrolments in cancer intervention clinical trials' in a separate volume, the Victorian cancer plan monitoring and evaluation framework: baseline report: Appendix 2: Datasets available on Cancer care &lt;https://www.health.vic.gov.au/health-strategies/cancer-care&gt;."/>
                    <pic:cNvPicPr/>
                  </pic:nvPicPr>
                  <pic:blipFill>
                    <a:blip r:embed="rId179"/>
                    <a:stretch>
                      <a:fillRect/>
                    </a:stretch>
                  </pic:blipFill>
                  <pic:spPr>
                    <a:xfrm>
                      <a:off x="0" y="0"/>
                      <a:ext cx="6307121" cy="3830306"/>
                    </a:xfrm>
                    <a:prstGeom prst="rect">
                      <a:avLst/>
                    </a:prstGeom>
                  </pic:spPr>
                </pic:pic>
              </a:graphicData>
            </a:graphic>
          </wp:inline>
        </w:drawing>
      </w:r>
    </w:p>
    <w:p w14:paraId="2943757E" w14:textId="3132CC12" w:rsidR="00B648F7" w:rsidRPr="00772F6F" w:rsidRDefault="00B648F7" w:rsidP="00561DBE">
      <w:pPr>
        <w:pStyle w:val="Tablefigurenote"/>
        <w:rPr>
          <w:i/>
          <w:iCs/>
          <w:sz w:val="18"/>
          <w:szCs w:val="18"/>
        </w:rPr>
      </w:pPr>
      <w:r w:rsidRPr="00772F6F">
        <w:rPr>
          <w:i/>
          <w:iCs/>
          <w:sz w:val="18"/>
          <w:szCs w:val="18"/>
        </w:rPr>
        <w:t>Note: Appendix 2 provides the dataset.</w:t>
      </w:r>
    </w:p>
    <w:p w14:paraId="1D053154" w14:textId="7D9DC960" w:rsidR="00396706" w:rsidRPr="00671C7A" w:rsidRDefault="00396706" w:rsidP="007C7F00">
      <w:pPr>
        <w:pStyle w:val="Heading4"/>
      </w:pPr>
      <w:r w:rsidRPr="009028AD">
        <w:t>Measure assessment</w:t>
      </w:r>
    </w:p>
    <w:p w14:paraId="6B421856" w14:textId="3D456DEB" w:rsidR="00396706" w:rsidRPr="00F55FED" w:rsidRDefault="00396706" w:rsidP="00606436">
      <w:pPr>
        <w:pStyle w:val="Body"/>
        <w:rPr>
          <w:color w:val="00B050"/>
        </w:rPr>
      </w:pPr>
      <w:r>
        <w:t xml:space="preserve">Traffic light rating: </w:t>
      </w:r>
      <w:r w:rsidR="00F55FED" w:rsidRPr="00D207B2">
        <w:rPr>
          <w:b/>
          <w:color w:val="007B4B"/>
        </w:rPr>
        <w:t>Green</w:t>
      </w:r>
      <w:r w:rsidR="00F55FED">
        <w:t xml:space="preserve"> (satisfactory result)</w:t>
      </w:r>
    </w:p>
    <w:p w14:paraId="61AC9D9E" w14:textId="310BDBE2" w:rsidR="00396706" w:rsidRDefault="00396706" w:rsidP="00606436">
      <w:pPr>
        <w:pStyle w:val="Body"/>
      </w:pPr>
      <w:r>
        <w:t>Overall trend: Moving in the right direction</w:t>
      </w:r>
    </w:p>
    <w:p w14:paraId="7E608DBF" w14:textId="49241026" w:rsidR="00C92DEE" w:rsidRDefault="00396706" w:rsidP="00E87AAA">
      <w:pPr>
        <w:pStyle w:val="Body"/>
      </w:pPr>
      <w:r w:rsidRPr="00E81DB4">
        <w:rPr>
          <w:rFonts w:cs="Arial"/>
          <w:lang w:eastAsia="en-AU"/>
        </w:rPr>
        <w:t>Commentary:</w:t>
      </w:r>
      <w:r w:rsidR="0080230F" w:rsidRPr="00E81DB4">
        <w:rPr>
          <w:rFonts w:cs="Arial"/>
          <w:lang w:eastAsia="en-AU"/>
        </w:rPr>
        <w:t xml:space="preserve"> </w:t>
      </w:r>
      <w:r w:rsidR="00FC19B4">
        <w:t xml:space="preserve">Clinical trials are an important </w:t>
      </w:r>
      <w:r w:rsidR="00C42DBF">
        <w:t xml:space="preserve">part </w:t>
      </w:r>
      <w:r w:rsidR="00FC19B4">
        <w:t xml:space="preserve">of translational cancer research and are </w:t>
      </w:r>
      <w:r w:rsidR="00364AEA">
        <w:t>essential</w:t>
      </w:r>
      <w:r w:rsidR="00FC19B4">
        <w:t xml:space="preserve"> for advancing cancer breakthroughs by testing </w:t>
      </w:r>
      <w:r w:rsidR="000D6900">
        <w:t xml:space="preserve">the </w:t>
      </w:r>
      <w:r w:rsidR="00FC19B4">
        <w:t xml:space="preserve">latest treatments, drugs and medical devices that can deliver better patient outcomes and save lives. </w:t>
      </w:r>
      <w:r w:rsidR="00E62544">
        <w:t>Recruit</w:t>
      </w:r>
      <w:r w:rsidR="000D6900">
        <w:t>ing</w:t>
      </w:r>
      <w:r w:rsidR="00E62544">
        <w:t xml:space="preserve"> patients into cancer clinical trials is an important measurement to determine the proportion of patients being treated in clinical trials compared </w:t>
      </w:r>
      <w:r w:rsidR="001B50BF">
        <w:t xml:space="preserve">with </w:t>
      </w:r>
      <w:r w:rsidR="00E62544">
        <w:t xml:space="preserve">those who are not. However, direct comparison of recruitment activity occurring in Victoria compared </w:t>
      </w:r>
      <w:r w:rsidR="001B50BF">
        <w:t xml:space="preserve">with </w:t>
      </w:r>
      <w:r w:rsidR="00E62544">
        <w:t xml:space="preserve">the rest of Australia is currently not possible </w:t>
      </w:r>
      <w:r w:rsidR="000D6900">
        <w:t xml:space="preserve">because </w:t>
      </w:r>
      <w:r w:rsidR="00E62544">
        <w:t>very few other jurisdictions collect recruitment and trial activity data</w:t>
      </w:r>
      <w:r w:rsidR="00D72ED7">
        <w:t>.</w:t>
      </w:r>
      <w:r w:rsidR="00EE0C43" w:rsidRPr="00EE0C43">
        <w:t xml:space="preserve"> </w:t>
      </w:r>
      <w:r w:rsidR="00D72ED7">
        <w:t>F</w:t>
      </w:r>
      <w:r w:rsidR="00EE0C43">
        <w:t>or the jurisdictions that do collect th</w:t>
      </w:r>
      <w:r w:rsidR="00754958">
        <w:t>ese</w:t>
      </w:r>
      <w:r w:rsidR="00EE0C43">
        <w:t xml:space="preserve"> data, the definitions, </w:t>
      </w:r>
      <w:r w:rsidR="00FA4514">
        <w:t>systems</w:t>
      </w:r>
      <w:r w:rsidR="00EE0C43">
        <w:t xml:space="preserve"> and investments being used to measure clinical trial activity are different </w:t>
      </w:r>
      <w:r w:rsidR="00D72ED7">
        <w:t xml:space="preserve">from </w:t>
      </w:r>
      <w:r w:rsidR="00EE0C43">
        <w:t>Victoria</w:t>
      </w:r>
      <w:r w:rsidR="00E62544">
        <w:t>.</w:t>
      </w:r>
      <w:r w:rsidR="007536EA">
        <w:t xml:space="preserve"> </w:t>
      </w:r>
    </w:p>
    <w:p w14:paraId="0CEB02A5" w14:textId="413949FB" w:rsidR="00D428A0" w:rsidRDefault="00CB0E5F" w:rsidP="00E87AAA">
      <w:pPr>
        <w:pStyle w:val="Body"/>
      </w:pPr>
      <w:r>
        <w:t>Figure 17.1 shows that</w:t>
      </w:r>
      <w:r w:rsidR="000D6900">
        <w:t>,</w:t>
      </w:r>
      <w:r>
        <w:t xml:space="preserve"> overall</w:t>
      </w:r>
      <w:r w:rsidR="000D6900">
        <w:t>,</w:t>
      </w:r>
      <w:r>
        <w:t xml:space="preserve"> the number of new enro</w:t>
      </w:r>
      <w:r w:rsidR="00C17FCC">
        <w:t>lments in cancer between 2014 and 20</w:t>
      </w:r>
      <w:r w:rsidR="00915A2E">
        <w:t>2</w:t>
      </w:r>
      <w:r w:rsidR="00CA75AA">
        <w:t>1</w:t>
      </w:r>
      <w:r w:rsidR="00C17FCC">
        <w:t xml:space="preserve"> </w:t>
      </w:r>
      <w:r w:rsidR="00915A2E">
        <w:t>has fluctuated</w:t>
      </w:r>
      <w:r w:rsidR="00D428A0">
        <w:t xml:space="preserve">. </w:t>
      </w:r>
      <w:r w:rsidR="00915A2E">
        <w:t xml:space="preserve">The decline between 2019 and 2020 is most likely the result of clinical trials being impacted by the COVID-19 pandemic. </w:t>
      </w:r>
      <w:r w:rsidR="00D428A0">
        <w:t>This trend remains consistent</w:t>
      </w:r>
      <w:r w:rsidR="000D6900">
        <w:t>,</w:t>
      </w:r>
      <w:r w:rsidR="00D428A0">
        <w:t xml:space="preserve"> even when examined by metropolitan and rural populations (Table 17.1</w:t>
      </w:r>
      <w:r w:rsidR="00C90B70">
        <w:t>, Appendix 2</w:t>
      </w:r>
      <w:r w:rsidR="00D428A0">
        <w:t>).</w:t>
      </w:r>
      <w:r w:rsidR="00E921FB">
        <w:t xml:space="preserve"> </w:t>
      </w:r>
      <w:r w:rsidR="00D428A0">
        <w:t xml:space="preserve">Despite this, the proportion of rural patients entering clinical trials, relative to metropolitan patients, has </w:t>
      </w:r>
      <w:r w:rsidR="00E00F84">
        <w:t xml:space="preserve">gradually </w:t>
      </w:r>
      <w:r w:rsidR="00D428A0">
        <w:t>increased over time</w:t>
      </w:r>
      <w:r w:rsidR="00E921FB">
        <w:t>, reaching 2</w:t>
      </w:r>
      <w:r w:rsidR="00E00F84">
        <w:t>1</w:t>
      </w:r>
      <w:r w:rsidR="00E921FB">
        <w:t>.</w:t>
      </w:r>
      <w:r w:rsidR="00E00F84">
        <w:t>1</w:t>
      </w:r>
      <w:r w:rsidR="0054537F">
        <w:t>%</w:t>
      </w:r>
      <w:r w:rsidR="00E921FB">
        <w:t xml:space="preserve"> in 20</w:t>
      </w:r>
      <w:r w:rsidR="00E00F84">
        <w:t>21</w:t>
      </w:r>
      <w:r w:rsidR="00E921FB">
        <w:t>.</w:t>
      </w:r>
    </w:p>
    <w:p w14:paraId="5C0BC74B" w14:textId="3C7156A0" w:rsidR="00C92DEE" w:rsidRDefault="00647CC9" w:rsidP="00E87AAA">
      <w:pPr>
        <w:pStyle w:val="Body"/>
      </w:pPr>
      <w:r>
        <w:t>Overall</w:t>
      </w:r>
      <w:r w:rsidR="00D865F9">
        <w:t>,</w:t>
      </w:r>
      <w:r>
        <w:t xml:space="preserve"> the number of patients enrolled in clinical trials at sites within metropolitan ICS was higher than the number of patients enrolled in rural and regional ICS (Table 17.1</w:t>
      </w:r>
      <w:r w:rsidR="00C90B70">
        <w:t>, Appendix 2</w:t>
      </w:r>
      <w:r>
        <w:t>)</w:t>
      </w:r>
      <w:r w:rsidR="009B0B6A">
        <w:t xml:space="preserve">. </w:t>
      </w:r>
      <w:r w:rsidR="00B344F2">
        <w:t>WCMICS reported t</w:t>
      </w:r>
      <w:r>
        <w:t xml:space="preserve">he highest number </w:t>
      </w:r>
      <w:r w:rsidR="009B0B6A">
        <w:t>of new enrolments, record</w:t>
      </w:r>
      <w:r w:rsidR="00B344F2">
        <w:t>ing</w:t>
      </w:r>
      <w:r w:rsidR="009B0B6A">
        <w:t xml:space="preserve"> </w:t>
      </w:r>
      <w:r w:rsidR="00E00F84">
        <w:t>4</w:t>
      </w:r>
      <w:r w:rsidR="009B0B6A">
        <w:t>,</w:t>
      </w:r>
      <w:r w:rsidR="00E00F84">
        <w:t>161</w:t>
      </w:r>
      <w:r w:rsidR="002943D9">
        <w:t xml:space="preserve"> between 201</w:t>
      </w:r>
      <w:r w:rsidR="00F55FED">
        <w:t>6</w:t>
      </w:r>
      <w:r w:rsidR="002943D9">
        <w:t xml:space="preserve"> and 20</w:t>
      </w:r>
      <w:r w:rsidR="00F55FED">
        <w:t>2</w:t>
      </w:r>
      <w:r w:rsidR="00E00F84">
        <w:t>1</w:t>
      </w:r>
      <w:r w:rsidR="002943D9">
        <w:t>. LMICS had the lowest number of new enrolments (</w:t>
      </w:r>
      <w:r w:rsidR="00F55FED">
        <w:t>1</w:t>
      </w:r>
      <w:r w:rsidR="00E00F84">
        <w:t>34</w:t>
      </w:r>
      <w:r w:rsidR="002943D9">
        <w:t>) over th</w:t>
      </w:r>
      <w:r w:rsidR="00E00F84">
        <w:t>e six</w:t>
      </w:r>
      <w:r w:rsidR="002943D9">
        <w:t>-year period.</w:t>
      </w:r>
      <w:r w:rsidR="00952FC7">
        <w:t xml:space="preserve"> </w:t>
      </w:r>
      <w:r w:rsidR="002943D9">
        <w:t xml:space="preserve">On the other </w:t>
      </w:r>
      <w:r w:rsidR="007D12C2">
        <w:t>hand,</w:t>
      </w:r>
      <w:r w:rsidR="002943D9">
        <w:t xml:space="preserve"> GRICS </w:t>
      </w:r>
      <w:r w:rsidR="00E55D99">
        <w:t xml:space="preserve">reported no clinical trial activity </w:t>
      </w:r>
      <w:r w:rsidR="00F55FED">
        <w:t>during</w:t>
      </w:r>
      <w:r w:rsidR="00E55D99">
        <w:t xml:space="preserve"> the analysis period.</w:t>
      </w:r>
    </w:p>
    <w:p w14:paraId="565E4055" w14:textId="4DD7E89E" w:rsidR="007370A0" w:rsidRDefault="00E34768" w:rsidP="00E87AAA">
      <w:pPr>
        <w:pStyle w:val="Body"/>
        <w:rPr>
          <w:lang w:eastAsia="en-AU"/>
        </w:rPr>
      </w:pPr>
      <w:r>
        <w:lastRenderedPageBreak/>
        <w:t>Blood cancer trials consistently recruited the highest number of new enrolments in each reporting period</w:t>
      </w:r>
      <w:r w:rsidR="000D6900">
        <w:t>,</w:t>
      </w:r>
      <w:r w:rsidR="00880F2E">
        <w:t xml:space="preserve"> with 2,</w:t>
      </w:r>
      <w:r w:rsidR="00BE1EF6">
        <w:t>988</w:t>
      </w:r>
      <w:r>
        <w:t>.</w:t>
      </w:r>
      <w:r w:rsidR="00952FC7">
        <w:t xml:space="preserve"> </w:t>
      </w:r>
      <w:r>
        <w:t xml:space="preserve">This was followed by </w:t>
      </w:r>
      <w:r w:rsidR="00DD135A">
        <w:rPr>
          <w:rFonts w:cs="Arial"/>
        </w:rPr>
        <w:t>multiple</w:t>
      </w:r>
      <w:r w:rsidR="00880F2E">
        <w:rPr>
          <w:rFonts w:cs="Arial"/>
        </w:rPr>
        <w:t xml:space="preserve"> (</w:t>
      </w:r>
      <w:r w:rsidR="00AB6E99">
        <w:rPr>
          <w:rFonts w:cs="Arial"/>
        </w:rPr>
        <w:t>1</w:t>
      </w:r>
      <w:r w:rsidR="00BE1EF6">
        <w:rPr>
          <w:rFonts w:cs="Arial"/>
        </w:rPr>
        <w:t>,607</w:t>
      </w:r>
      <w:r w:rsidR="00880F2E">
        <w:rPr>
          <w:rFonts w:cs="Arial"/>
        </w:rPr>
        <w:t>)</w:t>
      </w:r>
      <w:r w:rsidR="000D478B">
        <w:rPr>
          <w:rFonts w:cs="Arial"/>
        </w:rPr>
        <w:t xml:space="preserve"> </w:t>
      </w:r>
      <w:r w:rsidR="00AB6E99">
        <w:rPr>
          <w:rFonts w:cs="Arial"/>
        </w:rPr>
        <w:t xml:space="preserve">and breast </w:t>
      </w:r>
      <w:r w:rsidR="000D478B">
        <w:rPr>
          <w:rFonts w:cs="Arial"/>
        </w:rPr>
        <w:t>cancers</w:t>
      </w:r>
      <w:r w:rsidR="00217F9B">
        <w:rPr>
          <w:rFonts w:cs="Arial"/>
        </w:rPr>
        <w:t xml:space="preserve"> (1</w:t>
      </w:r>
      <w:r w:rsidR="00BE1EF6">
        <w:rPr>
          <w:rFonts w:cs="Arial"/>
        </w:rPr>
        <w:t>,297</w:t>
      </w:r>
      <w:r w:rsidR="00217F9B">
        <w:rPr>
          <w:rFonts w:cs="Arial"/>
        </w:rPr>
        <w:t>)</w:t>
      </w:r>
      <w:r w:rsidR="004C6AEF">
        <w:rPr>
          <w:rFonts w:cs="Arial"/>
        </w:rPr>
        <w:t>.</w:t>
      </w:r>
      <w:r w:rsidR="00DD135A" w:rsidRPr="005763F8">
        <w:rPr>
          <w:lang w:eastAsia="en-AU"/>
        </w:rPr>
        <w:t xml:space="preserve"> </w:t>
      </w:r>
      <w:r w:rsidR="007370A0">
        <w:rPr>
          <w:lang w:eastAsia="en-AU"/>
        </w:rPr>
        <w:t xml:space="preserve">People with </w:t>
      </w:r>
      <w:r w:rsidR="00BE1EF6">
        <w:rPr>
          <w:lang w:eastAsia="en-AU"/>
        </w:rPr>
        <w:t xml:space="preserve">unknown primary </w:t>
      </w:r>
      <w:r w:rsidR="007370A0">
        <w:rPr>
          <w:lang w:eastAsia="en-AU"/>
        </w:rPr>
        <w:t xml:space="preserve">cancers </w:t>
      </w:r>
      <w:r w:rsidR="00BE1EF6">
        <w:rPr>
          <w:lang w:eastAsia="en-AU"/>
        </w:rPr>
        <w:t xml:space="preserve">or uncommon cancers </w:t>
      </w:r>
      <w:r w:rsidR="007370A0">
        <w:rPr>
          <w:lang w:eastAsia="en-AU"/>
        </w:rPr>
        <w:t xml:space="preserve">such as sarcoma were the least likely to enrol in a clinical </w:t>
      </w:r>
      <w:r w:rsidR="00314350">
        <w:rPr>
          <w:lang w:eastAsia="en-AU"/>
        </w:rPr>
        <w:t xml:space="preserve">trial </w:t>
      </w:r>
      <w:r w:rsidR="007370A0">
        <w:rPr>
          <w:lang w:eastAsia="en-AU"/>
        </w:rPr>
        <w:t>for each reporting period.</w:t>
      </w:r>
      <w:r w:rsidR="00952FC7">
        <w:rPr>
          <w:lang w:eastAsia="en-AU"/>
        </w:rPr>
        <w:t xml:space="preserve"> </w:t>
      </w:r>
      <w:r w:rsidR="007370A0">
        <w:rPr>
          <w:lang w:eastAsia="en-AU"/>
        </w:rPr>
        <w:t>For example, in 20</w:t>
      </w:r>
      <w:r w:rsidR="00BE1EF6">
        <w:rPr>
          <w:lang w:eastAsia="en-AU"/>
        </w:rPr>
        <w:t>21</w:t>
      </w:r>
      <w:r w:rsidR="00E62F2B">
        <w:rPr>
          <w:lang w:eastAsia="en-AU"/>
        </w:rPr>
        <w:t>,</w:t>
      </w:r>
      <w:r w:rsidR="00764363">
        <w:rPr>
          <w:lang w:eastAsia="en-AU"/>
        </w:rPr>
        <w:t xml:space="preserve"> only </w:t>
      </w:r>
      <w:r w:rsidR="00BE1EF6">
        <w:rPr>
          <w:lang w:eastAsia="en-AU"/>
        </w:rPr>
        <w:t>0</w:t>
      </w:r>
      <w:r w:rsidR="00764363">
        <w:rPr>
          <w:lang w:eastAsia="en-AU"/>
        </w:rPr>
        <w:t>.</w:t>
      </w:r>
      <w:r w:rsidR="00BE1EF6">
        <w:rPr>
          <w:lang w:eastAsia="en-AU"/>
        </w:rPr>
        <w:t>5</w:t>
      </w:r>
      <w:r w:rsidR="0054537F">
        <w:rPr>
          <w:lang w:eastAsia="en-AU"/>
        </w:rPr>
        <w:t>%</w:t>
      </w:r>
      <w:r w:rsidR="00764363">
        <w:rPr>
          <w:lang w:eastAsia="en-AU"/>
        </w:rPr>
        <w:t xml:space="preserve"> of patients enrolled in a clinical trial</w:t>
      </w:r>
      <w:r w:rsidR="002C3DA3">
        <w:rPr>
          <w:lang w:eastAsia="en-AU"/>
        </w:rPr>
        <w:t xml:space="preserve"> specific to sarcoma</w:t>
      </w:r>
      <w:r w:rsidR="00764363">
        <w:rPr>
          <w:lang w:eastAsia="en-AU"/>
        </w:rPr>
        <w:t xml:space="preserve"> (Figure 17.1.2).</w:t>
      </w:r>
    </w:p>
    <w:p w14:paraId="6E58A916" w14:textId="21316241" w:rsidR="0092202A" w:rsidRDefault="000C6F0C" w:rsidP="00E87AAA">
      <w:pPr>
        <w:pStyle w:val="Body"/>
        <w:rPr>
          <w:lang w:val="en"/>
        </w:rPr>
      </w:pPr>
      <w:r>
        <w:t>No target has been set for this measure</w:t>
      </w:r>
      <w:r w:rsidR="00362517">
        <w:t>, but</w:t>
      </w:r>
      <w:r w:rsidR="0055351E">
        <w:t xml:space="preserve"> research has shown that public education on the true value of clinical research and the reality of </w:t>
      </w:r>
      <w:r w:rsidR="00FA0D7E">
        <w:t>taking part</w:t>
      </w:r>
      <w:r w:rsidR="0055351E">
        <w:t xml:space="preserve"> in a clinical trial is needed.</w:t>
      </w:r>
      <w:r w:rsidR="00952FC7">
        <w:t xml:space="preserve"> </w:t>
      </w:r>
      <w:r w:rsidR="0055351E">
        <w:t xml:space="preserve">Involving </w:t>
      </w:r>
      <w:r w:rsidR="0055351E">
        <w:rPr>
          <w:lang w:val="en"/>
        </w:rPr>
        <w:t xml:space="preserve">trained patient advocates at each step of the clinical research process, even in preclinical phases, could </w:t>
      </w:r>
      <w:r w:rsidR="00FA0D7E">
        <w:rPr>
          <w:lang w:val="en"/>
        </w:rPr>
        <w:t xml:space="preserve">offer </w:t>
      </w:r>
      <w:r w:rsidR="0055351E">
        <w:rPr>
          <w:lang w:val="en"/>
        </w:rPr>
        <w:t>significant benefit in helping to design informative trials, as well as</w:t>
      </w:r>
      <w:r w:rsidR="00E62F2B">
        <w:rPr>
          <w:lang w:val="en"/>
        </w:rPr>
        <w:t xml:space="preserve"> in</w:t>
      </w:r>
      <w:r w:rsidR="0055351E">
        <w:rPr>
          <w:lang w:val="en"/>
        </w:rPr>
        <w:t xml:space="preserve"> recruit</w:t>
      </w:r>
      <w:r w:rsidR="00E62F2B">
        <w:rPr>
          <w:lang w:val="en"/>
        </w:rPr>
        <w:t>ing</w:t>
      </w:r>
      <w:r w:rsidR="0055351E">
        <w:rPr>
          <w:lang w:val="en"/>
        </w:rPr>
        <w:t xml:space="preserve"> patients to participate</w:t>
      </w:r>
      <w:r w:rsidR="00362517">
        <w:rPr>
          <w:lang w:val="en"/>
        </w:rPr>
        <w:t>.</w:t>
      </w:r>
      <w:r w:rsidR="0055351E">
        <w:rPr>
          <w:rStyle w:val="FootnoteReference"/>
          <w:lang w:val="en"/>
        </w:rPr>
        <w:footnoteReference w:id="219"/>
      </w:r>
      <w:r w:rsidR="0092202A">
        <w:rPr>
          <w:lang w:val="en"/>
        </w:rPr>
        <w:br w:type="page"/>
      </w:r>
    </w:p>
    <w:p w14:paraId="1100F500" w14:textId="09EB393B" w:rsidR="00396706" w:rsidRPr="00023AF1" w:rsidRDefault="00D36332" w:rsidP="00A451D4">
      <w:pPr>
        <w:pStyle w:val="Heading3"/>
        <w:rPr>
          <w:b/>
          <w:bCs w:val="0"/>
        </w:rPr>
      </w:pPr>
      <w:bookmarkStart w:id="1173" w:name="_Measure_17.2_–"/>
      <w:bookmarkEnd w:id="1173"/>
      <w:r w:rsidRPr="00023AF1">
        <w:rPr>
          <w:b/>
          <w:bCs w:val="0"/>
        </w:rPr>
        <w:lastRenderedPageBreak/>
        <w:t xml:space="preserve">Measure 17.2 – </w:t>
      </w:r>
      <w:r w:rsidR="0040490E" w:rsidRPr="00023AF1">
        <w:rPr>
          <w:b/>
          <w:bCs w:val="0"/>
        </w:rPr>
        <w:t>Number of recruiting cancer intervention clinical trials</w:t>
      </w:r>
      <w:r w:rsidR="00377BFC" w:rsidRPr="00023AF1">
        <w:rPr>
          <w:b/>
          <w:bCs w:val="0"/>
        </w:rPr>
        <w:t xml:space="preserve"> </w:t>
      </w:r>
    </w:p>
    <w:p w14:paraId="2D5CA9EB" w14:textId="482CA48F" w:rsidR="00E60DAD" w:rsidRDefault="00B44B18" w:rsidP="00A1334E">
      <w:pPr>
        <w:pStyle w:val="Figurecaption"/>
        <w:rPr>
          <w:sz w:val="20"/>
        </w:rPr>
      </w:pPr>
      <w:bookmarkStart w:id="1174" w:name="_Toc19008219"/>
      <w:bookmarkStart w:id="1175" w:name="_Toc19008392"/>
      <w:bookmarkStart w:id="1176" w:name="_Toc19008539"/>
      <w:bookmarkStart w:id="1177" w:name="_Toc19008686"/>
      <w:bookmarkStart w:id="1178" w:name="_Toc132553112"/>
      <w:bookmarkStart w:id="1179" w:name="_Toc140827729"/>
      <w:r w:rsidRPr="00772F6F">
        <w:rPr>
          <w:sz w:val="20"/>
        </w:rPr>
        <w:t>Figure 17.2</w:t>
      </w:r>
      <w:r w:rsidR="006048DC" w:rsidRPr="00772F6F">
        <w:rPr>
          <w:sz w:val="20"/>
        </w:rPr>
        <w:t>:</w:t>
      </w:r>
      <w:r w:rsidRPr="00772F6F">
        <w:rPr>
          <w:sz w:val="20"/>
        </w:rPr>
        <w:t xml:space="preserve"> Number of </w:t>
      </w:r>
      <w:r w:rsidR="00F90409" w:rsidRPr="00772F6F">
        <w:rPr>
          <w:sz w:val="20"/>
        </w:rPr>
        <w:t>r</w:t>
      </w:r>
      <w:r w:rsidRPr="00772F6F">
        <w:rPr>
          <w:sz w:val="20"/>
        </w:rPr>
        <w:t xml:space="preserve">ecruiting </w:t>
      </w:r>
      <w:r w:rsidR="00F90409" w:rsidRPr="00772F6F">
        <w:rPr>
          <w:sz w:val="20"/>
        </w:rPr>
        <w:t>c</w:t>
      </w:r>
      <w:r w:rsidRPr="00772F6F">
        <w:rPr>
          <w:sz w:val="20"/>
        </w:rPr>
        <w:t xml:space="preserve">ancer </w:t>
      </w:r>
      <w:r w:rsidR="00F90409" w:rsidRPr="00772F6F">
        <w:rPr>
          <w:sz w:val="20"/>
        </w:rPr>
        <w:t>i</w:t>
      </w:r>
      <w:r w:rsidRPr="00772F6F">
        <w:rPr>
          <w:sz w:val="20"/>
        </w:rPr>
        <w:t xml:space="preserve">ntervention </w:t>
      </w:r>
      <w:r w:rsidR="00F90409" w:rsidRPr="00772F6F">
        <w:rPr>
          <w:sz w:val="20"/>
        </w:rPr>
        <w:t>c</w:t>
      </w:r>
      <w:r w:rsidRPr="00772F6F">
        <w:rPr>
          <w:sz w:val="20"/>
        </w:rPr>
        <w:t xml:space="preserve">linical </w:t>
      </w:r>
      <w:r w:rsidR="00F90409" w:rsidRPr="00772F6F">
        <w:rPr>
          <w:sz w:val="20"/>
        </w:rPr>
        <w:t>t</w:t>
      </w:r>
      <w:r w:rsidRPr="00772F6F">
        <w:rPr>
          <w:sz w:val="20"/>
        </w:rPr>
        <w:t>rials</w:t>
      </w:r>
      <w:r w:rsidR="001E151A" w:rsidRPr="00772F6F">
        <w:rPr>
          <w:sz w:val="20"/>
        </w:rPr>
        <w:t xml:space="preserve"> in Victoria</w:t>
      </w:r>
      <w:r w:rsidR="002426D7" w:rsidRPr="00772F6F">
        <w:rPr>
          <w:sz w:val="20"/>
        </w:rPr>
        <w:t>,</w:t>
      </w:r>
      <w:r w:rsidR="001E151A" w:rsidRPr="00772F6F">
        <w:rPr>
          <w:sz w:val="20"/>
        </w:rPr>
        <w:t xml:space="preserve"> by year, </w:t>
      </w:r>
      <w:r w:rsidR="00FA0D7E" w:rsidRPr="00772F6F">
        <w:rPr>
          <w:sz w:val="20"/>
        </w:rPr>
        <w:br/>
      </w:r>
      <w:r w:rsidR="001E151A" w:rsidRPr="00772F6F">
        <w:rPr>
          <w:sz w:val="20"/>
        </w:rPr>
        <w:t>201</w:t>
      </w:r>
      <w:r w:rsidR="009F6697" w:rsidRPr="00772F6F">
        <w:rPr>
          <w:sz w:val="20"/>
        </w:rPr>
        <w:t>6</w:t>
      </w:r>
      <w:r w:rsidR="00702BEF" w:rsidRPr="00772F6F">
        <w:rPr>
          <w:sz w:val="20"/>
        </w:rPr>
        <w:t>–</w:t>
      </w:r>
      <w:r w:rsidR="001E151A" w:rsidRPr="00772F6F">
        <w:rPr>
          <w:sz w:val="20"/>
        </w:rPr>
        <w:t>20</w:t>
      </w:r>
      <w:bookmarkEnd w:id="1174"/>
      <w:bookmarkEnd w:id="1175"/>
      <w:bookmarkEnd w:id="1176"/>
      <w:bookmarkEnd w:id="1177"/>
      <w:r w:rsidR="009F6697" w:rsidRPr="00772F6F">
        <w:rPr>
          <w:sz w:val="20"/>
        </w:rPr>
        <w:t>2</w:t>
      </w:r>
      <w:r w:rsidR="00772BD9" w:rsidRPr="00772F6F">
        <w:rPr>
          <w:sz w:val="20"/>
        </w:rPr>
        <w:t>1</w:t>
      </w:r>
      <w:bookmarkEnd w:id="1178"/>
      <w:bookmarkEnd w:id="1179"/>
    </w:p>
    <w:p w14:paraId="73B1ED9E" w14:textId="4885EF14" w:rsidR="00482DD3" w:rsidRPr="00482DD3" w:rsidRDefault="00482DD3" w:rsidP="00482DD3">
      <w:pPr>
        <w:pStyle w:val="DHHSbody"/>
      </w:pPr>
      <w:r w:rsidRPr="00482DD3">
        <w:rPr>
          <w:noProof/>
        </w:rPr>
        <w:drawing>
          <wp:inline distT="0" distB="0" distL="0" distR="0" wp14:anchorId="5531C115" wp14:editId="551A246E">
            <wp:extent cx="5705061" cy="2913623"/>
            <wp:effectExtent l="0" t="0" r="0" b="1270"/>
            <wp:docPr id="383" name="Picture 383" descr="This figure presents data via a bar graph showing the number of recruiting in cancer interventions clinical trials in Victoria from 2016 t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descr="This figure presents data via a bar graph showing the number of recruiting in cancer interventions clinical trials in Victoria from 2016 to 2021."/>
                    <pic:cNvPicPr/>
                  </pic:nvPicPr>
                  <pic:blipFill>
                    <a:blip r:embed="rId180"/>
                    <a:stretch>
                      <a:fillRect/>
                    </a:stretch>
                  </pic:blipFill>
                  <pic:spPr>
                    <a:xfrm>
                      <a:off x="0" y="0"/>
                      <a:ext cx="5722830" cy="2922698"/>
                    </a:xfrm>
                    <a:prstGeom prst="rect">
                      <a:avLst/>
                    </a:prstGeom>
                  </pic:spPr>
                </pic:pic>
              </a:graphicData>
            </a:graphic>
          </wp:inline>
        </w:drawing>
      </w:r>
    </w:p>
    <w:p w14:paraId="23CABAF4" w14:textId="3BB9CFB6" w:rsidR="00402917" w:rsidRPr="00E53B36" w:rsidRDefault="00402917" w:rsidP="00E53B36">
      <w:pPr>
        <w:pStyle w:val="Body"/>
      </w:pPr>
      <w:r w:rsidRPr="00772F6F">
        <w:rPr>
          <w:i/>
          <w:iCs/>
          <w:sz w:val="18"/>
          <w:szCs w:val="18"/>
        </w:rPr>
        <w:t>Source: Annual Cancer Trials Management Scheme data</w:t>
      </w:r>
    </w:p>
    <w:p w14:paraId="0A58BE3E" w14:textId="7932D530" w:rsidR="00E62F2B" w:rsidRPr="00772F6F" w:rsidRDefault="001768D5" w:rsidP="00F505A5">
      <w:pPr>
        <w:pStyle w:val="Tablefigurenote"/>
        <w:rPr>
          <w:i/>
          <w:iCs/>
          <w:sz w:val="18"/>
          <w:szCs w:val="18"/>
        </w:rPr>
      </w:pPr>
      <w:r w:rsidRPr="00772F6F">
        <w:rPr>
          <w:bCs/>
          <w:i/>
          <w:iCs/>
          <w:sz w:val="18"/>
          <w:szCs w:val="18"/>
          <w:lang w:eastAsia="en-AU"/>
        </w:rPr>
        <w:t>Note:</w:t>
      </w:r>
      <w:r w:rsidR="00F505A5" w:rsidRPr="00772F6F">
        <w:rPr>
          <w:bCs/>
          <w:i/>
          <w:iCs/>
          <w:sz w:val="18"/>
          <w:szCs w:val="18"/>
          <w:lang w:eastAsia="en-AU"/>
        </w:rPr>
        <w:t xml:space="preserve"> </w:t>
      </w:r>
      <w:r w:rsidRPr="00772F6F">
        <w:rPr>
          <w:i/>
          <w:iCs/>
          <w:sz w:val="18"/>
          <w:szCs w:val="18"/>
        </w:rPr>
        <w:t xml:space="preserve">This analysis reports trials with a </w:t>
      </w:r>
      <w:r w:rsidR="002426D7" w:rsidRPr="00772F6F">
        <w:rPr>
          <w:i/>
          <w:iCs/>
          <w:sz w:val="18"/>
          <w:szCs w:val="18"/>
        </w:rPr>
        <w:t>‘</w:t>
      </w:r>
      <w:r w:rsidR="000D6900" w:rsidRPr="00772F6F">
        <w:rPr>
          <w:i/>
          <w:iCs/>
          <w:sz w:val="18"/>
          <w:szCs w:val="18"/>
        </w:rPr>
        <w:t>t</w:t>
      </w:r>
      <w:r w:rsidRPr="00772F6F">
        <w:rPr>
          <w:i/>
          <w:iCs/>
          <w:sz w:val="18"/>
          <w:szCs w:val="18"/>
        </w:rPr>
        <w:t>reatment</w:t>
      </w:r>
      <w:r w:rsidR="002426D7" w:rsidRPr="00772F6F">
        <w:rPr>
          <w:i/>
          <w:iCs/>
          <w:sz w:val="18"/>
          <w:szCs w:val="18"/>
        </w:rPr>
        <w:t>’</w:t>
      </w:r>
      <w:r w:rsidRPr="00772F6F">
        <w:rPr>
          <w:i/>
          <w:iCs/>
          <w:sz w:val="18"/>
          <w:szCs w:val="18"/>
        </w:rPr>
        <w:t xml:space="preserve"> Common Scientific Outline</w:t>
      </w:r>
      <w:r w:rsidR="000435CB" w:rsidRPr="00772F6F">
        <w:rPr>
          <w:i/>
          <w:iCs/>
          <w:sz w:val="18"/>
          <w:szCs w:val="18"/>
        </w:rPr>
        <w:t>,</w:t>
      </w:r>
      <w:r w:rsidRPr="00772F6F">
        <w:rPr>
          <w:i/>
          <w:iCs/>
          <w:sz w:val="18"/>
          <w:szCs w:val="18"/>
        </w:rPr>
        <w:t xml:space="preserve"> defined as a clinical trial according to World Health Organization criteria.</w:t>
      </w:r>
    </w:p>
    <w:p w14:paraId="7723DE9A" w14:textId="66F46022" w:rsidR="00956CC3" w:rsidRDefault="007564D9" w:rsidP="009E2EE3">
      <w:pPr>
        <w:pStyle w:val="Figurecaption"/>
        <w:rPr>
          <w:rStyle w:val="Heading3Char"/>
        </w:rPr>
      </w:pPr>
      <w:bookmarkStart w:id="1180" w:name="_Toc132553113"/>
      <w:bookmarkStart w:id="1181" w:name="_Toc140827730"/>
      <w:r w:rsidRPr="002E0FDC">
        <w:t>Figure 17.2.1</w:t>
      </w:r>
      <w:r w:rsidR="006048DC">
        <w:t>:</w:t>
      </w:r>
      <w:r w:rsidRPr="002E0FDC">
        <w:t xml:space="preserve"> Proportion of </w:t>
      </w:r>
      <w:bookmarkStart w:id="1182" w:name="_Hlk139548038"/>
      <w:r w:rsidR="002E0FDC" w:rsidRPr="002E0FDC">
        <w:t>recruiting cancer intervention clinical trials in Victoria, stratified by tumour stream</w:t>
      </w:r>
      <w:r w:rsidR="00E041E5">
        <w:t>,</w:t>
      </w:r>
      <w:r w:rsidR="002E0FDC" w:rsidRPr="002E0FDC">
        <w:t xml:space="preserve"> by year, 201</w:t>
      </w:r>
      <w:r w:rsidR="00435030">
        <w:t>6</w:t>
      </w:r>
      <w:r w:rsidR="00702BEF">
        <w:t>–</w:t>
      </w:r>
      <w:r w:rsidR="002E0FDC" w:rsidRPr="002E0FDC">
        <w:t>20</w:t>
      </w:r>
      <w:r w:rsidR="00435030">
        <w:t>21</w:t>
      </w:r>
      <w:bookmarkEnd w:id="1180"/>
      <w:bookmarkEnd w:id="1181"/>
      <w:r w:rsidR="009F6697" w:rsidRPr="00A451D4">
        <w:rPr>
          <w:rStyle w:val="Heading3Char"/>
        </w:rPr>
        <w:t xml:space="preserve"> </w:t>
      </w:r>
      <w:bookmarkEnd w:id="1182"/>
    </w:p>
    <w:p w14:paraId="5866A2EF" w14:textId="78A7104B" w:rsidR="00E53B36" w:rsidRPr="00E53B36" w:rsidRDefault="00482DD3" w:rsidP="00E53B36">
      <w:pPr>
        <w:pStyle w:val="DHHSbody"/>
      </w:pPr>
      <w:r w:rsidRPr="00482DD3">
        <w:rPr>
          <w:noProof/>
        </w:rPr>
        <w:drawing>
          <wp:inline distT="0" distB="0" distL="0" distR="0" wp14:anchorId="5A1BC6B8" wp14:editId="623B37E9">
            <wp:extent cx="6301409" cy="3232541"/>
            <wp:effectExtent l="0" t="0" r="4445" b="6350"/>
            <wp:docPr id="413" name="Picture 413" descr="This figure shows the proportion of new of recruiting cancer intervention (clinical trials) in Victoria stratified by tumour stream, by year, 2016–2021. The data set is available under 'Measure 17.2 – Number of recruiting cancer intervention clinical trials' in a separate volume, the Victorian cancer plan monitoring and evaluation framework: baseline report: Appendix 2: Datasets available on Cancer care &lt;https://www.health.vic.gov.au/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413" descr="This figure shows the proportion of new of recruiting cancer intervention (clinical trials) in Victoria stratified by tumour stream, by year, 2016–2021. The data set is available under 'Measure 17.2 – Number of recruiting cancer intervention clinical trials' in a separate volume, the Victorian cancer plan monitoring and evaluation framework: baseline report: Appendix 2: Datasets available on Cancer care &lt;https://www.health.vic.gov.au/health-strategies/cancer-care&gt;."/>
                    <pic:cNvPicPr/>
                  </pic:nvPicPr>
                  <pic:blipFill>
                    <a:blip r:embed="rId181"/>
                    <a:stretch>
                      <a:fillRect/>
                    </a:stretch>
                  </pic:blipFill>
                  <pic:spPr>
                    <a:xfrm>
                      <a:off x="0" y="0"/>
                      <a:ext cx="6343540" cy="3254154"/>
                    </a:xfrm>
                    <a:prstGeom prst="rect">
                      <a:avLst/>
                    </a:prstGeom>
                  </pic:spPr>
                </pic:pic>
              </a:graphicData>
            </a:graphic>
          </wp:inline>
        </w:drawing>
      </w:r>
    </w:p>
    <w:p w14:paraId="01EDAC53" w14:textId="2C20E1BC" w:rsidR="00E53B36" w:rsidRDefault="005E19C8" w:rsidP="00E53B36">
      <w:pPr>
        <w:pStyle w:val="DHHStablefigurenote"/>
      </w:pPr>
      <w:r w:rsidRPr="00772F6F">
        <w:rPr>
          <w:iCs/>
          <w:szCs w:val="18"/>
        </w:rPr>
        <w:t xml:space="preserve">Note: </w:t>
      </w:r>
      <w:r w:rsidR="00E53B36">
        <w:t>T</w:t>
      </w:r>
      <w:r w:rsidR="00E53B36" w:rsidRPr="00975B40">
        <w:t>his measure is limited to research specific to intervention clinical trials only.</w:t>
      </w:r>
      <w:r w:rsidR="00E53B36">
        <w:t xml:space="preserve"> </w:t>
      </w:r>
      <w:r w:rsidR="00E53B36" w:rsidRPr="00975B40">
        <w:t>It does not include research relating to prevention, screening, supportive care or to basic science research not involving humans.</w:t>
      </w:r>
    </w:p>
    <w:p w14:paraId="088A0FF3" w14:textId="15F89918" w:rsidR="00AC41FE" w:rsidRPr="00E53B36" w:rsidRDefault="005E19C8" w:rsidP="00E53B36">
      <w:pPr>
        <w:pStyle w:val="DHHSbody"/>
      </w:pPr>
      <w:r w:rsidRPr="00772F6F">
        <w:rPr>
          <w:i/>
          <w:iCs/>
          <w:sz w:val="18"/>
          <w:szCs w:val="18"/>
        </w:rPr>
        <w:t>Appendix 2 provides the dataset</w:t>
      </w:r>
    </w:p>
    <w:p w14:paraId="2B548325" w14:textId="6E0E9FDC" w:rsidR="00396706" w:rsidRPr="00671C7A" w:rsidRDefault="00396706" w:rsidP="007C7F00">
      <w:pPr>
        <w:pStyle w:val="Heading4"/>
      </w:pPr>
      <w:r>
        <w:lastRenderedPageBreak/>
        <w:t>Measure assessment</w:t>
      </w:r>
    </w:p>
    <w:p w14:paraId="6437E1E7" w14:textId="7D41115E" w:rsidR="00396706" w:rsidRPr="00061321" w:rsidRDefault="00396706" w:rsidP="00606436">
      <w:pPr>
        <w:pStyle w:val="Body"/>
        <w:rPr>
          <w:color w:val="00B050"/>
        </w:rPr>
      </w:pPr>
      <w:r>
        <w:t xml:space="preserve">Traffic light rating: </w:t>
      </w:r>
      <w:r w:rsidRPr="00D207B2">
        <w:rPr>
          <w:b/>
          <w:color w:val="007B4B"/>
        </w:rPr>
        <w:t>Green</w:t>
      </w:r>
      <w:r w:rsidR="00061321">
        <w:t xml:space="preserve"> (satisfactory result)</w:t>
      </w:r>
    </w:p>
    <w:p w14:paraId="4EE2555A" w14:textId="77777777" w:rsidR="00396706" w:rsidRPr="00CA59E0" w:rsidRDefault="00396706" w:rsidP="00606436">
      <w:pPr>
        <w:pStyle w:val="Body"/>
      </w:pPr>
      <w:r w:rsidRPr="00CA59E0">
        <w:t>Overall trend: Moving in the right direction</w:t>
      </w:r>
    </w:p>
    <w:p w14:paraId="765955C9" w14:textId="37E6B7A3" w:rsidR="00BD7B52" w:rsidRDefault="008D5224" w:rsidP="00606436">
      <w:pPr>
        <w:pStyle w:val="Body"/>
      </w:pPr>
      <w:r w:rsidRPr="00CA59E0">
        <w:t xml:space="preserve">Commentary: </w:t>
      </w:r>
      <w:r w:rsidR="00FF539B" w:rsidRPr="00CA59E0">
        <w:rPr>
          <w:rStyle w:val="Emphasis"/>
          <w:rFonts w:cs="Arial"/>
          <w:b w:val="0"/>
        </w:rPr>
        <w:t>Clinical trials</w:t>
      </w:r>
      <w:r w:rsidR="00FF539B" w:rsidRPr="00CA59E0">
        <w:rPr>
          <w:rStyle w:val="st1"/>
          <w:rFonts w:cs="Arial"/>
        </w:rPr>
        <w:t xml:space="preserve"> are studies that explore the impact of new or existing approaches to health care. </w:t>
      </w:r>
      <w:r w:rsidR="00FF539B" w:rsidRPr="00CA59E0">
        <w:rPr>
          <w:lang w:val="en-GB"/>
        </w:rPr>
        <w:t>Such trials are voluntary, are governed by strict rules and ethics</w:t>
      </w:r>
      <w:r w:rsidR="00E62F2B">
        <w:rPr>
          <w:lang w:val="en-GB"/>
        </w:rPr>
        <w:t>,</w:t>
      </w:r>
      <w:r w:rsidR="00FF539B" w:rsidRPr="00CA59E0">
        <w:rPr>
          <w:lang w:val="en-GB"/>
        </w:rPr>
        <w:t xml:space="preserve"> and are an important way to improve treatment for people with cancer</w:t>
      </w:r>
      <w:r w:rsidR="00E62F2B">
        <w:rPr>
          <w:lang w:val="en-GB"/>
        </w:rPr>
        <w:t>. They are</w:t>
      </w:r>
      <w:r w:rsidR="00FF539B" w:rsidRPr="00CA59E0">
        <w:rPr>
          <w:lang w:val="en-GB"/>
        </w:rPr>
        <w:t xml:space="preserve"> the only way to thoroughly evaluate the effects of a clinical intervention</w:t>
      </w:r>
      <w:r w:rsidR="005301DF" w:rsidRPr="00CA59E0">
        <w:rPr>
          <w:lang w:val="en-GB"/>
        </w:rPr>
        <w:t>.</w:t>
      </w:r>
      <w:r w:rsidR="00867E55" w:rsidRPr="00CA59E0">
        <w:t xml:space="preserve"> </w:t>
      </w:r>
      <w:r w:rsidR="00E00DB9">
        <w:t>Figure 17.2 shows that</w:t>
      </w:r>
      <w:r w:rsidR="00E62F2B">
        <w:t>,</w:t>
      </w:r>
      <w:r w:rsidR="00E00DB9">
        <w:t xml:space="preserve"> overall</w:t>
      </w:r>
      <w:r w:rsidR="00E62F2B">
        <w:t>,</w:t>
      </w:r>
      <w:r w:rsidR="00E00DB9">
        <w:t xml:space="preserve"> the </w:t>
      </w:r>
      <w:r w:rsidR="008302CD">
        <w:t>number of recruiting cancer intervention trials between 201</w:t>
      </w:r>
      <w:r w:rsidR="004307EE">
        <w:t>6</w:t>
      </w:r>
      <w:r w:rsidR="008302CD">
        <w:t xml:space="preserve"> and 20</w:t>
      </w:r>
      <w:r w:rsidR="004307EE">
        <w:t>2</w:t>
      </w:r>
      <w:r w:rsidR="00957329">
        <w:t>1</w:t>
      </w:r>
      <w:r w:rsidR="008302CD">
        <w:t xml:space="preserve"> </w:t>
      </w:r>
      <w:r w:rsidR="004307EE">
        <w:t xml:space="preserve">showed an </w:t>
      </w:r>
      <w:r w:rsidR="008302CD">
        <w:t xml:space="preserve">increase with time. </w:t>
      </w:r>
      <w:r w:rsidR="004307EE">
        <w:t>T</w:t>
      </w:r>
      <w:r w:rsidR="008302CD">
        <w:t>his trend remain</w:t>
      </w:r>
      <w:r w:rsidR="004307EE">
        <w:t>ed</w:t>
      </w:r>
      <w:r w:rsidR="008302CD">
        <w:t xml:space="preserve"> consistent when </w:t>
      </w:r>
      <w:r w:rsidR="00E62F2B">
        <w:t xml:space="preserve">broken down </w:t>
      </w:r>
      <w:r w:rsidR="008302CD">
        <w:t xml:space="preserve">by metropolitan and rural populations </w:t>
      </w:r>
      <w:r w:rsidR="004307EE">
        <w:t>but</w:t>
      </w:r>
      <w:r w:rsidR="00F55BCF">
        <w:t>,</w:t>
      </w:r>
      <w:r w:rsidR="004307EE">
        <w:t xml:space="preserve"> o</w:t>
      </w:r>
      <w:r w:rsidR="0034766C">
        <w:t>verall,</w:t>
      </w:r>
      <w:r w:rsidR="00BD7B52">
        <w:t xml:space="preserve"> the number of recruiting cancer intervention trials at sites with </w:t>
      </w:r>
      <w:r w:rsidR="0099247B">
        <w:t>metropolitan</w:t>
      </w:r>
      <w:r w:rsidR="00BD7B52">
        <w:t xml:space="preserve"> ICS was </w:t>
      </w:r>
      <w:r w:rsidR="004307EE">
        <w:t xml:space="preserve">much </w:t>
      </w:r>
      <w:r w:rsidR="00BD7B52">
        <w:t xml:space="preserve">higher than the number of recruitments in </w:t>
      </w:r>
      <w:r w:rsidR="0099247B">
        <w:t>rural and regional ICS (Table 17.2</w:t>
      </w:r>
      <w:r w:rsidR="005E19C8">
        <w:t>, Appendix 2</w:t>
      </w:r>
      <w:r w:rsidR="0099247B">
        <w:t>)</w:t>
      </w:r>
      <w:r w:rsidR="00CD74BA">
        <w:t>.</w:t>
      </w:r>
      <w:r w:rsidR="0099247B">
        <w:t xml:space="preserve"> </w:t>
      </w:r>
      <w:r w:rsidR="000D750F">
        <w:t>WCMICS recorded t</w:t>
      </w:r>
      <w:r w:rsidR="0099247B">
        <w:t>he highest number of new recruiting cancer intervention trials</w:t>
      </w:r>
      <w:r w:rsidR="000D750F">
        <w:t>,</w:t>
      </w:r>
      <w:r w:rsidR="0099247B">
        <w:t xml:space="preserve"> report</w:t>
      </w:r>
      <w:r w:rsidR="000D750F">
        <w:t>ing</w:t>
      </w:r>
      <w:r w:rsidR="0099247B">
        <w:t xml:space="preserve"> </w:t>
      </w:r>
      <w:r w:rsidR="00957329">
        <w:t>1,049</w:t>
      </w:r>
      <w:r w:rsidR="0099247B">
        <w:t xml:space="preserve"> </w:t>
      </w:r>
      <w:r w:rsidR="00623175">
        <w:t xml:space="preserve">trials </w:t>
      </w:r>
      <w:r w:rsidR="0099247B">
        <w:t>between 201</w:t>
      </w:r>
      <w:r w:rsidR="004307EE">
        <w:t>6</w:t>
      </w:r>
      <w:r w:rsidR="0099247B">
        <w:t xml:space="preserve"> and 20</w:t>
      </w:r>
      <w:r w:rsidR="004307EE">
        <w:t>2</w:t>
      </w:r>
      <w:r w:rsidR="00957329">
        <w:t>1</w:t>
      </w:r>
      <w:r w:rsidR="0099247B">
        <w:t xml:space="preserve">. </w:t>
      </w:r>
      <w:r w:rsidR="00CD74BA">
        <w:t xml:space="preserve">LMICS </w:t>
      </w:r>
      <w:r w:rsidR="00302334">
        <w:t>had the lowest number of new recruiting cancer intervention trials (</w:t>
      </w:r>
      <w:r w:rsidR="00957329">
        <w:t>46</w:t>
      </w:r>
      <w:r w:rsidR="00302334">
        <w:t xml:space="preserve">) over the </w:t>
      </w:r>
      <w:r w:rsidR="00957329">
        <w:t>six</w:t>
      </w:r>
      <w:r w:rsidR="00302334">
        <w:t>-year period. On the other hand, as with Measure 17.1, GRICS also reported no clinical trial activity in the analysis period.</w:t>
      </w:r>
    </w:p>
    <w:p w14:paraId="5B914D05" w14:textId="579481A5" w:rsidR="004307EE" w:rsidRPr="00957329" w:rsidRDefault="00957329" w:rsidP="00606436">
      <w:pPr>
        <w:pStyle w:val="Body"/>
      </w:pPr>
      <w:r>
        <w:t xml:space="preserve">Like Measure 17.1, blood cancers had the highest proportion of recruiting cancer intervention trials in each reporting </w:t>
      </w:r>
      <w:r w:rsidR="00997440">
        <w:t>year</w:t>
      </w:r>
      <w:r>
        <w:t xml:space="preserve"> (</w:t>
      </w:r>
      <w:r w:rsidR="00997440">
        <w:t>620 from 2016 to 2021</w:t>
      </w:r>
      <w:r>
        <w:t>) (Figure 17.2.1). This was followed by multiple cancers (</w:t>
      </w:r>
      <w:r w:rsidR="00997440">
        <w:t>333</w:t>
      </w:r>
      <w:r>
        <w:t xml:space="preserve">) and </w:t>
      </w:r>
      <w:r w:rsidR="00997440">
        <w:t>urinary</w:t>
      </w:r>
      <w:r>
        <w:t xml:space="preserve"> (</w:t>
      </w:r>
      <w:r w:rsidR="00997440">
        <w:t>20</w:t>
      </w:r>
      <w:r>
        <w:t>8)</w:t>
      </w:r>
      <w:r w:rsidR="00997440">
        <w:t xml:space="preserve"> from 2016 to 2021</w:t>
      </w:r>
      <w:r>
        <w:t xml:space="preserve">. The tumour streams that attracted the fewest recruiting cancer intervention trials </w:t>
      </w:r>
      <w:r w:rsidR="00997440">
        <w:t>during</w:t>
      </w:r>
      <w:r>
        <w:t xml:space="preserve"> the same period were </w:t>
      </w:r>
      <w:r w:rsidR="005B7DA7">
        <w:t>cancer of unknown primary (3)</w:t>
      </w:r>
      <w:r w:rsidR="00F55BCF">
        <w:t>,</w:t>
      </w:r>
      <w:r w:rsidR="005B7DA7">
        <w:t xml:space="preserve"> </w:t>
      </w:r>
      <w:r>
        <w:t>sarcoma (1</w:t>
      </w:r>
      <w:r w:rsidR="005B7DA7">
        <w:t>1</w:t>
      </w:r>
      <w:r>
        <w:t>) and head</w:t>
      </w:r>
      <w:r w:rsidR="00754958">
        <w:t xml:space="preserve"> and</w:t>
      </w:r>
      <w:r>
        <w:t xml:space="preserve"> neck (21) cancers (Table 17.</w:t>
      </w:r>
      <w:r w:rsidR="005B7DA7">
        <w:t>3</w:t>
      </w:r>
      <w:r>
        <w:t>, Appendix 2).</w:t>
      </w:r>
    </w:p>
    <w:p w14:paraId="624BC4B6" w14:textId="2B5BB138" w:rsidR="0092202A" w:rsidRDefault="008816DB" w:rsidP="00E87AAA">
      <w:pPr>
        <w:pStyle w:val="Body"/>
        <w:rPr>
          <w:rStyle w:val="Emphasis"/>
          <w:rFonts w:cs="Arial"/>
          <w:b w:val="0"/>
        </w:rPr>
      </w:pPr>
      <w:r w:rsidRPr="00853962">
        <w:rPr>
          <w:rStyle w:val="Emphasis"/>
          <w:rFonts w:cs="Arial"/>
          <w:b w:val="0"/>
        </w:rPr>
        <w:t>No target has been set for this measure</w:t>
      </w:r>
      <w:r w:rsidR="00B40166">
        <w:rPr>
          <w:rStyle w:val="Emphasis"/>
          <w:rFonts w:cs="Arial"/>
          <w:b w:val="0"/>
        </w:rPr>
        <w:t>;</w:t>
      </w:r>
      <w:r w:rsidRPr="00853962">
        <w:rPr>
          <w:rStyle w:val="Emphasis"/>
          <w:rFonts w:cs="Arial"/>
          <w:b w:val="0"/>
        </w:rPr>
        <w:t xml:space="preserve"> </w:t>
      </w:r>
      <w:r w:rsidR="00362517">
        <w:rPr>
          <w:rStyle w:val="Emphasis"/>
          <w:rFonts w:cs="Arial"/>
          <w:b w:val="0"/>
        </w:rPr>
        <w:t>however</w:t>
      </w:r>
      <w:r w:rsidR="00B40166">
        <w:rPr>
          <w:rStyle w:val="Emphasis"/>
          <w:rFonts w:cs="Arial"/>
          <w:b w:val="0"/>
        </w:rPr>
        <w:t>,</w:t>
      </w:r>
      <w:r w:rsidR="00362517">
        <w:rPr>
          <w:rStyle w:val="Emphasis"/>
          <w:rFonts w:cs="Arial"/>
          <w:b w:val="0"/>
        </w:rPr>
        <w:t xml:space="preserve"> </w:t>
      </w:r>
      <w:r w:rsidR="00AD2570" w:rsidRPr="00853962">
        <w:rPr>
          <w:rStyle w:val="Emphasis"/>
          <w:rFonts w:cs="Arial"/>
          <w:b w:val="0"/>
        </w:rPr>
        <w:t xml:space="preserve">increasing the number of cancer intervention trials in Victoria will mean individual patients will </w:t>
      </w:r>
      <w:r w:rsidR="001D2F92">
        <w:rPr>
          <w:rStyle w:val="Emphasis"/>
          <w:rFonts w:cs="Arial"/>
          <w:b w:val="0"/>
        </w:rPr>
        <w:t xml:space="preserve">continue to </w:t>
      </w:r>
      <w:r w:rsidR="00AD2570" w:rsidRPr="00853962">
        <w:rPr>
          <w:rStyle w:val="Emphasis"/>
          <w:rFonts w:cs="Arial"/>
          <w:b w:val="0"/>
        </w:rPr>
        <w:t>have more treatment choices in the future.</w:t>
      </w:r>
      <w:r w:rsidR="0092202A">
        <w:rPr>
          <w:rStyle w:val="Emphasis"/>
          <w:rFonts w:cs="Arial"/>
          <w:b w:val="0"/>
        </w:rPr>
        <w:br w:type="page"/>
      </w:r>
    </w:p>
    <w:p w14:paraId="76C96497" w14:textId="011D7630" w:rsidR="0033125E" w:rsidRPr="00023AF1" w:rsidRDefault="00D36332" w:rsidP="00A451D4">
      <w:pPr>
        <w:pStyle w:val="Heading3"/>
        <w:rPr>
          <w:b/>
          <w:bCs w:val="0"/>
        </w:rPr>
      </w:pPr>
      <w:bookmarkStart w:id="1183" w:name="_Measure_17.3_–"/>
      <w:bookmarkEnd w:id="1183"/>
      <w:r w:rsidRPr="00023AF1">
        <w:rPr>
          <w:b/>
          <w:bCs w:val="0"/>
        </w:rPr>
        <w:lastRenderedPageBreak/>
        <w:t>Measure 17.3 –</w:t>
      </w:r>
      <w:r w:rsidR="0040490E" w:rsidRPr="00023AF1">
        <w:rPr>
          <w:b/>
          <w:bCs w:val="0"/>
        </w:rPr>
        <w:t xml:space="preserve"> Number of human research ethics committee approved cancer-related studies</w:t>
      </w:r>
    </w:p>
    <w:p w14:paraId="2724F4E9" w14:textId="334969BE" w:rsidR="00B44B18" w:rsidRDefault="00B44B18" w:rsidP="00CF654D">
      <w:pPr>
        <w:pStyle w:val="Figurecaption"/>
        <w:rPr>
          <w:sz w:val="20"/>
        </w:rPr>
      </w:pPr>
      <w:bookmarkStart w:id="1184" w:name="_Toc19008220"/>
      <w:bookmarkStart w:id="1185" w:name="_Toc19008393"/>
      <w:bookmarkStart w:id="1186" w:name="_Toc19008540"/>
      <w:bookmarkStart w:id="1187" w:name="_Toc19008687"/>
      <w:bookmarkStart w:id="1188" w:name="_Toc132553114"/>
      <w:bookmarkStart w:id="1189" w:name="_Toc140827731"/>
      <w:r w:rsidRPr="00772F6F">
        <w:rPr>
          <w:sz w:val="20"/>
        </w:rPr>
        <w:t>Figure 17.3</w:t>
      </w:r>
      <w:r w:rsidR="006048DC" w:rsidRPr="00772F6F">
        <w:rPr>
          <w:sz w:val="20"/>
        </w:rPr>
        <w:t>:</w:t>
      </w:r>
      <w:r w:rsidRPr="00772F6F">
        <w:rPr>
          <w:sz w:val="20"/>
        </w:rPr>
        <w:t xml:space="preserve"> Number of </w:t>
      </w:r>
      <w:r w:rsidR="00B94F5F" w:rsidRPr="00772F6F">
        <w:rPr>
          <w:sz w:val="20"/>
        </w:rPr>
        <w:t>h</w:t>
      </w:r>
      <w:r w:rsidRPr="00772F6F">
        <w:rPr>
          <w:sz w:val="20"/>
        </w:rPr>
        <w:t xml:space="preserve">uman </w:t>
      </w:r>
      <w:r w:rsidR="00B94F5F" w:rsidRPr="00772F6F">
        <w:rPr>
          <w:sz w:val="20"/>
        </w:rPr>
        <w:t>r</w:t>
      </w:r>
      <w:r w:rsidRPr="00772F6F">
        <w:rPr>
          <w:sz w:val="20"/>
        </w:rPr>
        <w:t xml:space="preserve">esearch </w:t>
      </w:r>
      <w:r w:rsidR="00B94F5F" w:rsidRPr="00772F6F">
        <w:rPr>
          <w:sz w:val="20"/>
        </w:rPr>
        <w:t>e</w:t>
      </w:r>
      <w:r w:rsidRPr="00772F6F">
        <w:rPr>
          <w:sz w:val="20"/>
        </w:rPr>
        <w:t xml:space="preserve">thics </w:t>
      </w:r>
      <w:r w:rsidR="00B94F5F" w:rsidRPr="00772F6F">
        <w:rPr>
          <w:sz w:val="20"/>
        </w:rPr>
        <w:t>c</w:t>
      </w:r>
      <w:r w:rsidRPr="00772F6F">
        <w:rPr>
          <w:sz w:val="20"/>
        </w:rPr>
        <w:t xml:space="preserve">ommittee </w:t>
      </w:r>
      <w:r w:rsidR="00B94F5F" w:rsidRPr="00772F6F">
        <w:rPr>
          <w:sz w:val="20"/>
        </w:rPr>
        <w:t>a</w:t>
      </w:r>
      <w:r w:rsidRPr="00772F6F">
        <w:rPr>
          <w:sz w:val="20"/>
        </w:rPr>
        <w:t xml:space="preserve">pproved </w:t>
      </w:r>
      <w:r w:rsidR="00B94F5F" w:rsidRPr="00772F6F">
        <w:rPr>
          <w:sz w:val="20"/>
        </w:rPr>
        <w:t>c</w:t>
      </w:r>
      <w:r w:rsidRPr="00772F6F">
        <w:rPr>
          <w:sz w:val="20"/>
        </w:rPr>
        <w:t>ancer-</w:t>
      </w:r>
      <w:r w:rsidR="00B94F5F" w:rsidRPr="00772F6F">
        <w:rPr>
          <w:sz w:val="20"/>
        </w:rPr>
        <w:t>r</w:t>
      </w:r>
      <w:r w:rsidRPr="00772F6F">
        <w:rPr>
          <w:sz w:val="20"/>
        </w:rPr>
        <w:t xml:space="preserve">elated </w:t>
      </w:r>
      <w:r w:rsidR="00B94F5F" w:rsidRPr="00772F6F">
        <w:rPr>
          <w:sz w:val="20"/>
        </w:rPr>
        <w:t>s</w:t>
      </w:r>
      <w:r w:rsidRPr="00772F6F">
        <w:rPr>
          <w:sz w:val="20"/>
        </w:rPr>
        <w:t>tudies</w:t>
      </w:r>
      <w:r w:rsidR="00402917" w:rsidRPr="00772F6F">
        <w:rPr>
          <w:sz w:val="20"/>
        </w:rPr>
        <w:t>,</w:t>
      </w:r>
      <w:r w:rsidR="004E2E13" w:rsidRPr="00772F6F">
        <w:rPr>
          <w:sz w:val="20"/>
        </w:rPr>
        <w:t xml:space="preserve"> by year,</w:t>
      </w:r>
      <w:r w:rsidR="008E7B2E" w:rsidRPr="00772F6F">
        <w:rPr>
          <w:sz w:val="20"/>
        </w:rPr>
        <w:t xml:space="preserve"> 2014</w:t>
      </w:r>
      <w:r w:rsidR="00702BEF" w:rsidRPr="00772F6F">
        <w:rPr>
          <w:sz w:val="20"/>
        </w:rPr>
        <w:t>–</w:t>
      </w:r>
      <w:r w:rsidR="008E7B2E" w:rsidRPr="00772F6F">
        <w:rPr>
          <w:sz w:val="20"/>
        </w:rPr>
        <w:t>20</w:t>
      </w:r>
      <w:r w:rsidR="00E22C35" w:rsidRPr="00772F6F">
        <w:rPr>
          <w:sz w:val="20"/>
        </w:rPr>
        <w:t>2</w:t>
      </w:r>
      <w:bookmarkEnd w:id="1184"/>
      <w:bookmarkEnd w:id="1185"/>
      <w:bookmarkEnd w:id="1186"/>
      <w:bookmarkEnd w:id="1187"/>
      <w:r w:rsidR="00634FD7" w:rsidRPr="00772F6F">
        <w:rPr>
          <w:sz w:val="20"/>
        </w:rPr>
        <w:t>2</w:t>
      </w:r>
      <w:bookmarkEnd w:id="1188"/>
      <w:bookmarkEnd w:id="1189"/>
    </w:p>
    <w:p w14:paraId="226A5F83" w14:textId="1042AD88" w:rsidR="00482DD3" w:rsidRPr="00482DD3" w:rsidRDefault="00482DD3" w:rsidP="00482DD3">
      <w:pPr>
        <w:pStyle w:val="DHHSbody"/>
      </w:pPr>
      <w:r w:rsidRPr="00482DD3">
        <w:rPr>
          <w:noProof/>
        </w:rPr>
        <w:drawing>
          <wp:inline distT="0" distB="0" distL="0" distR="0" wp14:anchorId="6907E21E" wp14:editId="7BD57D16">
            <wp:extent cx="5839267" cy="3230218"/>
            <wp:effectExtent l="0" t="0" r="0" b="8890"/>
            <wp:docPr id="379" name="Picture 379" descr="This figure presents data on the number of human research ethics committee approved cancer-related studies from 2014 to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descr="This figure presents data on the number of human research ethics committee approved cancer-related studies from 2014 to 2022."/>
                    <pic:cNvPicPr/>
                  </pic:nvPicPr>
                  <pic:blipFill>
                    <a:blip r:embed="rId182"/>
                    <a:stretch>
                      <a:fillRect/>
                    </a:stretch>
                  </pic:blipFill>
                  <pic:spPr>
                    <a:xfrm>
                      <a:off x="0" y="0"/>
                      <a:ext cx="5859658" cy="3241498"/>
                    </a:xfrm>
                    <a:prstGeom prst="rect">
                      <a:avLst/>
                    </a:prstGeom>
                  </pic:spPr>
                </pic:pic>
              </a:graphicData>
            </a:graphic>
          </wp:inline>
        </w:drawing>
      </w:r>
    </w:p>
    <w:p w14:paraId="0A871518" w14:textId="5D1F5D59" w:rsidR="005B5B95" w:rsidRDefault="005B5B95" w:rsidP="00E87AAA">
      <w:pPr>
        <w:pStyle w:val="Body"/>
      </w:pPr>
    </w:p>
    <w:p w14:paraId="67C77B53" w14:textId="63C5EA5D" w:rsidR="00886D16" w:rsidRPr="00772F6F" w:rsidRDefault="005B5B95" w:rsidP="005B5B95">
      <w:pPr>
        <w:pStyle w:val="Tablefigurenote"/>
        <w:rPr>
          <w:i/>
          <w:iCs/>
          <w:sz w:val="18"/>
          <w:szCs w:val="18"/>
        </w:rPr>
      </w:pPr>
      <w:r w:rsidRPr="00772F6F">
        <w:rPr>
          <w:rFonts w:cs="Arial"/>
          <w:i/>
          <w:iCs/>
          <w:sz w:val="18"/>
          <w:szCs w:val="18"/>
        </w:rPr>
        <w:t xml:space="preserve">Source: </w:t>
      </w:r>
      <w:r w:rsidR="00634FD7" w:rsidRPr="00772F6F">
        <w:rPr>
          <w:rFonts w:cs="Arial"/>
          <w:i/>
          <w:iCs/>
          <w:sz w:val="18"/>
          <w:szCs w:val="18"/>
        </w:rPr>
        <w:t>Reform and Medical Research</w:t>
      </w:r>
      <w:r w:rsidR="00886D16" w:rsidRPr="00772F6F">
        <w:rPr>
          <w:rFonts w:cs="Arial"/>
          <w:i/>
          <w:iCs/>
          <w:sz w:val="18"/>
          <w:szCs w:val="18"/>
        </w:rPr>
        <w:t xml:space="preserve">, </w:t>
      </w:r>
      <w:r w:rsidR="00634FD7" w:rsidRPr="00772F6F">
        <w:rPr>
          <w:rFonts w:cs="Arial"/>
          <w:i/>
          <w:iCs/>
          <w:sz w:val="18"/>
          <w:szCs w:val="18"/>
        </w:rPr>
        <w:t xml:space="preserve">Victorian </w:t>
      </w:r>
      <w:r w:rsidR="00886D16" w:rsidRPr="00772F6F">
        <w:rPr>
          <w:rFonts w:cs="Arial"/>
          <w:i/>
          <w:iCs/>
          <w:sz w:val="18"/>
          <w:szCs w:val="18"/>
        </w:rPr>
        <w:t xml:space="preserve">Department of </w:t>
      </w:r>
      <w:r w:rsidR="009B2841" w:rsidRPr="00772F6F">
        <w:rPr>
          <w:rFonts w:cs="Arial"/>
          <w:i/>
          <w:iCs/>
          <w:sz w:val="18"/>
          <w:szCs w:val="18"/>
        </w:rPr>
        <w:t>Health</w:t>
      </w:r>
    </w:p>
    <w:p w14:paraId="0283B063" w14:textId="2E292174" w:rsidR="00FA1181" w:rsidRPr="00772F6F" w:rsidRDefault="00FA1181" w:rsidP="005B5B95">
      <w:pPr>
        <w:pStyle w:val="Tablefigurenote"/>
        <w:rPr>
          <w:i/>
          <w:iCs/>
          <w:sz w:val="18"/>
          <w:szCs w:val="18"/>
        </w:rPr>
      </w:pPr>
      <w:r w:rsidRPr="00772F6F">
        <w:rPr>
          <w:i/>
          <w:iCs/>
          <w:sz w:val="18"/>
          <w:szCs w:val="18"/>
        </w:rPr>
        <w:t>Note: The data includes</w:t>
      </w:r>
      <w:r w:rsidR="00850019" w:rsidRPr="00772F6F">
        <w:rPr>
          <w:i/>
          <w:iCs/>
          <w:sz w:val="18"/>
          <w:szCs w:val="18"/>
        </w:rPr>
        <w:t xml:space="preserve"> cancer-related</w:t>
      </w:r>
      <w:r w:rsidRPr="00772F6F">
        <w:rPr>
          <w:i/>
          <w:iCs/>
          <w:sz w:val="18"/>
          <w:szCs w:val="18"/>
        </w:rPr>
        <w:t xml:space="preserve"> clinical research (non-trials) and clinical trials</w:t>
      </w:r>
      <w:r w:rsidR="00F55BCF" w:rsidRPr="00772F6F">
        <w:rPr>
          <w:i/>
          <w:iCs/>
          <w:sz w:val="18"/>
          <w:szCs w:val="18"/>
        </w:rPr>
        <w:t>.</w:t>
      </w:r>
    </w:p>
    <w:p w14:paraId="1880CE7C" w14:textId="219920AB" w:rsidR="00F25584" w:rsidRDefault="00F25584" w:rsidP="007C7F00">
      <w:pPr>
        <w:pStyle w:val="Heading4"/>
        <w:rPr>
          <w:lang w:eastAsia="en-AU"/>
        </w:rPr>
      </w:pPr>
      <w:r w:rsidRPr="007C7F00">
        <w:t>Measure assessment</w:t>
      </w:r>
    </w:p>
    <w:p w14:paraId="685BD08B" w14:textId="77777777" w:rsidR="00E17818" w:rsidRPr="00061321" w:rsidRDefault="00F25584" w:rsidP="00606436">
      <w:pPr>
        <w:pStyle w:val="Body"/>
        <w:rPr>
          <w:color w:val="00B050"/>
        </w:rPr>
      </w:pPr>
      <w:r w:rsidRPr="009F01B1">
        <w:t xml:space="preserve">Traffic light rating: </w:t>
      </w:r>
      <w:r w:rsidR="00E17818" w:rsidRPr="00D207B2">
        <w:rPr>
          <w:b/>
          <w:color w:val="007B4B"/>
        </w:rPr>
        <w:t>Green</w:t>
      </w:r>
      <w:r w:rsidR="00E17818">
        <w:t xml:space="preserve"> (satisfactory result)</w:t>
      </w:r>
    </w:p>
    <w:p w14:paraId="255C4814" w14:textId="77777777" w:rsidR="00E17818" w:rsidRPr="00CA59E0" w:rsidRDefault="00E17818" w:rsidP="00606436">
      <w:pPr>
        <w:pStyle w:val="Body"/>
      </w:pPr>
      <w:r w:rsidRPr="00CA59E0">
        <w:t>Overall trend: Moving in the right direction</w:t>
      </w:r>
    </w:p>
    <w:p w14:paraId="5C8C7919" w14:textId="3ABCD6B7" w:rsidR="002309DC" w:rsidRPr="002309DC" w:rsidRDefault="00F25584" w:rsidP="00E87AAA">
      <w:pPr>
        <w:pStyle w:val="Body"/>
        <w:rPr>
          <w:rFonts w:cs="Arial"/>
        </w:rPr>
      </w:pPr>
      <w:r w:rsidRPr="00F829F0">
        <w:rPr>
          <w:rFonts w:cs="Arial"/>
        </w:rPr>
        <w:t>Commentary:</w:t>
      </w:r>
      <w:r w:rsidR="002309DC">
        <w:rPr>
          <w:rFonts w:cs="Arial"/>
        </w:rPr>
        <w:t xml:space="preserve"> </w:t>
      </w:r>
      <w:r w:rsidR="002309DC">
        <w:t>High-quality cancer research drives clinical practice improvements and underp</w:t>
      </w:r>
      <w:r w:rsidR="00774C43">
        <w:t xml:space="preserve">ins </w:t>
      </w:r>
      <w:r w:rsidR="002309DC">
        <w:t>the department’s efforts in prevention, detection, treatment and support</w:t>
      </w:r>
      <w:r w:rsidR="0024290B">
        <w:t xml:space="preserve"> for cancer</w:t>
      </w:r>
      <w:r w:rsidR="002309DC">
        <w:t>. Victoria’s cancer research system is supported by world-renowned medical researchers, institutes, hospitals and universities</w:t>
      </w:r>
      <w:r w:rsidR="00B55141">
        <w:t>,</w:t>
      </w:r>
      <w:r w:rsidR="002309DC">
        <w:t xml:space="preserve"> which have made great strides in improving cancer outcomes.</w:t>
      </w:r>
    </w:p>
    <w:p w14:paraId="3558A645" w14:textId="04DC3139" w:rsidR="00FA1181" w:rsidRDefault="00886D16" w:rsidP="00E87AAA">
      <w:pPr>
        <w:pStyle w:val="Body"/>
      </w:pPr>
      <w:r>
        <w:t>In 2015 the introduction of</w:t>
      </w:r>
      <w:r w:rsidR="002309DC">
        <w:t xml:space="preserve"> improved </w:t>
      </w:r>
      <w:r w:rsidR="00194931">
        <w:t xml:space="preserve">data capture and the </w:t>
      </w:r>
      <w:r w:rsidR="00F55BCF">
        <w:t>start</w:t>
      </w:r>
      <w:r w:rsidR="00194931">
        <w:t xml:space="preserve"> of </w:t>
      </w:r>
      <w:r w:rsidR="00F55BCF">
        <w:t xml:space="preserve">a </w:t>
      </w:r>
      <w:r w:rsidR="00194931">
        <w:t>single ethics review of multi-centre health and medical research (non-trials)</w:t>
      </w:r>
      <w:r w:rsidR="00AD19AC">
        <w:t xml:space="preserve"> applications</w:t>
      </w:r>
      <w:r>
        <w:t xml:space="preserve"> resulted in an increase in the number of </w:t>
      </w:r>
      <w:r w:rsidR="00194931">
        <w:t xml:space="preserve">studies </w:t>
      </w:r>
      <w:r w:rsidR="002D21A4">
        <w:t xml:space="preserve">now </w:t>
      </w:r>
      <w:r w:rsidR="00194931">
        <w:t>captured under this measure</w:t>
      </w:r>
      <w:r>
        <w:t>.</w:t>
      </w:r>
    </w:p>
    <w:p w14:paraId="47E75622" w14:textId="3B12EFE5" w:rsidR="00B26013" w:rsidRPr="00E1278E" w:rsidRDefault="00850019" w:rsidP="00E87AAA">
      <w:pPr>
        <w:pStyle w:val="Body"/>
      </w:pPr>
      <w:r>
        <w:t xml:space="preserve">While no target has been set for this measure, </w:t>
      </w:r>
      <w:r w:rsidR="00531FE2">
        <w:t xml:space="preserve">Figure 17.3 shows that </w:t>
      </w:r>
      <w:r w:rsidR="00FA1181">
        <w:t xml:space="preserve">there has been an </w:t>
      </w:r>
      <w:r w:rsidR="00F55BCF">
        <w:t xml:space="preserve">overall </w:t>
      </w:r>
      <w:r w:rsidR="00FA1181">
        <w:t xml:space="preserve">increase in cancer-related research </w:t>
      </w:r>
      <w:r w:rsidR="00634FD7">
        <w:t>since 2014</w:t>
      </w:r>
      <w:r w:rsidR="00F55BCF">
        <w:t>,</w:t>
      </w:r>
      <w:r w:rsidR="00634FD7">
        <w:t xml:space="preserve"> peaking in 2020</w:t>
      </w:r>
      <w:r w:rsidR="00F55BCF">
        <w:t>,</w:t>
      </w:r>
      <w:r w:rsidR="00777B16">
        <w:t xml:space="preserve"> possibly in response to the </w:t>
      </w:r>
      <w:r w:rsidR="00777B16" w:rsidRPr="00777B16">
        <w:rPr>
          <w:shd w:val="clear" w:color="auto" w:fill="FFFFFF"/>
        </w:rPr>
        <w:t>COVID-19 pandemic</w:t>
      </w:r>
      <w:r w:rsidR="00F55BCF">
        <w:rPr>
          <w:shd w:val="clear" w:color="auto" w:fill="FFFFFF"/>
        </w:rPr>
        <w:t>,</w:t>
      </w:r>
      <w:r w:rsidR="00777B16" w:rsidRPr="00777B16">
        <w:rPr>
          <w:shd w:val="clear" w:color="auto" w:fill="FFFFFF"/>
        </w:rPr>
        <w:t xml:space="preserve"> </w:t>
      </w:r>
      <w:r w:rsidR="00777B16">
        <w:rPr>
          <w:shd w:val="clear" w:color="auto" w:fill="FFFFFF"/>
        </w:rPr>
        <w:t>which</w:t>
      </w:r>
      <w:r w:rsidR="00777B16" w:rsidRPr="00777B16">
        <w:rPr>
          <w:shd w:val="clear" w:color="auto" w:fill="FFFFFF"/>
        </w:rPr>
        <w:t xml:space="preserve"> fundamentally changed the cancer </w:t>
      </w:r>
      <w:r w:rsidR="00754958">
        <w:rPr>
          <w:shd w:val="clear" w:color="auto" w:fill="FFFFFF"/>
        </w:rPr>
        <w:t xml:space="preserve">research </w:t>
      </w:r>
      <w:r w:rsidR="00777B16" w:rsidRPr="00777B16">
        <w:rPr>
          <w:shd w:val="clear" w:color="auto" w:fill="FFFFFF"/>
        </w:rPr>
        <w:t>experience in Victoria</w:t>
      </w:r>
      <w:r w:rsidR="00E1278E" w:rsidRPr="00777B16">
        <w:t>.</w:t>
      </w:r>
      <w:r w:rsidR="00B26013">
        <w:br w:type="page"/>
      </w:r>
    </w:p>
    <w:p w14:paraId="1F379FAF" w14:textId="40068EEC" w:rsidR="00D36332" w:rsidRPr="00023AF1" w:rsidRDefault="00D36332" w:rsidP="00A451D4">
      <w:pPr>
        <w:pStyle w:val="Heading3"/>
        <w:rPr>
          <w:b/>
          <w:bCs w:val="0"/>
        </w:rPr>
      </w:pPr>
      <w:bookmarkStart w:id="1190" w:name="_Measure_17.4_–"/>
      <w:bookmarkStart w:id="1191" w:name="_Toc19008221"/>
      <w:bookmarkEnd w:id="1190"/>
      <w:r w:rsidRPr="00023AF1">
        <w:rPr>
          <w:b/>
          <w:bCs w:val="0"/>
        </w:rPr>
        <w:lastRenderedPageBreak/>
        <w:t>Measure 17.4 –</w:t>
      </w:r>
      <w:r w:rsidR="00715A6C" w:rsidRPr="00023AF1">
        <w:rPr>
          <w:b/>
          <w:bCs w:val="0"/>
        </w:rPr>
        <w:t xml:space="preserve"> Ratio</w:t>
      </w:r>
      <w:r w:rsidR="0040490E" w:rsidRPr="00023AF1">
        <w:rPr>
          <w:b/>
          <w:bCs w:val="0"/>
        </w:rPr>
        <w:t xml:space="preserve"> of eligible patients who receive new SACT medication</w:t>
      </w:r>
      <w:r w:rsidR="009C1FAB">
        <w:rPr>
          <w:b/>
          <w:bCs w:val="0"/>
        </w:rPr>
        <w:t>s</w:t>
      </w:r>
      <w:r w:rsidR="0040490E" w:rsidRPr="00023AF1">
        <w:rPr>
          <w:b/>
          <w:bCs w:val="0"/>
        </w:rPr>
        <w:t xml:space="preserve"> within 12 months of listing on the PBS </w:t>
      </w:r>
      <w:r w:rsidR="000120C4" w:rsidRPr="00023AF1">
        <w:rPr>
          <w:b/>
          <w:bCs w:val="0"/>
        </w:rPr>
        <w:t xml:space="preserve">relative </w:t>
      </w:r>
      <w:r w:rsidR="0040490E" w:rsidRPr="00023AF1">
        <w:rPr>
          <w:b/>
          <w:bCs w:val="0"/>
        </w:rPr>
        <w:t>to cancer incidence</w:t>
      </w:r>
      <w:bookmarkEnd w:id="1191"/>
    </w:p>
    <w:p w14:paraId="213B178F" w14:textId="625FCD77" w:rsidR="00B55304" w:rsidRPr="00E1278E" w:rsidRDefault="008011D2" w:rsidP="00E87AAA">
      <w:pPr>
        <w:pStyle w:val="Body"/>
      </w:pPr>
      <w:r w:rsidRPr="00AB0171">
        <w:t>Measure in development (</w:t>
      </w:r>
      <w:r w:rsidR="00205895">
        <w:t>refer to</w:t>
      </w:r>
      <w:r w:rsidR="00205895" w:rsidRPr="00AB0171">
        <w:t xml:space="preserve"> </w:t>
      </w:r>
      <w:r w:rsidRPr="00AB0171">
        <w:t>Appendix 1).</w:t>
      </w:r>
      <w:r w:rsidR="008D2DB7">
        <w:rPr>
          <w:b/>
          <w:sz w:val="24"/>
          <w:szCs w:val="24"/>
        </w:rPr>
        <w:br w:type="page"/>
      </w:r>
    </w:p>
    <w:p w14:paraId="2C488FBA" w14:textId="7488FBB8" w:rsidR="004E2E13" w:rsidRPr="00023AF1" w:rsidRDefault="008D2DB7" w:rsidP="00A451D4">
      <w:pPr>
        <w:pStyle w:val="Heading3"/>
        <w:rPr>
          <w:b/>
          <w:bCs w:val="0"/>
        </w:rPr>
      </w:pPr>
      <w:bookmarkStart w:id="1192" w:name="_Measure_17.5_–"/>
      <w:bookmarkEnd w:id="1192"/>
      <w:r w:rsidRPr="00023AF1">
        <w:rPr>
          <w:b/>
          <w:bCs w:val="0"/>
        </w:rPr>
        <w:lastRenderedPageBreak/>
        <w:t>Measure 17.5 – Quit ratio</w:t>
      </w:r>
      <w:r w:rsidRPr="00023AF1">
        <w:rPr>
          <w:rFonts w:cs="Arial"/>
          <w:b/>
          <w:bCs w:val="0"/>
        </w:rPr>
        <w:t>^</w:t>
      </w:r>
      <w:r w:rsidRPr="00023AF1">
        <w:rPr>
          <w:b/>
          <w:bCs w:val="0"/>
        </w:rPr>
        <w:t xml:space="preserve"> of rate of sustained </w:t>
      </w:r>
      <w:r w:rsidR="0009006B" w:rsidRPr="00023AF1">
        <w:rPr>
          <w:b/>
          <w:bCs w:val="0"/>
        </w:rPr>
        <w:t>quitting</w:t>
      </w:r>
      <w:r w:rsidRPr="00023AF1">
        <w:rPr>
          <w:b/>
          <w:bCs w:val="0"/>
        </w:rPr>
        <w:t xml:space="preserve"> to rate of </w:t>
      </w:r>
      <w:r w:rsidR="0009006B" w:rsidRPr="00023AF1">
        <w:rPr>
          <w:b/>
          <w:bCs w:val="0"/>
        </w:rPr>
        <w:t>people who had ever smoked</w:t>
      </w:r>
    </w:p>
    <w:p w14:paraId="715FC847" w14:textId="7FF6A41C" w:rsidR="00F851A2" w:rsidRDefault="00B55304" w:rsidP="007F5D3E">
      <w:pPr>
        <w:pStyle w:val="Figurecaption"/>
        <w:rPr>
          <w:sz w:val="20"/>
        </w:rPr>
      </w:pPr>
      <w:bookmarkStart w:id="1193" w:name="_Toc19008222"/>
      <w:bookmarkStart w:id="1194" w:name="_Toc19008394"/>
      <w:bookmarkStart w:id="1195" w:name="_Toc19008541"/>
      <w:bookmarkStart w:id="1196" w:name="_Toc19008688"/>
      <w:bookmarkStart w:id="1197" w:name="_Toc132553115"/>
      <w:bookmarkStart w:id="1198" w:name="_Toc140827732"/>
      <w:r w:rsidRPr="00772F6F">
        <w:rPr>
          <w:sz w:val="20"/>
        </w:rPr>
        <w:t>Figure 17.5</w:t>
      </w:r>
      <w:r w:rsidR="006048DC" w:rsidRPr="00772F6F">
        <w:rPr>
          <w:sz w:val="20"/>
        </w:rPr>
        <w:t>:</w:t>
      </w:r>
      <w:r w:rsidRPr="00772F6F">
        <w:rPr>
          <w:sz w:val="20"/>
        </w:rPr>
        <w:t xml:space="preserve"> Quit ratio </w:t>
      </w:r>
      <w:r w:rsidR="00620090" w:rsidRPr="00772F6F">
        <w:rPr>
          <w:sz w:val="20"/>
        </w:rPr>
        <w:t xml:space="preserve">of </w:t>
      </w:r>
      <w:r w:rsidR="0009006B" w:rsidRPr="00772F6F">
        <w:rPr>
          <w:sz w:val="20"/>
        </w:rPr>
        <w:t>people who have ever</w:t>
      </w:r>
      <w:r w:rsidR="00620090" w:rsidRPr="00772F6F">
        <w:rPr>
          <w:sz w:val="20"/>
        </w:rPr>
        <w:t xml:space="preserve"> smoke</w:t>
      </w:r>
      <w:r w:rsidR="0009006B" w:rsidRPr="00772F6F">
        <w:rPr>
          <w:sz w:val="20"/>
        </w:rPr>
        <w:t>d</w:t>
      </w:r>
      <w:r w:rsidR="00480222" w:rsidRPr="00772F6F">
        <w:rPr>
          <w:sz w:val="20"/>
        </w:rPr>
        <w:t>,</w:t>
      </w:r>
      <w:r w:rsidR="00281D3D" w:rsidRPr="00772F6F">
        <w:rPr>
          <w:sz w:val="20"/>
        </w:rPr>
        <w:t xml:space="preserve"> by year</w:t>
      </w:r>
      <w:r w:rsidR="00DA7925" w:rsidRPr="00772F6F">
        <w:rPr>
          <w:sz w:val="20"/>
        </w:rPr>
        <w:t>, 2015</w:t>
      </w:r>
      <w:r w:rsidR="00702BEF" w:rsidRPr="00772F6F">
        <w:rPr>
          <w:sz w:val="20"/>
        </w:rPr>
        <w:t>–</w:t>
      </w:r>
      <w:r w:rsidR="00DA7925" w:rsidRPr="00772F6F">
        <w:rPr>
          <w:sz w:val="20"/>
        </w:rPr>
        <w:t>20</w:t>
      </w:r>
      <w:bookmarkEnd w:id="1193"/>
      <w:bookmarkEnd w:id="1194"/>
      <w:bookmarkEnd w:id="1195"/>
      <w:bookmarkEnd w:id="1196"/>
      <w:r w:rsidR="00574250" w:rsidRPr="00772F6F">
        <w:rPr>
          <w:sz w:val="20"/>
        </w:rPr>
        <w:t>2</w:t>
      </w:r>
      <w:r w:rsidR="005A7CBF" w:rsidRPr="00772F6F">
        <w:rPr>
          <w:sz w:val="20"/>
        </w:rPr>
        <w:t>2</w:t>
      </w:r>
      <w:bookmarkEnd w:id="1197"/>
      <w:bookmarkEnd w:id="1198"/>
    </w:p>
    <w:p w14:paraId="3402BC7C" w14:textId="5061A9BC" w:rsidR="00AC381D" w:rsidRPr="00AC381D" w:rsidRDefault="00AC381D" w:rsidP="00AC381D">
      <w:pPr>
        <w:pStyle w:val="DHHSbody"/>
      </w:pPr>
      <w:r w:rsidRPr="00AC381D">
        <w:rPr>
          <w:noProof/>
        </w:rPr>
        <w:drawing>
          <wp:inline distT="0" distB="0" distL="0" distR="0" wp14:anchorId="4DB97626" wp14:editId="6F7CEE2B">
            <wp:extent cx="6182890" cy="3130827"/>
            <wp:effectExtent l="0" t="0" r="8890" b="0"/>
            <wp:docPr id="325" name="Picture 325" descr="This figure presents data on the quit ratio of people who have ever smoked from 2015 to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descr="This figure presents data on the quit ratio of people who have ever smoked from 2015 to 2022."/>
                    <pic:cNvPicPr/>
                  </pic:nvPicPr>
                  <pic:blipFill>
                    <a:blip r:embed="rId183"/>
                    <a:stretch>
                      <a:fillRect/>
                    </a:stretch>
                  </pic:blipFill>
                  <pic:spPr>
                    <a:xfrm>
                      <a:off x="0" y="0"/>
                      <a:ext cx="6218399" cy="3148808"/>
                    </a:xfrm>
                    <a:prstGeom prst="rect">
                      <a:avLst/>
                    </a:prstGeom>
                  </pic:spPr>
                </pic:pic>
              </a:graphicData>
            </a:graphic>
          </wp:inline>
        </w:drawing>
      </w:r>
    </w:p>
    <w:p w14:paraId="6502E7F9" w14:textId="355A8CCE" w:rsidR="00F851A2" w:rsidRPr="00F851A2" w:rsidRDefault="00F851A2" w:rsidP="00E87AAA">
      <w:pPr>
        <w:pStyle w:val="Body"/>
      </w:pPr>
    </w:p>
    <w:p w14:paraId="1C55EE73" w14:textId="5BAD2F5C" w:rsidR="00FF1AD0" w:rsidRPr="00772F6F" w:rsidRDefault="00FF1AD0" w:rsidP="00C60CA5">
      <w:pPr>
        <w:pStyle w:val="Tablecaption"/>
        <w:rPr>
          <w:sz w:val="20"/>
        </w:rPr>
      </w:pPr>
      <w:bookmarkStart w:id="1199" w:name="_Toc132491545"/>
      <w:bookmarkStart w:id="1200" w:name="_Toc140834938"/>
      <w:r w:rsidRPr="00772F6F">
        <w:rPr>
          <w:sz w:val="20"/>
        </w:rPr>
        <w:t>Table 17.5</w:t>
      </w:r>
      <w:r w:rsidR="001F7E28" w:rsidRPr="00772F6F">
        <w:rPr>
          <w:sz w:val="20"/>
        </w:rPr>
        <w:t>:</w:t>
      </w:r>
      <w:r w:rsidRPr="00772F6F">
        <w:rPr>
          <w:sz w:val="20"/>
        </w:rPr>
        <w:t xml:space="preserve"> Quit ratio of </w:t>
      </w:r>
      <w:r w:rsidR="0009006B" w:rsidRPr="00772F6F">
        <w:rPr>
          <w:sz w:val="20"/>
        </w:rPr>
        <w:t>people who had ever</w:t>
      </w:r>
      <w:r w:rsidRPr="00772F6F">
        <w:rPr>
          <w:sz w:val="20"/>
        </w:rPr>
        <w:t xml:space="preserve"> smoke</w:t>
      </w:r>
      <w:r w:rsidR="0009006B" w:rsidRPr="00772F6F">
        <w:rPr>
          <w:sz w:val="20"/>
        </w:rPr>
        <w:t>d</w:t>
      </w:r>
      <w:r w:rsidR="00480222" w:rsidRPr="00772F6F">
        <w:rPr>
          <w:sz w:val="20"/>
        </w:rPr>
        <w:t>,</w:t>
      </w:r>
      <w:r w:rsidRPr="00772F6F">
        <w:rPr>
          <w:sz w:val="20"/>
        </w:rPr>
        <w:t xml:space="preserve"> by year, 2015–20</w:t>
      </w:r>
      <w:r w:rsidR="00574250" w:rsidRPr="00772F6F">
        <w:rPr>
          <w:sz w:val="20"/>
        </w:rPr>
        <w:t>2</w:t>
      </w:r>
      <w:r w:rsidR="005A7CBF" w:rsidRPr="00772F6F">
        <w:rPr>
          <w:sz w:val="20"/>
        </w:rPr>
        <w:t>2</w:t>
      </w:r>
      <w:bookmarkEnd w:id="1199"/>
      <w:bookmarkEnd w:id="1200"/>
    </w:p>
    <w:tbl>
      <w:tblPr>
        <w:tblW w:w="9619" w:type="dxa"/>
        <w:tblBorders>
          <w:bottom w:val="single" w:sz="4" w:space="0" w:color="C00000"/>
          <w:insideH w:val="single" w:sz="4" w:space="0" w:color="C00000"/>
        </w:tblBorders>
        <w:shd w:val="clear" w:color="auto" w:fill="EDCDCF"/>
        <w:tblLook w:val="04A0" w:firstRow="1" w:lastRow="0" w:firstColumn="1" w:lastColumn="0" w:noHBand="0" w:noVBand="1"/>
      </w:tblPr>
      <w:tblGrid>
        <w:gridCol w:w="2139"/>
        <w:gridCol w:w="1496"/>
        <w:gridCol w:w="1496"/>
        <w:gridCol w:w="1496"/>
        <w:gridCol w:w="1496"/>
        <w:gridCol w:w="1496"/>
      </w:tblGrid>
      <w:tr w:rsidR="00574250" w14:paraId="2A49C83F" w14:textId="44260872" w:rsidTr="00A0392A">
        <w:trPr>
          <w:trHeight w:val="194"/>
        </w:trPr>
        <w:tc>
          <w:tcPr>
            <w:tcW w:w="2139" w:type="dxa"/>
            <w:shd w:val="clear" w:color="auto" w:fill="EDCDCF"/>
            <w:vAlign w:val="center"/>
          </w:tcPr>
          <w:p w14:paraId="37A00F02" w14:textId="77777777" w:rsidR="00574250" w:rsidRPr="00603D31" w:rsidRDefault="00574250" w:rsidP="00F51648">
            <w:pPr>
              <w:pStyle w:val="Tablecolhead"/>
            </w:pPr>
            <w:r w:rsidRPr="00603D31">
              <w:t>Year</w:t>
            </w:r>
          </w:p>
        </w:tc>
        <w:tc>
          <w:tcPr>
            <w:tcW w:w="1496" w:type="dxa"/>
            <w:shd w:val="clear" w:color="auto" w:fill="EDCDCF"/>
            <w:vAlign w:val="center"/>
          </w:tcPr>
          <w:p w14:paraId="126C899C" w14:textId="77777777" w:rsidR="00574250" w:rsidRPr="00603D31" w:rsidRDefault="00574250" w:rsidP="00F51648">
            <w:pPr>
              <w:pStyle w:val="Tablecolhead"/>
            </w:pPr>
            <w:r w:rsidRPr="00603D31">
              <w:t>2015</w:t>
            </w:r>
          </w:p>
        </w:tc>
        <w:tc>
          <w:tcPr>
            <w:tcW w:w="1496" w:type="dxa"/>
            <w:shd w:val="clear" w:color="auto" w:fill="EDCDCF"/>
            <w:vAlign w:val="center"/>
          </w:tcPr>
          <w:p w14:paraId="68E7DCE4" w14:textId="77777777" w:rsidR="00574250" w:rsidRPr="00603D31" w:rsidRDefault="00574250" w:rsidP="00F51648">
            <w:pPr>
              <w:pStyle w:val="Tablecolhead"/>
            </w:pPr>
            <w:r w:rsidRPr="00603D31">
              <w:t>2016</w:t>
            </w:r>
          </w:p>
        </w:tc>
        <w:tc>
          <w:tcPr>
            <w:tcW w:w="1496" w:type="dxa"/>
            <w:shd w:val="clear" w:color="auto" w:fill="EDCDCF"/>
            <w:vAlign w:val="center"/>
          </w:tcPr>
          <w:p w14:paraId="22121203" w14:textId="77777777" w:rsidR="00574250" w:rsidRPr="00603D31" w:rsidRDefault="00574250" w:rsidP="00F51648">
            <w:pPr>
              <w:pStyle w:val="Tablecolhead"/>
            </w:pPr>
            <w:r w:rsidRPr="00603D31">
              <w:t>2017</w:t>
            </w:r>
          </w:p>
        </w:tc>
        <w:tc>
          <w:tcPr>
            <w:tcW w:w="1496" w:type="dxa"/>
            <w:shd w:val="clear" w:color="auto" w:fill="EDCDCF"/>
          </w:tcPr>
          <w:p w14:paraId="0C801149" w14:textId="1DB6A862" w:rsidR="00574250" w:rsidRPr="00603D31" w:rsidRDefault="00574250" w:rsidP="00F51648">
            <w:pPr>
              <w:pStyle w:val="Tablecolhead"/>
            </w:pPr>
            <w:r>
              <w:t>2018</w:t>
            </w:r>
            <w:r w:rsidR="00246747">
              <w:t>–</w:t>
            </w:r>
            <w:r>
              <w:t>19</w:t>
            </w:r>
          </w:p>
        </w:tc>
        <w:tc>
          <w:tcPr>
            <w:tcW w:w="1496" w:type="dxa"/>
            <w:shd w:val="clear" w:color="auto" w:fill="EDCDCF"/>
          </w:tcPr>
          <w:p w14:paraId="021EE27F" w14:textId="035E53DA" w:rsidR="00574250" w:rsidRPr="00603D31" w:rsidRDefault="00574250" w:rsidP="00F51648">
            <w:pPr>
              <w:pStyle w:val="Tablecolhead"/>
            </w:pPr>
            <w:r>
              <w:t>2022</w:t>
            </w:r>
          </w:p>
        </w:tc>
      </w:tr>
      <w:tr w:rsidR="00574250" w14:paraId="414DE792" w14:textId="75E3D6E2" w:rsidTr="00A0392A">
        <w:trPr>
          <w:trHeight w:val="188"/>
        </w:trPr>
        <w:tc>
          <w:tcPr>
            <w:tcW w:w="2139" w:type="dxa"/>
            <w:shd w:val="clear" w:color="auto" w:fill="auto"/>
            <w:vAlign w:val="center"/>
          </w:tcPr>
          <w:p w14:paraId="6B93D37A" w14:textId="77777777" w:rsidR="00574250" w:rsidRDefault="00574250" w:rsidP="00F51648">
            <w:pPr>
              <w:pStyle w:val="Tabletext"/>
            </w:pPr>
            <w:r>
              <w:t>Per cent</w:t>
            </w:r>
          </w:p>
        </w:tc>
        <w:tc>
          <w:tcPr>
            <w:tcW w:w="1496" w:type="dxa"/>
            <w:shd w:val="clear" w:color="auto" w:fill="auto"/>
            <w:vAlign w:val="center"/>
          </w:tcPr>
          <w:p w14:paraId="2124F12C" w14:textId="77777777" w:rsidR="00574250" w:rsidRPr="004C0E3E" w:rsidRDefault="00574250" w:rsidP="00F51648">
            <w:pPr>
              <w:pStyle w:val="Tabletext"/>
            </w:pPr>
            <w:r w:rsidRPr="004C0E3E">
              <w:t>55.4</w:t>
            </w:r>
          </w:p>
        </w:tc>
        <w:tc>
          <w:tcPr>
            <w:tcW w:w="1496" w:type="dxa"/>
            <w:shd w:val="clear" w:color="auto" w:fill="auto"/>
            <w:vAlign w:val="center"/>
          </w:tcPr>
          <w:p w14:paraId="2144F695" w14:textId="77777777" w:rsidR="00574250" w:rsidRPr="004C0E3E" w:rsidRDefault="00574250" w:rsidP="00F51648">
            <w:pPr>
              <w:pStyle w:val="Tabletext"/>
            </w:pPr>
            <w:r w:rsidRPr="004C0E3E">
              <w:t>60.4</w:t>
            </w:r>
          </w:p>
        </w:tc>
        <w:tc>
          <w:tcPr>
            <w:tcW w:w="1496" w:type="dxa"/>
            <w:shd w:val="clear" w:color="auto" w:fill="auto"/>
            <w:vAlign w:val="center"/>
          </w:tcPr>
          <w:p w14:paraId="6DB4848C" w14:textId="77777777" w:rsidR="00574250" w:rsidRPr="004C0E3E" w:rsidRDefault="00574250" w:rsidP="00F51648">
            <w:pPr>
              <w:pStyle w:val="Tabletext"/>
            </w:pPr>
            <w:r w:rsidRPr="004C0E3E">
              <w:t>59.9</w:t>
            </w:r>
          </w:p>
        </w:tc>
        <w:tc>
          <w:tcPr>
            <w:tcW w:w="1496" w:type="dxa"/>
          </w:tcPr>
          <w:p w14:paraId="001FD35F" w14:textId="7DB9AADF" w:rsidR="00574250" w:rsidRPr="004C0E3E" w:rsidRDefault="00574250" w:rsidP="00F51648">
            <w:pPr>
              <w:pStyle w:val="Tabletext"/>
            </w:pPr>
            <w:r>
              <w:t>58.1</w:t>
            </w:r>
          </w:p>
        </w:tc>
        <w:tc>
          <w:tcPr>
            <w:tcW w:w="1496" w:type="dxa"/>
          </w:tcPr>
          <w:p w14:paraId="40B79783" w14:textId="3F806284" w:rsidR="00574250" w:rsidRPr="004C0E3E" w:rsidRDefault="00574250" w:rsidP="00F51648">
            <w:pPr>
              <w:pStyle w:val="Tabletext"/>
            </w:pPr>
            <w:r>
              <w:t>61.6</w:t>
            </w:r>
          </w:p>
        </w:tc>
      </w:tr>
      <w:tr w:rsidR="00574250" w14:paraId="59A0BB8A" w14:textId="5E3C4D49" w:rsidTr="00A0392A">
        <w:trPr>
          <w:trHeight w:val="43"/>
        </w:trPr>
        <w:tc>
          <w:tcPr>
            <w:tcW w:w="2139" w:type="dxa"/>
            <w:shd w:val="clear" w:color="auto" w:fill="auto"/>
            <w:vAlign w:val="center"/>
          </w:tcPr>
          <w:p w14:paraId="64B9977D" w14:textId="77777777" w:rsidR="00574250" w:rsidRDefault="00574250" w:rsidP="00F51648">
            <w:pPr>
              <w:pStyle w:val="Tabletext"/>
            </w:pPr>
            <w:r>
              <w:t>(95% CI)</w:t>
            </w:r>
          </w:p>
        </w:tc>
        <w:tc>
          <w:tcPr>
            <w:tcW w:w="1496" w:type="dxa"/>
            <w:shd w:val="clear" w:color="auto" w:fill="auto"/>
            <w:vAlign w:val="center"/>
          </w:tcPr>
          <w:p w14:paraId="3EF5933E" w14:textId="4A3C1CBC" w:rsidR="00574250" w:rsidRDefault="00574250" w:rsidP="00F51648">
            <w:pPr>
              <w:pStyle w:val="Tabletext"/>
            </w:pPr>
            <w:r w:rsidRPr="004C0E3E">
              <w:rPr>
                <w:rFonts w:cs="Arial"/>
              </w:rPr>
              <w:t>(±</w:t>
            </w:r>
            <w:r>
              <w:rPr>
                <w:rFonts w:cs="Arial"/>
              </w:rPr>
              <w:t xml:space="preserve"> </w:t>
            </w:r>
            <w:r w:rsidRPr="004C0E3E">
              <w:rPr>
                <w:rFonts w:cs="Arial"/>
              </w:rPr>
              <w:t>2.3)</w:t>
            </w:r>
          </w:p>
        </w:tc>
        <w:tc>
          <w:tcPr>
            <w:tcW w:w="1496" w:type="dxa"/>
            <w:shd w:val="clear" w:color="auto" w:fill="auto"/>
            <w:vAlign w:val="center"/>
          </w:tcPr>
          <w:p w14:paraId="6E1E7C86" w14:textId="7F273C53" w:rsidR="00574250" w:rsidRDefault="00574250" w:rsidP="00F51648">
            <w:pPr>
              <w:pStyle w:val="Tabletext"/>
            </w:pPr>
            <w:r w:rsidRPr="004C0E3E">
              <w:rPr>
                <w:rFonts w:cs="Arial"/>
              </w:rPr>
              <w:t>(±</w:t>
            </w:r>
            <w:r>
              <w:rPr>
                <w:rFonts w:cs="Arial"/>
              </w:rPr>
              <w:t xml:space="preserve"> </w:t>
            </w:r>
            <w:r w:rsidRPr="004C0E3E">
              <w:rPr>
                <w:rFonts w:cs="Arial"/>
              </w:rPr>
              <w:t>2.3)</w:t>
            </w:r>
          </w:p>
        </w:tc>
        <w:tc>
          <w:tcPr>
            <w:tcW w:w="1496" w:type="dxa"/>
            <w:shd w:val="clear" w:color="auto" w:fill="auto"/>
            <w:vAlign w:val="center"/>
          </w:tcPr>
          <w:p w14:paraId="229C1A11" w14:textId="1F4228CD" w:rsidR="00574250" w:rsidRDefault="00574250" w:rsidP="00F51648">
            <w:pPr>
              <w:pStyle w:val="Tabletext"/>
            </w:pPr>
            <w:r w:rsidRPr="004C0E3E">
              <w:rPr>
                <w:rFonts w:cs="Arial"/>
              </w:rPr>
              <w:t>(±</w:t>
            </w:r>
            <w:r>
              <w:rPr>
                <w:rFonts w:cs="Arial"/>
              </w:rPr>
              <w:t xml:space="preserve"> </w:t>
            </w:r>
            <w:r w:rsidRPr="004C0E3E">
              <w:rPr>
                <w:rFonts w:cs="Arial"/>
              </w:rPr>
              <w:t>2.3)</w:t>
            </w:r>
          </w:p>
        </w:tc>
        <w:tc>
          <w:tcPr>
            <w:tcW w:w="1496" w:type="dxa"/>
          </w:tcPr>
          <w:p w14:paraId="7657BF3E" w14:textId="1E717433" w:rsidR="00574250" w:rsidRPr="004C0E3E" w:rsidRDefault="00574250" w:rsidP="00F51648">
            <w:pPr>
              <w:pStyle w:val="Tabletext"/>
              <w:rPr>
                <w:rFonts w:cs="Arial"/>
              </w:rPr>
            </w:pPr>
            <w:r w:rsidRPr="004C0E3E">
              <w:rPr>
                <w:rFonts w:cs="Arial"/>
              </w:rPr>
              <w:t>(±</w:t>
            </w:r>
            <w:r>
              <w:rPr>
                <w:rFonts w:cs="Arial"/>
              </w:rPr>
              <w:t xml:space="preserve"> </w:t>
            </w:r>
            <w:r w:rsidRPr="004C0E3E">
              <w:rPr>
                <w:rFonts w:cs="Arial"/>
              </w:rPr>
              <w:t>2.</w:t>
            </w:r>
            <w:r>
              <w:rPr>
                <w:rFonts w:cs="Arial"/>
              </w:rPr>
              <w:t>1</w:t>
            </w:r>
            <w:r w:rsidRPr="004C0E3E">
              <w:rPr>
                <w:rFonts w:cs="Arial"/>
              </w:rPr>
              <w:t>)</w:t>
            </w:r>
          </w:p>
        </w:tc>
        <w:tc>
          <w:tcPr>
            <w:tcW w:w="1496" w:type="dxa"/>
          </w:tcPr>
          <w:p w14:paraId="4A6DDB69" w14:textId="2EBFC6F0" w:rsidR="00574250" w:rsidRPr="004C0E3E" w:rsidRDefault="00574250" w:rsidP="00F51648">
            <w:pPr>
              <w:pStyle w:val="Tabletext"/>
              <w:rPr>
                <w:rFonts w:cs="Arial"/>
              </w:rPr>
            </w:pPr>
            <w:r w:rsidRPr="004C0E3E">
              <w:rPr>
                <w:rFonts w:cs="Arial"/>
              </w:rPr>
              <w:t>(±</w:t>
            </w:r>
            <w:r>
              <w:rPr>
                <w:rFonts w:cs="Arial"/>
              </w:rPr>
              <w:t xml:space="preserve"> </w:t>
            </w:r>
            <w:r w:rsidRPr="004C0E3E">
              <w:rPr>
                <w:rFonts w:cs="Arial"/>
              </w:rPr>
              <w:t>2.</w:t>
            </w:r>
            <w:r>
              <w:rPr>
                <w:rFonts w:cs="Arial"/>
              </w:rPr>
              <w:t>0</w:t>
            </w:r>
            <w:r w:rsidRPr="004C0E3E">
              <w:rPr>
                <w:rFonts w:cs="Arial"/>
              </w:rPr>
              <w:t>)</w:t>
            </w:r>
          </w:p>
        </w:tc>
      </w:tr>
    </w:tbl>
    <w:p w14:paraId="564F0CBE" w14:textId="6BE69244" w:rsidR="00402917" w:rsidRPr="00772F6F" w:rsidRDefault="00402917" w:rsidP="00561DBE">
      <w:pPr>
        <w:pStyle w:val="Tablefigurenote"/>
        <w:rPr>
          <w:i/>
          <w:iCs/>
          <w:sz w:val="18"/>
          <w:szCs w:val="18"/>
        </w:rPr>
      </w:pPr>
      <w:r w:rsidRPr="00772F6F">
        <w:rPr>
          <w:i/>
          <w:iCs/>
          <w:sz w:val="18"/>
          <w:szCs w:val="18"/>
        </w:rPr>
        <w:t>Source</w:t>
      </w:r>
      <w:r w:rsidR="00F55BCF" w:rsidRPr="00772F6F">
        <w:rPr>
          <w:i/>
          <w:iCs/>
          <w:sz w:val="18"/>
          <w:szCs w:val="18"/>
        </w:rPr>
        <w:t>s</w:t>
      </w:r>
      <w:r w:rsidRPr="00772F6F">
        <w:rPr>
          <w:i/>
          <w:iCs/>
          <w:sz w:val="18"/>
          <w:szCs w:val="18"/>
        </w:rPr>
        <w:t xml:space="preserve">: </w:t>
      </w:r>
      <w:r w:rsidR="00F55BCF" w:rsidRPr="00772F6F">
        <w:rPr>
          <w:i/>
          <w:iCs/>
          <w:sz w:val="18"/>
          <w:szCs w:val="18"/>
        </w:rPr>
        <w:t>U</w:t>
      </w:r>
      <w:r w:rsidRPr="00772F6F">
        <w:rPr>
          <w:i/>
          <w:iCs/>
          <w:sz w:val="18"/>
          <w:szCs w:val="18"/>
        </w:rPr>
        <w:t>npublished</w:t>
      </w:r>
      <w:r w:rsidR="0009006B" w:rsidRPr="00772F6F">
        <w:rPr>
          <w:i/>
          <w:iCs/>
          <w:sz w:val="18"/>
          <w:szCs w:val="18"/>
        </w:rPr>
        <w:t xml:space="preserve"> analysis of</w:t>
      </w:r>
      <w:r w:rsidRPr="00772F6F">
        <w:rPr>
          <w:i/>
          <w:iCs/>
          <w:sz w:val="18"/>
          <w:szCs w:val="18"/>
        </w:rPr>
        <w:t xml:space="preserve"> Victorian Smoking and Health Survey</w:t>
      </w:r>
      <w:r w:rsidR="000D21D2" w:rsidRPr="00772F6F">
        <w:rPr>
          <w:i/>
          <w:iCs/>
          <w:sz w:val="18"/>
          <w:szCs w:val="18"/>
        </w:rPr>
        <w:t xml:space="preserve"> </w:t>
      </w:r>
      <w:r w:rsidR="0009006B" w:rsidRPr="00772F6F">
        <w:rPr>
          <w:i/>
          <w:iCs/>
          <w:sz w:val="18"/>
          <w:szCs w:val="18"/>
        </w:rPr>
        <w:t>data</w:t>
      </w:r>
      <w:r w:rsidR="00F55BCF" w:rsidRPr="00772F6F">
        <w:rPr>
          <w:i/>
          <w:iCs/>
          <w:sz w:val="18"/>
          <w:szCs w:val="18"/>
        </w:rPr>
        <w:t xml:space="preserve"> and</w:t>
      </w:r>
      <w:r w:rsidRPr="00772F6F">
        <w:rPr>
          <w:i/>
          <w:iCs/>
          <w:sz w:val="18"/>
          <w:szCs w:val="18"/>
        </w:rPr>
        <w:t xml:space="preserve"> Cancer Council Victoria </w:t>
      </w:r>
      <w:r w:rsidR="00F55BCF" w:rsidRPr="00772F6F">
        <w:rPr>
          <w:i/>
          <w:iCs/>
          <w:sz w:val="18"/>
          <w:szCs w:val="18"/>
        </w:rPr>
        <w:t xml:space="preserve">data from </w:t>
      </w:r>
      <w:r w:rsidRPr="00772F6F">
        <w:rPr>
          <w:i/>
          <w:iCs/>
          <w:sz w:val="18"/>
          <w:szCs w:val="18"/>
        </w:rPr>
        <w:t>2018</w:t>
      </w:r>
      <w:r w:rsidR="00F55BCF" w:rsidRPr="00772F6F">
        <w:rPr>
          <w:i/>
          <w:iCs/>
          <w:sz w:val="18"/>
          <w:szCs w:val="18"/>
        </w:rPr>
        <w:t>–</w:t>
      </w:r>
      <w:r w:rsidR="0009006B" w:rsidRPr="00772F6F">
        <w:rPr>
          <w:i/>
          <w:iCs/>
          <w:sz w:val="18"/>
          <w:szCs w:val="18"/>
        </w:rPr>
        <w:t>19</w:t>
      </w:r>
      <w:r w:rsidR="00574250" w:rsidRPr="00772F6F">
        <w:rPr>
          <w:i/>
          <w:iCs/>
          <w:sz w:val="18"/>
          <w:szCs w:val="18"/>
        </w:rPr>
        <w:t xml:space="preserve"> and 2022</w:t>
      </w:r>
    </w:p>
    <w:p w14:paraId="06479446" w14:textId="7E78D817" w:rsidR="004E1857" w:rsidRPr="00772F6F" w:rsidRDefault="004E1857" w:rsidP="00561DBE">
      <w:pPr>
        <w:pStyle w:val="Tablefigurenote"/>
        <w:rPr>
          <w:i/>
          <w:iCs/>
          <w:sz w:val="18"/>
          <w:szCs w:val="18"/>
        </w:rPr>
      </w:pPr>
      <w:r w:rsidRPr="00772F6F">
        <w:rPr>
          <w:i/>
          <w:iCs/>
          <w:sz w:val="18"/>
          <w:szCs w:val="18"/>
        </w:rPr>
        <w:t>Notes</w:t>
      </w:r>
      <w:r w:rsidR="00402917" w:rsidRPr="00772F6F">
        <w:rPr>
          <w:i/>
          <w:iCs/>
          <w:sz w:val="18"/>
          <w:szCs w:val="18"/>
        </w:rPr>
        <w:t>:</w:t>
      </w:r>
    </w:p>
    <w:p w14:paraId="030FED91" w14:textId="53A0CED9" w:rsidR="004E1857" w:rsidRPr="00772F6F" w:rsidRDefault="004E1857" w:rsidP="00561DBE">
      <w:pPr>
        <w:pStyle w:val="Tablefigurenote"/>
        <w:rPr>
          <w:i/>
          <w:iCs/>
          <w:sz w:val="18"/>
          <w:szCs w:val="18"/>
        </w:rPr>
      </w:pPr>
      <w:r w:rsidRPr="00772F6F">
        <w:rPr>
          <w:i/>
          <w:iCs/>
          <w:sz w:val="18"/>
          <w:szCs w:val="18"/>
        </w:rPr>
        <w:t>The calculation of the quit ratio excluded those who did not state how long ago they had quit</w:t>
      </w:r>
      <w:r w:rsidR="00402917" w:rsidRPr="00772F6F">
        <w:rPr>
          <w:i/>
          <w:iCs/>
          <w:sz w:val="18"/>
          <w:szCs w:val="18"/>
        </w:rPr>
        <w:t>.</w:t>
      </w:r>
    </w:p>
    <w:p w14:paraId="151986A1" w14:textId="5CC03168" w:rsidR="004E1857" w:rsidRPr="00772F6F" w:rsidRDefault="004E1857" w:rsidP="00574250">
      <w:pPr>
        <w:pStyle w:val="Tablefigurenote"/>
        <w:rPr>
          <w:i/>
          <w:iCs/>
          <w:sz w:val="18"/>
          <w:szCs w:val="18"/>
        </w:rPr>
      </w:pPr>
      <w:r w:rsidRPr="00772F6F">
        <w:rPr>
          <w:i/>
          <w:iCs/>
          <w:sz w:val="18"/>
          <w:szCs w:val="18"/>
        </w:rPr>
        <w:t>Number of Victorian</w:t>
      </w:r>
      <w:r w:rsidR="00F55BCF" w:rsidRPr="00772F6F">
        <w:rPr>
          <w:i/>
          <w:iCs/>
          <w:sz w:val="18"/>
          <w:szCs w:val="18"/>
        </w:rPr>
        <w:t>s</w:t>
      </w:r>
      <w:r w:rsidR="0009006B" w:rsidRPr="00772F6F">
        <w:rPr>
          <w:i/>
          <w:iCs/>
          <w:sz w:val="18"/>
          <w:szCs w:val="18"/>
        </w:rPr>
        <w:t xml:space="preserve"> who had</w:t>
      </w:r>
      <w:r w:rsidRPr="00772F6F">
        <w:rPr>
          <w:i/>
          <w:iCs/>
          <w:sz w:val="18"/>
          <w:szCs w:val="18"/>
        </w:rPr>
        <w:t xml:space="preserve"> ever smoke</w:t>
      </w:r>
      <w:r w:rsidR="0009006B" w:rsidRPr="00772F6F">
        <w:rPr>
          <w:i/>
          <w:iCs/>
          <w:sz w:val="18"/>
          <w:szCs w:val="18"/>
        </w:rPr>
        <w:t>d</w:t>
      </w:r>
      <w:r w:rsidRPr="00772F6F">
        <w:rPr>
          <w:i/>
          <w:iCs/>
          <w:sz w:val="18"/>
          <w:szCs w:val="18"/>
        </w:rPr>
        <w:t xml:space="preserve"> = 1</w:t>
      </w:r>
      <w:r w:rsidR="00702BEF" w:rsidRPr="00772F6F">
        <w:rPr>
          <w:i/>
          <w:iCs/>
          <w:sz w:val="18"/>
          <w:szCs w:val="18"/>
        </w:rPr>
        <w:t>,</w:t>
      </w:r>
      <w:r w:rsidRPr="00772F6F">
        <w:rPr>
          <w:i/>
          <w:iCs/>
          <w:sz w:val="18"/>
          <w:szCs w:val="18"/>
        </w:rPr>
        <w:t>693</w:t>
      </w:r>
      <w:r w:rsidR="00702BEF" w:rsidRPr="00772F6F">
        <w:rPr>
          <w:i/>
          <w:iCs/>
          <w:sz w:val="18"/>
          <w:szCs w:val="18"/>
        </w:rPr>
        <w:t>–</w:t>
      </w:r>
      <w:r w:rsidRPr="00772F6F">
        <w:rPr>
          <w:i/>
          <w:iCs/>
          <w:sz w:val="18"/>
          <w:szCs w:val="18"/>
        </w:rPr>
        <w:t>1</w:t>
      </w:r>
      <w:r w:rsidR="00702BEF" w:rsidRPr="00772F6F">
        <w:rPr>
          <w:i/>
          <w:iCs/>
          <w:sz w:val="18"/>
          <w:szCs w:val="18"/>
        </w:rPr>
        <w:t>,</w:t>
      </w:r>
      <w:r w:rsidRPr="00772F6F">
        <w:rPr>
          <w:i/>
          <w:iCs/>
          <w:sz w:val="18"/>
          <w:szCs w:val="18"/>
        </w:rPr>
        <w:t>798</w:t>
      </w:r>
      <w:r w:rsidR="00574250" w:rsidRPr="00772F6F">
        <w:rPr>
          <w:i/>
          <w:iCs/>
          <w:sz w:val="18"/>
          <w:szCs w:val="18"/>
        </w:rPr>
        <w:t xml:space="preserve"> (2015</w:t>
      </w:r>
      <w:r w:rsidR="00246747" w:rsidRPr="00772F6F">
        <w:rPr>
          <w:i/>
          <w:iCs/>
          <w:sz w:val="18"/>
          <w:szCs w:val="18"/>
        </w:rPr>
        <w:t>–</w:t>
      </w:r>
      <w:r w:rsidR="00574250" w:rsidRPr="00772F6F">
        <w:rPr>
          <w:i/>
          <w:iCs/>
          <w:sz w:val="18"/>
          <w:szCs w:val="18"/>
        </w:rPr>
        <w:t>2017)</w:t>
      </w:r>
      <w:r w:rsidR="004E2A32" w:rsidRPr="00772F6F">
        <w:rPr>
          <w:i/>
          <w:iCs/>
          <w:sz w:val="18"/>
          <w:szCs w:val="18"/>
        </w:rPr>
        <w:t>.</w:t>
      </w:r>
      <w:r w:rsidR="00574250" w:rsidRPr="00772F6F">
        <w:rPr>
          <w:i/>
          <w:iCs/>
          <w:sz w:val="18"/>
          <w:szCs w:val="18"/>
        </w:rPr>
        <w:t xml:space="preserve"> </w:t>
      </w:r>
      <w:r w:rsidR="004E2A32" w:rsidRPr="00772F6F">
        <w:rPr>
          <w:i/>
          <w:iCs/>
          <w:sz w:val="18"/>
          <w:szCs w:val="18"/>
        </w:rPr>
        <w:t>T</w:t>
      </w:r>
      <w:r w:rsidR="00574250" w:rsidRPr="00772F6F">
        <w:rPr>
          <w:i/>
          <w:iCs/>
          <w:sz w:val="18"/>
          <w:szCs w:val="18"/>
        </w:rPr>
        <w:t xml:space="preserve">here were 3,589 </w:t>
      </w:r>
      <w:r w:rsidR="0009006B" w:rsidRPr="00772F6F">
        <w:rPr>
          <w:i/>
          <w:iCs/>
          <w:sz w:val="18"/>
          <w:szCs w:val="18"/>
        </w:rPr>
        <w:t xml:space="preserve">people who had </w:t>
      </w:r>
      <w:r w:rsidR="00574250" w:rsidRPr="00772F6F">
        <w:rPr>
          <w:i/>
          <w:iCs/>
          <w:sz w:val="18"/>
          <w:szCs w:val="18"/>
        </w:rPr>
        <w:t>ever smoke</w:t>
      </w:r>
      <w:r w:rsidR="0009006B" w:rsidRPr="00772F6F">
        <w:rPr>
          <w:i/>
          <w:iCs/>
          <w:sz w:val="18"/>
          <w:szCs w:val="18"/>
        </w:rPr>
        <w:t>d</w:t>
      </w:r>
      <w:r w:rsidR="00574250" w:rsidRPr="00772F6F">
        <w:rPr>
          <w:i/>
          <w:iCs/>
          <w:sz w:val="18"/>
          <w:szCs w:val="18"/>
        </w:rPr>
        <w:t xml:space="preserve"> who reported their smoking status and quitting history in 2018</w:t>
      </w:r>
      <w:r w:rsidR="00246747" w:rsidRPr="00772F6F">
        <w:rPr>
          <w:i/>
          <w:iCs/>
          <w:sz w:val="18"/>
          <w:szCs w:val="18"/>
        </w:rPr>
        <w:t>–</w:t>
      </w:r>
      <w:r w:rsidR="00574250" w:rsidRPr="00772F6F">
        <w:rPr>
          <w:i/>
          <w:iCs/>
          <w:sz w:val="18"/>
          <w:szCs w:val="18"/>
        </w:rPr>
        <w:t>19, and 5,010 in 2022 (weighted).</w:t>
      </w:r>
    </w:p>
    <w:p w14:paraId="1201C2EE" w14:textId="6D85EBD8" w:rsidR="000D21D2" w:rsidRPr="00772F6F" w:rsidRDefault="00574250" w:rsidP="00574250">
      <w:pPr>
        <w:pStyle w:val="Tablefigurenote"/>
        <w:rPr>
          <w:i/>
          <w:iCs/>
          <w:sz w:val="18"/>
          <w:szCs w:val="18"/>
        </w:rPr>
      </w:pPr>
      <w:r w:rsidRPr="00772F6F">
        <w:rPr>
          <w:i/>
          <w:iCs/>
          <w:sz w:val="18"/>
          <w:szCs w:val="18"/>
        </w:rPr>
        <w:t xml:space="preserve">The </w:t>
      </w:r>
      <w:r w:rsidR="0009006B" w:rsidRPr="00772F6F">
        <w:rPr>
          <w:i/>
          <w:iCs/>
          <w:sz w:val="18"/>
          <w:szCs w:val="18"/>
        </w:rPr>
        <w:t xml:space="preserve">samples from the </w:t>
      </w:r>
      <w:r w:rsidRPr="00772F6F">
        <w:rPr>
          <w:i/>
          <w:iCs/>
          <w:sz w:val="18"/>
          <w:szCs w:val="18"/>
        </w:rPr>
        <w:t>Victorian Smoking and Health Surveys 2018 and 2019 were combined.</w:t>
      </w:r>
      <w:r w:rsidR="003F48E2" w:rsidRPr="00772F6F">
        <w:rPr>
          <w:i/>
          <w:iCs/>
          <w:sz w:val="18"/>
          <w:szCs w:val="18"/>
        </w:rPr>
        <w:t xml:space="preserve"> </w:t>
      </w:r>
      <w:r w:rsidR="0009006B" w:rsidRPr="00772F6F">
        <w:rPr>
          <w:i/>
          <w:iCs/>
          <w:sz w:val="18"/>
          <w:szCs w:val="18"/>
        </w:rPr>
        <w:t>This survey has transitioned to a four</w:t>
      </w:r>
      <w:r w:rsidR="004E2A32" w:rsidRPr="00772F6F">
        <w:rPr>
          <w:i/>
          <w:iCs/>
          <w:sz w:val="18"/>
          <w:szCs w:val="18"/>
        </w:rPr>
        <w:t>-</w:t>
      </w:r>
      <w:r w:rsidR="0009006B" w:rsidRPr="00772F6F">
        <w:rPr>
          <w:i/>
          <w:iCs/>
          <w:sz w:val="18"/>
          <w:szCs w:val="18"/>
        </w:rPr>
        <w:t>yearly data collection cycle, meaning n</w:t>
      </w:r>
      <w:r w:rsidR="00AA3803" w:rsidRPr="00772F6F">
        <w:rPr>
          <w:i/>
          <w:iCs/>
          <w:sz w:val="18"/>
          <w:szCs w:val="18"/>
        </w:rPr>
        <w:t>o information was collected during 2020 and 202</w:t>
      </w:r>
      <w:r w:rsidR="0009006B" w:rsidRPr="00772F6F">
        <w:rPr>
          <w:i/>
          <w:iCs/>
          <w:sz w:val="18"/>
          <w:szCs w:val="18"/>
        </w:rPr>
        <w:t>1</w:t>
      </w:r>
      <w:r w:rsidR="00AA3803" w:rsidRPr="00772F6F">
        <w:rPr>
          <w:i/>
          <w:iCs/>
          <w:sz w:val="18"/>
          <w:szCs w:val="18"/>
        </w:rPr>
        <w:t>. As a result, the 2022 survey was collected with a much larger sample (n</w:t>
      </w:r>
      <w:r w:rsidR="00246747" w:rsidRPr="00772F6F">
        <w:rPr>
          <w:i/>
          <w:iCs/>
          <w:sz w:val="18"/>
          <w:szCs w:val="18"/>
        </w:rPr>
        <w:t xml:space="preserve"> </w:t>
      </w:r>
      <w:r w:rsidR="00AA3803" w:rsidRPr="00772F6F">
        <w:rPr>
          <w:i/>
          <w:iCs/>
          <w:sz w:val="18"/>
          <w:szCs w:val="18"/>
        </w:rPr>
        <w:t>=</w:t>
      </w:r>
      <w:r w:rsidR="00246747" w:rsidRPr="00772F6F">
        <w:rPr>
          <w:i/>
          <w:iCs/>
          <w:sz w:val="18"/>
          <w:szCs w:val="18"/>
        </w:rPr>
        <w:t xml:space="preserve"> </w:t>
      </w:r>
      <w:r w:rsidR="00AA3803" w:rsidRPr="00772F6F">
        <w:rPr>
          <w:i/>
          <w:iCs/>
          <w:sz w:val="18"/>
          <w:szCs w:val="18"/>
        </w:rPr>
        <w:t xml:space="preserve">12,000) than </w:t>
      </w:r>
      <w:r w:rsidR="0009006B" w:rsidRPr="00772F6F">
        <w:rPr>
          <w:i/>
          <w:iCs/>
          <w:sz w:val="18"/>
          <w:szCs w:val="18"/>
        </w:rPr>
        <w:t>in</w:t>
      </w:r>
      <w:r w:rsidR="00AA3803" w:rsidRPr="00772F6F">
        <w:rPr>
          <w:i/>
          <w:iCs/>
          <w:sz w:val="18"/>
          <w:szCs w:val="18"/>
        </w:rPr>
        <w:t xml:space="preserve"> previous annual surveys (typically n</w:t>
      </w:r>
      <w:r w:rsidR="00246747" w:rsidRPr="00772F6F">
        <w:rPr>
          <w:i/>
          <w:iCs/>
          <w:sz w:val="18"/>
          <w:szCs w:val="18"/>
        </w:rPr>
        <w:t xml:space="preserve"> </w:t>
      </w:r>
      <w:r w:rsidR="00AA3803" w:rsidRPr="00772F6F">
        <w:rPr>
          <w:i/>
          <w:iCs/>
          <w:sz w:val="18"/>
          <w:szCs w:val="18"/>
        </w:rPr>
        <w:t>=</w:t>
      </w:r>
      <w:r w:rsidR="00246747" w:rsidRPr="00772F6F">
        <w:rPr>
          <w:i/>
          <w:iCs/>
          <w:sz w:val="18"/>
          <w:szCs w:val="18"/>
        </w:rPr>
        <w:t xml:space="preserve"> </w:t>
      </w:r>
      <w:r w:rsidR="00AA3803" w:rsidRPr="00772F6F">
        <w:rPr>
          <w:i/>
          <w:iCs/>
          <w:sz w:val="18"/>
          <w:szCs w:val="18"/>
        </w:rPr>
        <w:t>4,000)</w:t>
      </w:r>
      <w:r w:rsidR="000D21D2" w:rsidRPr="00772F6F">
        <w:rPr>
          <w:i/>
          <w:iCs/>
          <w:sz w:val="18"/>
          <w:szCs w:val="18"/>
        </w:rPr>
        <w:t>. The next survey will run in 202</w:t>
      </w:r>
      <w:r w:rsidR="0009006B" w:rsidRPr="00772F6F">
        <w:rPr>
          <w:i/>
          <w:iCs/>
          <w:sz w:val="18"/>
          <w:szCs w:val="18"/>
        </w:rPr>
        <w:t>6</w:t>
      </w:r>
      <w:r w:rsidR="000D21D2" w:rsidRPr="00772F6F">
        <w:rPr>
          <w:i/>
          <w:iCs/>
          <w:sz w:val="18"/>
          <w:szCs w:val="18"/>
        </w:rPr>
        <w:t>.</w:t>
      </w:r>
    </w:p>
    <w:p w14:paraId="56C49E3D" w14:textId="77777777" w:rsidR="00F6645C" w:rsidRDefault="00F6645C" w:rsidP="007C7F00">
      <w:pPr>
        <w:pStyle w:val="Heading4"/>
      </w:pPr>
      <w:r>
        <w:t>Measure assessment</w:t>
      </w:r>
    </w:p>
    <w:p w14:paraId="62791203" w14:textId="65E840E2" w:rsidR="00FC4EFD" w:rsidRDefault="00FC4EFD" w:rsidP="00606436">
      <w:pPr>
        <w:pStyle w:val="Body"/>
      </w:pPr>
      <w:r w:rsidRPr="009F01B1">
        <w:t>Traffic light rating:</w:t>
      </w:r>
      <w:r w:rsidR="00F829F0" w:rsidRPr="009F01B1">
        <w:t xml:space="preserve"> </w:t>
      </w:r>
      <w:r w:rsidR="00F829F0" w:rsidRPr="00D207B2">
        <w:rPr>
          <w:b/>
          <w:color w:val="007B4B"/>
        </w:rPr>
        <w:t>Green</w:t>
      </w:r>
      <w:r w:rsidR="00061321">
        <w:t xml:space="preserve"> (satisfactory result)</w:t>
      </w:r>
    </w:p>
    <w:p w14:paraId="0D71CE6D" w14:textId="4DAFA20A" w:rsidR="00F6645C" w:rsidRDefault="00F6645C" w:rsidP="00606436">
      <w:pPr>
        <w:pStyle w:val="Body"/>
      </w:pPr>
      <w:r w:rsidRPr="009F01B1">
        <w:t>Overall trend</w:t>
      </w:r>
      <w:r w:rsidRPr="00843274">
        <w:t>: Moving in the right direction</w:t>
      </w:r>
    </w:p>
    <w:p w14:paraId="078B42CA" w14:textId="17466C71" w:rsidR="00F829F0" w:rsidRPr="00F829F0" w:rsidRDefault="00F6645C" w:rsidP="00E87AAA">
      <w:pPr>
        <w:pStyle w:val="Body"/>
        <w:rPr>
          <w:color w:val="000000"/>
          <w:sz w:val="24"/>
          <w:szCs w:val="24"/>
        </w:rPr>
      </w:pPr>
      <w:r w:rsidRPr="00F829F0">
        <w:t xml:space="preserve">Commentary: </w:t>
      </w:r>
      <w:r w:rsidR="00FC4EFD" w:rsidRPr="00F829F0">
        <w:t xml:space="preserve">The Victorian Smoking and Health Survey is a </w:t>
      </w:r>
      <w:r w:rsidR="0038678D">
        <w:t xml:space="preserve">representative </w:t>
      </w:r>
      <w:r w:rsidR="00FC4EFD" w:rsidRPr="00F829F0">
        <w:t>cross-sectional, telephone survey of English</w:t>
      </w:r>
      <w:r w:rsidR="002069B8">
        <w:t>-</w:t>
      </w:r>
      <w:r w:rsidR="00FC4EFD" w:rsidRPr="00F829F0">
        <w:t>speaking Victorian adults</w:t>
      </w:r>
      <w:r w:rsidR="009E1C60">
        <w:t xml:space="preserve"> aged 18 years </w:t>
      </w:r>
      <w:r w:rsidR="008C547E">
        <w:t xml:space="preserve">or </w:t>
      </w:r>
      <w:r w:rsidR="009E1C60">
        <w:t>old</w:t>
      </w:r>
      <w:r w:rsidR="00574250">
        <w:t>e</w:t>
      </w:r>
      <w:r w:rsidR="009E1C60">
        <w:t>r</w:t>
      </w:r>
      <w:r w:rsidR="00FC4EFD" w:rsidRPr="00F829F0">
        <w:t xml:space="preserve">. The quit ratio is the proportion of </w:t>
      </w:r>
      <w:r w:rsidR="0038678D">
        <w:t>people who had ever</w:t>
      </w:r>
      <w:r w:rsidR="00FC4EFD" w:rsidRPr="00F829F0">
        <w:t xml:space="preserve"> smoke</w:t>
      </w:r>
      <w:r w:rsidR="0038678D">
        <w:t>d</w:t>
      </w:r>
      <w:r w:rsidR="00FC4EFD" w:rsidRPr="00F829F0">
        <w:t xml:space="preserve"> (that is, </w:t>
      </w:r>
      <w:r w:rsidR="0038678D">
        <w:t xml:space="preserve">people who </w:t>
      </w:r>
      <w:r w:rsidR="00FC4EFD" w:rsidRPr="00F829F0">
        <w:t>current</w:t>
      </w:r>
      <w:r w:rsidR="0038678D">
        <w:t>ly smoke</w:t>
      </w:r>
      <w:r w:rsidR="00FC4EFD" w:rsidRPr="00F829F0">
        <w:t xml:space="preserve"> or </w:t>
      </w:r>
      <w:r w:rsidR="0038678D">
        <w:t>previously</w:t>
      </w:r>
      <w:r w:rsidR="00FC4EFD" w:rsidRPr="00F829F0">
        <w:t xml:space="preserve"> smoke</w:t>
      </w:r>
      <w:r w:rsidR="0038678D">
        <w:t>d</w:t>
      </w:r>
      <w:r w:rsidR="00FC4EFD" w:rsidRPr="00F829F0">
        <w:t xml:space="preserve">) who stated that they had </w:t>
      </w:r>
      <w:r w:rsidR="002069B8">
        <w:t>not smoked</w:t>
      </w:r>
      <w:r w:rsidR="00FC4EFD" w:rsidRPr="00F829F0">
        <w:t xml:space="preserve"> for at least one year at the time of the survey.</w:t>
      </w:r>
    </w:p>
    <w:p w14:paraId="28AE2233" w14:textId="7A92B171" w:rsidR="00E31E10" w:rsidRDefault="00720F02" w:rsidP="00E87AAA">
      <w:pPr>
        <w:pStyle w:val="Body"/>
      </w:pPr>
      <w:r>
        <w:t xml:space="preserve">Figure 17.5 </w:t>
      </w:r>
      <w:r w:rsidR="00FF1AD0">
        <w:t xml:space="preserve">and Table 17.5 </w:t>
      </w:r>
      <w:r>
        <w:t>show that t</w:t>
      </w:r>
      <w:r w:rsidR="00F829F0" w:rsidRPr="00837127">
        <w:t>he quit ratio among Victorian</w:t>
      </w:r>
      <w:r w:rsidR="00A20D54">
        <w:t>s who had</w:t>
      </w:r>
      <w:r w:rsidR="00F829F0" w:rsidRPr="00837127">
        <w:t xml:space="preserve"> smoke</w:t>
      </w:r>
      <w:r w:rsidR="00A20D54">
        <w:t>d</w:t>
      </w:r>
      <w:r w:rsidR="00F829F0" w:rsidRPr="00837127">
        <w:t xml:space="preserve"> increased between 2015 and 20</w:t>
      </w:r>
      <w:r w:rsidR="009E1C60">
        <w:t>22</w:t>
      </w:r>
      <w:r w:rsidR="00F829F0" w:rsidRPr="00837127">
        <w:t xml:space="preserve"> (up from 55.4 to </w:t>
      </w:r>
      <w:r w:rsidR="009E1C60">
        <w:t>61</w:t>
      </w:r>
      <w:r w:rsidR="00F829F0" w:rsidRPr="00837127">
        <w:t>.</w:t>
      </w:r>
      <w:r w:rsidR="009E1C60">
        <w:t>6</w:t>
      </w:r>
      <w:r w:rsidR="0054537F">
        <w:t>%</w:t>
      </w:r>
      <w:r w:rsidR="00F829F0" w:rsidRPr="00837127">
        <w:t>)</w:t>
      </w:r>
      <w:r w:rsidR="004B1A94">
        <w:t>.</w:t>
      </w:r>
      <w:r w:rsidR="009E1C60">
        <w:t xml:space="preserve"> Th</w:t>
      </w:r>
      <w:r w:rsidR="00C10910">
        <w:t xml:space="preserve">e result for </w:t>
      </w:r>
      <w:r w:rsidR="009E1C60">
        <w:t xml:space="preserve">2022 </w:t>
      </w:r>
      <w:r w:rsidR="00C10910">
        <w:t xml:space="preserve">means </w:t>
      </w:r>
      <w:r w:rsidR="009E1C60">
        <w:t xml:space="preserve">more than three in five </w:t>
      </w:r>
      <w:r w:rsidR="009E1C60">
        <w:lastRenderedPageBreak/>
        <w:t>adult Victorians who had ever smoked had quit for at least one year in 2022.</w:t>
      </w:r>
      <w:r w:rsidR="00B67E95">
        <w:t xml:space="preserve"> The latest result </w:t>
      </w:r>
      <w:r w:rsidR="004E2A32">
        <w:t>shows</w:t>
      </w:r>
      <w:r w:rsidR="00B67E95">
        <w:t xml:space="preserve"> the positive impact tobacco reforms are having in Victoria. </w:t>
      </w:r>
      <w:r w:rsidR="00FB6815">
        <w:t>At the time of writing</w:t>
      </w:r>
      <w:r w:rsidR="0076793D">
        <w:t>,</w:t>
      </w:r>
      <w:r w:rsidR="00FB6815">
        <w:t xml:space="preserve"> it is noted that e-cigarettes have gained in popularity in Australia (including Victoria) and worldwide over the past few years</w:t>
      </w:r>
      <w:r w:rsidR="00E31E10">
        <w:t xml:space="preserve">. A recent report showed almost double the number of Victorian </w:t>
      </w:r>
      <w:r w:rsidR="000D5851">
        <w:t>adults</w:t>
      </w:r>
      <w:r w:rsidR="00E31E10">
        <w:t xml:space="preserve"> report</w:t>
      </w:r>
      <w:r w:rsidR="004E2A32">
        <w:t>ing</w:t>
      </w:r>
      <w:r w:rsidR="00E31E10">
        <w:t xml:space="preserve"> vaping </w:t>
      </w:r>
      <w:r w:rsidR="00A20D54">
        <w:t>in</w:t>
      </w:r>
      <w:r w:rsidR="00E31E10">
        <w:t xml:space="preserve"> 2022 (estimated 308,827) compared </w:t>
      </w:r>
      <w:r w:rsidR="002C060B" w:rsidRPr="002C060B">
        <w:t xml:space="preserve">with </w:t>
      </w:r>
      <w:r w:rsidR="00E31E10">
        <w:t>2018</w:t>
      </w:r>
      <w:r w:rsidR="00246747">
        <w:t>–</w:t>
      </w:r>
      <w:r w:rsidR="00E31E10">
        <w:t>19 (estimated 154,895 users). This report also highlighted an alarming trend</w:t>
      </w:r>
      <w:r w:rsidR="00A20D54">
        <w:t>,</w:t>
      </w:r>
      <w:r w:rsidR="00E31E10">
        <w:t xml:space="preserve"> namely </w:t>
      </w:r>
      <w:r w:rsidR="00BB3163">
        <w:t xml:space="preserve">that </w:t>
      </w:r>
      <w:r w:rsidR="00E31E10">
        <w:t xml:space="preserve">the proportion of </w:t>
      </w:r>
      <w:r w:rsidR="00A20D54">
        <w:t xml:space="preserve">Victorian adults who had </w:t>
      </w:r>
      <w:r w:rsidR="00E31E10">
        <w:t>never smoke</w:t>
      </w:r>
      <w:r w:rsidR="00A20D54">
        <w:t>d</w:t>
      </w:r>
      <w:r w:rsidR="00E31E10">
        <w:t xml:space="preserve"> who currently use e-cigarettes increased </w:t>
      </w:r>
      <w:r w:rsidR="00DF6539">
        <w:t>4.5-fold</w:t>
      </w:r>
      <w:r w:rsidR="00E31E10">
        <w:t xml:space="preserve"> from 0.6</w:t>
      </w:r>
      <w:r w:rsidR="0054537F">
        <w:t>%</w:t>
      </w:r>
      <w:r w:rsidR="00E31E10">
        <w:t xml:space="preserve"> in 2018</w:t>
      </w:r>
      <w:r w:rsidR="00246747">
        <w:t>–</w:t>
      </w:r>
      <w:r w:rsidR="00E31E10">
        <w:t>19 to 2.7</w:t>
      </w:r>
      <w:r w:rsidR="0054537F">
        <w:t>%</w:t>
      </w:r>
      <w:r w:rsidR="00E31E10">
        <w:t xml:space="preserve"> in 2022. This represents approximately 77,200 </w:t>
      </w:r>
      <w:r w:rsidR="00A20D54">
        <w:t xml:space="preserve">Victorian adults who </w:t>
      </w:r>
      <w:r w:rsidR="00E31E10">
        <w:t>never smoke</w:t>
      </w:r>
      <w:r w:rsidR="00A20D54">
        <w:t>d</w:t>
      </w:r>
      <w:r w:rsidR="00E31E10">
        <w:t xml:space="preserve"> who reported currently vaping, of which 44,534 (more than half; 57.7</w:t>
      </w:r>
      <w:r w:rsidR="0054537F">
        <w:t>%</w:t>
      </w:r>
      <w:r w:rsidR="00E31E10">
        <w:t>) wer</w:t>
      </w:r>
      <w:r w:rsidR="00DF6539">
        <w:t xml:space="preserve">e </w:t>
      </w:r>
      <w:r w:rsidR="00E31E10">
        <w:t xml:space="preserve">25 years </w:t>
      </w:r>
      <w:r w:rsidR="00DF6539">
        <w:t xml:space="preserve">of age </w:t>
      </w:r>
      <w:r w:rsidR="004E2A32">
        <w:t>or younger</w:t>
      </w:r>
      <w:r w:rsidR="00DF6539">
        <w:t>.</w:t>
      </w:r>
      <w:r w:rsidR="00DF6539">
        <w:rPr>
          <w:rStyle w:val="FootnoteReference"/>
          <w:rFonts w:cs="Arial"/>
        </w:rPr>
        <w:footnoteReference w:id="220"/>
      </w:r>
    </w:p>
    <w:p w14:paraId="55CD580A" w14:textId="3B2C20ED" w:rsidR="004B1A94" w:rsidRPr="00706F5A" w:rsidRDefault="0076793D" w:rsidP="00E87AAA">
      <w:pPr>
        <w:pStyle w:val="Body"/>
        <w:rPr>
          <w:rFonts w:cs="Arial"/>
          <w:color w:val="222222"/>
          <w:shd w:val="clear" w:color="auto" w:fill="FFFFFF"/>
        </w:rPr>
        <w:sectPr w:rsidR="004B1A94" w:rsidRPr="00706F5A" w:rsidSect="006F3985">
          <w:pgSz w:w="11906" w:h="16838"/>
          <w:pgMar w:top="1411" w:right="1274" w:bottom="1138" w:left="1310" w:header="454" w:footer="510" w:gutter="0"/>
          <w:cols w:space="720"/>
          <w:docGrid w:linePitch="360"/>
        </w:sectPr>
      </w:pPr>
      <w:r>
        <w:rPr>
          <w:rFonts w:cs="Arial"/>
        </w:rPr>
        <w:t>Some people argue that</w:t>
      </w:r>
      <w:r>
        <w:rPr>
          <w:rFonts w:cs="Arial"/>
          <w:color w:val="222222"/>
          <w:shd w:val="clear" w:color="auto" w:fill="FFFFFF"/>
        </w:rPr>
        <w:t xml:space="preserve"> e-cigarettes can be used to help people stop smoking. </w:t>
      </w:r>
      <w:r w:rsidR="00706F5A">
        <w:rPr>
          <w:rFonts w:cs="Arial"/>
          <w:color w:val="222222"/>
          <w:shd w:val="clear" w:color="auto" w:fill="FFFFFF"/>
        </w:rPr>
        <w:t>From 1 October 2021 t</w:t>
      </w:r>
      <w:r w:rsidR="00341F9F">
        <w:rPr>
          <w:rFonts w:cs="Arial"/>
          <w:color w:val="222222"/>
          <w:shd w:val="clear" w:color="auto" w:fill="FFFFFF"/>
        </w:rPr>
        <w:t>he</w:t>
      </w:r>
      <w:r w:rsidR="00C832AD">
        <w:rPr>
          <w:rFonts w:cs="Arial"/>
          <w:color w:val="222222"/>
          <w:shd w:val="clear" w:color="auto" w:fill="FFFFFF"/>
        </w:rPr>
        <w:t xml:space="preserve"> </w:t>
      </w:r>
      <w:hyperlink r:id="rId184" w:tgtFrame="_blank" w:tooltip="https://www.tga.gov.au/community-qa/electronic-cigarettes | You are going to a website which is not maintained or funded by the State of Victoria. Follow the link to continue." w:history="1">
        <w:r w:rsidR="00341F9F" w:rsidRPr="00341F9F">
          <w:rPr>
            <w:rStyle w:val="rpl-text-label"/>
            <w:rFonts w:cs="Arial"/>
            <w:shd w:val="clear" w:color="auto" w:fill="FFFFFF"/>
          </w:rPr>
          <w:t>Therapeutic</w:t>
        </w:r>
        <w:r w:rsidR="00341F9F">
          <w:rPr>
            <w:rStyle w:val="rpl-text-label"/>
            <w:rFonts w:cs="Arial"/>
            <w:shd w:val="clear" w:color="auto" w:fill="FFFFFF"/>
          </w:rPr>
          <w:t xml:space="preserve"> </w:t>
        </w:r>
        <w:r w:rsidR="00341F9F" w:rsidRPr="00341F9F">
          <w:rPr>
            <w:rStyle w:val="rpl-text-label"/>
            <w:rFonts w:cs="Arial"/>
            <w:shd w:val="clear" w:color="auto" w:fill="FFFFFF"/>
          </w:rPr>
          <w:t>Goods</w:t>
        </w:r>
        <w:r w:rsidR="00C832AD">
          <w:rPr>
            <w:rStyle w:val="rpl-text-label"/>
            <w:rFonts w:cs="Arial"/>
            <w:shd w:val="clear" w:color="auto" w:fill="FFFFFF"/>
          </w:rPr>
          <w:t xml:space="preserve"> </w:t>
        </w:r>
        <w:r w:rsidR="00341F9F" w:rsidRPr="00341F9F">
          <w:rPr>
            <w:rStyle w:val="rpl-text-icongroup"/>
            <w:rFonts w:cs="Arial"/>
            <w:shd w:val="clear" w:color="auto" w:fill="FFFFFF"/>
          </w:rPr>
          <w:t>Administration</w:t>
        </w:r>
      </w:hyperlink>
      <w:r w:rsidR="00C832AD">
        <w:rPr>
          <w:rFonts w:cs="Arial"/>
          <w:shd w:val="clear" w:color="auto" w:fill="FFFFFF"/>
        </w:rPr>
        <w:t xml:space="preserve"> </w:t>
      </w:r>
      <w:r w:rsidR="00706F5A">
        <w:rPr>
          <w:rFonts w:cs="Arial"/>
          <w:shd w:val="clear" w:color="auto" w:fill="FFFFFF"/>
        </w:rPr>
        <w:t xml:space="preserve">(TGA) </w:t>
      </w:r>
      <w:r w:rsidR="00341F9F">
        <w:rPr>
          <w:rFonts w:cs="Arial"/>
          <w:color w:val="222222"/>
          <w:shd w:val="clear" w:color="auto" w:fill="FFFFFF"/>
        </w:rPr>
        <w:t xml:space="preserve">approved any e-cigarette products as a medicine to help people quit smoking. </w:t>
      </w:r>
      <w:r w:rsidR="00706F5A">
        <w:rPr>
          <w:rFonts w:cs="Arial"/>
          <w:color w:val="222222"/>
          <w:shd w:val="clear" w:color="auto" w:fill="FFFFFF"/>
        </w:rPr>
        <w:t>At the time of writing there were no nicotine vaping products approved by the TGA.</w:t>
      </w:r>
      <w:r w:rsidR="00706F5A">
        <w:rPr>
          <w:rStyle w:val="FootnoteReference"/>
          <w:rFonts w:cs="Arial"/>
          <w:color w:val="222222"/>
          <w:shd w:val="clear" w:color="auto" w:fill="FFFFFF"/>
        </w:rPr>
        <w:footnoteReference w:id="221"/>
      </w:r>
    </w:p>
    <w:p w14:paraId="456FBE0F" w14:textId="19BE47BD" w:rsidR="004A338D" w:rsidRDefault="00110003" w:rsidP="008A7C68">
      <w:pPr>
        <w:pStyle w:val="Heading1"/>
      </w:pPr>
      <w:bookmarkStart w:id="1201" w:name="_Appendix_1:_Measures"/>
      <w:bookmarkStart w:id="1202" w:name="_Toc140843430"/>
      <w:bookmarkStart w:id="1203" w:name="_Toc19008223"/>
      <w:bookmarkStart w:id="1204" w:name="_Hlk536625422"/>
      <w:bookmarkEnd w:id="1201"/>
      <w:r>
        <w:lastRenderedPageBreak/>
        <w:t xml:space="preserve">Progress </w:t>
      </w:r>
      <w:r w:rsidR="008166A7">
        <w:t>t</w:t>
      </w:r>
      <w:r>
        <w:t xml:space="preserve">owards </w:t>
      </w:r>
      <w:r w:rsidR="008166A7">
        <w:t>a</w:t>
      </w:r>
      <w:r>
        <w:t xml:space="preserve">chieving </w:t>
      </w:r>
      <w:r w:rsidR="008166A7">
        <w:t>c</w:t>
      </w:r>
      <w:r w:rsidR="004A338D">
        <w:t xml:space="preserve">ancer </w:t>
      </w:r>
      <w:r w:rsidR="008166A7">
        <w:t>p</w:t>
      </w:r>
      <w:r w:rsidR="004A338D">
        <w:t>lan 2020</w:t>
      </w:r>
      <w:r w:rsidR="008166A7">
        <w:t>–</w:t>
      </w:r>
      <w:r w:rsidR="004A338D">
        <w:t xml:space="preserve">2024 </w:t>
      </w:r>
      <w:r w:rsidR="008166A7">
        <w:t>g</w:t>
      </w:r>
      <w:r w:rsidR="004A338D">
        <w:t>oals</w:t>
      </w:r>
      <w:bookmarkEnd w:id="1202"/>
    </w:p>
    <w:p w14:paraId="3932B385" w14:textId="20BC5BF2" w:rsidR="00110003" w:rsidRPr="00110003" w:rsidRDefault="00110003" w:rsidP="00E87AAA">
      <w:pPr>
        <w:pStyle w:val="Body"/>
      </w:pPr>
      <w:r>
        <w:t xml:space="preserve">The </w:t>
      </w:r>
      <w:r w:rsidR="00A0392A" w:rsidRPr="00525315">
        <w:rPr>
          <w:i/>
          <w:iCs/>
        </w:rPr>
        <w:t xml:space="preserve">Victoria </w:t>
      </w:r>
      <w:r w:rsidR="008166A7">
        <w:rPr>
          <w:i/>
          <w:iCs/>
        </w:rPr>
        <w:t>c</w:t>
      </w:r>
      <w:r w:rsidRPr="00525315">
        <w:rPr>
          <w:i/>
          <w:iCs/>
        </w:rPr>
        <w:t xml:space="preserve">ancer </w:t>
      </w:r>
      <w:r w:rsidR="008166A7">
        <w:rPr>
          <w:i/>
          <w:iCs/>
        </w:rPr>
        <w:t>p</w:t>
      </w:r>
      <w:r w:rsidRPr="00525315">
        <w:rPr>
          <w:i/>
          <w:iCs/>
        </w:rPr>
        <w:t>lan 2020</w:t>
      </w:r>
      <w:r w:rsidR="00C65B6D" w:rsidRPr="00525315">
        <w:rPr>
          <w:b/>
          <w:bCs/>
          <w:i/>
          <w:iCs/>
        </w:rPr>
        <w:t>–</w:t>
      </w:r>
      <w:r w:rsidRPr="00525315">
        <w:rPr>
          <w:i/>
          <w:iCs/>
        </w:rPr>
        <w:t>2024</w:t>
      </w:r>
      <w:r>
        <w:t xml:space="preserve"> sets out several goals that are an extension from the </w:t>
      </w:r>
      <w:r w:rsidRPr="00110003">
        <w:rPr>
          <w:i/>
          <w:iCs/>
        </w:rPr>
        <w:t>Victorian cancer plan 2016</w:t>
      </w:r>
      <w:r w:rsidR="008166A7">
        <w:rPr>
          <w:i/>
          <w:iCs/>
        </w:rPr>
        <w:t>–</w:t>
      </w:r>
      <w:r w:rsidRPr="00110003">
        <w:rPr>
          <w:i/>
          <w:iCs/>
        </w:rPr>
        <w:t>2020</w:t>
      </w:r>
      <w:r>
        <w:t xml:space="preserve"> including long</w:t>
      </w:r>
      <w:r w:rsidR="004E2A32">
        <w:t>-</w:t>
      </w:r>
      <w:r>
        <w:t xml:space="preserve">term goals to 2040. This report </w:t>
      </w:r>
      <w:r w:rsidR="00F33940">
        <w:t>presents the most up-to-date information on trends in the state’s progress against the goals ranging from short-term (2024) to long-term (2040).</w:t>
      </w:r>
    </w:p>
    <w:p w14:paraId="38E8A695" w14:textId="68A2B364" w:rsidR="004A338D" w:rsidRDefault="004A338D" w:rsidP="004A338D">
      <w:pPr>
        <w:pStyle w:val="Heading2"/>
      </w:pPr>
      <w:bookmarkStart w:id="1205" w:name="_Toc140843431"/>
      <w:bookmarkStart w:id="1206" w:name="_Hlk129179523"/>
      <w:r>
        <w:t>Short</w:t>
      </w:r>
      <w:r w:rsidR="008166A7">
        <w:t>-</w:t>
      </w:r>
      <w:r>
        <w:t>term goals</w:t>
      </w:r>
      <w:bookmarkEnd w:id="1205"/>
    </w:p>
    <w:p w14:paraId="636D7F9A" w14:textId="68AE2745" w:rsidR="006D0A9D" w:rsidRPr="00525315" w:rsidRDefault="006D0A9D" w:rsidP="00A451D4">
      <w:pPr>
        <w:pStyle w:val="Heading3"/>
        <w:rPr>
          <w:b/>
          <w:bCs w:val="0"/>
        </w:rPr>
      </w:pPr>
      <w:bookmarkStart w:id="1207" w:name="_Hlk122446988"/>
      <w:bookmarkStart w:id="1208" w:name="_Hlk130301792"/>
      <w:r w:rsidRPr="00525315">
        <w:rPr>
          <w:b/>
          <w:bCs w:val="0"/>
        </w:rPr>
        <w:t xml:space="preserve">Goal 1: </w:t>
      </w:r>
      <w:r w:rsidR="004E2A32" w:rsidRPr="00525315">
        <w:rPr>
          <w:b/>
          <w:bCs w:val="0"/>
        </w:rPr>
        <w:t>A</w:t>
      </w:r>
      <w:r w:rsidRPr="00525315">
        <w:rPr>
          <w:b/>
          <w:bCs w:val="0"/>
        </w:rPr>
        <w:t>t least 80</w:t>
      </w:r>
      <w:r w:rsidR="0054537F">
        <w:rPr>
          <w:b/>
          <w:bCs w:val="0"/>
        </w:rPr>
        <w:t>%</w:t>
      </w:r>
      <w:r w:rsidRPr="00525315">
        <w:rPr>
          <w:b/>
          <w:bCs w:val="0"/>
        </w:rPr>
        <w:t xml:space="preserve"> of hospital and health service retail outlets and vending machines meet recommended Victorian Government food and nutrition standards (2024)</w:t>
      </w:r>
    </w:p>
    <w:p w14:paraId="14B2ABD6" w14:textId="72DB9420" w:rsidR="000F43FD" w:rsidRDefault="000F43FD" w:rsidP="00525315">
      <w:pPr>
        <w:pStyle w:val="Body"/>
      </w:pPr>
      <w:r w:rsidRPr="000F43FD">
        <w:t>The Victorian Government's Healthy Choices guidelines help make sure healthy foods and drinks are offered and promoted in places like sport and recreation centres, workplaces, universities and hospitals and health services. Healthy Choices uses a traffic light system to classify food and drinks as</w:t>
      </w:r>
      <w:r w:rsidRPr="000F43FD">
        <w:rPr>
          <w:b/>
          <w:bCs/>
        </w:rPr>
        <w:t xml:space="preserve"> </w:t>
      </w:r>
      <w:r w:rsidRPr="00B504AD">
        <w:rPr>
          <w:b/>
          <w:bCs/>
          <w:color w:val="007B4B"/>
        </w:rPr>
        <w:t>GREEN</w:t>
      </w:r>
      <w:r w:rsidRPr="000F43FD">
        <w:rPr>
          <w:b/>
          <w:bCs/>
        </w:rPr>
        <w:t xml:space="preserve"> (best choices)</w:t>
      </w:r>
      <w:r w:rsidRPr="000F43FD">
        <w:t xml:space="preserve">, </w:t>
      </w:r>
      <w:r w:rsidRPr="00525315">
        <w:rPr>
          <w:b/>
          <w:bCs/>
          <w:color w:val="C5511A"/>
        </w:rPr>
        <w:t xml:space="preserve">AMBER </w:t>
      </w:r>
      <w:r w:rsidRPr="000F43FD">
        <w:rPr>
          <w:b/>
          <w:bCs/>
        </w:rPr>
        <w:t>(choose carefully)</w:t>
      </w:r>
      <w:r w:rsidRPr="000F43FD">
        <w:t xml:space="preserve"> or</w:t>
      </w:r>
      <w:r w:rsidRPr="00B504AD">
        <w:rPr>
          <w:color w:val="AF272F"/>
        </w:rPr>
        <w:t xml:space="preserve"> </w:t>
      </w:r>
      <w:r w:rsidRPr="00B504AD">
        <w:rPr>
          <w:b/>
          <w:bCs/>
          <w:color w:val="AF272F"/>
        </w:rPr>
        <w:t xml:space="preserve">RED </w:t>
      </w:r>
      <w:r w:rsidRPr="000F43FD">
        <w:rPr>
          <w:b/>
          <w:bCs/>
        </w:rPr>
        <w:t>(limit)</w:t>
      </w:r>
      <w:r w:rsidRPr="000F43FD">
        <w:t>.</w:t>
      </w:r>
    </w:p>
    <w:p w14:paraId="2DBCE718" w14:textId="38F9D41D" w:rsidR="009D7A82" w:rsidRDefault="000F43FD" w:rsidP="00525315">
      <w:pPr>
        <w:pStyle w:val="Body"/>
      </w:pPr>
      <w:r w:rsidRPr="000F43FD">
        <w:t xml:space="preserve">Health services have a key leadership role in providing healthier food and drink options to support the health and wellbeing of their staff and visitors. As such, in 2021, the Victorian Government introduced the </w:t>
      </w:r>
      <w:r w:rsidRPr="000F43FD">
        <w:rPr>
          <w:i/>
          <w:iCs/>
        </w:rPr>
        <w:t>‘Healthy choices: policy directive for Victorian public health services’</w:t>
      </w:r>
      <w:r w:rsidR="00C65B6D">
        <w:rPr>
          <w:i/>
          <w:iCs/>
        </w:rPr>
        <w:t xml:space="preserve"> </w:t>
      </w:r>
      <w:r w:rsidRPr="000F43FD">
        <w:t>(the Policy directive). It covers in-house retail food outlets, all vending machines, all staff/visitor catering and items purchased by staff and visitors from patient/resident menus.</w:t>
      </w:r>
      <w:r w:rsidRPr="003A3C39">
        <w:t> </w:t>
      </w:r>
    </w:p>
    <w:p w14:paraId="69B3F204" w14:textId="7C257F91" w:rsidR="000F43FD" w:rsidRDefault="006441D4" w:rsidP="00525315">
      <w:pPr>
        <w:pStyle w:val="Body"/>
      </w:pPr>
      <w:r w:rsidRPr="00A52BEB">
        <w:t xml:space="preserve">To meet this </w:t>
      </w:r>
      <w:r w:rsidR="008166A7">
        <w:t>p</w:t>
      </w:r>
      <w:r w:rsidR="000F43FD">
        <w:t>olicy directive</w:t>
      </w:r>
      <w:r w:rsidRPr="00A52BEB">
        <w:t xml:space="preserve"> drinks</w:t>
      </w:r>
      <w:r w:rsidR="00142424">
        <w:t>-</w:t>
      </w:r>
      <w:r w:rsidR="009D7A82">
        <w:t>only</w:t>
      </w:r>
      <w:r w:rsidRPr="00A52BEB">
        <w:t xml:space="preserve"> (phase 1) and </w:t>
      </w:r>
      <w:r w:rsidR="00A52BEB" w:rsidRPr="00A52BEB">
        <w:t xml:space="preserve">drinks and </w:t>
      </w:r>
      <w:r w:rsidRPr="00A52BEB">
        <w:t xml:space="preserve">food (phase 2) targets have been </w:t>
      </w:r>
      <w:r w:rsidR="00142424">
        <w:t>set</w:t>
      </w:r>
      <w:r w:rsidRPr="00A52BEB">
        <w:t xml:space="preserve">. </w:t>
      </w:r>
      <w:r w:rsidR="00142424">
        <w:t>P</w:t>
      </w:r>
      <w:r w:rsidR="00A52BEB" w:rsidRPr="00A52BEB">
        <w:t xml:space="preserve">hase </w:t>
      </w:r>
      <w:r w:rsidR="004621AA">
        <w:t xml:space="preserve">1 </w:t>
      </w:r>
      <w:r w:rsidR="009D7A82">
        <w:t xml:space="preserve">is </w:t>
      </w:r>
      <w:r w:rsidR="00A52BEB" w:rsidRPr="00A52BEB">
        <w:t xml:space="preserve">specific to in-house retail outlets and all vending machines of health services </w:t>
      </w:r>
      <w:r w:rsidR="00142424">
        <w:t xml:space="preserve">and </w:t>
      </w:r>
      <w:r w:rsidR="009D7A82">
        <w:t xml:space="preserve">the target </w:t>
      </w:r>
      <w:r w:rsidR="00142424">
        <w:t xml:space="preserve">is </w:t>
      </w:r>
      <w:r w:rsidR="009D7A82">
        <w:t>to</w:t>
      </w:r>
      <w:r w:rsidR="00A52BEB" w:rsidRPr="00A52BEB">
        <w:t xml:space="preserve"> </w:t>
      </w:r>
      <w:r w:rsidR="00142424">
        <w:t>offer</w:t>
      </w:r>
      <w:r w:rsidR="00A52BEB" w:rsidRPr="00A52BEB">
        <w:t xml:space="preserve">: </w:t>
      </w:r>
      <w:r w:rsidR="00142424">
        <w:t>(</w:t>
      </w:r>
      <w:r w:rsidR="00A52BEB" w:rsidRPr="00A52BEB">
        <w:t>1) at least 50</w:t>
      </w:r>
      <w:r w:rsidR="0054537F">
        <w:t>%</w:t>
      </w:r>
      <w:r w:rsidR="00A52BEB" w:rsidRPr="00A52BEB">
        <w:t xml:space="preserve"> GREEN drinks; and </w:t>
      </w:r>
      <w:r w:rsidR="00142424">
        <w:t>(</w:t>
      </w:r>
      <w:r w:rsidR="00A52BEB" w:rsidRPr="00A52BEB">
        <w:t>2) no RED drinks</w:t>
      </w:r>
      <w:r w:rsidR="000F43FD">
        <w:t xml:space="preserve"> </w:t>
      </w:r>
      <w:r w:rsidR="00A52BEB" w:rsidRPr="00A52BEB">
        <w:t>in their retail/vending, the latter align</w:t>
      </w:r>
      <w:r w:rsidR="00142424">
        <w:t>ing</w:t>
      </w:r>
      <w:r w:rsidR="00A52BEB" w:rsidRPr="00A52BEB">
        <w:t xml:space="preserve"> with the Healthy Choices policy directive.</w:t>
      </w:r>
    </w:p>
    <w:p w14:paraId="5FDF2A3F" w14:textId="55E80443" w:rsidR="000F43FD" w:rsidRPr="000F43FD" w:rsidRDefault="000F43FD" w:rsidP="00525315">
      <w:pPr>
        <w:pStyle w:val="Body"/>
      </w:pPr>
      <w:r w:rsidRPr="000F43FD">
        <w:t>Health services reported on the drinks</w:t>
      </w:r>
      <w:r w:rsidR="00142424">
        <w:t>-only</w:t>
      </w:r>
      <w:r w:rsidRPr="000F43FD">
        <w:t xml:space="preserve"> targets for their retail/vending machines </w:t>
      </w:r>
      <w:r w:rsidR="00F92FD3">
        <w:t xml:space="preserve">from </w:t>
      </w:r>
      <w:r w:rsidRPr="000F43FD">
        <w:t>September to December 2022.</w:t>
      </w:r>
    </w:p>
    <w:p w14:paraId="4C3D03A4" w14:textId="799EB365" w:rsidR="00A52BEB" w:rsidRPr="000F43FD" w:rsidRDefault="000F43FD" w:rsidP="00525315">
      <w:pPr>
        <w:pStyle w:val="Body"/>
      </w:pPr>
      <w:r w:rsidRPr="000F43FD">
        <w:t xml:space="preserve">Health services, as well as other settings, have implemented Healthy </w:t>
      </w:r>
      <w:r w:rsidR="00F92FD3">
        <w:t>C</w:t>
      </w:r>
      <w:r w:rsidRPr="000F43FD">
        <w:t>hoices and</w:t>
      </w:r>
      <w:r w:rsidR="00F92FD3">
        <w:t>,</w:t>
      </w:r>
      <w:r w:rsidRPr="000F43FD">
        <w:t xml:space="preserve"> more recently, the </w:t>
      </w:r>
      <w:r w:rsidR="00377187">
        <w:t>p</w:t>
      </w:r>
      <w:r w:rsidRPr="000F43FD">
        <w:t>olicy directive, with the support of the Healthy Eating Advisory Service.</w:t>
      </w:r>
    </w:p>
    <w:p w14:paraId="69776E89" w14:textId="54845B95" w:rsidR="00A52BEB" w:rsidRDefault="006441D4" w:rsidP="00525315">
      <w:pPr>
        <w:pStyle w:val="Body"/>
      </w:pPr>
      <w:r w:rsidRPr="000F43FD">
        <w:t>The timelines for health services meeting drinks</w:t>
      </w:r>
      <w:r w:rsidR="00F92FD3">
        <w:t>-only</w:t>
      </w:r>
      <w:r w:rsidRPr="000F43FD">
        <w:t xml:space="preserve"> target</w:t>
      </w:r>
      <w:r w:rsidR="00A52BEB" w:rsidRPr="000F43FD">
        <w:t xml:space="preserve">s for their retail/vending machines </w:t>
      </w:r>
      <w:r w:rsidR="00D10B7F">
        <w:t>was</w:t>
      </w:r>
      <w:r w:rsidR="00A52BEB" w:rsidRPr="000F43FD">
        <w:t xml:space="preserve"> September to December 2022. Health services meeting both food and drinks targets have until December 2023 to meet the target specific to this phase</w:t>
      </w:r>
      <w:r w:rsidR="00AD19AC">
        <w:t xml:space="preserve"> (phase 2)</w:t>
      </w:r>
      <w:r w:rsidR="00A52BEB" w:rsidRPr="000F43FD">
        <w:t>.</w:t>
      </w:r>
    </w:p>
    <w:p w14:paraId="620AAF21" w14:textId="2C9B9A14" w:rsidR="006D0A9D" w:rsidRDefault="004E1684" w:rsidP="00525315">
      <w:pPr>
        <w:pStyle w:val="Heading4"/>
      </w:pPr>
      <w:r>
        <w:t>Goal assessment</w:t>
      </w:r>
    </w:p>
    <w:p w14:paraId="62C52667" w14:textId="77777777" w:rsidR="006441D4" w:rsidRPr="0062077D" w:rsidRDefault="006441D4" w:rsidP="00606436">
      <w:pPr>
        <w:pStyle w:val="Body"/>
      </w:pPr>
      <w:r w:rsidRPr="00BF199D">
        <w:t>Traffic light rating:</w:t>
      </w:r>
      <w:r>
        <w:t xml:space="preserve"> </w:t>
      </w:r>
      <w:r w:rsidRPr="00B504AD">
        <w:rPr>
          <w:b/>
          <w:color w:val="007B4B"/>
        </w:rPr>
        <w:t>Green</w:t>
      </w:r>
      <w:r>
        <w:t xml:space="preserve"> (satisfactory result)</w:t>
      </w:r>
      <w:r w:rsidRPr="00CC5019">
        <w:rPr>
          <w:b/>
          <w:color w:val="FFC000"/>
        </w:rPr>
        <w:t xml:space="preserve"> </w:t>
      </w:r>
    </w:p>
    <w:p w14:paraId="405F178F" w14:textId="3B76259E" w:rsidR="006441D4" w:rsidRDefault="006441D4" w:rsidP="00772F6F">
      <w:pPr>
        <w:pStyle w:val="Body"/>
      </w:pPr>
      <w:r>
        <w:t>Overall trend: Moving in the right direction</w:t>
      </w:r>
    </w:p>
    <w:p w14:paraId="0533CBAA" w14:textId="21D23DD6" w:rsidR="00D21335" w:rsidRPr="000C7786" w:rsidRDefault="00D21335" w:rsidP="005C7AD9">
      <w:pPr>
        <w:pStyle w:val="Body"/>
      </w:pPr>
      <w:r>
        <w:t xml:space="preserve">Commentary: </w:t>
      </w:r>
      <w:r w:rsidRPr="000C7786">
        <w:t>As</w:t>
      </w:r>
      <w:r w:rsidRPr="00D21335">
        <w:t xml:space="preserve"> part of the department’s reporting requirements for the Healthy </w:t>
      </w:r>
      <w:r w:rsidR="00F92FD3">
        <w:t>C</w:t>
      </w:r>
      <w:r w:rsidRPr="00D21335">
        <w:t>hoices policy directive, data has been gathered via a specifically designed monitoring system (</w:t>
      </w:r>
      <w:r w:rsidR="00377187">
        <w:t>the</w:t>
      </w:r>
      <w:r w:rsidRPr="00D21335">
        <w:t xml:space="preserve"> Progress Tracker)</w:t>
      </w:r>
      <w:r>
        <w:t>.</w:t>
      </w:r>
    </w:p>
    <w:p w14:paraId="0E99B09B" w14:textId="459BE765" w:rsidR="004E1684" w:rsidRDefault="004E1684" w:rsidP="005C7AD9">
      <w:pPr>
        <w:pStyle w:val="Body"/>
        <w:rPr>
          <w:rFonts w:cs="Arial"/>
          <w:color w:val="000000"/>
        </w:rPr>
      </w:pPr>
      <w:r w:rsidRPr="00D21335">
        <w:rPr>
          <w:rFonts w:cs="Arial"/>
          <w:color w:val="000000"/>
        </w:rPr>
        <w:t xml:space="preserve">As </w:t>
      </w:r>
      <w:r w:rsidR="00D21335" w:rsidRPr="00D21335">
        <w:rPr>
          <w:rFonts w:cs="Arial"/>
          <w:color w:val="000000"/>
        </w:rPr>
        <w:t>of</w:t>
      </w:r>
      <w:r w:rsidRPr="00D21335">
        <w:rPr>
          <w:rFonts w:cs="Arial"/>
          <w:color w:val="000000"/>
        </w:rPr>
        <w:t xml:space="preserve"> December 2022, there were 74* services (91</w:t>
      </w:r>
      <w:r w:rsidR="0054537F">
        <w:rPr>
          <w:rFonts w:cs="Arial"/>
          <w:color w:val="000000"/>
        </w:rPr>
        <w:t>%</w:t>
      </w:r>
      <w:r w:rsidRPr="00D21335">
        <w:rPr>
          <w:rFonts w:cs="Arial"/>
          <w:color w:val="000000"/>
        </w:rPr>
        <w:t xml:space="preserve">, </w:t>
      </w:r>
      <w:r w:rsidRPr="005C7AD9">
        <w:rPr>
          <w:rFonts w:cs="Arial"/>
          <w:i/>
          <w:iCs/>
          <w:color w:val="000000"/>
        </w:rPr>
        <w:t>n</w:t>
      </w:r>
      <w:r w:rsidR="008166A7">
        <w:rPr>
          <w:rFonts w:cs="Arial"/>
          <w:color w:val="000000"/>
        </w:rPr>
        <w:t xml:space="preserve"> </w:t>
      </w:r>
      <w:r w:rsidRPr="00D21335">
        <w:rPr>
          <w:rFonts w:cs="Arial"/>
          <w:color w:val="000000"/>
        </w:rPr>
        <w:t>=</w:t>
      </w:r>
      <w:r w:rsidR="008166A7">
        <w:rPr>
          <w:rFonts w:cs="Arial"/>
          <w:color w:val="000000"/>
        </w:rPr>
        <w:t xml:space="preserve"> </w:t>
      </w:r>
      <w:r w:rsidRPr="00D21335">
        <w:rPr>
          <w:rFonts w:cs="Arial"/>
          <w:color w:val="000000"/>
        </w:rPr>
        <w:t xml:space="preserve">81) that </w:t>
      </w:r>
      <w:r w:rsidR="00D21335">
        <w:rPr>
          <w:rFonts w:cs="Arial"/>
          <w:color w:val="000000"/>
        </w:rPr>
        <w:t xml:space="preserve">have </w:t>
      </w:r>
      <w:r w:rsidRPr="00D21335">
        <w:rPr>
          <w:rFonts w:cs="Arial"/>
          <w:color w:val="000000"/>
        </w:rPr>
        <w:t>met the drinks targets</w:t>
      </w:r>
      <w:r w:rsidR="00D21335">
        <w:rPr>
          <w:rFonts w:cs="Arial"/>
          <w:color w:val="000000"/>
        </w:rPr>
        <w:t xml:space="preserve"> outlined above</w:t>
      </w:r>
      <w:r w:rsidRPr="00D21335">
        <w:rPr>
          <w:rFonts w:cs="Arial"/>
          <w:color w:val="000000"/>
        </w:rPr>
        <w:t xml:space="preserve"> in their in-house retail outlets and vending machines</w:t>
      </w:r>
      <w:r w:rsidR="00D21335">
        <w:rPr>
          <w:rFonts w:cs="Arial"/>
          <w:color w:val="000000"/>
        </w:rPr>
        <w:t>.</w:t>
      </w:r>
    </w:p>
    <w:p w14:paraId="2D067EEF" w14:textId="7364278C" w:rsidR="000E069B" w:rsidRPr="00270FF0" w:rsidRDefault="000E069B" w:rsidP="005C7AD9">
      <w:pPr>
        <w:pStyle w:val="Body"/>
        <w:rPr>
          <w:rFonts w:cs="Arial"/>
        </w:rPr>
      </w:pPr>
      <w:r w:rsidRPr="00270FF0">
        <w:rPr>
          <w:rFonts w:cs="Arial"/>
        </w:rPr>
        <w:t xml:space="preserve">As part of the </w:t>
      </w:r>
      <w:r w:rsidR="00377187">
        <w:rPr>
          <w:rFonts w:cs="Arial"/>
        </w:rPr>
        <w:t>p</w:t>
      </w:r>
      <w:r w:rsidR="000F43FD" w:rsidRPr="00270FF0">
        <w:rPr>
          <w:rFonts w:cs="Arial"/>
        </w:rPr>
        <w:t>olicy directive</w:t>
      </w:r>
      <w:r w:rsidRPr="00270FF0">
        <w:rPr>
          <w:rFonts w:cs="Arial"/>
        </w:rPr>
        <w:t>, health services will be working on meeting the targets for food in 2023.</w:t>
      </w:r>
      <w:r w:rsidR="00AD19AC" w:rsidRPr="00270FF0">
        <w:rPr>
          <w:rFonts w:cs="Arial"/>
        </w:rPr>
        <w:t xml:space="preserve"> </w:t>
      </w:r>
      <w:r w:rsidR="00270FF0" w:rsidRPr="00270FF0">
        <w:rPr>
          <w:rFonts w:cs="Arial"/>
        </w:rPr>
        <w:t>Achiev</w:t>
      </w:r>
      <w:r w:rsidR="00F92FD3">
        <w:rPr>
          <w:rFonts w:cs="Arial"/>
        </w:rPr>
        <w:t>ing</w:t>
      </w:r>
      <w:r w:rsidR="00270FF0" w:rsidRPr="00270FF0">
        <w:rPr>
          <w:rFonts w:cs="Arial"/>
        </w:rPr>
        <w:t xml:space="preserve"> </w:t>
      </w:r>
      <w:r w:rsidR="00F92FD3">
        <w:rPr>
          <w:rFonts w:cs="Arial"/>
        </w:rPr>
        <w:t>p</w:t>
      </w:r>
      <w:r w:rsidR="00270FF0" w:rsidRPr="00270FF0">
        <w:rPr>
          <w:rFonts w:cs="Arial"/>
        </w:rPr>
        <w:t xml:space="preserve">hase 2 will help contribute to </w:t>
      </w:r>
      <w:r w:rsidR="00F874FA">
        <w:rPr>
          <w:rFonts w:cs="Arial"/>
        </w:rPr>
        <w:t xml:space="preserve">meeting </w:t>
      </w:r>
      <w:r w:rsidR="00270FF0" w:rsidRPr="00270FF0">
        <w:rPr>
          <w:rFonts w:cs="Arial"/>
        </w:rPr>
        <w:t>this goal.</w:t>
      </w:r>
    </w:p>
    <w:p w14:paraId="7AD29278" w14:textId="0CE20A14" w:rsidR="00435369" w:rsidRPr="005C7AD9" w:rsidRDefault="00D21335" w:rsidP="005C7AD9">
      <w:pPr>
        <w:pStyle w:val="Body"/>
        <w:rPr>
          <w:i/>
          <w:iCs/>
          <w:color w:val="000000"/>
        </w:rPr>
      </w:pPr>
      <w:r w:rsidRPr="005C7AD9">
        <w:rPr>
          <w:i/>
          <w:iCs/>
          <w:color w:val="000000"/>
        </w:rPr>
        <w:lastRenderedPageBreak/>
        <w:t>*</w:t>
      </w:r>
      <w:r w:rsidRPr="005C7AD9">
        <w:rPr>
          <w:i/>
          <w:iCs/>
        </w:rPr>
        <w:t xml:space="preserve"> Note: Services that do not have in-house retail outlets or vending machines are classified as having met the </w:t>
      </w:r>
      <w:r w:rsidR="00F92FD3">
        <w:rPr>
          <w:i/>
          <w:iCs/>
        </w:rPr>
        <w:t>p</w:t>
      </w:r>
      <w:r w:rsidRPr="005C7AD9">
        <w:rPr>
          <w:i/>
          <w:iCs/>
        </w:rPr>
        <w:t>olicy directive drinks target by default. (These services may provide healthy drinks/</w:t>
      </w:r>
      <w:r w:rsidR="00981C47">
        <w:rPr>
          <w:i/>
          <w:iCs/>
        </w:rPr>
        <w:t xml:space="preserve">or </w:t>
      </w:r>
      <w:r w:rsidRPr="005C7AD9">
        <w:rPr>
          <w:i/>
          <w:iCs/>
        </w:rPr>
        <w:t xml:space="preserve">restrict RED drinks via other means – </w:t>
      </w:r>
      <w:r w:rsidR="00981C47">
        <w:rPr>
          <w:i/>
          <w:iCs/>
        </w:rPr>
        <w:t xml:space="preserve">by offering </w:t>
      </w:r>
      <w:r w:rsidRPr="005C7AD9">
        <w:rPr>
          <w:i/>
          <w:iCs/>
        </w:rPr>
        <w:t>free drink</w:t>
      </w:r>
      <w:r w:rsidR="000F43FD" w:rsidRPr="005C7AD9">
        <w:rPr>
          <w:i/>
          <w:iCs/>
        </w:rPr>
        <w:t>ing</w:t>
      </w:r>
      <w:r w:rsidRPr="005C7AD9">
        <w:rPr>
          <w:i/>
          <w:iCs/>
        </w:rPr>
        <w:t xml:space="preserve"> water </w:t>
      </w:r>
      <w:r w:rsidR="00981C47">
        <w:rPr>
          <w:i/>
          <w:iCs/>
        </w:rPr>
        <w:t xml:space="preserve">or </w:t>
      </w:r>
      <w:r w:rsidRPr="005C7AD9">
        <w:rPr>
          <w:i/>
          <w:iCs/>
        </w:rPr>
        <w:t>through staff catering</w:t>
      </w:r>
      <w:r w:rsidR="00981C47">
        <w:rPr>
          <w:i/>
          <w:iCs/>
        </w:rPr>
        <w:t>, for example</w:t>
      </w:r>
      <w:r w:rsidRPr="005C7AD9">
        <w:rPr>
          <w:i/>
          <w:iCs/>
        </w:rPr>
        <w:t>)</w:t>
      </w:r>
      <w:bookmarkEnd w:id="1207"/>
      <w:r w:rsidR="005C7AD9">
        <w:rPr>
          <w:i/>
          <w:iCs/>
        </w:rPr>
        <w:t>.</w:t>
      </w:r>
    </w:p>
    <w:bookmarkEnd w:id="1208"/>
    <w:p w14:paraId="7C32303D" w14:textId="6DACCEF1" w:rsidR="004A338D" w:rsidRPr="000E069B" w:rsidRDefault="00E608E2" w:rsidP="00A451D4">
      <w:pPr>
        <w:pStyle w:val="Heading3"/>
      </w:pPr>
      <w:r w:rsidRPr="000E069B">
        <w:t xml:space="preserve">Goal 2: </w:t>
      </w:r>
      <w:r w:rsidR="004E2A32">
        <w:t>E</w:t>
      </w:r>
      <w:r w:rsidR="004A338D" w:rsidRPr="000E069B">
        <w:t>ncourage an additional 10,000 under-screened women to have a cervical screen through the self-collection pathway (2024)</w:t>
      </w:r>
    </w:p>
    <w:p w14:paraId="65509B55" w14:textId="0908E224" w:rsidR="00041C71" w:rsidRDefault="00910AF9" w:rsidP="005C7AD9">
      <w:pPr>
        <w:pStyle w:val="Body"/>
      </w:pPr>
      <w:r>
        <w:t>Cervical cancer is recognised as one of the most preventable cancers</w:t>
      </w:r>
      <w:r w:rsidR="00A32DDD">
        <w:t xml:space="preserve"> </w:t>
      </w:r>
      <w:r w:rsidR="00622119">
        <w:t xml:space="preserve">– it </w:t>
      </w:r>
      <w:r w:rsidR="00A32DDD">
        <w:t xml:space="preserve">can be treated if detected early. </w:t>
      </w:r>
      <w:r w:rsidR="005B5BA8">
        <w:t>However,</w:t>
      </w:r>
      <w:r w:rsidR="00A32DDD">
        <w:t xml:space="preserve"> between 2018 and 2021 only </w:t>
      </w:r>
      <w:r w:rsidR="00981C47">
        <w:t>about</w:t>
      </w:r>
      <w:r w:rsidR="00A32DDD">
        <w:t xml:space="preserve"> 62</w:t>
      </w:r>
      <w:r w:rsidR="0054537F">
        <w:t>%</w:t>
      </w:r>
      <w:r w:rsidR="00A32DDD">
        <w:t xml:space="preserve"> of eligible Victorians </w:t>
      </w:r>
      <w:r w:rsidR="00981C47">
        <w:t xml:space="preserve">took part </w:t>
      </w:r>
      <w:r w:rsidR="00A32DDD">
        <w:t>in the National Cervical Screening Program.</w:t>
      </w:r>
      <w:r w:rsidR="00A32DDD">
        <w:rPr>
          <w:rStyle w:val="FootnoteReference"/>
          <w:rFonts w:cs="Arial"/>
        </w:rPr>
        <w:footnoteReference w:id="222"/>
      </w:r>
      <w:r w:rsidR="00C64A2D">
        <w:t xml:space="preserve"> The rollout of self-collection screening for cervical cancer has provided women and people with</w:t>
      </w:r>
      <w:r w:rsidR="00981C47">
        <w:t xml:space="preserve"> a</w:t>
      </w:r>
      <w:r w:rsidR="00C64A2D">
        <w:t xml:space="preserve"> cervix a choice when it comes to managing their health.</w:t>
      </w:r>
      <w:r w:rsidR="00711B7C">
        <w:t xml:space="preserve"> </w:t>
      </w:r>
      <w:r w:rsidR="00711B7C" w:rsidRPr="00711B7C">
        <w:t xml:space="preserve">Importantly, research </w:t>
      </w:r>
      <w:r w:rsidR="00711B7C">
        <w:t xml:space="preserve">undertaken </w:t>
      </w:r>
      <w:r w:rsidR="00711B7C" w:rsidRPr="00711B7C">
        <w:t>in Victoria has shown that self-collection is highly acceptable in a range of under</w:t>
      </w:r>
      <w:r w:rsidR="00151410">
        <w:t>-</w:t>
      </w:r>
      <w:r w:rsidR="00711B7C" w:rsidRPr="00711B7C">
        <w:t>screened groups who otherwise choose not to screen</w:t>
      </w:r>
      <w:r w:rsidR="0002112E">
        <w:t>.</w:t>
      </w:r>
      <w:r w:rsidR="0002112E">
        <w:rPr>
          <w:rStyle w:val="FootnoteReference"/>
          <w:rFonts w:cs="Arial"/>
        </w:rPr>
        <w:footnoteReference w:id="223"/>
      </w:r>
      <w:r w:rsidR="0002112E">
        <w:t xml:space="preserve"> </w:t>
      </w:r>
    </w:p>
    <w:p w14:paraId="187A5596" w14:textId="77777777" w:rsidR="000E069B" w:rsidRDefault="000E069B" w:rsidP="005C7AD9">
      <w:pPr>
        <w:pStyle w:val="Heading4"/>
      </w:pPr>
      <w:r>
        <w:t>Goal assessment</w:t>
      </w:r>
    </w:p>
    <w:p w14:paraId="283223CD" w14:textId="3DB8B4D7" w:rsidR="000E069B" w:rsidRPr="0062077D" w:rsidRDefault="000E069B" w:rsidP="00E87AAA">
      <w:pPr>
        <w:pStyle w:val="Body"/>
      </w:pPr>
      <w:r w:rsidRPr="00BF199D">
        <w:t>Traffic light rating:</w:t>
      </w:r>
      <w:r>
        <w:t xml:space="preserve"> </w:t>
      </w:r>
      <w:r w:rsidRPr="00B504AD">
        <w:rPr>
          <w:b/>
          <w:color w:val="007B4B"/>
        </w:rPr>
        <w:t>Green</w:t>
      </w:r>
      <w:r>
        <w:t xml:space="preserve"> (satisfactory result)</w:t>
      </w:r>
    </w:p>
    <w:p w14:paraId="0B01CB70" w14:textId="3B063E53" w:rsidR="000E069B" w:rsidRDefault="000E069B" w:rsidP="00E87AAA">
      <w:pPr>
        <w:pStyle w:val="Body"/>
      </w:pPr>
      <w:r>
        <w:t xml:space="preserve">Overall trend: </w:t>
      </w:r>
      <w:r w:rsidR="00EE2769">
        <w:t>This target has been met</w:t>
      </w:r>
    </w:p>
    <w:p w14:paraId="54BB9A5F" w14:textId="33D2CB25" w:rsidR="00041C71" w:rsidRPr="00116824" w:rsidRDefault="000E069B" w:rsidP="00E87AAA">
      <w:pPr>
        <w:pStyle w:val="Body"/>
      </w:pPr>
      <w:r w:rsidRPr="00116824">
        <w:t xml:space="preserve">Commentary: </w:t>
      </w:r>
      <w:r w:rsidR="00041C71" w:rsidRPr="00116824">
        <w:t>Until January 2018 when self-collection first became available for under-screened people, there was no self-collection.</w:t>
      </w:r>
      <w:r w:rsidR="003E3CC8" w:rsidRPr="00116824">
        <w:t xml:space="preserve"> </w:t>
      </w:r>
      <w:r w:rsidR="00041C71" w:rsidRPr="00116824">
        <w:t>Therefore, the measure for this goal is the cumulative number of under-screened people who have had a self-collected sample since</w:t>
      </w:r>
      <w:r w:rsidRPr="00116824">
        <w:t xml:space="preserve"> 1</w:t>
      </w:r>
      <w:r w:rsidR="00041C71" w:rsidRPr="00116824">
        <w:t xml:space="preserve"> January 2018.</w:t>
      </w:r>
    </w:p>
    <w:p w14:paraId="15854B99" w14:textId="40C07D4C" w:rsidR="00042760" w:rsidRPr="00116824" w:rsidRDefault="00042760" w:rsidP="00E87AAA">
      <w:pPr>
        <w:pStyle w:val="Body"/>
      </w:pPr>
      <w:r w:rsidRPr="00116824">
        <w:rPr>
          <w:lang w:val="en-US"/>
        </w:rPr>
        <w:t>There have been 1</w:t>
      </w:r>
      <w:r w:rsidR="000D3E59">
        <w:rPr>
          <w:lang w:val="en-US"/>
        </w:rPr>
        <w:t>5</w:t>
      </w:r>
      <w:r w:rsidRPr="00116824">
        <w:rPr>
          <w:lang w:val="en-US"/>
        </w:rPr>
        <w:t>,</w:t>
      </w:r>
      <w:r w:rsidR="000D3E59">
        <w:rPr>
          <w:lang w:val="en-US"/>
        </w:rPr>
        <w:t>859</w:t>
      </w:r>
      <w:r w:rsidRPr="00116824">
        <w:rPr>
          <w:lang w:val="en-US"/>
        </w:rPr>
        <w:t xml:space="preserve"> self-collection tests </w:t>
      </w:r>
      <w:r w:rsidR="00AD19AC">
        <w:rPr>
          <w:lang w:val="en-US"/>
        </w:rPr>
        <w:t xml:space="preserve">taken </w:t>
      </w:r>
      <w:r w:rsidRPr="00116824">
        <w:rPr>
          <w:lang w:val="en-US"/>
        </w:rPr>
        <w:t>in Victoria from 1</w:t>
      </w:r>
      <w:r w:rsidR="008166A7">
        <w:rPr>
          <w:lang w:val="en-US"/>
        </w:rPr>
        <w:t xml:space="preserve"> January </w:t>
      </w:r>
      <w:r w:rsidRPr="00116824">
        <w:rPr>
          <w:lang w:val="en-US"/>
        </w:rPr>
        <w:t>2018 to 31</w:t>
      </w:r>
      <w:r w:rsidR="008166A7">
        <w:rPr>
          <w:lang w:val="en-US"/>
        </w:rPr>
        <w:t xml:space="preserve"> December </w:t>
      </w:r>
      <w:r w:rsidRPr="00116824">
        <w:rPr>
          <w:lang w:val="en-US"/>
        </w:rPr>
        <w:t xml:space="preserve">2022. Of these tests, </w:t>
      </w:r>
      <w:r w:rsidR="000D3E59">
        <w:rPr>
          <w:lang w:val="en-US"/>
        </w:rPr>
        <w:t>7</w:t>
      </w:r>
      <w:r w:rsidRPr="00116824">
        <w:rPr>
          <w:lang w:val="en-US"/>
        </w:rPr>
        <w:t>,</w:t>
      </w:r>
      <w:r w:rsidR="000D3E59">
        <w:rPr>
          <w:lang w:val="en-US"/>
        </w:rPr>
        <w:t>959</w:t>
      </w:r>
      <w:r w:rsidRPr="00116824">
        <w:rPr>
          <w:lang w:val="en-US"/>
        </w:rPr>
        <w:t xml:space="preserve"> have been in under-screened</w:t>
      </w:r>
      <w:r w:rsidR="000D3E59">
        <w:rPr>
          <w:lang w:val="en-US"/>
        </w:rPr>
        <w:t>*</w:t>
      </w:r>
      <w:r w:rsidRPr="00116824">
        <w:rPr>
          <w:lang w:val="en-US"/>
        </w:rPr>
        <w:t xml:space="preserve"> women, </w:t>
      </w:r>
      <w:r w:rsidR="000D3E59">
        <w:rPr>
          <w:lang w:val="en-US"/>
        </w:rPr>
        <w:t>3</w:t>
      </w:r>
      <w:r w:rsidRPr="00116824">
        <w:rPr>
          <w:lang w:val="en-US"/>
        </w:rPr>
        <w:t>,</w:t>
      </w:r>
      <w:r w:rsidR="000D3E59">
        <w:rPr>
          <w:lang w:val="en-US"/>
        </w:rPr>
        <w:t>365</w:t>
      </w:r>
      <w:r w:rsidRPr="00116824">
        <w:rPr>
          <w:lang w:val="en-US"/>
        </w:rPr>
        <w:t xml:space="preserve"> were in unscreened</w:t>
      </w:r>
      <w:r w:rsidR="000D3E59">
        <w:rPr>
          <w:lang w:val="en-US"/>
        </w:rPr>
        <w:t>**</w:t>
      </w:r>
      <w:r w:rsidRPr="00116824">
        <w:rPr>
          <w:lang w:val="en-US"/>
        </w:rPr>
        <w:t xml:space="preserve"> women and </w:t>
      </w:r>
      <w:r w:rsidR="000D3E59">
        <w:rPr>
          <w:lang w:val="en-US"/>
        </w:rPr>
        <w:t>4</w:t>
      </w:r>
      <w:r w:rsidRPr="00116824">
        <w:rPr>
          <w:lang w:val="en-US"/>
        </w:rPr>
        <w:t>,</w:t>
      </w:r>
      <w:r w:rsidR="000D3E59">
        <w:rPr>
          <w:lang w:val="en-US"/>
        </w:rPr>
        <w:t>53</w:t>
      </w:r>
      <w:r w:rsidRPr="00116824">
        <w:rPr>
          <w:lang w:val="en-US"/>
        </w:rPr>
        <w:t>5 were in women who were on-time for screening.</w:t>
      </w:r>
    </w:p>
    <w:p w14:paraId="083A5F98" w14:textId="4D4CE5A2" w:rsidR="00042760" w:rsidRPr="00116824" w:rsidRDefault="00042760" w:rsidP="00E87AAA">
      <w:pPr>
        <w:pStyle w:val="Body"/>
      </w:pPr>
      <w:r w:rsidRPr="00116824">
        <w:rPr>
          <w:lang w:val="en-US"/>
        </w:rPr>
        <w:t xml:space="preserve">There were 4,207 self-collection tests from </w:t>
      </w:r>
      <w:r w:rsidR="008166A7">
        <w:rPr>
          <w:lang w:val="en-US"/>
        </w:rPr>
        <w:t xml:space="preserve">1 January </w:t>
      </w:r>
      <w:r w:rsidRPr="00116824">
        <w:rPr>
          <w:lang w:val="en-US"/>
        </w:rPr>
        <w:t>2018 to 31</w:t>
      </w:r>
      <w:r w:rsidR="008166A7">
        <w:rPr>
          <w:lang w:val="en-US"/>
        </w:rPr>
        <w:t xml:space="preserve"> December </w:t>
      </w:r>
      <w:r w:rsidRPr="00116824">
        <w:rPr>
          <w:lang w:val="en-US"/>
        </w:rPr>
        <w:t>2021</w:t>
      </w:r>
      <w:r w:rsidR="00981C47">
        <w:rPr>
          <w:lang w:val="en-US"/>
        </w:rPr>
        <w:t>.</w:t>
      </w:r>
      <w:r w:rsidRPr="00116824">
        <w:rPr>
          <w:lang w:val="en-US"/>
        </w:rPr>
        <w:t xml:space="preserve"> </w:t>
      </w:r>
      <w:r w:rsidR="00981C47">
        <w:rPr>
          <w:lang w:val="en-US"/>
        </w:rPr>
        <w:t>O</w:t>
      </w:r>
      <w:r w:rsidRPr="00116824">
        <w:rPr>
          <w:lang w:val="en-US"/>
        </w:rPr>
        <w:t xml:space="preserve">f these tests, 2,822 </w:t>
      </w:r>
      <w:r w:rsidR="00981C47">
        <w:rPr>
          <w:lang w:val="en-US"/>
        </w:rPr>
        <w:t xml:space="preserve">were </w:t>
      </w:r>
      <w:r w:rsidRPr="00116824">
        <w:rPr>
          <w:lang w:val="en-US"/>
        </w:rPr>
        <w:t>in under-screened women and 1,117 in unscreened women.</w:t>
      </w:r>
    </w:p>
    <w:p w14:paraId="293B518E" w14:textId="4EDE3924" w:rsidR="00042760" w:rsidRPr="00116824" w:rsidRDefault="00042760" w:rsidP="00E87AAA">
      <w:pPr>
        <w:pStyle w:val="Body"/>
      </w:pPr>
      <w:r w:rsidRPr="00116824">
        <w:rPr>
          <w:lang w:val="en-US"/>
        </w:rPr>
        <w:t xml:space="preserve">In the six months </w:t>
      </w:r>
      <w:r w:rsidR="00A602E1">
        <w:rPr>
          <w:lang w:val="en-US"/>
        </w:rPr>
        <w:t xml:space="preserve">before </w:t>
      </w:r>
      <w:r w:rsidRPr="00116824">
        <w:rPr>
          <w:lang w:val="en-US"/>
        </w:rPr>
        <w:t>expan</w:t>
      </w:r>
      <w:r w:rsidR="00A602E1">
        <w:rPr>
          <w:lang w:val="en-US"/>
        </w:rPr>
        <w:t>ding</w:t>
      </w:r>
      <w:r w:rsidRPr="00116824">
        <w:rPr>
          <w:lang w:val="en-US"/>
        </w:rPr>
        <w:t xml:space="preserve"> self-collection eligibility (1/1/2022</w:t>
      </w:r>
      <w:r w:rsidR="008166A7">
        <w:rPr>
          <w:lang w:val="en-US"/>
        </w:rPr>
        <w:t>–</w:t>
      </w:r>
      <w:r w:rsidRPr="00116824">
        <w:rPr>
          <w:lang w:val="en-US"/>
        </w:rPr>
        <w:t>30/06/2022), there were 1,020 self-collection tests (747 in under-screened women</w:t>
      </w:r>
      <w:r w:rsidR="000D3E59">
        <w:rPr>
          <w:lang w:val="en-US"/>
        </w:rPr>
        <w:t xml:space="preserve">, </w:t>
      </w:r>
      <w:r w:rsidRPr="00116824">
        <w:rPr>
          <w:lang w:val="en-US"/>
        </w:rPr>
        <w:t>231 in unscreened women</w:t>
      </w:r>
      <w:r w:rsidR="000D3E59">
        <w:rPr>
          <w:lang w:val="en-US"/>
        </w:rPr>
        <w:t xml:space="preserve"> and 42 in women on-time for screening</w:t>
      </w:r>
      <w:r w:rsidRPr="00116824">
        <w:rPr>
          <w:lang w:val="en-US"/>
        </w:rPr>
        <w:t>).</w:t>
      </w:r>
    </w:p>
    <w:p w14:paraId="3420B2B7" w14:textId="47DA7A79" w:rsidR="00A0392A" w:rsidRPr="00EB7815" w:rsidRDefault="00042760" w:rsidP="00E87AAA">
      <w:pPr>
        <w:pStyle w:val="Body"/>
      </w:pPr>
      <w:r w:rsidRPr="00116824">
        <w:rPr>
          <w:lang w:val="en-US"/>
        </w:rPr>
        <w:t xml:space="preserve">In the </w:t>
      </w:r>
      <w:r w:rsidR="000D3E59">
        <w:rPr>
          <w:lang w:val="en-US"/>
        </w:rPr>
        <w:t>six</w:t>
      </w:r>
      <w:r w:rsidRPr="00116824">
        <w:rPr>
          <w:lang w:val="en-US"/>
        </w:rPr>
        <w:t xml:space="preserve"> months following the expansion of self-collection eligibility (1/7/2022</w:t>
      </w:r>
      <w:r w:rsidR="008166A7">
        <w:rPr>
          <w:lang w:val="en-US"/>
        </w:rPr>
        <w:t>–</w:t>
      </w:r>
      <w:r w:rsidRPr="00116824">
        <w:rPr>
          <w:lang w:val="en-US"/>
        </w:rPr>
        <w:t>31/1</w:t>
      </w:r>
      <w:r w:rsidR="000D3E59">
        <w:rPr>
          <w:lang w:val="en-US"/>
        </w:rPr>
        <w:t>2</w:t>
      </w:r>
      <w:r w:rsidRPr="00116824">
        <w:rPr>
          <w:lang w:val="en-US"/>
        </w:rPr>
        <w:t xml:space="preserve">/2022), there were </w:t>
      </w:r>
      <w:r w:rsidR="000D3E59">
        <w:rPr>
          <w:lang w:val="en-US"/>
        </w:rPr>
        <w:t>10</w:t>
      </w:r>
      <w:r w:rsidRPr="00116824">
        <w:rPr>
          <w:lang w:val="en-US"/>
        </w:rPr>
        <w:t>,</w:t>
      </w:r>
      <w:r w:rsidR="000D3E59">
        <w:rPr>
          <w:lang w:val="en-US"/>
        </w:rPr>
        <w:t>632</w:t>
      </w:r>
      <w:r w:rsidRPr="00116824">
        <w:rPr>
          <w:lang w:val="en-US"/>
        </w:rPr>
        <w:t xml:space="preserve"> self-collection tests (</w:t>
      </w:r>
      <w:r w:rsidR="000D3E59">
        <w:rPr>
          <w:lang w:val="en-US"/>
        </w:rPr>
        <w:t>4</w:t>
      </w:r>
      <w:r w:rsidRPr="00116824">
        <w:rPr>
          <w:lang w:val="en-US"/>
        </w:rPr>
        <w:t>,</w:t>
      </w:r>
      <w:r w:rsidR="000D3E59">
        <w:rPr>
          <w:lang w:val="en-US"/>
        </w:rPr>
        <w:t>390</w:t>
      </w:r>
      <w:r w:rsidRPr="00116824">
        <w:rPr>
          <w:lang w:val="en-US"/>
        </w:rPr>
        <w:t xml:space="preserve"> in under-screened women and 1,</w:t>
      </w:r>
      <w:r w:rsidR="000D3E59">
        <w:rPr>
          <w:lang w:val="en-US"/>
        </w:rPr>
        <w:t>957</w:t>
      </w:r>
      <w:r w:rsidRPr="00116824">
        <w:rPr>
          <w:lang w:val="en-US"/>
        </w:rPr>
        <w:t xml:space="preserve"> in unscreened women). </w:t>
      </w:r>
      <w:r w:rsidR="000E069B" w:rsidRPr="00116824">
        <w:rPr>
          <w:lang w:val="en-US"/>
        </w:rPr>
        <w:t xml:space="preserve">As a result, Table G2 </w:t>
      </w:r>
      <w:r w:rsidR="000D3E59">
        <w:rPr>
          <w:lang w:val="en-US"/>
        </w:rPr>
        <w:t>indicates</w:t>
      </w:r>
      <w:r w:rsidR="000E069B" w:rsidRPr="00116824">
        <w:rPr>
          <w:lang w:val="en-US"/>
        </w:rPr>
        <w:t xml:space="preserve"> that Victoria </w:t>
      </w:r>
      <w:r w:rsidR="000E069B" w:rsidRPr="00116824">
        <w:t>reach</w:t>
      </w:r>
      <w:r w:rsidR="000D3E59">
        <w:t>ed the target for</w:t>
      </w:r>
      <w:r w:rsidR="00A602E1">
        <w:t xml:space="preserve"> </w:t>
      </w:r>
      <w:r w:rsidR="000E069B" w:rsidRPr="00116824">
        <w:t xml:space="preserve">10,000 </w:t>
      </w:r>
      <w:r w:rsidR="00A602E1">
        <w:t xml:space="preserve">more </w:t>
      </w:r>
      <w:r w:rsidR="000E069B" w:rsidRPr="00116824">
        <w:t>self-collected tests among under-screened and never</w:t>
      </w:r>
      <w:r w:rsidR="00A602E1">
        <w:t>-</w:t>
      </w:r>
      <w:r w:rsidR="000E069B" w:rsidRPr="00116824">
        <w:t xml:space="preserve">screened people as soon </w:t>
      </w:r>
      <w:r w:rsidR="00FA0029">
        <w:t xml:space="preserve">as </w:t>
      </w:r>
      <w:r w:rsidR="000D3E59">
        <w:t>December 2022</w:t>
      </w:r>
      <w:r w:rsidR="000E069B" w:rsidRPr="00116824">
        <w:t>.</w:t>
      </w:r>
      <w:r w:rsidR="00A0392A">
        <w:rPr>
          <w:lang w:val="en-US"/>
        </w:rPr>
        <w:br w:type="page"/>
      </w:r>
    </w:p>
    <w:p w14:paraId="609FE52F" w14:textId="5541D43C" w:rsidR="00042760" w:rsidRPr="005C7AD9" w:rsidRDefault="00042760" w:rsidP="003D5F2B">
      <w:pPr>
        <w:pStyle w:val="Tablecaption"/>
      </w:pPr>
      <w:bookmarkStart w:id="1209" w:name="_Toc140834939"/>
      <w:r w:rsidRPr="005C7AD9">
        <w:rPr>
          <w:sz w:val="20"/>
          <w:lang w:val="en-US"/>
        </w:rPr>
        <w:lastRenderedPageBreak/>
        <w:t xml:space="preserve">Table </w:t>
      </w:r>
      <w:r w:rsidR="000E069B" w:rsidRPr="005C7AD9">
        <w:rPr>
          <w:sz w:val="20"/>
          <w:lang w:val="en-US"/>
        </w:rPr>
        <w:t>G2</w:t>
      </w:r>
      <w:r w:rsidR="002963FB" w:rsidRPr="005C7AD9">
        <w:rPr>
          <w:sz w:val="20"/>
          <w:lang w:val="en-US"/>
        </w:rPr>
        <w:t>:</w:t>
      </w:r>
      <w:r w:rsidRPr="005C7AD9">
        <w:rPr>
          <w:sz w:val="20"/>
          <w:lang w:val="en-US"/>
        </w:rPr>
        <w:t xml:space="preserve"> Number of self-collection tests by screening history</w:t>
      </w:r>
      <w:r w:rsidR="00C65B6D" w:rsidRPr="005C7AD9">
        <w:rPr>
          <w:sz w:val="20"/>
          <w:lang w:val="en-US"/>
        </w:rPr>
        <w:t xml:space="preserve"> from 2018</w:t>
      </w:r>
      <w:bookmarkEnd w:id="1209"/>
    </w:p>
    <w:tbl>
      <w:tblPr>
        <w:tblW w:w="9072" w:type="dxa"/>
        <w:tblCellMar>
          <w:left w:w="0" w:type="dxa"/>
          <w:right w:w="0" w:type="dxa"/>
        </w:tblCellMar>
        <w:tblLook w:val="04A0" w:firstRow="1" w:lastRow="0" w:firstColumn="1" w:lastColumn="0" w:noHBand="0" w:noVBand="1"/>
      </w:tblPr>
      <w:tblGrid>
        <w:gridCol w:w="1556"/>
        <w:gridCol w:w="287"/>
        <w:gridCol w:w="1980"/>
        <w:gridCol w:w="1541"/>
        <w:gridCol w:w="455"/>
        <w:gridCol w:w="1411"/>
        <w:gridCol w:w="45"/>
        <w:gridCol w:w="964"/>
        <w:gridCol w:w="833"/>
      </w:tblGrid>
      <w:tr w:rsidR="006B0169" w:rsidRPr="008E107A" w14:paraId="7B398282" w14:textId="2DB98D32" w:rsidTr="00F60CB1">
        <w:trPr>
          <w:gridAfter w:val="1"/>
          <w:wAfter w:w="833" w:type="dxa"/>
          <w:trHeight w:val="287"/>
          <w:tblHeader/>
        </w:trPr>
        <w:tc>
          <w:tcPr>
            <w:tcW w:w="1556" w:type="dxa"/>
            <w:tcBorders>
              <w:bottom w:val="single" w:sz="4" w:space="0" w:color="AF272F"/>
            </w:tcBorders>
            <w:noWrap/>
            <w:tcMar>
              <w:top w:w="0" w:type="dxa"/>
              <w:left w:w="108" w:type="dxa"/>
              <w:bottom w:w="0" w:type="dxa"/>
              <w:right w:w="108" w:type="dxa"/>
            </w:tcMar>
            <w:vAlign w:val="bottom"/>
            <w:hideMark/>
          </w:tcPr>
          <w:p w14:paraId="71282280" w14:textId="0454054C" w:rsidR="00042760" w:rsidRPr="008E107A" w:rsidRDefault="00042760" w:rsidP="00042760">
            <w:pPr>
              <w:rPr>
                <w:rFonts w:ascii="Calibri" w:hAnsi="Calibri" w:cs="Calibri"/>
                <w:sz w:val="14"/>
                <w:szCs w:val="14"/>
              </w:rPr>
            </w:pPr>
          </w:p>
        </w:tc>
        <w:tc>
          <w:tcPr>
            <w:tcW w:w="3808" w:type="dxa"/>
            <w:gridSpan w:val="3"/>
            <w:tcBorders>
              <w:bottom w:val="single" w:sz="4" w:space="0" w:color="AF272F"/>
            </w:tcBorders>
            <w:shd w:val="clear" w:color="auto" w:fill="FFFFFF" w:themeFill="background1"/>
            <w:tcMar>
              <w:top w:w="0" w:type="dxa"/>
              <w:left w:w="108" w:type="dxa"/>
              <w:bottom w:w="0" w:type="dxa"/>
              <w:right w:w="108" w:type="dxa"/>
            </w:tcMar>
            <w:vAlign w:val="bottom"/>
            <w:hideMark/>
          </w:tcPr>
          <w:p w14:paraId="2BC06DF4" w14:textId="3130AB27" w:rsidR="00042760" w:rsidRPr="008E107A" w:rsidRDefault="00042760" w:rsidP="00606436">
            <w:pPr>
              <w:pStyle w:val="Body"/>
            </w:pPr>
            <w:r w:rsidRPr="008E107A">
              <w:t>Before self-collection policy change</w:t>
            </w:r>
          </w:p>
        </w:tc>
        <w:tc>
          <w:tcPr>
            <w:tcW w:w="1911" w:type="dxa"/>
            <w:gridSpan w:val="3"/>
            <w:tcBorders>
              <w:bottom w:val="single" w:sz="4" w:space="0" w:color="AF272F"/>
            </w:tcBorders>
            <w:shd w:val="clear" w:color="auto" w:fill="FFFFFF" w:themeFill="background1"/>
            <w:noWrap/>
            <w:tcMar>
              <w:top w:w="0" w:type="dxa"/>
              <w:left w:w="108" w:type="dxa"/>
              <w:bottom w:w="0" w:type="dxa"/>
              <w:right w:w="108" w:type="dxa"/>
            </w:tcMar>
            <w:vAlign w:val="bottom"/>
            <w:hideMark/>
          </w:tcPr>
          <w:p w14:paraId="10470163" w14:textId="59882D99" w:rsidR="00042760" w:rsidRPr="008E107A" w:rsidRDefault="00042760" w:rsidP="00606436">
            <w:pPr>
              <w:pStyle w:val="Body"/>
            </w:pPr>
            <w:r w:rsidRPr="008E107A">
              <w:t>After self-collection policy change</w:t>
            </w:r>
          </w:p>
        </w:tc>
        <w:tc>
          <w:tcPr>
            <w:tcW w:w="964" w:type="dxa"/>
            <w:tcBorders>
              <w:left w:val="nil"/>
              <w:bottom w:val="single" w:sz="4" w:space="0" w:color="AF272F"/>
            </w:tcBorders>
            <w:noWrap/>
            <w:tcMar>
              <w:top w:w="0" w:type="dxa"/>
              <w:left w:w="108" w:type="dxa"/>
              <w:bottom w:w="0" w:type="dxa"/>
              <w:right w:w="108" w:type="dxa"/>
            </w:tcMar>
            <w:vAlign w:val="bottom"/>
            <w:hideMark/>
          </w:tcPr>
          <w:p w14:paraId="0F0CDAFB" w14:textId="584A194D" w:rsidR="00042760" w:rsidRPr="008E107A" w:rsidRDefault="00042760" w:rsidP="00042760">
            <w:pPr>
              <w:rPr>
                <w:rFonts w:ascii="Arial" w:hAnsi="Arial" w:cs="Arial"/>
                <w:color w:val="AF272F"/>
                <w:sz w:val="14"/>
                <w:szCs w:val="14"/>
              </w:rPr>
            </w:pPr>
          </w:p>
        </w:tc>
      </w:tr>
      <w:tr w:rsidR="00042760" w:rsidRPr="008E107A" w14:paraId="62CA6E38" w14:textId="77777777" w:rsidTr="00F60CB1">
        <w:trPr>
          <w:trHeight w:val="287"/>
          <w:tblHeader/>
        </w:trPr>
        <w:tc>
          <w:tcPr>
            <w:tcW w:w="1843" w:type="dxa"/>
            <w:gridSpan w:val="2"/>
            <w:tcBorders>
              <w:top w:val="single" w:sz="4" w:space="0" w:color="AF272F"/>
              <w:bottom w:val="single" w:sz="4" w:space="0" w:color="AF272F"/>
            </w:tcBorders>
            <w:shd w:val="clear" w:color="auto" w:fill="EDCDCF"/>
            <w:noWrap/>
            <w:tcMar>
              <w:top w:w="0" w:type="dxa"/>
              <w:left w:w="108" w:type="dxa"/>
              <w:bottom w:w="0" w:type="dxa"/>
              <w:right w:w="108" w:type="dxa"/>
            </w:tcMar>
            <w:vAlign w:val="center"/>
            <w:hideMark/>
          </w:tcPr>
          <w:p w14:paraId="68509F53" w14:textId="77777777" w:rsidR="00042760" w:rsidRPr="008E107A" w:rsidRDefault="00042760" w:rsidP="003D5F2B">
            <w:pPr>
              <w:pStyle w:val="Tablecolhead"/>
            </w:pPr>
            <w:r w:rsidRPr="008E107A">
              <w:t>Screening history</w:t>
            </w:r>
          </w:p>
        </w:tc>
        <w:tc>
          <w:tcPr>
            <w:tcW w:w="1980" w:type="dxa"/>
            <w:tcBorders>
              <w:top w:val="single" w:sz="4" w:space="0" w:color="AF272F"/>
              <w:bottom w:val="single" w:sz="4" w:space="0" w:color="AF272F"/>
            </w:tcBorders>
            <w:shd w:val="clear" w:color="auto" w:fill="EDCDCF"/>
            <w:noWrap/>
            <w:tcMar>
              <w:top w:w="0" w:type="dxa"/>
              <w:left w:w="108" w:type="dxa"/>
              <w:bottom w:w="0" w:type="dxa"/>
              <w:right w:w="108" w:type="dxa"/>
            </w:tcMar>
            <w:vAlign w:val="center"/>
            <w:hideMark/>
          </w:tcPr>
          <w:p w14:paraId="77FD14C8" w14:textId="67DC0D98" w:rsidR="00042760" w:rsidRPr="008E107A" w:rsidRDefault="00042760" w:rsidP="003D5F2B">
            <w:pPr>
              <w:pStyle w:val="Tablecolhead"/>
            </w:pPr>
            <w:r w:rsidRPr="008E107A">
              <w:t xml:space="preserve">1/1/2018 </w:t>
            </w:r>
            <w:r w:rsidR="002A0ED1">
              <w:t>–</w:t>
            </w:r>
            <w:r w:rsidRPr="008E107A">
              <w:t xml:space="preserve"> 31/12/2021</w:t>
            </w:r>
          </w:p>
        </w:tc>
        <w:tc>
          <w:tcPr>
            <w:tcW w:w="1996" w:type="dxa"/>
            <w:gridSpan w:val="2"/>
            <w:tcBorders>
              <w:top w:val="single" w:sz="4" w:space="0" w:color="AF272F"/>
              <w:bottom w:val="single" w:sz="4" w:space="0" w:color="AF272F"/>
            </w:tcBorders>
            <w:shd w:val="clear" w:color="auto" w:fill="EDCDCF"/>
            <w:noWrap/>
            <w:tcMar>
              <w:top w:w="0" w:type="dxa"/>
              <w:left w:w="108" w:type="dxa"/>
              <w:bottom w:w="0" w:type="dxa"/>
              <w:right w:w="108" w:type="dxa"/>
            </w:tcMar>
            <w:vAlign w:val="center"/>
            <w:hideMark/>
          </w:tcPr>
          <w:p w14:paraId="4313307F" w14:textId="7FAED7DB" w:rsidR="00042760" w:rsidRPr="008E107A" w:rsidRDefault="00042760" w:rsidP="003D5F2B">
            <w:pPr>
              <w:pStyle w:val="Tablecolhead"/>
            </w:pPr>
            <w:r w:rsidRPr="008E107A">
              <w:t xml:space="preserve">1/1/2022 </w:t>
            </w:r>
            <w:r w:rsidR="002A0ED1">
              <w:t>–</w:t>
            </w:r>
            <w:r w:rsidRPr="008E107A">
              <w:t xml:space="preserve"> 30/06/2022</w:t>
            </w:r>
          </w:p>
        </w:tc>
        <w:tc>
          <w:tcPr>
            <w:tcW w:w="1411" w:type="dxa"/>
            <w:tcBorders>
              <w:top w:val="single" w:sz="4" w:space="0" w:color="AF272F"/>
              <w:bottom w:val="single" w:sz="4" w:space="0" w:color="AF272F"/>
            </w:tcBorders>
            <w:shd w:val="clear" w:color="auto" w:fill="EDCDCF"/>
            <w:tcMar>
              <w:top w:w="0" w:type="dxa"/>
              <w:left w:w="108" w:type="dxa"/>
              <w:bottom w:w="0" w:type="dxa"/>
              <w:right w:w="108" w:type="dxa"/>
            </w:tcMar>
            <w:vAlign w:val="center"/>
            <w:hideMark/>
          </w:tcPr>
          <w:p w14:paraId="52384B15" w14:textId="744C5493" w:rsidR="00042760" w:rsidRPr="008E107A" w:rsidRDefault="00042760" w:rsidP="003D5F2B">
            <w:pPr>
              <w:pStyle w:val="Tablecolhead"/>
            </w:pPr>
            <w:r w:rsidRPr="008E107A">
              <w:t xml:space="preserve">1/7/2022 </w:t>
            </w:r>
            <w:r w:rsidR="002A0ED1">
              <w:t>–</w:t>
            </w:r>
            <w:r w:rsidRPr="008E107A">
              <w:t xml:space="preserve"> 31/1</w:t>
            </w:r>
            <w:r w:rsidR="000D3E59">
              <w:t>2</w:t>
            </w:r>
            <w:r w:rsidRPr="008E107A">
              <w:t>/2022</w:t>
            </w:r>
          </w:p>
        </w:tc>
        <w:tc>
          <w:tcPr>
            <w:tcW w:w="1842" w:type="dxa"/>
            <w:gridSpan w:val="3"/>
            <w:tcBorders>
              <w:top w:val="single" w:sz="4" w:space="0" w:color="AF272F"/>
              <w:bottom w:val="single" w:sz="4" w:space="0" w:color="AF272F"/>
            </w:tcBorders>
            <w:shd w:val="clear" w:color="auto" w:fill="EDCDCF"/>
            <w:noWrap/>
            <w:tcMar>
              <w:top w:w="0" w:type="dxa"/>
              <w:left w:w="108" w:type="dxa"/>
              <w:bottom w:w="0" w:type="dxa"/>
              <w:right w:w="108" w:type="dxa"/>
            </w:tcMar>
            <w:vAlign w:val="center"/>
            <w:hideMark/>
          </w:tcPr>
          <w:p w14:paraId="54A54164" w14:textId="77777777" w:rsidR="00042760" w:rsidRPr="008E107A" w:rsidRDefault="00042760" w:rsidP="003D5F2B">
            <w:pPr>
              <w:pStyle w:val="Tablecolhead"/>
            </w:pPr>
            <w:r w:rsidRPr="008E107A">
              <w:t>Total self-collection tests</w:t>
            </w:r>
          </w:p>
        </w:tc>
      </w:tr>
      <w:tr w:rsidR="00042760" w:rsidRPr="008E107A" w14:paraId="2D28AD41" w14:textId="77777777" w:rsidTr="00F60CB1">
        <w:trPr>
          <w:trHeight w:val="287"/>
        </w:trPr>
        <w:tc>
          <w:tcPr>
            <w:tcW w:w="1843" w:type="dxa"/>
            <w:gridSpan w:val="2"/>
            <w:tcBorders>
              <w:top w:val="single" w:sz="4" w:space="0" w:color="AF272F"/>
              <w:bottom w:val="single" w:sz="4" w:space="0" w:color="AF272F"/>
            </w:tcBorders>
            <w:noWrap/>
            <w:tcMar>
              <w:top w:w="0" w:type="dxa"/>
              <w:left w:w="108" w:type="dxa"/>
              <w:bottom w:w="0" w:type="dxa"/>
              <w:right w:w="108" w:type="dxa"/>
            </w:tcMar>
            <w:vAlign w:val="center"/>
            <w:hideMark/>
          </w:tcPr>
          <w:p w14:paraId="0AF352D5" w14:textId="77777777" w:rsidR="00042760" w:rsidRPr="008E107A" w:rsidRDefault="00042760" w:rsidP="003D5F2B">
            <w:pPr>
              <w:pStyle w:val="Tabletext"/>
            </w:pPr>
            <w:r w:rsidRPr="008E107A">
              <w:t>Under-screened*</w:t>
            </w:r>
          </w:p>
        </w:tc>
        <w:tc>
          <w:tcPr>
            <w:tcW w:w="1980" w:type="dxa"/>
            <w:tcBorders>
              <w:top w:val="single" w:sz="4" w:space="0" w:color="AF272F"/>
              <w:bottom w:val="single" w:sz="4" w:space="0" w:color="AF272F"/>
            </w:tcBorders>
            <w:noWrap/>
            <w:tcMar>
              <w:top w:w="0" w:type="dxa"/>
              <w:left w:w="108" w:type="dxa"/>
              <w:bottom w:w="0" w:type="dxa"/>
              <w:right w:w="108" w:type="dxa"/>
            </w:tcMar>
            <w:vAlign w:val="bottom"/>
            <w:hideMark/>
          </w:tcPr>
          <w:p w14:paraId="33BD6BDA" w14:textId="77777777" w:rsidR="00042760" w:rsidRPr="008E107A" w:rsidRDefault="00042760" w:rsidP="003D5F2B">
            <w:pPr>
              <w:pStyle w:val="Tabletext"/>
            </w:pPr>
            <w:r w:rsidRPr="008E107A">
              <w:t>2,822</w:t>
            </w:r>
          </w:p>
        </w:tc>
        <w:tc>
          <w:tcPr>
            <w:tcW w:w="1996" w:type="dxa"/>
            <w:gridSpan w:val="2"/>
            <w:tcBorders>
              <w:top w:val="single" w:sz="4" w:space="0" w:color="AF272F"/>
              <w:bottom w:val="single" w:sz="4" w:space="0" w:color="AF272F"/>
            </w:tcBorders>
            <w:noWrap/>
            <w:tcMar>
              <w:top w:w="0" w:type="dxa"/>
              <w:left w:w="108" w:type="dxa"/>
              <w:bottom w:w="0" w:type="dxa"/>
              <w:right w:w="108" w:type="dxa"/>
            </w:tcMar>
            <w:vAlign w:val="bottom"/>
            <w:hideMark/>
          </w:tcPr>
          <w:p w14:paraId="04DF6610" w14:textId="77777777" w:rsidR="00042760" w:rsidRPr="008E107A" w:rsidRDefault="00042760" w:rsidP="003D5F2B">
            <w:pPr>
              <w:pStyle w:val="Tabletext"/>
            </w:pPr>
            <w:r w:rsidRPr="008E107A">
              <w:t>747</w:t>
            </w:r>
          </w:p>
        </w:tc>
        <w:tc>
          <w:tcPr>
            <w:tcW w:w="1411" w:type="dxa"/>
            <w:tcBorders>
              <w:top w:val="single" w:sz="4" w:space="0" w:color="AF272F"/>
              <w:bottom w:val="single" w:sz="4" w:space="0" w:color="AF272F"/>
            </w:tcBorders>
            <w:noWrap/>
            <w:tcMar>
              <w:top w:w="0" w:type="dxa"/>
              <w:left w:w="108" w:type="dxa"/>
              <w:bottom w:w="0" w:type="dxa"/>
              <w:right w:w="108" w:type="dxa"/>
            </w:tcMar>
            <w:vAlign w:val="bottom"/>
            <w:hideMark/>
          </w:tcPr>
          <w:p w14:paraId="095B1B74" w14:textId="2C738E49" w:rsidR="00042760" w:rsidRPr="008E107A" w:rsidRDefault="000D3E59" w:rsidP="003D5F2B">
            <w:pPr>
              <w:pStyle w:val="Tabletext"/>
            </w:pPr>
            <w:r>
              <w:t>4</w:t>
            </w:r>
            <w:r w:rsidR="00042760" w:rsidRPr="008E107A">
              <w:t>,</w:t>
            </w:r>
            <w:r>
              <w:t>390</w:t>
            </w:r>
          </w:p>
        </w:tc>
        <w:tc>
          <w:tcPr>
            <w:tcW w:w="1842" w:type="dxa"/>
            <w:gridSpan w:val="3"/>
            <w:tcBorders>
              <w:top w:val="single" w:sz="4" w:space="0" w:color="AF272F"/>
              <w:bottom w:val="single" w:sz="4" w:space="0" w:color="AF272F"/>
            </w:tcBorders>
            <w:noWrap/>
            <w:tcMar>
              <w:top w:w="0" w:type="dxa"/>
              <w:left w:w="108" w:type="dxa"/>
              <w:bottom w:w="0" w:type="dxa"/>
              <w:right w:w="108" w:type="dxa"/>
            </w:tcMar>
            <w:vAlign w:val="bottom"/>
            <w:hideMark/>
          </w:tcPr>
          <w:p w14:paraId="0738E7FE" w14:textId="19D8981D" w:rsidR="00042760" w:rsidRPr="008E107A" w:rsidRDefault="000D3E59" w:rsidP="003D5F2B">
            <w:pPr>
              <w:pStyle w:val="Tabletext"/>
            </w:pPr>
            <w:r>
              <w:t>7</w:t>
            </w:r>
            <w:r w:rsidR="00042760" w:rsidRPr="008E107A">
              <w:t>,</w:t>
            </w:r>
            <w:r>
              <w:t>959</w:t>
            </w:r>
          </w:p>
        </w:tc>
      </w:tr>
      <w:tr w:rsidR="00042760" w:rsidRPr="008E107A" w14:paraId="4EE915E8" w14:textId="77777777" w:rsidTr="00F60CB1">
        <w:trPr>
          <w:trHeight w:val="287"/>
        </w:trPr>
        <w:tc>
          <w:tcPr>
            <w:tcW w:w="1843" w:type="dxa"/>
            <w:gridSpan w:val="2"/>
            <w:tcBorders>
              <w:top w:val="single" w:sz="4" w:space="0" w:color="AF272F"/>
              <w:bottom w:val="single" w:sz="4" w:space="0" w:color="AF272F"/>
            </w:tcBorders>
            <w:noWrap/>
            <w:tcMar>
              <w:top w:w="0" w:type="dxa"/>
              <w:left w:w="108" w:type="dxa"/>
              <w:bottom w:w="0" w:type="dxa"/>
              <w:right w:w="108" w:type="dxa"/>
            </w:tcMar>
            <w:vAlign w:val="center"/>
            <w:hideMark/>
          </w:tcPr>
          <w:p w14:paraId="0C8B5003" w14:textId="77777777" w:rsidR="00042760" w:rsidRPr="008E107A" w:rsidRDefault="00042760" w:rsidP="003D5F2B">
            <w:pPr>
              <w:pStyle w:val="Tabletext"/>
            </w:pPr>
            <w:r w:rsidRPr="008E107A">
              <w:t>Unscreened**</w:t>
            </w:r>
          </w:p>
        </w:tc>
        <w:tc>
          <w:tcPr>
            <w:tcW w:w="1980" w:type="dxa"/>
            <w:tcBorders>
              <w:top w:val="single" w:sz="4" w:space="0" w:color="AF272F"/>
              <w:bottom w:val="single" w:sz="4" w:space="0" w:color="AF272F"/>
            </w:tcBorders>
            <w:noWrap/>
            <w:tcMar>
              <w:top w:w="0" w:type="dxa"/>
              <w:left w:w="108" w:type="dxa"/>
              <w:bottom w:w="0" w:type="dxa"/>
              <w:right w:w="108" w:type="dxa"/>
            </w:tcMar>
            <w:vAlign w:val="bottom"/>
            <w:hideMark/>
          </w:tcPr>
          <w:p w14:paraId="57893BCF" w14:textId="77777777" w:rsidR="00042760" w:rsidRPr="008E107A" w:rsidRDefault="00042760" w:rsidP="003D5F2B">
            <w:pPr>
              <w:pStyle w:val="Tabletext"/>
            </w:pPr>
            <w:r w:rsidRPr="008E107A">
              <w:t>1,177</w:t>
            </w:r>
          </w:p>
        </w:tc>
        <w:tc>
          <w:tcPr>
            <w:tcW w:w="1996" w:type="dxa"/>
            <w:gridSpan w:val="2"/>
            <w:tcBorders>
              <w:top w:val="single" w:sz="4" w:space="0" w:color="AF272F"/>
              <w:bottom w:val="single" w:sz="4" w:space="0" w:color="AF272F"/>
            </w:tcBorders>
            <w:noWrap/>
            <w:tcMar>
              <w:top w:w="0" w:type="dxa"/>
              <w:left w:w="108" w:type="dxa"/>
              <w:bottom w:w="0" w:type="dxa"/>
              <w:right w:w="108" w:type="dxa"/>
            </w:tcMar>
            <w:vAlign w:val="bottom"/>
            <w:hideMark/>
          </w:tcPr>
          <w:p w14:paraId="46C8614B" w14:textId="77777777" w:rsidR="00042760" w:rsidRPr="008E107A" w:rsidRDefault="00042760" w:rsidP="003D5F2B">
            <w:pPr>
              <w:pStyle w:val="Tabletext"/>
            </w:pPr>
            <w:r w:rsidRPr="008E107A">
              <w:t>231</w:t>
            </w:r>
          </w:p>
        </w:tc>
        <w:tc>
          <w:tcPr>
            <w:tcW w:w="1411" w:type="dxa"/>
            <w:tcBorders>
              <w:top w:val="single" w:sz="4" w:space="0" w:color="AF272F"/>
              <w:bottom w:val="single" w:sz="4" w:space="0" w:color="AF272F"/>
            </w:tcBorders>
            <w:noWrap/>
            <w:tcMar>
              <w:top w:w="0" w:type="dxa"/>
              <w:left w:w="108" w:type="dxa"/>
              <w:bottom w:w="0" w:type="dxa"/>
              <w:right w:w="108" w:type="dxa"/>
            </w:tcMar>
            <w:vAlign w:val="bottom"/>
            <w:hideMark/>
          </w:tcPr>
          <w:p w14:paraId="10496612" w14:textId="31390CA0" w:rsidR="00042760" w:rsidRPr="008E107A" w:rsidRDefault="00042760" w:rsidP="003D5F2B">
            <w:pPr>
              <w:pStyle w:val="Tabletext"/>
            </w:pPr>
            <w:r w:rsidRPr="008E107A">
              <w:t>1,</w:t>
            </w:r>
            <w:r w:rsidR="000D3E59">
              <w:t>957</w:t>
            </w:r>
          </w:p>
        </w:tc>
        <w:tc>
          <w:tcPr>
            <w:tcW w:w="1842" w:type="dxa"/>
            <w:gridSpan w:val="3"/>
            <w:tcBorders>
              <w:top w:val="single" w:sz="4" w:space="0" w:color="AF272F"/>
              <w:bottom w:val="single" w:sz="4" w:space="0" w:color="AF272F"/>
            </w:tcBorders>
            <w:noWrap/>
            <w:tcMar>
              <w:top w:w="0" w:type="dxa"/>
              <w:left w:w="108" w:type="dxa"/>
              <w:bottom w:w="0" w:type="dxa"/>
              <w:right w:w="108" w:type="dxa"/>
            </w:tcMar>
            <w:vAlign w:val="bottom"/>
            <w:hideMark/>
          </w:tcPr>
          <w:p w14:paraId="6ADD82A0" w14:textId="3E2627A1" w:rsidR="00042760" w:rsidRPr="008E107A" w:rsidRDefault="000D3E59" w:rsidP="003D5F2B">
            <w:pPr>
              <w:pStyle w:val="Tabletext"/>
            </w:pPr>
            <w:r>
              <w:t>3</w:t>
            </w:r>
            <w:r w:rsidR="00042760" w:rsidRPr="008E107A">
              <w:t>,</w:t>
            </w:r>
            <w:r>
              <w:t>365</w:t>
            </w:r>
          </w:p>
        </w:tc>
      </w:tr>
      <w:tr w:rsidR="00571412" w:rsidRPr="008E107A" w14:paraId="1122EC82" w14:textId="77777777" w:rsidTr="00F60CB1">
        <w:trPr>
          <w:trHeight w:val="287"/>
        </w:trPr>
        <w:tc>
          <w:tcPr>
            <w:tcW w:w="1843" w:type="dxa"/>
            <w:gridSpan w:val="2"/>
            <w:tcBorders>
              <w:top w:val="single" w:sz="4" w:space="0" w:color="AF272F"/>
              <w:bottom w:val="single" w:sz="4" w:space="0" w:color="AF272F"/>
            </w:tcBorders>
            <w:noWrap/>
            <w:tcMar>
              <w:top w:w="0" w:type="dxa"/>
              <w:left w:w="108" w:type="dxa"/>
              <w:bottom w:w="0" w:type="dxa"/>
              <w:right w:w="108" w:type="dxa"/>
            </w:tcMar>
            <w:vAlign w:val="center"/>
          </w:tcPr>
          <w:p w14:paraId="0E62E7FA" w14:textId="14807394" w:rsidR="00571412" w:rsidRPr="00571412" w:rsidRDefault="00571412" w:rsidP="003D5F2B">
            <w:pPr>
              <w:pStyle w:val="Tabletext"/>
              <w:rPr>
                <w:b/>
                <w:bCs/>
              </w:rPr>
            </w:pPr>
            <w:r w:rsidRPr="00571412">
              <w:rPr>
                <w:b/>
                <w:bCs/>
              </w:rPr>
              <w:t>Total</w:t>
            </w:r>
          </w:p>
        </w:tc>
        <w:tc>
          <w:tcPr>
            <w:tcW w:w="1980" w:type="dxa"/>
            <w:tcBorders>
              <w:top w:val="single" w:sz="4" w:space="0" w:color="AF272F"/>
              <w:bottom w:val="single" w:sz="4" w:space="0" w:color="AF272F"/>
            </w:tcBorders>
            <w:noWrap/>
            <w:tcMar>
              <w:top w:w="0" w:type="dxa"/>
              <w:left w:w="108" w:type="dxa"/>
              <w:bottom w:w="0" w:type="dxa"/>
              <w:right w:w="108" w:type="dxa"/>
            </w:tcMar>
            <w:vAlign w:val="bottom"/>
          </w:tcPr>
          <w:p w14:paraId="036A184C" w14:textId="77777777" w:rsidR="00571412" w:rsidRPr="00571412" w:rsidRDefault="00571412" w:rsidP="003D5F2B">
            <w:pPr>
              <w:pStyle w:val="Tabletext"/>
              <w:rPr>
                <w:b/>
                <w:bCs/>
              </w:rPr>
            </w:pPr>
          </w:p>
        </w:tc>
        <w:tc>
          <w:tcPr>
            <w:tcW w:w="1996" w:type="dxa"/>
            <w:gridSpan w:val="2"/>
            <w:tcBorders>
              <w:top w:val="single" w:sz="4" w:space="0" w:color="AF272F"/>
              <w:bottom w:val="single" w:sz="4" w:space="0" w:color="AF272F"/>
            </w:tcBorders>
            <w:noWrap/>
            <w:tcMar>
              <w:top w:w="0" w:type="dxa"/>
              <w:left w:w="108" w:type="dxa"/>
              <w:bottom w:w="0" w:type="dxa"/>
              <w:right w:w="108" w:type="dxa"/>
            </w:tcMar>
            <w:vAlign w:val="bottom"/>
          </w:tcPr>
          <w:p w14:paraId="1832D11C" w14:textId="77777777" w:rsidR="00571412" w:rsidRPr="00571412" w:rsidRDefault="00571412" w:rsidP="003D5F2B">
            <w:pPr>
              <w:pStyle w:val="Tabletext"/>
              <w:rPr>
                <w:b/>
                <w:bCs/>
              </w:rPr>
            </w:pPr>
          </w:p>
        </w:tc>
        <w:tc>
          <w:tcPr>
            <w:tcW w:w="1411" w:type="dxa"/>
            <w:tcBorders>
              <w:top w:val="single" w:sz="4" w:space="0" w:color="AF272F"/>
              <w:bottom w:val="single" w:sz="4" w:space="0" w:color="AF272F"/>
            </w:tcBorders>
            <w:noWrap/>
            <w:tcMar>
              <w:top w:w="0" w:type="dxa"/>
              <w:left w:w="108" w:type="dxa"/>
              <w:bottom w:w="0" w:type="dxa"/>
              <w:right w:w="108" w:type="dxa"/>
            </w:tcMar>
            <w:vAlign w:val="bottom"/>
          </w:tcPr>
          <w:p w14:paraId="708CED2B" w14:textId="77777777" w:rsidR="00571412" w:rsidRPr="00571412" w:rsidRDefault="00571412" w:rsidP="003D5F2B">
            <w:pPr>
              <w:pStyle w:val="Tabletext"/>
              <w:rPr>
                <w:b/>
                <w:bCs/>
              </w:rPr>
            </w:pPr>
          </w:p>
        </w:tc>
        <w:tc>
          <w:tcPr>
            <w:tcW w:w="1842" w:type="dxa"/>
            <w:gridSpan w:val="3"/>
            <w:tcBorders>
              <w:top w:val="single" w:sz="4" w:space="0" w:color="AF272F"/>
              <w:bottom w:val="single" w:sz="4" w:space="0" w:color="AF272F"/>
            </w:tcBorders>
            <w:noWrap/>
            <w:tcMar>
              <w:top w:w="0" w:type="dxa"/>
              <w:left w:w="108" w:type="dxa"/>
              <w:bottom w:w="0" w:type="dxa"/>
              <w:right w:w="108" w:type="dxa"/>
            </w:tcMar>
            <w:vAlign w:val="bottom"/>
          </w:tcPr>
          <w:p w14:paraId="69738E31" w14:textId="12370C1F" w:rsidR="00571412" w:rsidRPr="00571412" w:rsidRDefault="00571412" w:rsidP="003D5F2B">
            <w:pPr>
              <w:pStyle w:val="Tabletext"/>
              <w:rPr>
                <w:b/>
                <w:bCs/>
              </w:rPr>
            </w:pPr>
            <w:r w:rsidRPr="00571412">
              <w:rPr>
                <w:b/>
                <w:bCs/>
              </w:rPr>
              <w:t>11,324</w:t>
            </w:r>
          </w:p>
        </w:tc>
      </w:tr>
      <w:tr w:rsidR="00042760" w:rsidRPr="008E107A" w14:paraId="103EE8B9" w14:textId="77777777" w:rsidTr="00F60CB1">
        <w:trPr>
          <w:trHeight w:val="287"/>
        </w:trPr>
        <w:tc>
          <w:tcPr>
            <w:tcW w:w="1843" w:type="dxa"/>
            <w:gridSpan w:val="2"/>
            <w:tcBorders>
              <w:top w:val="single" w:sz="4" w:space="0" w:color="AF272F"/>
              <w:bottom w:val="single" w:sz="4" w:space="0" w:color="AF272F"/>
            </w:tcBorders>
            <w:noWrap/>
            <w:tcMar>
              <w:top w:w="0" w:type="dxa"/>
              <w:left w:w="108" w:type="dxa"/>
              <w:bottom w:w="0" w:type="dxa"/>
              <w:right w:w="108" w:type="dxa"/>
            </w:tcMar>
            <w:vAlign w:val="center"/>
            <w:hideMark/>
          </w:tcPr>
          <w:p w14:paraId="5EFA40C4" w14:textId="77777777" w:rsidR="00042760" w:rsidRPr="008E107A" w:rsidRDefault="00042760" w:rsidP="003D5F2B">
            <w:pPr>
              <w:pStyle w:val="Tabletext"/>
            </w:pPr>
            <w:r w:rsidRPr="008E107A">
              <w:t>On-time</w:t>
            </w:r>
          </w:p>
        </w:tc>
        <w:tc>
          <w:tcPr>
            <w:tcW w:w="1980" w:type="dxa"/>
            <w:tcBorders>
              <w:top w:val="single" w:sz="4" w:space="0" w:color="AF272F"/>
              <w:bottom w:val="single" w:sz="4" w:space="0" w:color="AF272F"/>
            </w:tcBorders>
            <w:noWrap/>
            <w:tcMar>
              <w:top w:w="0" w:type="dxa"/>
              <w:left w:w="108" w:type="dxa"/>
              <w:bottom w:w="0" w:type="dxa"/>
              <w:right w:w="108" w:type="dxa"/>
            </w:tcMar>
            <w:vAlign w:val="bottom"/>
            <w:hideMark/>
          </w:tcPr>
          <w:p w14:paraId="41939717" w14:textId="77777777" w:rsidR="00042760" w:rsidRPr="008E107A" w:rsidRDefault="00042760" w:rsidP="003D5F2B">
            <w:pPr>
              <w:pStyle w:val="Tabletext"/>
            </w:pPr>
            <w:r w:rsidRPr="008E107A">
              <w:t>208</w:t>
            </w:r>
          </w:p>
        </w:tc>
        <w:tc>
          <w:tcPr>
            <w:tcW w:w="1996" w:type="dxa"/>
            <w:gridSpan w:val="2"/>
            <w:tcBorders>
              <w:top w:val="single" w:sz="4" w:space="0" w:color="AF272F"/>
              <w:bottom w:val="single" w:sz="4" w:space="0" w:color="AF272F"/>
            </w:tcBorders>
            <w:noWrap/>
            <w:tcMar>
              <w:top w:w="0" w:type="dxa"/>
              <w:left w:w="108" w:type="dxa"/>
              <w:bottom w:w="0" w:type="dxa"/>
              <w:right w:w="108" w:type="dxa"/>
            </w:tcMar>
            <w:vAlign w:val="bottom"/>
            <w:hideMark/>
          </w:tcPr>
          <w:p w14:paraId="561818CF" w14:textId="77777777" w:rsidR="00042760" w:rsidRPr="008E107A" w:rsidRDefault="00042760" w:rsidP="003D5F2B">
            <w:pPr>
              <w:pStyle w:val="Tabletext"/>
            </w:pPr>
            <w:r w:rsidRPr="008E107A">
              <w:t>42</w:t>
            </w:r>
          </w:p>
        </w:tc>
        <w:tc>
          <w:tcPr>
            <w:tcW w:w="1411" w:type="dxa"/>
            <w:tcBorders>
              <w:top w:val="single" w:sz="4" w:space="0" w:color="AF272F"/>
              <w:bottom w:val="single" w:sz="4" w:space="0" w:color="AF272F"/>
            </w:tcBorders>
            <w:noWrap/>
            <w:tcMar>
              <w:top w:w="0" w:type="dxa"/>
              <w:left w:w="108" w:type="dxa"/>
              <w:bottom w:w="0" w:type="dxa"/>
              <w:right w:w="108" w:type="dxa"/>
            </w:tcMar>
            <w:vAlign w:val="bottom"/>
            <w:hideMark/>
          </w:tcPr>
          <w:p w14:paraId="757C93AA" w14:textId="07AD04C7" w:rsidR="00042760" w:rsidRPr="008E107A" w:rsidRDefault="000D3E59" w:rsidP="003D5F2B">
            <w:pPr>
              <w:pStyle w:val="Tabletext"/>
            </w:pPr>
            <w:r>
              <w:t>4</w:t>
            </w:r>
            <w:r w:rsidR="00042760" w:rsidRPr="008E107A">
              <w:t>,</w:t>
            </w:r>
            <w:r>
              <w:t>28</w:t>
            </w:r>
            <w:r w:rsidR="00042760" w:rsidRPr="008E107A">
              <w:t>5</w:t>
            </w:r>
          </w:p>
        </w:tc>
        <w:tc>
          <w:tcPr>
            <w:tcW w:w="1842" w:type="dxa"/>
            <w:gridSpan w:val="3"/>
            <w:tcBorders>
              <w:top w:val="single" w:sz="4" w:space="0" w:color="AF272F"/>
              <w:bottom w:val="single" w:sz="4" w:space="0" w:color="AF272F"/>
            </w:tcBorders>
            <w:noWrap/>
            <w:tcMar>
              <w:top w:w="0" w:type="dxa"/>
              <w:left w:w="108" w:type="dxa"/>
              <w:bottom w:w="0" w:type="dxa"/>
              <w:right w:w="108" w:type="dxa"/>
            </w:tcMar>
            <w:vAlign w:val="bottom"/>
            <w:hideMark/>
          </w:tcPr>
          <w:p w14:paraId="4739D220" w14:textId="684068EC" w:rsidR="00042760" w:rsidRPr="008E107A" w:rsidRDefault="000D3E59" w:rsidP="003D5F2B">
            <w:pPr>
              <w:pStyle w:val="Tabletext"/>
            </w:pPr>
            <w:r>
              <w:t>4</w:t>
            </w:r>
            <w:r w:rsidR="00042760" w:rsidRPr="008E107A">
              <w:t>,</w:t>
            </w:r>
            <w:r>
              <w:t>53</w:t>
            </w:r>
            <w:r w:rsidR="00042760" w:rsidRPr="008E107A">
              <w:t>5</w:t>
            </w:r>
          </w:p>
        </w:tc>
      </w:tr>
      <w:tr w:rsidR="00042760" w:rsidRPr="008E107A" w14:paraId="5C108CF7" w14:textId="77777777" w:rsidTr="00F60CB1">
        <w:trPr>
          <w:trHeight w:val="287"/>
        </w:trPr>
        <w:tc>
          <w:tcPr>
            <w:tcW w:w="1843" w:type="dxa"/>
            <w:gridSpan w:val="2"/>
            <w:tcBorders>
              <w:top w:val="single" w:sz="4" w:space="0" w:color="AF272F"/>
              <w:bottom w:val="single" w:sz="4" w:space="0" w:color="AF272F"/>
            </w:tcBorders>
            <w:noWrap/>
            <w:tcMar>
              <w:top w:w="0" w:type="dxa"/>
              <w:left w:w="108" w:type="dxa"/>
              <w:bottom w:w="0" w:type="dxa"/>
              <w:right w:w="108" w:type="dxa"/>
            </w:tcMar>
            <w:vAlign w:val="center"/>
            <w:hideMark/>
          </w:tcPr>
          <w:p w14:paraId="5872C58A" w14:textId="77777777" w:rsidR="00042760" w:rsidRPr="00571412" w:rsidRDefault="00042760" w:rsidP="003D5F2B">
            <w:pPr>
              <w:pStyle w:val="Tabletext"/>
              <w:rPr>
                <w:b/>
                <w:bCs/>
              </w:rPr>
            </w:pPr>
            <w:r w:rsidRPr="00571412">
              <w:rPr>
                <w:b/>
                <w:bCs/>
              </w:rPr>
              <w:t>Total self-collection tests</w:t>
            </w:r>
          </w:p>
        </w:tc>
        <w:tc>
          <w:tcPr>
            <w:tcW w:w="1980" w:type="dxa"/>
            <w:tcBorders>
              <w:top w:val="single" w:sz="4" w:space="0" w:color="AF272F"/>
              <w:bottom w:val="single" w:sz="4" w:space="0" w:color="AF272F"/>
            </w:tcBorders>
            <w:noWrap/>
            <w:tcMar>
              <w:top w:w="0" w:type="dxa"/>
              <w:left w:w="108" w:type="dxa"/>
              <w:bottom w:w="0" w:type="dxa"/>
              <w:right w:w="108" w:type="dxa"/>
            </w:tcMar>
            <w:vAlign w:val="bottom"/>
            <w:hideMark/>
          </w:tcPr>
          <w:p w14:paraId="46113226" w14:textId="77777777" w:rsidR="00042760" w:rsidRPr="00571412" w:rsidRDefault="00042760" w:rsidP="003D5F2B">
            <w:pPr>
              <w:pStyle w:val="Tabletext"/>
              <w:rPr>
                <w:b/>
                <w:bCs/>
              </w:rPr>
            </w:pPr>
            <w:r w:rsidRPr="00571412">
              <w:rPr>
                <w:b/>
                <w:bCs/>
              </w:rPr>
              <w:t>4,207</w:t>
            </w:r>
          </w:p>
        </w:tc>
        <w:tc>
          <w:tcPr>
            <w:tcW w:w="1996" w:type="dxa"/>
            <w:gridSpan w:val="2"/>
            <w:tcBorders>
              <w:top w:val="single" w:sz="4" w:space="0" w:color="AF272F"/>
              <w:bottom w:val="single" w:sz="4" w:space="0" w:color="AF272F"/>
            </w:tcBorders>
            <w:noWrap/>
            <w:tcMar>
              <w:top w:w="0" w:type="dxa"/>
              <w:left w:w="108" w:type="dxa"/>
              <w:bottom w:w="0" w:type="dxa"/>
              <w:right w:w="108" w:type="dxa"/>
            </w:tcMar>
            <w:vAlign w:val="bottom"/>
            <w:hideMark/>
          </w:tcPr>
          <w:p w14:paraId="1CBDAEAE" w14:textId="77777777" w:rsidR="00042760" w:rsidRPr="00571412" w:rsidRDefault="00042760" w:rsidP="003D5F2B">
            <w:pPr>
              <w:pStyle w:val="Tabletext"/>
              <w:rPr>
                <w:b/>
                <w:bCs/>
              </w:rPr>
            </w:pPr>
            <w:r w:rsidRPr="00571412">
              <w:rPr>
                <w:b/>
                <w:bCs/>
              </w:rPr>
              <w:t>1,020</w:t>
            </w:r>
          </w:p>
        </w:tc>
        <w:tc>
          <w:tcPr>
            <w:tcW w:w="1411" w:type="dxa"/>
            <w:tcBorders>
              <w:top w:val="single" w:sz="4" w:space="0" w:color="AF272F"/>
              <w:bottom w:val="single" w:sz="4" w:space="0" w:color="AF272F"/>
            </w:tcBorders>
            <w:noWrap/>
            <w:tcMar>
              <w:top w:w="0" w:type="dxa"/>
              <w:left w:w="108" w:type="dxa"/>
              <w:bottom w:w="0" w:type="dxa"/>
              <w:right w:w="108" w:type="dxa"/>
            </w:tcMar>
            <w:vAlign w:val="bottom"/>
            <w:hideMark/>
          </w:tcPr>
          <w:p w14:paraId="33E2F8A4" w14:textId="5620E02A" w:rsidR="00042760" w:rsidRPr="00571412" w:rsidRDefault="000D3E59" w:rsidP="003D5F2B">
            <w:pPr>
              <w:pStyle w:val="Tabletext"/>
              <w:rPr>
                <w:b/>
                <w:bCs/>
              </w:rPr>
            </w:pPr>
            <w:r w:rsidRPr="00571412">
              <w:rPr>
                <w:b/>
                <w:bCs/>
              </w:rPr>
              <w:t>10</w:t>
            </w:r>
            <w:r w:rsidR="00042760" w:rsidRPr="00571412">
              <w:rPr>
                <w:b/>
                <w:bCs/>
              </w:rPr>
              <w:t>,</w:t>
            </w:r>
            <w:r w:rsidRPr="00571412">
              <w:rPr>
                <w:b/>
                <w:bCs/>
              </w:rPr>
              <w:t>632</w:t>
            </w:r>
          </w:p>
        </w:tc>
        <w:tc>
          <w:tcPr>
            <w:tcW w:w="1842" w:type="dxa"/>
            <w:gridSpan w:val="3"/>
            <w:tcBorders>
              <w:top w:val="single" w:sz="4" w:space="0" w:color="AF272F"/>
              <w:bottom w:val="single" w:sz="4" w:space="0" w:color="AF272F"/>
            </w:tcBorders>
            <w:noWrap/>
            <w:tcMar>
              <w:top w:w="0" w:type="dxa"/>
              <w:left w:w="108" w:type="dxa"/>
              <w:bottom w:w="0" w:type="dxa"/>
              <w:right w:w="108" w:type="dxa"/>
            </w:tcMar>
            <w:vAlign w:val="bottom"/>
            <w:hideMark/>
          </w:tcPr>
          <w:p w14:paraId="25698498" w14:textId="1712D329" w:rsidR="00042760" w:rsidRPr="00571412" w:rsidRDefault="00042760" w:rsidP="003D5F2B">
            <w:pPr>
              <w:pStyle w:val="Tabletext"/>
              <w:rPr>
                <w:b/>
                <w:bCs/>
              </w:rPr>
            </w:pPr>
            <w:r w:rsidRPr="00571412">
              <w:rPr>
                <w:b/>
                <w:bCs/>
              </w:rPr>
              <w:t>1</w:t>
            </w:r>
            <w:r w:rsidR="000D3E59" w:rsidRPr="00571412">
              <w:rPr>
                <w:b/>
                <w:bCs/>
              </w:rPr>
              <w:t>5</w:t>
            </w:r>
            <w:r w:rsidRPr="00571412">
              <w:rPr>
                <w:b/>
                <w:bCs/>
              </w:rPr>
              <w:t>,</w:t>
            </w:r>
            <w:r w:rsidR="000D3E59" w:rsidRPr="00571412">
              <w:rPr>
                <w:b/>
                <w:bCs/>
              </w:rPr>
              <w:t>859</w:t>
            </w:r>
          </w:p>
        </w:tc>
      </w:tr>
    </w:tbl>
    <w:p w14:paraId="4B5FB394" w14:textId="3A06A979" w:rsidR="00422AA1" w:rsidRPr="005C7AD9" w:rsidRDefault="005A653F" w:rsidP="006048DC">
      <w:pPr>
        <w:pStyle w:val="Tablefigurenote"/>
        <w:rPr>
          <w:i/>
          <w:iCs/>
          <w:sz w:val="18"/>
          <w:szCs w:val="18"/>
          <w:lang w:val="en-US"/>
        </w:rPr>
      </w:pPr>
      <w:r w:rsidRPr="005C7AD9">
        <w:rPr>
          <w:i/>
          <w:iCs/>
          <w:sz w:val="18"/>
          <w:szCs w:val="18"/>
          <w:lang w:val="en-US"/>
        </w:rPr>
        <w:t>S</w:t>
      </w:r>
      <w:r w:rsidR="00422AA1" w:rsidRPr="005C7AD9">
        <w:rPr>
          <w:i/>
          <w:iCs/>
          <w:sz w:val="18"/>
          <w:szCs w:val="18"/>
          <w:lang w:val="en-US"/>
        </w:rPr>
        <w:t>ource: National Cancer Screening Register (NCSR) Mar Remote Data Entry (RDE) 2023</w:t>
      </w:r>
    </w:p>
    <w:p w14:paraId="341A5229" w14:textId="77777777" w:rsidR="00FA0029" w:rsidRPr="005C7AD9" w:rsidRDefault="00FA0029" w:rsidP="00FA0029">
      <w:pPr>
        <w:pStyle w:val="Tablefigurenote"/>
        <w:rPr>
          <w:i/>
          <w:iCs/>
          <w:sz w:val="18"/>
          <w:szCs w:val="18"/>
        </w:rPr>
      </w:pPr>
      <w:r w:rsidRPr="005C7AD9">
        <w:rPr>
          <w:i/>
          <w:iCs/>
          <w:sz w:val="18"/>
          <w:szCs w:val="18"/>
          <w:lang w:val="en-US"/>
        </w:rPr>
        <w:t>Notes:</w:t>
      </w:r>
    </w:p>
    <w:p w14:paraId="421F06FF" w14:textId="05D72CD7" w:rsidR="00042760" w:rsidRPr="005C7AD9" w:rsidRDefault="00042760" w:rsidP="006048DC">
      <w:pPr>
        <w:pStyle w:val="Tablefigurenote"/>
        <w:rPr>
          <w:i/>
          <w:iCs/>
          <w:sz w:val="18"/>
          <w:szCs w:val="18"/>
          <w:lang w:val="en-US"/>
        </w:rPr>
      </w:pPr>
      <w:r w:rsidRPr="005C7AD9">
        <w:rPr>
          <w:i/>
          <w:iCs/>
          <w:sz w:val="18"/>
          <w:szCs w:val="18"/>
          <w:lang w:val="en-US"/>
        </w:rPr>
        <w:t>Data presented in this table is restricted to women in the target age range of 25</w:t>
      </w:r>
      <w:r w:rsidR="005A653F" w:rsidRPr="005C7AD9">
        <w:rPr>
          <w:i/>
          <w:iCs/>
          <w:sz w:val="18"/>
          <w:szCs w:val="18"/>
          <w:lang w:val="en-US"/>
        </w:rPr>
        <w:t>–</w:t>
      </w:r>
      <w:r w:rsidRPr="005C7AD9">
        <w:rPr>
          <w:i/>
          <w:iCs/>
          <w:sz w:val="18"/>
          <w:szCs w:val="18"/>
          <w:lang w:val="en-US"/>
        </w:rPr>
        <w:t>74</w:t>
      </w:r>
      <w:r w:rsidR="005A653F" w:rsidRPr="005C7AD9">
        <w:rPr>
          <w:i/>
          <w:iCs/>
          <w:sz w:val="18"/>
          <w:szCs w:val="18"/>
          <w:lang w:val="en-US"/>
        </w:rPr>
        <w:t xml:space="preserve"> years</w:t>
      </w:r>
      <w:r w:rsidRPr="005C7AD9">
        <w:rPr>
          <w:i/>
          <w:iCs/>
          <w:sz w:val="18"/>
          <w:szCs w:val="18"/>
          <w:lang w:val="en-US"/>
        </w:rPr>
        <w:t xml:space="preserve"> who had a Victorian address at the time of self-collection.</w:t>
      </w:r>
    </w:p>
    <w:p w14:paraId="54EE729D" w14:textId="1DF650A2" w:rsidR="00FA0029" w:rsidRPr="005C7AD9" w:rsidRDefault="00FA0029" w:rsidP="006048DC">
      <w:pPr>
        <w:pStyle w:val="Tablefigurenote"/>
        <w:rPr>
          <w:i/>
          <w:iCs/>
          <w:sz w:val="18"/>
          <w:szCs w:val="18"/>
        </w:rPr>
      </w:pPr>
      <w:r w:rsidRPr="005C7AD9">
        <w:rPr>
          <w:i/>
          <w:iCs/>
          <w:sz w:val="18"/>
          <w:szCs w:val="18"/>
          <w:lang w:val="en-US"/>
        </w:rPr>
        <w:t xml:space="preserve">The dates 1/1/2018–30/6/2022 are before the </w:t>
      </w:r>
      <w:r w:rsidRPr="005C7AD9">
        <w:rPr>
          <w:i/>
          <w:iCs/>
          <w:sz w:val="18"/>
          <w:szCs w:val="18"/>
        </w:rPr>
        <w:t>self-collection policy change.</w:t>
      </w:r>
    </w:p>
    <w:p w14:paraId="5DAD364B" w14:textId="0D31E157" w:rsidR="00042760" w:rsidRPr="005C7AD9" w:rsidRDefault="004A715A" w:rsidP="006048DC">
      <w:pPr>
        <w:pStyle w:val="Tablefigurenote"/>
        <w:rPr>
          <w:i/>
          <w:iCs/>
          <w:sz w:val="18"/>
          <w:szCs w:val="18"/>
        </w:rPr>
      </w:pPr>
      <w:r w:rsidRPr="005C7AD9">
        <w:rPr>
          <w:i/>
          <w:iCs/>
          <w:sz w:val="18"/>
          <w:szCs w:val="18"/>
          <w:lang w:val="en-US"/>
        </w:rPr>
        <w:t>‘</w:t>
      </w:r>
      <w:r w:rsidR="00042760" w:rsidRPr="005C7AD9">
        <w:rPr>
          <w:i/>
          <w:iCs/>
          <w:sz w:val="18"/>
          <w:szCs w:val="18"/>
          <w:lang w:val="en-US"/>
        </w:rPr>
        <w:t>*Under-screened</w:t>
      </w:r>
      <w:r w:rsidRPr="005C7AD9">
        <w:rPr>
          <w:i/>
          <w:iCs/>
          <w:sz w:val="18"/>
          <w:szCs w:val="18"/>
          <w:lang w:val="en-US"/>
        </w:rPr>
        <w:t>’</w:t>
      </w:r>
      <w:r w:rsidR="00042760" w:rsidRPr="005C7AD9">
        <w:rPr>
          <w:i/>
          <w:iCs/>
          <w:sz w:val="18"/>
          <w:szCs w:val="18"/>
          <w:lang w:val="en-US"/>
        </w:rPr>
        <w:t xml:space="preserve"> women are defined as those whose most recent test prior to self-collection was a pre-renewal test </w:t>
      </w:r>
      <w:r w:rsidR="005A653F" w:rsidRPr="005C7AD9">
        <w:rPr>
          <w:i/>
          <w:iCs/>
          <w:sz w:val="18"/>
          <w:szCs w:val="18"/>
          <w:lang w:val="en-US"/>
        </w:rPr>
        <w:t>four</w:t>
      </w:r>
      <w:r w:rsidR="00042760" w:rsidRPr="005C7AD9">
        <w:rPr>
          <w:i/>
          <w:iCs/>
          <w:sz w:val="18"/>
          <w:szCs w:val="18"/>
          <w:lang w:val="en-US"/>
        </w:rPr>
        <w:t xml:space="preserve"> or more years before the self-collection date, which corresponds to being at least two years overdue for screening. Women who had a renewal test prior to self-collection were classified as </w:t>
      </w:r>
      <w:r w:rsidRPr="005C7AD9">
        <w:rPr>
          <w:i/>
          <w:iCs/>
          <w:sz w:val="18"/>
          <w:szCs w:val="18"/>
          <w:lang w:val="en-US"/>
        </w:rPr>
        <w:t>‘</w:t>
      </w:r>
      <w:r w:rsidR="00042760" w:rsidRPr="005C7AD9">
        <w:rPr>
          <w:i/>
          <w:iCs/>
          <w:sz w:val="18"/>
          <w:szCs w:val="18"/>
          <w:lang w:val="en-US"/>
        </w:rPr>
        <w:t>on-time</w:t>
      </w:r>
      <w:r w:rsidRPr="005C7AD9">
        <w:rPr>
          <w:i/>
          <w:iCs/>
          <w:sz w:val="18"/>
          <w:szCs w:val="18"/>
          <w:lang w:val="en-US"/>
        </w:rPr>
        <w:t>’</w:t>
      </w:r>
      <w:r w:rsidR="00042760" w:rsidRPr="005C7AD9">
        <w:rPr>
          <w:i/>
          <w:iCs/>
          <w:sz w:val="18"/>
          <w:szCs w:val="18"/>
          <w:lang w:val="en-US"/>
        </w:rPr>
        <w:t xml:space="preserve"> for screening, as no women in this category are two or more years overdue for screening due to the expanded five-year screening interval. </w:t>
      </w:r>
    </w:p>
    <w:p w14:paraId="5908B276" w14:textId="1B175E3E" w:rsidR="00042760" w:rsidRPr="005C7AD9" w:rsidRDefault="00042760" w:rsidP="006048DC">
      <w:pPr>
        <w:pStyle w:val="Tablefigurenote"/>
        <w:rPr>
          <w:i/>
          <w:iCs/>
          <w:sz w:val="18"/>
          <w:szCs w:val="18"/>
        </w:rPr>
      </w:pPr>
      <w:r w:rsidRPr="005C7AD9">
        <w:rPr>
          <w:i/>
          <w:iCs/>
          <w:sz w:val="18"/>
          <w:szCs w:val="18"/>
          <w:lang w:val="en-US"/>
        </w:rPr>
        <w:t>**</w:t>
      </w:r>
      <w:r w:rsidR="00A400B4">
        <w:rPr>
          <w:i/>
          <w:iCs/>
          <w:sz w:val="18"/>
          <w:szCs w:val="18"/>
          <w:lang w:val="en-US"/>
        </w:rPr>
        <w:t>’</w:t>
      </w:r>
      <w:r w:rsidRPr="005C7AD9">
        <w:rPr>
          <w:i/>
          <w:iCs/>
          <w:sz w:val="18"/>
          <w:szCs w:val="18"/>
          <w:lang w:val="en-US"/>
        </w:rPr>
        <w:t>Unscreened</w:t>
      </w:r>
      <w:r w:rsidR="004A715A" w:rsidRPr="005C7AD9">
        <w:rPr>
          <w:i/>
          <w:iCs/>
          <w:sz w:val="18"/>
          <w:szCs w:val="18"/>
          <w:lang w:val="en-US"/>
        </w:rPr>
        <w:t>’</w:t>
      </w:r>
      <w:r w:rsidRPr="005C7AD9">
        <w:rPr>
          <w:i/>
          <w:iCs/>
          <w:sz w:val="18"/>
          <w:szCs w:val="18"/>
          <w:lang w:val="en-US"/>
        </w:rPr>
        <w:t xml:space="preserve"> women are defined as those who had no recorded tests prior to self-collection.</w:t>
      </w:r>
    </w:p>
    <w:p w14:paraId="2C718258" w14:textId="34D82764" w:rsidR="004A338D" w:rsidRPr="00525315" w:rsidRDefault="00E608E2" w:rsidP="00A451D4">
      <w:pPr>
        <w:pStyle w:val="Heading3"/>
        <w:rPr>
          <w:b/>
          <w:bCs w:val="0"/>
        </w:rPr>
      </w:pPr>
      <w:r w:rsidRPr="00525315">
        <w:rPr>
          <w:b/>
          <w:bCs w:val="0"/>
        </w:rPr>
        <w:t xml:space="preserve">Goal 3: </w:t>
      </w:r>
      <w:r w:rsidR="005A653F" w:rsidRPr="00525315">
        <w:rPr>
          <w:b/>
          <w:bCs w:val="0"/>
        </w:rPr>
        <w:t>I</w:t>
      </w:r>
      <w:r w:rsidR="004A338D" w:rsidRPr="00525315">
        <w:rPr>
          <w:b/>
          <w:bCs w:val="0"/>
        </w:rPr>
        <w:t>ncrease access by 20</w:t>
      </w:r>
      <w:r w:rsidR="0054537F">
        <w:rPr>
          <w:b/>
          <w:bCs w:val="0"/>
        </w:rPr>
        <w:t>%</w:t>
      </w:r>
      <w:r w:rsidR="004A338D" w:rsidRPr="00525315">
        <w:rPr>
          <w:b/>
          <w:bCs w:val="0"/>
        </w:rPr>
        <w:t xml:space="preserve"> for symptom and urgent review clinics for chemotherapy patients to avoid emergency presentations for vulnerable patients (2024)</w:t>
      </w:r>
    </w:p>
    <w:p w14:paraId="77782B5E" w14:textId="77777777" w:rsidR="00FA30E7" w:rsidRDefault="00FA30E7" w:rsidP="006048DC">
      <w:pPr>
        <w:pStyle w:val="Heading4"/>
      </w:pPr>
      <w:r>
        <w:t>Goal assessment</w:t>
      </w:r>
    </w:p>
    <w:p w14:paraId="5A82592D" w14:textId="77777777" w:rsidR="00224E75" w:rsidRPr="0062077D" w:rsidRDefault="00FA30E7" w:rsidP="00E87AAA">
      <w:pPr>
        <w:pStyle w:val="Body"/>
      </w:pPr>
      <w:r w:rsidRPr="00BF199D">
        <w:rPr>
          <w:rFonts w:cs="Arial"/>
        </w:rPr>
        <w:t>Traffic light rating:</w:t>
      </w:r>
      <w:r>
        <w:rPr>
          <w:rFonts w:cs="Arial"/>
        </w:rPr>
        <w:t xml:space="preserve"> </w:t>
      </w:r>
      <w:r w:rsidR="00224E75" w:rsidRPr="00B504AD">
        <w:rPr>
          <w:b/>
          <w:color w:val="007B4B"/>
        </w:rPr>
        <w:t>Green</w:t>
      </w:r>
      <w:r w:rsidR="00224E75">
        <w:t xml:space="preserve"> (satisfactory result)</w:t>
      </w:r>
    </w:p>
    <w:p w14:paraId="5824B281" w14:textId="50FE216D" w:rsidR="00FA30E7" w:rsidRPr="00224E75" w:rsidRDefault="00224E75" w:rsidP="00E87AAA">
      <w:pPr>
        <w:pStyle w:val="Body"/>
      </w:pPr>
      <w:r>
        <w:t>Overall trend: Moving in the right direction</w:t>
      </w:r>
    </w:p>
    <w:p w14:paraId="635EBF18" w14:textId="7693371F" w:rsidR="00446A01" w:rsidRDefault="00430CCE" w:rsidP="00606436">
      <w:pPr>
        <w:pStyle w:val="Body"/>
      </w:pPr>
      <w:r>
        <w:t xml:space="preserve">Commentary: </w:t>
      </w:r>
      <w:r w:rsidRPr="00430CCE">
        <w:t>Symptom and Urgent Review Clinics (SURC) are an innovative approach t</w:t>
      </w:r>
      <w:r w:rsidR="00224E75">
        <w:t xml:space="preserve">hat supports patients </w:t>
      </w:r>
      <w:r w:rsidR="00446A01">
        <w:t xml:space="preserve">who are </w:t>
      </w:r>
      <w:r w:rsidR="00224E75">
        <w:t xml:space="preserve">receiving systemic anti-cancer </w:t>
      </w:r>
      <w:r w:rsidR="00446A01">
        <w:t>therapy</w:t>
      </w:r>
      <w:r w:rsidR="00974DF6">
        <w:t xml:space="preserve"> (SACT)</w:t>
      </w:r>
      <w:r w:rsidR="00446A01">
        <w:t xml:space="preserve"> and experiencing </w:t>
      </w:r>
      <w:r w:rsidR="00224E75">
        <w:t>treatment</w:t>
      </w:r>
      <w:r w:rsidR="001818DF">
        <w:t>-</w:t>
      </w:r>
      <w:r w:rsidR="00446A01">
        <w:t xml:space="preserve">related toxicities. The SURC model of care provides standardised patient education to patients referred for </w:t>
      </w:r>
      <w:r w:rsidR="001818DF">
        <w:t xml:space="preserve">SACT </w:t>
      </w:r>
      <w:r w:rsidR="00446A01">
        <w:t xml:space="preserve">in </w:t>
      </w:r>
      <w:r w:rsidR="001818DF">
        <w:t>an</w:t>
      </w:r>
      <w:r w:rsidR="00446A01">
        <w:t xml:space="preserve"> outpatient setting. It </w:t>
      </w:r>
      <w:r w:rsidR="001818DF">
        <w:t xml:space="preserve">offers </w:t>
      </w:r>
      <w:r w:rsidR="00446A01">
        <w:t>a single point of contact for patients and carers to access support for toxicities experience</w:t>
      </w:r>
      <w:r w:rsidR="001818DF">
        <w:t>d</w:t>
      </w:r>
      <w:r w:rsidR="00446A01">
        <w:t xml:space="preserve"> following chemotherapy through telephone or face</w:t>
      </w:r>
      <w:r w:rsidR="001818DF">
        <w:t>-</w:t>
      </w:r>
      <w:r w:rsidR="00446A01">
        <w:t>to</w:t>
      </w:r>
      <w:r w:rsidR="001818DF">
        <w:t>-</w:t>
      </w:r>
      <w:r w:rsidR="00446A01">
        <w:t>face contacts.</w:t>
      </w:r>
      <w:r w:rsidR="0081317F">
        <w:t xml:space="preserve"> In addition, </w:t>
      </w:r>
      <w:r w:rsidR="0081317F" w:rsidRPr="0081317F">
        <w:t xml:space="preserve">patients were less likely to present to </w:t>
      </w:r>
      <w:r w:rsidR="00EA30A2">
        <w:t>an</w:t>
      </w:r>
      <w:r w:rsidR="00EA30A2" w:rsidRPr="0081317F">
        <w:t xml:space="preserve"> </w:t>
      </w:r>
      <w:r w:rsidR="0081317F" w:rsidRPr="0081317F">
        <w:t xml:space="preserve">ED and had a shorter stay in ED if attending ED within 28 days </w:t>
      </w:r>
      <w:r w:rsidR="00EA30A2">
        <w:t xml:space="preserve">after </w:t>
      </w:r>
      <w:r w:rsidR="0081317F" w:rsidRPr="0081317F">
        <w:t>the day oncology encounter</w:t>
      </w:r>
      <w:r w:rsidR="00EA30A2">
        <w:t>. They</w:t>
      </w:r>
      <w:r w:rsidR="0081317F" w:rsidRPr="0081317F">
        <w:t xml:space="preserve"> </w:t>
      </w:r>
      <w:r w:rsidR="00EA30A2">
        <w:t xml:space="preserve">were </w:t>
      </w:r>
      <w:r w:rsidR="0081317F" w:rsidRPr="0081317F">
        <w:t xml:space="preserve">more likely to </w:t>
      </w:r>
      <w:r w:rsidR="00EA30A2">
        <w:t xml:space="preserve">be </w:t>
      </w:r>
      <w:r w:rsidR="0081317F" w:rsidRPr="0081317F">
        <w:t xml:space="preserve">readmitted to </w:t>
      </w:r>
      <w:r w:rsidR="00EA30A2">
        <w:t xml:space="preserve">an </w:t>
      </w:r>
      <w:r w:rsidR="0081317F" w:rsidRPr="0081317F">
        <w:t xml:space="preserve">inpatient unit </w:t>
      </w:r>
      <w:r w:rsidR="00EA30A2">
        <w:t xml:space="preserve">after an </w:t>
      </w:r>
      <w:r w:rsidR="0081317F" w:rsidRPr="0081317F">
        <w:t>ED presentation for further treatment or management of toxicity associated with SACT</w:t>
      </w:r>
      <w:r w:rsidR="0081317F">
        <w:t>.</w:t>
      </w:r>
      <w:r w:rsidR="0081317F">
        <w:rPr>
          <w:rStyle w:val="FootnoteReference"/>
          <w:rFonts w:cs="Arial"/>
        </w:rPr>
        <w:footnoteReference w:id="224"/>
      </w:r>
    </w:p>
    <w:p w14:paraId="70AF9C07" w14:textId="3FDD72A8" w:rsidR="00A50E38" w:rsidRDefault="00430CCE" w:rsidP="00606436">
      <w:pPr>
        <w:pStyle w:val="Body"/>
      </w:pPr>
      <w:r w:rsidRPr="00974DF6">
        <w:t xml:space="preserve">SURC clinics have been implemented across Victoria’s public </w:t>
      </w:r>
      <w:r w:rsidR="00A50E38" w:rsidRPr="00974DF6">
        <w:t xml:space="preserve">and private </w:t>
      </w:r>
      <w:r w:rsidRPr="00974DF6">
        <w:t xml:space="preserve">hospitals in metropolitan and regional areas. </w:t>
      </w:r>
      <w:r w:rsidR="00A50E38" w:rsidRPr="00974DF6">
        <w:t xml:space="preserve">An </w:t>
      </w:r>
      <w:r w:rsidR="00446A01" w:rsidRPr="00974DF6">
        <w:t>economic assessment of the SURC program in 2019</w:t>
      </w:r>
      <w:r w:rsidR="00974DF6" w:rsidRPr="00974DF6">
        <w:t xml:space="preserve"> showed that the </w:t>
      </w:r>
      <w:r w:rsidR="00974DF6" w:rsidRPr="00974DF6">
        <w:lastRenderedPageBreak/>
        <w:t xml:space="preserve">chance of presenting to </w:t>
      </w:r>
      <w:r w:rsidR="00EA30A2">
        <w:t xml:space="preserve">an ED </w:t>
      </w:r>
      <w:r w:rsidR="00974DF6" w:rsidRPr="00974DF6">
        <w:t>for SACT</w:t>
      </w:r>
      <w:r w:rsidR="00EA30A2">
        <w:t>-</w:t>
      </w:r>
      <w:r w:rsidR="00974DF6" w:rsidRPr="00974DF6">
        <w:t>related toxicity and other issues was significantly reduced from 8.5</w:t>
      </w:r>
      <w:r w:rsidR="0054537F">
        <w:t>%</w:t>
      </w:r>
      <w:r w:rsidR="00974DF6" w:rsidRPr="00974DF6">
        <w:t xml:space="preserve"> to 7.2</w:t>
      </w:r>
      <w:r w:rsidR="0054537F">
        <w:t>%</w:t>
      </w:r>
      <w:r w:rsidR="00974DF6" w:rsidRPr="00974DF6">
        <w:t xml:space="preserve"> (</w:t>
      </w:r>
      <w:r w:rsidR="00974DF6" w:rsidRPr="00974DF6">
        <w:rPr>
          <w:i/>
          <w:iCs/>
        </w:rPr>
        <w:t>p</w:t>
      </w:r>
      <w:r w:rsidR="006048DC">
        <w:rPr>
          <w:i/>
          <w:iCs/>
        </w:rPr>
        <w:t xml:space="preserve"> </w:t>
      </w:r>
      <w:r w:rsidR="00974DF6" w:rsidRPr="00974DF6">
        <w:t>=</w:t>
      </w:r>
      <w:r w:rsidR="006048DC">
        <w:t xml:space="preserve"> </w:t>
      </w:r>
      <w:r w:rsidR="00974DF6" w:rsidRPr="00974DF6">
        <w:t>0.01)</w:t>
      </w:r>
      <w:r w:rsidR="00974DF6">
        <w:t>.</w:t>
      </w:r>
    </w:p>
    <w:p w14:paraId="1F9E18CF" w14:textId="02953A9C" w:rsidR="00A0392A" w:rsidRPr="00EB7815" w:rsidRDefault="001E4B26" w:rsidP="00606436">
      <w:pPr>
        <w:pStyle w:val="Body"/>
      </w:pPr>
      <w:r>
        <w:t xml:space="preserve">The Symptom and Urgent Review Clinic (SURC) model was first developed and piloted at Western Health in 2013. Subsequent to this the </w:t>
      </w:r>
      <w:r w:rsidR="00A50E38">
        <w:t xml:space="preserve">number of SURCs that have been established </w:t>
      </w:r>
      <w:r w:rsidR="00E03B57">
        <w:t>state-wide</w:t>
      </w:r>
      <w:r w:rsidR="00A50E38">
        <w:t xml:space="preserve"> has increased </w:t>
      </w:r>
      <w:r w:rsidR="00224E75" w:rsidRPr="00647F6D">
        <w:t>to 20 in 2022.</w:t>
      </w:r>
      <w:r w:rsidR="006B604E">
        <w:t xml:space="preserve"> </w:t>
      </w:r>
      <w:r w:rsidR="0081317F">
        <w:t>This means that this goal has been exceeded.</w:t>
      </w:r>
    </w:p>
    <w:p w14:paraId="19A234AD" w14:textId="2D847A2A" w:rsidR="004A338D" w:rsidRPr="00525315" w:rsidRDefault="00E608E2" w:rsidP="00A451D4">
      <w:pPr>
        <w:pStyle w:val="Heading3"/>
        <w:rPr>
          <w:b/>
          <w:bCs w:val="0"/>
        </w:rPr>
      </w:pPr>
      <w:r w:rsidRPr="00525315">
        <w:rPr>
          <w:b/>
          <w:bCs w:val="0"/>
        </w:rPr>
        <w:t xml:space="preserve">Goal 4: </w:t>
      </w:r>
      <w:r w:rsidR="00EA30A2" w:rsidRPr="00525315">
        <w:rPr>
          <w:b/>
          <w:bCs w:val="0"/>
        </w:rPr>
        <w:t>I</w:t>
      </w:r>
      <w:r w:rsidR="004A338D" w:rsidRPr="00525315">
        <w:rPr>
          <w:b/>
          <w:bCs w:val="0"/>
        </w:rPr>
        <w:t>ncrease by 50</w:t>
      </w:r>
      <w:r w:rsidR="0054537F">
        <w:rPr>
          <w:b/>
          <w:bCs w:val="0"/>
        </w:rPr>
        <w:t>%</w:t>
      </w:r>
      <w:r w:rsidR="004A338D" w:rsidRPr="00525315">
        <w:rPr>
          <w:b/>
          <w:bCs w:val="0"/>
        </w:rPr>
        <w:t>, in people who have metastatic cancer, the proportion of people with an advance care directive</w:t>
      </w:r>
      <w:r w:rsidR="00AC7A46" w:rsidRPr="00525315">
        <w:rPr>
          <w:b/>
          <w:bCs w:val="0"/>
        </w:rPr>
        <w:t xml:space="preserve"> (2024)</w:t>
      </w:r>
    </w:p>
    <w:p w14:paraId="0488A123" w14:textId="1EC679EC" w:rsidR="00162984" w:rsidRPr="005C7AD9" w:rsidRDefault="00162984" w:rsidP="006F3C39">
      <w:pPr>
        <w:pStyle w:val="Tablecaption"/>
        <w:rPr>
          <w:sz w:val="20"/>
        </w:rPr>
      </w:pPr>
      <w:bookmarkStart w:id="1210" w:name="_Toc140834940"/>
      <w:r w:rsidRPr="005C7AD9">
        <w:rPr>
          <w:sz w:val="20"/>
        </w:rPr>
        <w:t xml:space="preserve">Table </w:t>
      </w:r>
      <w:r w:rsidR="00766F60" w:rsidRPr="005C7AD9">
        <w:rPr>
          <w:sz w:val="20"/>
        </w:rPr>
        <w:t>G4</w:t>
      </w:r>
      <w:r w:rsidR="00D13361" w:rsidRPr="005C7AD9">
        <w:rPr>
          <w:sz w:val="20"/>
        </w:rPr>
        <w:t>:</w:t>
      </w:r>
      <w:r w:rsidR="00766F60" w:rsidRPr="005C7AD9">
        <w:rPr>
          <w:sz w:val="20"/>
        </w:rPr>
        <w:t xml:space="preserve"> Proportion of people with an advance care directive who have metastatic cancer, by Integrated Cancer Service </w:t>
      </w:r>
      <w:r w:rsidR="00183E12" w:rsidRPr="005C7AD9">
        <w:rPr>
          <w:sz w:val="20"/>
        </w:rPr>
        <w:t>of hospital (or hospital admission or treatment)</w:t>
      </w:r>
      <w:r w:rsidR="00EA30A2" w:rsidRPr="005C7AD9">
        <w:rPr>
          <w:sz w:val="20"/>
        </w:rPr>
        <w:t>,</w:t>
      </w:r>
      <w:r w:rsidR="00183E12" w:rsidRPr="005C7AD9">
        <w:rPr>
          <w:sz w:val="20"/>
        </w:rPr>
        <w:t xml:space="preserve"> </w:t>
      </w:r>
      <w:r w:rsidR="00766F60" w:rsidRPr="005C7AD9">
        <w:rPr>
          <w:sz w:val="20"/>
        </w:rPr>
        <w:t>by year</w:t>
      </w:r>
      <w:r w:rsidR="00C65B6D" w:rsidRPr="005C7AD9">
        <w:rPr>
          <w:sz w:val="20"/>
        </w:rPr>
        <w:t>, 2016–20</w:t>
      </w:r>
      <w:r w:rsidR="00885CE6" w:rsidRPr="005C7AD9">
        <w:rPr>
          <w:sz w:val="20"/>
        </w:rPr>
        <w:t>22</w:t>
      </w:r>
      <w:bookmarkEnd w:id="1210"/>
    </w:p>
    <w:tbl>
      <w:tblPr>
        <w:tblW w:w="10138" w:type="dxa"/>
        <w:tblInd w:w="-360" w:type="dxa"/>
        <w:tblLayout w:type="fixed"/>
        <w:tblLook w:val="04A0" w:firstRow="1" w:lastRow="0" w:firstColumn="1" w:lastColumn="0" w:noHBand="0" w:noVBand="1"/>
      </w:tblPr>
      <w:tblGrid>
        <w:gridCol w:w="646"/>
        <w:gridCol w:w="1027"/>
        <w:gridCol w:w="1028"/>
        <w:gridCol w:w="1028"/>
        <w:gridCol w:w="1167"/>
        <w:gridCol w:w="1027"/>
        <w:gridCol w:w="1028"/>
        <w:gridCol w:w="1028"/>
        <w:gridCol w:w="884"/>
        <w:gridCol w:w="1275"/>
      </w:tblGrid>
      <w:tr w:rsidR="00EA30A2" w:rsidRPr="00A71373" w14:paraId="5609C158" w14:textId="77777777" w:rsidTr="003A192E">
        <w:trPr>
          <w:trHeight w:val="231"/>
        </w:trPr>
        <w:tc>
          <w:tcPr>
            <w:tcW w:w="646" w:type="dxa"/>
            <w:tcBorders>
              <w:top w:val="nil"/>
              <w:left w:val="nil"/>
              <w:bottom w:val="single" w:sz="4" w:space="0" w:color="AF272F"/>
              <w:right w:val="nil"/>
            </w:tcBorders>
            <w:shd w:val="clear" w:color="auto" w:fill="EDCDCF"/>
            <w:noWrap/>
            <w:vAlign w:val="center"/>
            <w:hideMark/>
          </w:tcPr>
          <w:p w14:paraId="32AA6030" w14:textId="77777777" w:rsidR="00766F60" w:rsidRPr="00A71373" w:rsidRDefault="00766F60" w:rsidP="006F3C39">
            <w:pPr>
              <w:pStyle w:val="Tablecolhead"/>
              <w:rPr>
                <w:sz w:val="18"/>
                <w:szCs w:val="18"/>
              </w:rPr>
            </w:pPr>
            <w:r w:rsidRPr="00A71373">
              <w:rPr>
                <w:sz w:val="18"/>
                <w:szCs w:val="18"/>
              </w:rPr>
              <w:t>Year</w:t>
            </w:r>
          </w:p>
        </w:tc>
        <w:tc>
          <w:tcPr>
            <w:tcW w:w="1027" w:type="dxa"/>
            <w:tcBorders>
              <w:top w:val="nil"/>
              <w:left w:val="nil"/>
              <w:bottom w:val="single" w:sz="4" w:space="0" w:color="AF272F"/>
              <w:right w:val="nil"/>
            </w:tcBorders>
            <w:shd w:val="clear" w:color="auto" w:fill="EDCDCF"/>
            <w:noWrap/>
            <w:vAlign w:val="center"/>
            <w:hideMark/>
          </w:tcPr>
          <w:p w14:paraId="4D38D46C" w14:textId="77777777" w:rsidR="00766F60" w:rsidRPr="00A71373" w:rsidRDefault="00766F60" w:rsidP="006F3C39">
            <w:pPr>
              <w:pStyle w:val="Tablecolhead"/>
              <w:rPr>
                <w:sz w:val="18"/>
                <w:szCs w:val="18"/>
              </w:rPr>
            </w:pPr>
            <w:r w:rsidRPr="00A71373">
              <w:rPr>
                <w:sz w:val="18"/>
                <w:szCs w:val="18"/>
              </w:rPr>
              <w:t>NEMICS</w:t>
            </w:r>
          </w:p>
        </w:tc>
        <w:tc>
          <w:tcPr>
            <w:tcW w:w="1028" w:type="dxa"/>
            <w:tcBorders>
              <w:top w:val="nil"/>
              <w:left w:val="nil"/>
              <w:bottom w:val="single" w:sz="4" w:space="0" w:color="AF272F"/>
              <w:right w:val="nil"/>
            </w:tcBorders>
            <w:shd w:val="clear" w:color="auto" w:fill="EDCDCF"/>
            <w:noWrap/>
            <w:vAlign w:val="center"/>
            <w:hideMark/>
          </w:tcPr>
          <w:p w14:paraId="183A1BE9" w14:textId="77777777" w:rsidR="00766F60" w:rsidRPr="00A71373" w:rsidRDefault="00766F60" w:rsidP="006F3C39">
            <w:pPr>
              <w:pStyle w:val="Tablecolhead"/>
              <w:rPr>
                <w:sz w:val="18"/>
                <w:szCs w:val="18"/>
              </w:rPr>
            </w:pPr>
            <w:r w:rsidRPr="00A71373">
              <w:rPr>
                <w:sz w:val="18"/>
                <w:szCs w:val="18"/>
              </w:rPr>
              <w:t>SMICS</w:t>
            </w:r>
          </w:p>
        </w:tc>
        <w:tc>
          <w:tcPr>
            <w:tcW w:w="1028" w:type="dxa"/>
            <w:tcBorders>
              <w:top w:val="nil"/>
              <w:left w:val="nil"/>
              <w:bottom w:val="single" w:sz="4" w:space="0" w:color="AF272F"/>
              <w:right w:val="nil"/>
            </w:tcBorders>
            <w:shd w:val="clear" w:color="auto" w:fill="EDCDCF"/>
            <w:noWrap/>
            <w:vAlign w:val="center"/>
            <w:hideMark/>
          </w:tcPr>
          <w:p w14:paraId="084D89F9" w14:textId="77777777" w:rsidR="00766F60" w:rsidRPr="00A71373" w:rsidRDefault="00766F60" w:rsidP="006F3C39">
            <w:pPr>
              <w:pStyle w:val="Tablecolhead"/>
              <w:rPr>
                <w:sz w:val="18"/>
                <w:szCs w:val="18"/>
              </w:rPr>
            </w:pPr>
            <w:r w:rsidRPr="00A71373">
              <w:rPr>
                <w:sz w:val="18"/>
                <w:szCs w:val="18"/>
              </w:rPr>
              <w:t>WCMICS</w:t>
            </w:r>
          </w:p>
        </w:tc>
        <w:tc>
          <w:tcPr>
            <w:tcW w:w="1167" w:type="dxa"/>
            <w:tcBorders>
              <w:top w:val="nil"/>
              <w:left w:val="nil"/>
              <w:bottom w:val="single" w:sz="4" w:space="0" w:color="AF272F"/>
              <w:right w:val="nil"/>
            </w:tcBorders>
            <w:shd w:val="clear" w:color="auto" w:fill="EDCDCF"/>
            <w:noWrap/>
            <w:vAlign w:val="center"/>
            <w:hideMark/>
          </w:tcPr>
          <w:p w14:paraId="21B2BE25" w14:textId="77777777" w:rsidR="00766F60" w:rsidRPr="00A71373" w:rsidRDefault="00766F60" w:rsidP="006F3C39">
            <w:pPr>
              <w:pStyle w:val="Tablecolhead"/>
              <w:rPr>
                <w:sz w:val="18"/>
                <w:szCs w:val="18"/>
              </w:rPr>
            </w:pPr>
            <w:r w:rsidRPr="00A71373">
              <w:rPr>
                <w:sz w:val="18"/>
                <w:szCs w:val="18"/>
              </w:rPr>
              <w:t>BSWRICS</w:t>
            </w:r>
          </w:p>
        </w:tc>
        <w:tc>
          <w:tcPr>
            <w:tcW w:w="1027" w:type="dxa"/>
            <w:tcBorders>
              <w:top w:val="nil"/>
              <w:left w:val="nil"/>
              <w:bottom w:val="single" w:sz="4" w:space="0" w:color="AF272F"/>
              <w:right w:val="nil"/>
            </w:tcBorders>
            <w:shd w:val="clear" w:color="auto" w:fill="EDCDCF"/>
            <w:noWrap/>
            <w:vAlign w:val="center"/>
            <w:hideMark/>
          </w:tcPr>
          <w:p w14:paraId="61355D1E" w14:textId="77777777" w:rsidR="00766F60" w:rsidRPr="00A71373" w:rsidRDefault="00766F60" w:rsidP="006F3C39">
            <w:pPr>
              <w:pStyle w:val="Tablecolhead"/>
              <w:rPr>
                <w:sz w:val="18"/>
                <w:szCs w:val="18"/>
              </w:rPr>
            </w:pPr>
            <w:r w:rsidRPr="00A71373">
              <w:rPr>
                <w:sz w:val="18"/>
                <w:szCs w:val="18"/>
              </w:rPr>
              <w:t>GRICS</w:t>
            </w:r>
          </w:p>
        </w:tc>
        <w:tc>
          <w:tcPr>
            <w:tcW w:w="1028" w:type="dxa"/>
            <w:tcBorders>
              <w:top w:val="nil"/>
              <w:left w:val="nil"/>
              <w:bottom w:val="single" w:sz="4" w:space="0" w:color="AF272F"/>
              <w:right w:val="nil"/>
            </w:tcBorders>
            <w:shd w:val="clear" w:color="auto" w:fill="EDCDCF"/>
            <w:noWrap/>
            <w:vAlign w:val="center"/>
            <w:hideMark/>
          </w:tcPr>
          <w:p w14:paraId="57423345" w14:textId="77777777" w:rsidR="00766F60" w:rsidRPr="00A71373" w:rsidRDefault="00766F60" w:rsidP="006F3C39">
            <w:pPr>
              <w:pStyle w:val="Tablecolhead"/>
              <w:rPr>
                <w:sz w:val="18"/>
                <w:szCs w:val="18"/>
              </w:rPr>
            </w:pPr>
            <w:r w:rsidRPr="00A71373">
              <w:rPr>
                <w:sz w:val="18"/>
                <w:szCs w:val="18"/>
              </w:rPr>
              <w:t>HRICS</w:t>
            </w:r>
          </w:p>
        </w:tc>
        <w:tc>
          <w:tcPr>
            <w:tcW w:w="1028" w:type="dxa"/>
            <w:tcBorders>
              <w:top w:val="nil"/>
              <w:left w:val="nil"/>
              <w:bottom w:val="single" w:sz="4" w:space="0" w:color="AF272F"/>
              <w:right w:val="nil"/>
            </w:tcBorders>
            <w:shd w:val="clear" w:color="auto" w:fill="EDCDCF"/>
            <w:noWrap/>
            <w:vAlign w:val="center"/>
            <w:hideMark/>
          </w:tcPr>
          <w:p w14:paraId="21B5C312" w14:textId="77777777" w:rsidR="00766F60" w:rsidRPr="00A71373" w:rsidRDefault="00766F60" w:rsidP="006F3C39">
            <w:pPr>
              <w:pStyle w:val="Tablecolhead"/>
              <w:rPr>
                <w:sz w:val="18"/>
                <w:szCs w:val="18"/>
              </w:rPr>
            </w:pPr>
            <w:r w:rsidRPr="00A71373">
              <w:rPr>
                <w:sz w:val="18"/>
                <w:szCs w:val="18"/>
              </w:rPr>
              <w:t>LMICS</w:t>
            </w:r>
          </w:p>
        </w:tc>
        <w:tc>
          <w:tcPr>
            <w:tcW w:w="884" w:type="dxa"/>
            <w:tcBorders>
              <w:top w:val="nil"/>
              <w:left w:val="nil"/>
              <w:bottom w:val="single" w:sz="4" w:space="0" w:color="AF272F"/>
              <w:right w:val="nil"/>
            </w:tcBorders>
            <w:shd w:val="clear" w:color="auto" w:fill="EDCDCF"/>
            <w:noWrap/>
            <w:vAlign w:val="center"/>
            <w:hideMark/>
          </w:tcPr>
          <w:p w14:paraId="55095DAF" w14:textId="77777777" w:rsidR="00766F60" w:rsidRPr="00A71373" w:rsidRDefault="00766F60" w:rsidP="006F3C39">
            <w:pPr>
              <w:pStyle w:val="Tablecolhead"/>
              <w:rPr>
                <w:sz w:val="18"/>
                <w:szCs w:val="18"/>
              </w:rPr>
            </w:pPr>
            <w:r w:rsidRPr="00A71373">
              <w:rPr>
                <w:sz w:val="18"/>
                <w:szCs w:val="18"/>
              </w:rPr>
              <w:t>GICS</w:t>
            </w:r>
          </w:p>
        </w:tc>
        <w:tc>
          <w:tcPr>
            <w:tcW w:w="1275" w:type="dxa"/>
            <w:tcBorders>
              <w:top w:val="nil"/>
              <w:left w:val="nil"/>
              <w:bottom w:val="single" w:sz="4" w:space="0" w:color="AF272F"/>
              <w:right w:val="nil"/>
            </w:tcBorders>
            <w:shd w:val="clear" w:color="auto" w:fill="EDCDCF"/>
            <w:noWrap/>
            <w:vAlign w:val="center"/>
            <w:hideMark/>
          </w:tcPr>
          <w:p w14:paraId="635BDBBD" w14:textId="77777777" w:rsidR="00766F60" w:rsidRPr="00A71373" w:rsidRDefault="00766F60" w:rsidP="006F3C39">
            <w:pPr>
              <w:pStyle w:val="Tablecolhead"/>
              <w:rPr>
                <w:sz w:val="18"/>
                <w:szCs w:val="18"/>
              </w:rPr>
            </w:pPr>
            <w:r w:rsidRPr="00A71373">
              <w:rPr>
                <w:sz w:val="18"/>
                <w:szCs w:val="18"/>
              </w:rPr>
              <w:t>Victoria</w:t>
            </w:r>
          </w:p>
        </w:tc>
      </w:tr>
      <w:tr w:rsidR="00EA30A2" w:rsidRPr="00A71373" w14:paraId="3697B399" w14:textId="77777777" w:rsidTr="003A192E">
        <w:trPr>
          <w:trHeight w:val="231"/>
        </w:trPr>
        <w:tc>
          <w:tcPr>
            <w:tcW w:w="646" w:type="dxa"/>
            <w:tcBorders>
              <w:top w:val="single" w:sz="4" w:space="0" w:color="AF272F"/>
              <w:left w:val="nil"/>
              <w:bottom w:val="single" w:sz="4" w:space="0" w:color="AF272F"/>
              <w:right w:val="nil"/>
            </w:tcBorders>
            <w:shd w:val="clear" w:color="auto" w:fill="auto"/>
            <w:noWrap/>
            <w:vAlign w:val="center"/>
            <w:hideMark/>
          </w:tcPr>
          <w:p w14:paraId="4F4B2515" w14:textId="77777777" w:rsidR="00885CE6" w:rsidRPr="00A71373" w:rsidRDefault="00885CE6" w:rsidP="006F3C39">
            <w:pPr>
              <w:pStyle w:val="Tabletext"/>
              <w:rPr>
                <w:sz w:val="18"/>
                <w:szCs w:val="18"/>
              </w:rPr>
            </w:pPr>
            <w:r w:rsidRPr="00A71373">
              <w:rPr>
                <w:sz w:val="18"/>
                <w:szCs w:val="18"/>
              </w:rPr>
              <w:t>2016</w:t>
            </w:r>
          </w:p>
        </w:tc>
        <w:tc>
          <w:tcPr>
            <w:tcW w:w="1027" w:type="dxa"/>
            <w:tcBorders>
              <w:top w:val="single" w:sz="4" w:space="0" w:color="AF272F"/>
              <w:left w:val="nil"/>
              <w:bottom w:val="single" w:sz="4" w:space="0" w:color="AF272F"/>
              <w:right w:val="nil"/>
            </w:tcBorders>
            <w:shd w:val="clear" w:color="auto" w:fill="auto"/>
            <w:noWrap/>
            <w:vAlign w:val="center"/>
          </w:tcPr>
          <w:p w14:paraId="1D80E57E" w14:textId="77777777" w:rsidR="00885CE6" w:rsidRPr="00A71373" w:rsidRDefault="00885CE6" w:rsidP="006F3C39">
            <w:pPr>
              <w:pStyle w:val="Tabletext"/>
              <w:rPr>
                <w:sz w:val="18"/>
                <w:szCs w:val="18"/>
              </w:rPr>
            </w:pPr>
            <w:r w:rsidRPr="00A71373">
              <w:rPr>
                <w:sz w:val="18"/>
                <w:szCs w:val="18"/>
              </w:rPr>
              <w:t xml:space="preserve">186/3704 </w:t>
            </w:r>
          </w:p>
          <w:p w14:paraId="10DA87D9" w14:textId="08CF8DD5" w:rsidR="00885CE6" w:rsidRPr="00A71373" w:rsidRDefault="00885CE6" w:rsidP="006F3C39">
            <w:pPr>
              <w:pStyle w:val="Tabletext"/>
              <w:rPr>
                <w:sz w:val="18"/>
                <w:szCs w:val="18"/>
              </w:rPr>
            </w:pPr>
            <w:r w:rsidRPr="00A71373">
              <w:rPr>
                <w:sz w:val="18"/>
                <w:szCs w:val="18"/>
              </w:rPr>
              <w:t>(5%)</w:t>
            </w:r>
          </w:p>
        </w:tc>
        <w:tc>
          <w:tcPr>
            <w:tcW w:w="1028" w:type="dxa"/>
            <w:tcBorders>
              <w:top w:val="single" w:sz="4" w:space="0" w:color="AF272F"/>
              <w:left w:val="nil"/>
              <w:bottom w:val="single" w:sz="4" w:space="0" w:color="AF272F"/>
              <w:right w:val="nil"/>
            </w:tcBorders>
            <w:shd w:val="clear" w:color="auto" w:fill="auto"/>
            <w:noWrap/>
            <w:vAlign w:val="center"/>
          </w:tcPr>
          <w:p w14:paraId="55B62CAC" w14:textId="77777777" w:rsidR="00885CE6" w:rsidRPr="00A71373" w:rsidRDefault="00885CE6" w:rsidP="006F3C39">
            <w:pPr>
              <w:pStyle w:val="Tabletext"/>
              <w:rPr>
                <w:sz w:val="18"/>
                <w:szCs w:val="18"/>
              </w:rPr>
            </w:pPr>
            <w:r w:rsidRPr="00A71373">
              <w:rPr>
                <w:sz w:val="18"/>
                <w:szCs w:val="18"/>
              </w:rPr>
              <w:t>81/4045</w:t>
            </w:r>
          </w:p>
          <w:p w14:paraId="2A9A54EB" w14:textId="6E9142A2" w:rsidR="00885CE6" w:rsidRPr="00A71373" w:rsidRDefault="00885CE6" w:rsidP="006F3C39">
            <w:pPr>
              <w:pStyle w:val="Tabletext"/>
              <w:rPr>
                <w:sz w:val="18"/>
                <w:szCs w:val="18"/>
              </w:rPr>
            </w:pPr>
            <w:r w:rsidRPr="00A71373">
              <w:rPr>
                <w:sz w:val="18"/>
                <w:szCs w:val="18"/>
              </w:rPr>
              <w:t xml:space="preserve"> (2%)</w:t>
            </w:r>
          </w:p>
        </w:tc>
        <w:tc>
          <w:tcPr>
            <w:tcW w:w="1028" w:type="dxa"/>
            <w:tcBorders>
              <w:top w:val="single" w:sz="4" w:space="0" w:color="AF272F"/>
              <w:left w:val="nil"/>
              <w:bottom w:val="single" w:sz="4" w:space="0" w:color="AF272F"/>
              <w:right w:val="nil"/>
            </w:tcBorders>
            <w:shd w:val="clear" w:color="auto" w:fill="auto"/>
            <w:noWrap/>
            <w:vAlign w:val="center"/>
          </w:tcPr>
          <w:p w14:paraId="7DB880FA" w14:textId="77E71B04" w:rsidR="00885CE6" w:rsidRPr="00A71373" w:rsidRDefault="00885CE6" w:rsidP="006F3C39">
            <w:pPr>
              <w:pStyle w:val="Tabletext"/>
              <w:rPr>
                <w:sz w:val="18"/>
                <w:szCs w:val="18"/>
              </w:rPr>
            </w:pPr>
            <w:r w:rsidRPr="00A71373">
              <w:rPr>
                <w:sz w:val="18"/>
                <w:szCs w:val="18"/>
              </w:rPr>
              <w:t>177/4334 (4.1%)</w:t>
            </w:r>
          </w:p>
        </w:tc>
        <w:tc>
          <w:tcPr>
            <w:tcW w:w="1167" w:type="dxa"/>
            <w:tcBorders>
              <w:top w:val="single" w:sz="4" w:space="0" w:color="AF272F"/>
              <w:left w:val="nil"/>
              <w:bottom w:val="single" w:sz="4" w:space="0" w:color="AF272F"/>
              <w:right w:val="nil"/>
            </w:tcBorders>
            <w:shd w:val="clear" w:color="auto" w:fill="auto"/>
            <w:noWrap/>
            <w:vAlign w:val="center"/>
          </w:tcPr>
          <w:p w14:paraId="2A38ED35" w14:textId="780470E5" w:rsidR="00885CE6" w:rsidRPr="00A71373" w:rsidRDefault="00885CE6" w:rsidP="006F3C39">
            <w:pPr>
              <w:pStyle w:val="Tabletext"/>
              <w:rPr>
                <w:sz w:val="18"/>
                <w:szCs w:val="18"/>
              </w:rPr>
            </w:pPr>
            <w:r w:rsidRPr="00A71373">
              <w:rPr>
                <w:sz w:val="18"/>
                <w:szCs w:val="18"/>
              </w:rPr>
              <w:t>208/1266 (16.4%)</w:t>
            </w:r>
          </w:p>
        </w:tc>
        <w:tc>
          <w:tcPr>
            <w:tcW w:w="1027" w:type="dxa"/>
            <w:tcBorders>
              <w:top w:val="single" w:sz="4" w:space="0" w:color="AF272F"/>
              <w:left w:val="nil"/>
              <w:bottom w:val="single" w:sz="4" w:space="0" w:color="AF272F"/>
              <w:right w:val="nil"/>
            </w:tcBorders>
            <w:shd w:val="clear" w:color="auto" w:fill="auto"/>
            <w:noWrap/>
            <w:vAlign w:val="center"/>
          </w:tcPr>
          <w:p w14:paraId="5499547A" w14:textId="77777777" w:rsidR="00885CE6" w:rsidRPr="00A71373" w:rsidRDefault="00885CE6" w:rsidP="006F3C39">
            <w:pPr>
              <w:pStyle w:val="Tabletext"/>
              <w:rPr>
                <w:sz w:val="18"/>
                <w:szCs w:val="18"/>
              </w:rPr>
            </w:pPr>
            <w:r w:rsidRPr="00A71373">
              <w:rPr>
                <w:sz w:val="18"/>
                <w:szCs w:val="18"/>
              </w:rPr>
              <w:t>35/790</w:t>
            </w:r>
          </w:p>
          <w:p w14:paraId="64F0E3CB" w14:textId="48DCAB02" w:rsidR="00885CE6" w:rsidRPr="00A71373" w:rsidRDefault="00885CE6" w:rsidP="006F3C39">
            <w:pPr>
              <w:pStyle w:val="Tabletext"/>
              <w:rPr>
                <w:sz w:val="18"/>
                <w:szCs w:val="18"/>
              </w:rPr>
            </w:pPr>
            <w:r w:rsidRPr="00A71373">
              <w:rPr>
                <w:sz w:val="18"/>
                <w:szCs w:val="18"/>
              </w:rPr>
              <w:t xml:space="preserve"> (4.4%)</w:t>
            </w:r>
          </w:p>
        </w:tc>
        <w:tc>
          <w:tcPr>
            <w:tcW w:w="1028" w:type="dxa"/>
            <w:tcBorders>
              <w:top w:val="single" w:sz="4" w:space="0" w:color="AF272F"/>
              <w:left w:val="nil"/>
              <w:bottom w:val="single" w:sz="4" w:space="0" w:color="AF272F"/>
              <w:right w:val="nil"/>
            </w:tcBorders>
            <w:shd w:val="clear" w:color="auto" w:fill="auto"/>
            <w:noWrap/>
            <w:vAlign w:val="center"/>
          </w:tcPr>
          <w:p w14:paraId="085FBEE9" w14:textId="122B20B4" w:rsidR="00885CE6" w:rsidRPr="00A71373" w:rsidRDefault="00885CE6" w:rsidP="006F3C39">
            <w:pPr>
              <w:pStyle w:val="Tabletext"/>
              <w:rPr>
                <w:sz w:val="18"/>
                <w:szCs w:val="18"/>
              </w:rPr>
            </w:pPr>
            <w:r w:rsidRPr="00A71373">
              <w:rPr>
                <w:sz w:val="18"/>
                <w:szCs w:val="18"/>
              </w:rPr>
              <w:t>27/757 (3.6%)</w:t>
            </w:r>
          </w:p>
        </w:tc>
        <w:tc>
          <w:tcPr>
            <w:tcW w:w="1028" w:type="dxa"/>
            <w:tcBorders>
              <w:top w:val="single" w:sz="4" w:space="0" w:color="AF272F"/>
              <w:left w:val="nil"/>
              <w:bottom w:val="single" w:sz="4" w:space="0" w:color="AF272F"/>
              <w:right w:val="nil"/>
            </w:tcBorders>
            <w:shd w:val="clear" w:color="auto" w:fill="auto"/>
            <w:noWrap/>
            <w:vAlign w:val="center"/>
          </w:tcPr>
          <w:p w14:paraId="5C2BB427" w14:textId="1B9246F3" w:rsidR="00885CE6" w:rsidRPr="00A71373" w:rsidRDefault="00885CE6" w:rsidP="006F3C39">
            <w:pPr>
              <w:pStyle w:val="Tabletext"/>
              <w:rPr>
                <w:sz w:val="18"/>
                <w:szCs w:val="18"/>
              </w:rPr>
            </w:pPr>
            <w:r w:rsidRPr="00A71373">
              <w:rPr>
                <w:sz w:val="18"/>
                <w:szCs w:val="18"/>
              </w:rPr>
              <w:t>60/962 (6.2%)</w:t>
            </w:r>
          </w:p>
        </w:tc>
        <w:tc>
          <w:tcPr>
            <w:tcW w:w="884" w:type="dxa"/>
            <w:tcBorders>
              <w:top w:val="single" w:sz="4" w:space="0" w:color="AF272F"/>
              <w:left w:val="nil"/>
              <w:bottom w:val="single" w:sz="4" w:space="0" w:color="AF272F"/>
              <w:right w:val="nil"/>
            </w:tcBorders>
            <w:shd w:val="clear" w:color="auto" w:fill="auto"/>
            <w:noWrap/>
            <w:vAlign w:val="center"/>
          </w:tcPr>
          <w:p w14:paraId="13AB2F43" w14:textId="55B89C89" w:rsidR="00885CE6" w:rsidRPr="00A71373" w:rsidRDefault="00885CE6" w:rsidP="006F3C39">
            <w:pPr>
              <w:pStyle w:val="Tabletext"/>
              <w:rPr>
                <w:sz w:val="18"/>
                <w:szCs w:val="18"/>
              </w:rPr>
            </w:pPr>
            <w:r w:rsidRPr="00A71373">
              <w:rPr>
                <w:sz w:val="18"/>
                <w:szCs w:val="18"/>
              </w:rPr>
              <w:t>33/842 (3.9%)</w:t>
            </w:r>
          </w:p>
        </w:tc>
        <w:tc>
          <w:tcPr>
            <w:tcW w:w="1275" w:type="dxa"/>
            <w:tcBorders>
              <w:top w:val="single" w:sz="4" w:space="0" w:color="AF272F"/>
              <w:left w:val="nil"/>
              <w:bottom w:val="single" w:sz="4" w:space="0" w:color="AF272F"/>
              <w:right w:val="nil"/>
            </w:tcBorders>
            <w:shd w:val="clear" w:color="auto" w:fill="auto"/>
            <w:noWrap/>
            <w:vAlign w:val="center"/>
          </w:tcPr>
          <w:p w14:paraId="2940D0D1" w14:textId="265A1FD1" w:rsidR="00885CE6" w:rsidRPr="00A71373" w:rsidRDefault="00885CE6" w:rsidP="006F3C39">
            <w:pPr>
              <w:pStyle w:val="Tabletext"/>
              <w:rPr>
                <w:sz w:val="18"/>
                <w:szCs w:val="18"/>
              </w:rPr>
            </w:pPr>
            <w:r w:rsidRPr="00A71373">
              <w:rPr>
                <w:sz w:val="18"/>
                <w:szCs w:val="18"/>
              </w:rPr>
              <w:t>807/16700 (4.8%)</w:t>
            </w:r>
          </w:p>
        </w:tc>
      </w:tr>
      <w:tr w:rsidR="00EA30A2" w:rsidRPr="00A71373" w14:paraId="3CB9C347" w14:textId="77777777" w:rsidTr="003A192E">
        <w:trPr>
          <w:trHeight w:val="231"/>
        </w:trPr>
        <w:tc>
          <w:tcPr>
            <w:tcW w:w="646" w:type="dxa"/>
            <w:tcBorders>
              <w:top w:val="single" w:sz="4" w:space="0" w:color="AF272F"/>
              <w:left w:val="nil"/>
              <w:bottom w:val="single" w:sz="4" w:space="0" w:color="AF272F"/>
              <w:right w:val="nil"/>
            </w:tcBorders>
            <w:shd w:val="clear" w:color="auto" w:fill="auto"/>
            <w:noWrap/>
            <w:vAlign w:val="center"/>
            <w:hideMark/>
          </w:tcPr>
          <w:p w14:paraId="74D1CDF8" w14:textId="77777777" w:rsidR="00885CE6" w:rsidRPr="00A71373" w:rsidRDefault="00885CE6" w:rsidP="006F3C39">
            <w:pPr>
              <w:pStyle w:val="Tabletext"/>
              <w:rPr>
                <w:sz w:val="18"/>
                <w:szCs w:val="18"/>
              </w:rPr>
            </w:pPr>
            <w:r w:rsidRPr="00A71373">
              <w:rPr>
                <w:sz w:val="18"/>
                <w:szCs w:val="18"/>
              </w:rPr>
              <w:t>2017</w:t>
            </w:r>
          </w:p>
        </w:tc>
        <w:tc>
          <w:tcPr>
            <w:tcW w:w="1027" w:type="dxa"/>
            <w:tcBorders>
              <w:top w:val="single" w:sz="4" w:space="0" w:color="AF272F"/>
              <w:left w:val="nil"/>
              <w:bottom w:val="single" w:sz="4" w:space="0" w:color="AF272F"/>
              <w:right w:val="nil"/>
            </w:tcBorders>
            <w:shd w:val="clear" w:color="auto" w:fill="auto"/>
            <w:noWrap/>
            <w:vAlign w:val="center"/>
          </w:tcPr>
          <w:p w14:paraId="2FD797AF" w14:textId="60A776D2" w:rsidR="00885CE6" w:rsidRPr="00A71373" w:rsidRDefault="00885CE6" w:rsidP="006F3C39">
            <w:pPr>
              <w:pStyle w:val="Tabletext"/>
              <w:rPr>
                <w:sz w:val="18"/>
                <w:szCs w:val="18"/>
              </w:rPr>
            </w:pPr>
            <w:r w:rsidRPr="00A71373">
              <w:rPr>
                <w:sz w:val="18"/>
                <w:szCs w:val="18"/>
              </w:rPr>
              <w:t>199/3555 (5.6%)</w:t>
            </w:r>
          </w:p>
        </w:tc>
        <w:tc>
          <w:tcPr>
            <w:tcW w:w="1028" w:type="dxa"/>
            <w:tcBorders>
              <w:top w:val="single" w:sz="4" w:space="0" w:color="AF272F"/>
              <w:left w:val="nil"/>
              <w:bottom w:val="single" w:sz="4" w:space="0" w:color="AF272F"/>
              <w:right w:val="nil"/>
            </w:tcBorders>
            <w:shd w:val="clear" w:color="auto" w:fill="auto"/>
            <w:noWrap/>
            <w:vAlign w:val="center"/>
          </w:tcPr>
          <w:p w14:paraId="7CE2E053" w14:textId="6A836BEA" w:rsidR="00885CE6" w:rsidRPr="00A71373" w:rsidRDefault="00885CE6" w:rsidP="006F3C39">
            <w:pPr>
              <w:pStyle w:val="Tabletext"/>
              <w:rPr>
                <w:sz w:val="18"/>
                <w:szCs w:val="18"/>
              </w:rPr>
            </w:pPr>
            <w:r w:rsidRPr="00A71373">
              <w:rPr>
                <w:sz w:val="18"/>
                <w:szCs w:val="18"/>
              </w:rPr>
              <w:t>160/4064 (3.9%)</w:t>
            </w:r>
          </w:p>
        </w:tc>
        <w:tc>
          <w:tcPr>
            <w:tcW w:w="1028" w:type="dxa"/>
            <w:tcBorders>
              <w:top w:val="single" w:sz="4" w:space="0" w:color="AF272F"/>
              <w:left w:val="nil"/>
              <w:bottom w:val="single" w:sz="4" w:space="0" w:color="AF272F"/>
              <w:right w:val="nil"/>
            </w:tcBorders>
            <w:shd w:val="clear" w:color="auto" w:fill="auto"/>
            <w:noWrap/>
            <w:vAlign w:val="center"/>
          </w:tcPr>
          <w:p w14:paraId="26C4C27F" w14:textId="4ECFEBCA" w:rsidR="00885CE6" w:rsidRPr="00A71373" w:rsidRDefault="00885CE6" w:rsidP="006F3C39">
            <w:pPr>
              <w:pStyle w:val="Tabletext"/>
              <w:rPr>
                <w:sz w:val="18"/>
                <w:szCs w:val="18"/>
              </w:rPr>
            </w:pPr>
            <w:r w:rsidRPr="00A71373">
              <w:rPr>
                <w:sz w:val="18"/>
                <w:szCs w:val="18"/>
              </w:rPr>
              <w:t>270/4516 (6%)</w:t>
            </w:r>
          </w:p>
        </w:tc>
        <w:tc>
          <w:tcPr>
            <w:tcW w:w="1167" w:type="dxa"/>
            <w:tcBorders>
              <w:top w:val="single" w:sz="4" w:space="0" w:color="AF272F"/>
              <w:left w:val="nil"/>
              <w:bottom w:val="single" w:sz="4" w:space="0" w:color="AF272F"/>
              <w:right w:val="nil"/>
            </w:tcBorders>
            <w:shd w:val="clear" w:color="auto" w:fill="auto"/>
            <w:noWrap/>
            <w:vAlign w:val="center"/>
          </w:tcPr>
          <w:p w14:paraId="65663CCE" w14:textId="199580EC" w:rsidR="00885CE6" w:rsidRPr="00A71373" w:rsidRDefault="00885CE6" w:rsidP="006F3C39">
            <w:pPr>
              <w:pStyle w:val="Tabletext"/>
              <w:rPr>
                <w:sz w:val="18"/>
                <w:szCs w:val="18"/>
              </w:rPr>
            </w:pPr>
            <w:r w:rsidRPr="00A71373">
              <w:rPr>
                <w:sz w:val="18"/>
                <w:szCs w:val="18"/>
              </w:rPr>
              <w:t>247/1283 (19.3%)</w:t>
            </w:r>
          </w:p>
        </w:tc>
        <w:tc>
          <w:tcPr>
            <w:tcW w:w="1027" w:type="dxa"/>
            <w:tcBorders>
              <w:top w:val="single" w:sz="4" w:space="0" w:color="AF272F"/>
              <w:left w:val="nil"/>
              <w:bottom w:val="single" w:sz="4" w:space="0" w:color="AF272F"/>
              <w:right w:val="nil"/>
            </w:tcBorders>
            <w:shd w:val="clear" w:color="auto" w:fill="auto"/>
            <w:noWrap/>
            <w:vAlign w:val="center"/>
          </w:tcPr>
          <w:p w14:paraId="1E378D4B" w14:textId="177F9DBA" w:rsidR="00885CE6" w:rsidRPr="00A71373" w:rsidRDefault="00885CE6" w:rsidP="006F3C39">
            <w:pPr>
              <w:pStyle w:val="Tabletext"/>
              <w:rPr>
                <w:sz w:val="18"/>
                <w:szCs w:val="18"/>
              </w:rPr>
            </w:pPr>
            <w:r w:rsidRPr="00A71373">
              <w:rPr>
                <w:sz w:val="18"/>
                <w:szCs w:val="18"/>
              </w:rPr>
              <w:t>140/795 (17.6%)</w:t>
            </w:r>
          </w:p>
        </w:tc>
        <w:tc>
          <w:tcPr>
            <w:tcW w:w="1028" w:type="dxa"/>
            <w:tcBorders>
              <w:top w:val="single" w:sz="4" w:space="0" w:color="AF272F"/>
              <w:left w:val="nil"/>
              <w:bottom w:val="single" w:sz="4" w:space="0" w:color="AF272F"/>
              <w:right w:val="nil"/>
            </w:tcBorders>
            <w:shd w:val="clear" w:color="auto" w:fill="auto"/>
            <w:noWrap/>
            <w:vAlign w:val="center"/>
          </w:tcPr>
          <w:p w14:paraId="5F7388F6" w14:textId="77777777" w:rsidR="00885CE6" w:rsidRPr="00A71373" w:rsidRDefault="00885CE6" w:rsidP="006F3C39">
            <w:pPr>
              <w:pStyle w:val="Tabletext"/>
              <w:rPr>
                <w:sz w:val="18"/>
                <w:szCs w:val="18"/>
              </w:rPr>
            </w:pPr>
            <w:r w:rsidRPr="00A71373">
              <w:rPr>
                <w:sz w:val="18"/>
                <w:szCs w:val="18"/>
              </w:rPr>
              <w:t xml:space="preserve">51/729 </w:t>
            </w:r>
          </w:p>
          <w:p w14:paraId="543443A5" w14:textId="194AA39D" w:rsidR="00885CE6" w:rsidRPr="00A71373" w:rsidRDefault="00885CE6" w:rsidP="006F3C39">
            <w:pPr>
              <w:pStyle w:val="Tabletext"/>
              <w:rPr>
                <w:sz w:val="18"/>
                <w:szCs w:val="18"/>
              </w:rPr>
            </w:pPr>
            <w:r w:rsidRPr="00A71373">
              <w:rPr>
                <w:sz w:val="18"/>
                <w:szCs w:val="18"/>
              </w:rPr>
              <w:t>(7%)</w:t>
            </w:r>
          </w:p>
        </w:tc>
        <w:tc>
          <w:tcPr>
            <w:tcW w:w="1028" w:type="dxa"/>
            <w:tcBorders>
              <w:top w:val="single" w:sz="4" w:space="0" w:color="AF272F"/>
              <w:left w:val="nil"/>
              <w:bottom w:val="single" w:sz="4" w:space="0" w:color="AF272F"/>
              <w:right w:val="nil"/>
            </w:tcBorders>
            <w:shd w:val="clear" w:color="auto" w:fill="auto"/>
            <w:noWrap/>
            <w:vAlign w:val="center"/>
          </w:tcPr>
          <w:p w14:paraId="74140321" w14:textId="4C6B8203" w:rsidR="00885CE6" w:rsidRPr="00A71373" w:rsidRDefault="00885CE6" w:rsidP="006F3C39">
            <w:pPr>
              <w:pStyle w:val="Tabletext"/>
              <w:rPr>
                <w:sz w:val="18"/>
                <w:szCs w:val="18"/>
              </w:rPr>
            </w:pPr>
            <w:r w:rsidRPr="00A71373">
              <w:rPr>
                <w:sz w:val="18"/>
                <w:szCs w:val="18"/>
              </w:rPr>
              <w:t>122/976 (12.5%)</w:t>
            </w:r>
          </w:p>
        </w:tc>
        <w:tc>
          <w:tcPr>
            <w:tcW w:w="884" w:type="dxa"/>
            <w:tcBorders>
              <w:top w:val="single" w:sz="4" w:space="0" w:color="AF272F"/>
              <w:left w:val="nil"/>
              <w:bottom w:val="single" w:sz="4" w:space="0" w:color="AF272F"/>
              <w:right w:val="nil"/>
            </w:tcBorders>
            <w:shd w:val="clear" w:color="auto" w:fill="auto"/>
            <w:noWrap/>
            <w:vAlign w:val="center"/>
          </w:tcPr>
          <w:p w14:paraId="3EC9024C" w14:textId="53679384" w:rsidR="00885CE6" w:rsidRPr="00A71373" w:rsidRDefault="00885CE6" w:rsidP="006F3C39">
            <w:pPr>
              <w:pStyle w:val="Tabletext"/>
              <w:rPr>
                <w:sz w:val="18"/>
                <w:szCs w:val="18"/>
              </w:rPr>
            </w:pPr>
            <w:r w:rsidRPr="00A71373">
              <w:rPr>
                <w:sz w:val="18"/>
                <w:szCs w:val="18"/>
              </w:rPr>
              <w:t>47/777 (6%)</w:t>
            </w:r>
          </w:p>
        </w:tc>
        <w:tc>
          <w:tcPr>
            <w:tcW w:w="1275" w:type="dxa"/>
            <w:tcBorders>
              <w:top w:val="single" w:sz="4" w:space="0" w:color="AF272F"/>
              <w:left w:val="nil"/>
              <w:bottom w:val="single" w:sz="4" w:space="0" w:color="AF272F"/>
              <w:right w:val="nil"/>
            </w:tcBorders>
            <w:shd w:val="clear" w:color="auto" w:fill="auto"/>
            <w:noWrap/>
            <w:vAlign w:val="center"/>
          </w:tcPr>
          <w:p w14:paraId="4069FA72" w14:textId="47931468" w:rsidR="00885CE6" w:rsidRPr="00A71373" w:rsidRDefault="00885CE6" w:rsidP="006F3C39">
            <w:pPr>
              <w:pStyle w:val="Tabletext"/>
              <w:rPr>
                <w:sz w:val="18"/>
                <w:szCs w:val="18"/>
              </w:rPr>
            </w:pPr>
            <w:r w:rsidRPr="00A71373">
              <w:rPr>
                <w:sz w:val="18"/>
                <w:szCs w:val="18"/>
              </w:rPr>
              <w:t>1236/16695 (7.4%)</w:t>
            </w:r>
          </w:p>
        </w:tc>
      </w:tr>
      <w:tr w:rsidR="00EA30A2" w:rsidRPr="00A71373" w14:paraId="042AB830" w14:textId="77777777" w:rsidTr="003A192E">
        <w:trPr>
          <w:trHeight w:val="231"/>
        </w:trPr>
        <w:tc>
          <w:tcPr>
            <w:tcW w:w="646" w:type="dxa"/>
            <w:tcBorders>
              <w:top w:val="single" w:sz="4" w:space="0" w:color="AF272F"/>
              <w:left w:val="nil"/>
              <w:bottom w:val="single" w:sz="4" w:space="0" w:color="AF272F"/>
              <w:right w:val="nil"/>
            </w:tcBorders>
            <w:shd w:val="clear" w:color="auto" w:fill="auto"/>
            <w:noWrap/>
            <w:vAlign w:val="center"/>
            <w:hideMark/>
          </w:tcPr>
          <w:p w14:paraId="3D8548CB" w14:textId="77777777" w:rsidR="00885CE6" w:rsidRPr="00A71373" w:rsidRDefault="00885CE6" w:rsidP="006F3C39">
            <w:pPr>
              <w:pStyle w:val="Tabletext"/>
              <w:rPr>
                <w:sz w:val="18"/>
                <w:szCs w:val="18"/>
              </w:rPr>
            </w:pPr>
            <w:r w:rsidRPr="00A71373">
              <w:rPr>
                <w:sz w:val="18"/>
                <w:szCs w:val="18"/>
              </w:rPr>
              <w:t>2018</w:t>
            </w:r>
          </w:p>
        </w:tc>
        <w:tc>
          <w:tcPr>
            <w:tcW w:w="1027" w:type="dxa"/>
            <w:tcBorders>
              <w:top w:val="single" w:sz="4" w:space="0" w:color="AF272F"/>
              <w:left w:val="nil"/>
              <w:bottom w:val="single" w:sz="4" w:space="0" w:color="AF272F"/>
              <w:right w:val="nil"/>
            </w:tcBorders>
            <w:shd w:val="clear" w:color="auto" w:fill="auto"/>
            <w:noWrap/>
            <w:vAlign w:val="center"/>
          </w:tcPr>
          <w:p w14:paraId="3D4670F5" w14:textId="13863C6B" w:rsidR="00885CE6" w:rsidRPr="00A71373" w:rsidRDefault="00885CE6" w:rsidP="006F3C39">
            <w:pPr>
              <w:pStyle w:val="Tabletext"/>
              <w:rPr>
                <w:sz w:val="18"/>
                <w:szCs w:val="18"/>
              </w:rPr>
            </w:pPr>
            <w:r w:rsidRPr="00A71373">
              <w:rPr>
                <w:sz w:val="18"/>
                <w:szCs w:val="18"/>
              </w:rPr>
              <w:t>216/3804 (5.7%)</w:t>
            </w:r>
          </w:p>
        </w:tc>
        <w:tc>
          <w:tcPr>
            <w:tcW w:w="1028" w:type="dxa"/>
            <w:tcBorders>
              <w:top w:val="single" w:sz="4" w:space="0" w:color="AF272F"/>
              <w:left w:val="nil"/>
              <w:bottom w:val="single" w:sz="4" w:space="0" w:color="AF272F"/>
              <w:right w:val="nil"/>
            </w:tcBorders>
            <w:shd w:val="clear" w:color="auto" w:fill="auto"/>
            <w:noWrap/>
            <w:vAlign w:val="center"/>
          </w:tcPr>
          <w:p w14:paraId="52683F58" w14:textId="7082B15F" w:rsidR="00885CE6" w:rsidRPr="00A71373" w:rsidRDefault="00885CE6" w:rsidP="006F3C39">
            <w:pPr>
              <w:pStyle w:val="Tabletext"/>
              <w:rPr>
                <w:sz w:val="18"/>
                <w:szCs w:val="18"/>
              </w:rPr>
            </w:pPr>
            <w:r w:rsidRPr="00A71373">
              <w:rPr>
                <w:sz w:val="18"/>
                <w:szCs w:val="18"/>
              </w:rPr>
              <w:t>187/4309 (4.3%)</w:t>
            </w:r>
          </w:p>
        </w:tc>
        <w:tc>
          <w:tcPr>
            <w:tcW w:w="1028" w:type="dxa"/>
            <w:tcBorders>
              <w:top w:val="single" w:sz="4" w:space="0" w:color="AF272F"/>
              <w:left w:val="nil"/>
              <w:bottom w:val="single" w:sz="4" w:space="0" w:color="AF272F"/>
              <w:right w:val="nil"/>
            </w:tcBorders>
            <w:shd w:val="clear" w:color="auto" w:fill="auto"/>
            <w:noWrap/>
            <w:vAlign w:val="center"/>
          </w:tcPr>
          <w:p w14:paraId="0452F2BB" w14:textId="60DB7050" w:rsidR="00885CE6" w:rsidRPr="00A71373" w:rsidRDefault="00885CE6" w:rsidP="006F3C39">
            <w:pPr>
              <w:pStyle w:val="Tabletext"/>
              <w:rPr>
                <w:sz w:val="18"/>
                <w:szCs w:val="18"/>
              </w:rPr>
            </w:pPr>
            <w:r w:rsidRPr="00A71373">
              <w:rPr>
                <w:sz w:val="18"/>
                <w:szCs w:val="18"/>
              </w:rPr>
              <w:t>308/4601 (6.7%)</w:t>
            </w:r>
          </w:p>
        </w:tc>
        <w:tc>
          <w:tcPr>
            <w:tcW w:w="1167" w:type="dxa"/>
            <w:tcBorders>
              <w:top w:val="single" w:sz="4" w:space="0" w:color="AF272F"/>
              <w:left w:val="nil"/>
              <w:bottom w:val="single" w:sz="4" w:space="0" w:color="AF272F"/>
              <w:right w:val="nil"/>
            </w:tcBorders>
            <w:shd w:val="clear" w:color="auto" w:fill="auto"/>
            <w:noWrap/>
            <w:vAlign w:val="center"/>
          </w:tcPr>
          <w:p w14:paraId="7D36A8A7" w14:textId="5D708EFE" w:rsidR="00885CE6" w:rsidRPr="00A71373" w:rsidRDefault="00885CE6" w:rsidP="006F3C39">
            <w:pPr>
              <w:pStyle w:val="Tabletext"/>
              <w:rPr>
                <w:sz w:val="18"/>
                <w:szCs w:val="18"/>
              </w:rPr>
            </w:pPr>
            <w:r w:rsidRPr="00A71373">
              <w:rPr>
                <w:sz w:val="18"/>
                <w:szCs w:val="18"/>
              </w:rPr>
              <w:t>259/1335 (19.4%)</w:t>
            </w:r>
          </w:p>
        </w:tc>
        <w:tc>
          <w:tcPr>
            <w:tcW w:w="1027" w:type="dxa"/>
            <w:tcBorders>
              <w:top w:val="single" w:sz="4" w:space="0" w:color="AF272F"/>
              <w:left w:val="nil"/>
              <w:bottom w:val="single" w:sz="4" w:space="0" w:color="AF272F"/>
              <w:right w:val="nil"/>
            </w:tcBorders>
            <w:shd w:val="clear" w:color="auto" w:fill="auto"/>
            <w:noWrap/>
            <w:vAlign w:val="center"/>
          </w:tcPr>
          <w:p w14:paraId="34F0FBC4" w14:textId="422A8F9F" w:rsidR="00885CE6" w:rsidRPr="00A71373" w:rsidRDefault="00885CE6" w:rsidP="006F3C39">
            <w:pPr>
              <w:pStyle w:val="Tabletext"/>
              <w:rPr>
                <w:sz w:val="18"/>
                <w:szCs w:val="18"/>
              </w:rPr>
            </w:pPr>
            <w:r w:rsidRPr="00A71373">
              <w:rPr>
                <w:sz w:val="18"/>
                <w:szCs w:val="18"/>
              </w:rPr>
              <w:t>165/818 (20.2%)</w:t>
            </w:r>
          </w:p>
        </w:tc>
        <w:tc>
          <w:tcPr>
            <w:tcW w:w="1028" w:type="dxa"/>
            <w:tcBorders>
              <w:top w:val="single" w:sz="4" w:space="0" w:color="AF272F"/>
              <w:left w:val="nil"/>
              <w:bottom w:val="single" w:sz="4" w:space="0" w:color="AF272F"/>
              <w:right w:val="nil"/>
            </w:tcBorders>
            <w:shd w:val="clear" w:color="auto" w:fill="auto"/>
            <w:noWrap/>
            <w:vAlign w:val="center"/>
          </w:tcPr>
          <w:p w14:paraId="1BF753AA" w14:textId="75D4AF6F" w:rsidR="00885CE6" w:rsidRPr="00A71373" w:rsidRDefault="00885CE6" w:rsidP="006F3C39">
            <w:pPr>
              <w:pStyle w:val="Tabletext"/>
              <w:rPr>
                <w:sz w:val="18"/>
                <w:szCs w:val="18"/>
              </w:rPr>
            </w:pPr>
            <w:r w:rsidRPr="00A71373">
              <w:rPr>
                <w:sz w:val="18"/>
                <w:szCs w:val="18"/>
              </w:rPr>
              <w:t>65/756 (8.6%)</w:t>
            </w:r>
          </w:p>
        </w:tc>
        <w:tc>
          <w:tcPr>
            <w:tcW w:w="1028" w:type="dxa"/>
            <w:tcBorders>
              <w:top w:val="single" w:sz="4" w:space="0" w:color="AF272F"/>
              <w:left w:val="nil"/>
              <w:bottom w:val="single" w:sz="4" w:space="0" w:color="AF272F"/>
              <w:right w:val="nil"/>
            </w:tcBorders>
            <w:shd w:val="clear" w:color="auto" w:fill="auto"/>
            <w:noWrap/>
            <w:vAlign w:val="center"/>
          </w:tcPr>
          <w:p w14:paraId="7A5162D7" w14:textId="7B5B2C02" w:rsidR="00885CE6" w:rsidRPr="00A71373" w:rsidRDefault="00885CE6" w:rsidP="006F3C39">
            <w:pPr>
              <w:pStyle w:val="Tabletext"/>
              <w:rPr>
                <w:sz w:val="18"/>
                <w:szCs w:val="18"/>
              </w:rPr>
            </w:pPr>
            <w:r w:rsidRPr="00A71373">
              <w:rPr>
                <w:sz w:val="18"/>
                <w:szCs w:val="18"/>
              </w:rPr>
              <w:t>143/1012 (14.1%)</w:t>
            </w:r>
          </w:p>
        </w:tc>
        <w:tc>
          <w:tcPr>
            <w:tcW w:w="884" w:type="dxa"/>
            <w:tcBorders>
              <w:top w:val="single" w:sz="4" w:space="0" w:color="AF272F"/>
              <w:left w:val="nil"/>
              <w:bottom w:val="single" w:sz="4" w:space="0" w:color="AF272F"/>
              <w:right w:val="nil"/>
            </w:tcBorders>
            <w:shd w:val="clear" w:color="auto" w:fill="auto"/>
            <w:noWrap/>
            <w:vAlign w:val="center"/>
          </w:tcPr>
          <w:p w14:paraId="1F49DA41" w14:textId="73B43E23" w:rsidR="00885CE6" w:rsidRPr="00A71373" w:rsidRDefault="00885CE6" w:rsidP="006F3C39">
            <w:pPr>
              <w:pStyle w:val="Tabletext"/>
              <w:rPr>
                <w:sz w:val="18"/>
                <w:szCs w:val="18"/>
              </w:rPr>
            </w:pPr>
            <w:r w:rsidRPr="00A71373">
              <w:rPr>
                <w:sz w:val="18"/>
                <w:szCs w:val="18"/>
              </w:rPr>
              <w:t>38/828 (4.6%)</w:t>
            </w:r>
          </w:p>
        </w:tc>
        <w:tc>
          <w:tcPr>
            <w:tcW w:w="1275" w:type="dxa"/>
            <w:tcBorders>
              <w:top w:val="single" w:sz="4" w:space="0" w:color="AF272F"/>
              <w:left w:val="nil"/>
              <w:bottom w:val="single" w:sz="4" w:space="0" w:color="AF272F"/>
              <w:right w:val="nil"/>
            </w:tcBorders>
            <w:shd w:val="clear" w:color="auto" w:fill="auto"/>
            <w:noWrap/>
            <w:vAlign w:val="center"/>
          </w:tcPr>
          <w:p w14:paraId="6F46A4BC" w14:textId="64C0B6D4" w:rsidR="00885CE6" w:rsidRPr="00A71373" w:rsidRDefault="00885CE6" w:rsidP="006F3C39">
            <w:pPr>
              <w:pStyle w:val="Tabletext"/>
              <w:rPr>
                <w:sz w:val="18"/>
                <w:szCs w:val="18"/>
              </w:rPr>
            </w:pPr>
            <w:r w:rsidRPr="00A71373">
              <w:rPr>
                <w:sz w:val="18"/>
                <w:szCs w:val="18"/>
              </w:rPr>
              <w:t>1381/17463 (7.9%)</w:t>
            </w:r>
          </w:p>
        </w:tc>
      </w:tr>
      <w:tr w:rsidR="00EA30A2" w:rsidRPr="00A71373" w14:paraId="31427386" w14:textId="77777777" w:rsidTr="003A192E">
        <w:trPr>
          <w:trHeight w:val="231"/>
        </w:trPr>
        <w:tc>
          <w:tcPr>
            <w:tcW w:w="646" w:type="dxa"/>
            <w:tcBorders>
              <w:top w:val="single" w:sz="4" w:space="0" w:color="AF272F"/>
              <w:left w:val="nil"/>
              <w:bottom w:val="single" w:sz="4" w:space="0" w:color="AF272F"/>
              <w:right w:val="nil"/>
            </w:tcBorders>
            <w:shd w:val="clear" w:color="auto" w:fill="auto"/>
            <w:noWrap/>
            <w:vAlign w:val="center"/>
            <w:hideMark/>
          </w:tcPr>
          <w:p w14:paraId="75E8AE86" w14:textId="77777777" w:rsidR="00885CE6" w:rsidRPr="00A71373" w:rsidRDefault="00885CE6" w:rsidP="006F3C39">
            <w:pPr>
              <w:pStyle w:val="Tabletext"/>
              <w:rPr>
                <w:sz w:val="18"/>
                <w:szCs w:val="18"/>
              </w:rPr>
            </w:pPr>
            <w:r w:rsidRPr="00A71373">
              <w:rPr>
                <w:sz w:val="18"/>
                <w:szCs w:val="18"/>
              </w:rPr>
              <w:t>2019</w:t>
            </w:r>
          </w:p>
        </w:tc>
        <w:tc>
          <w:tcPr>
            <w:tcW w:w="1027" w:type="dxa"/>
            <w:tcBorders>
              <w:top w:val="single" w:sz="4" w:space="0" w:color="AF272F"/>
              <w:left w:val="nil"/>
              <w:bottom w:val="single" w:sz="4" w:space="0" w:color="AF272F"/>
              <w:right w:val="nil"/>
            </w:tcBorders>
            <w:shd w:val="clear" w:color="auto" w:fill="auto"/>
            <w:noWrap/>
            <w:vAlign w:val="center"/>
          </w:tcPr>
          <w:p w14:paraId="58CEFEEC" w14:textId="77777777" w:rsidR="00885CE6" w:rsidRPr="00A71373" w:rsidRDefault="00885CE6" w:rsidP="006F3C39">
            <w:pPr>
              <w:pStyle w:val="Tabletext"/>
              <w:rPr>
                <w:sz w:val="18"/>
                <w:szCs w:val="18"/>
              </w:rPr>
            </w:pPr>
            <w:r w:rsidRPr="00A71373">
              <w:rPr>
                <w:sz w:val="18"/>
                <w:szCs w:val="18"/>
              </w:rPr>
              <w:t xml:space="preserve">272/3874 </w:t>
            </w:r>
          </w:p>
          <w:p w14:paraId="7A7C4782" w14:textId="74F0E6B1" w:rsidR="00885CE6" w:rsidRPr="00A71373" w:rsidRDefault="00885CE6" w:rsidP="006F3C39">
            <w:pPr>
              <w:pStyle w:val="Tabletext"/>
              <w:rPr>
                <w:sz w:val="18"/>
                <w:szCs w:val="18"/>
              </w:rPr>
            </w:pPr>
            <w:r w:rsidRPr="00A71373">
              <w:rPr>
                <w:sz w:val="18"/>
                <w:szCs w:val="18"/>
              </w:rPr>
              <w:t>(7%)</w:t>
            </w:r>
          </w:p>
        </w:tc>
        <w:tc>
          <w:tcPr>
            <w:tcW w:w="1028" w:type="dxa"/>
            <w:tcBorders>
              <w:top w:val="single" w:sz="4" w:space="0" w:color="AF272F"/>
              <w:left w:val="nil"/>
              <w:bottom w:val="single" w:sz="4" w:space="0" w:color="AF272F"/>
              <w:right w:val="nil"/>
            </w:tcBorders>
            <w:shd w:val="clear" w:color="auto" w:fill="auto"/>
            <w:noWrap/>
            <w:vAlign w:val="center"/>
          </w:tcPr>
          <w:p w14:paraId="0CD037BF" w14:textId="5032D56E" w:rsidR="00885CE6" w:rsidRPr="00A71373" w:rsidRDefault="00885CE6" w:rsidP="006F3C39">
            <w:pPr>
              <w:pStyle w:val="Tabletext"/>
              <w:rPr>
                <w:sz w:val="18"/>
                <w:szCs w:val="18"/>
              </w:rPr>
            </w:pPr>
            <w:r w:rsidRPr="00A71373">
              <w:rPr>
                <w:sz w:val="18"/>
                <w:szCs w:val="18"/>
              </w:rPr>
              <w:t>194/4523 (4.3%)</w:t>
            </w:r>
          </w:p>
        </w:tc>
        <w:tc>
          <w:tcPr>
            <w:tcW w:w="1028" w:type="dxa"/>
            <w:tcBorders>
              <w:top w:val="single" w:sz="4" w:space="0" w:color="AF272F"/>
              <w:left w:val="nil"/>
              <w:bottom w:val="single" w:sz="4" w:space="0" w:color="AF272F"/>
              <w:right w:val="nil"/>
            </w:tcBorders>
            <w:shd w:val="clear" w:color="auto" w:fill="auto"/>
            <w:noWrap/>
            <w:vAlign w:val="center"/>
          </w:tcPr>
          <w:p w14:paraId="2AF7550F" w14:textId="4932C4D0" w:rsidR="00885CE6" w:rsidRPr="00A71373" w:rsidRDefault="00885CE6" w:rsidP="006F3C39">
            <w:pPr>
              <w:pStyle w:val="Tabletext"/>
              <w:rPr>
                <w:sz w:val="18"/>
                <w:szCs w:val="18"/>
              </w:rPr>
            </w:pPr>
            <w:r w:rsidRPr="00A71373">
              <w:rPr>
                <w:sz w:val="18"/>
                <w:szCs w:val="18"/>
              </w:rPr>
              <w:t>403/4710 (8.6%)</w:t>
            </w:r>
          </w:p>
        </w:tc>
        <w:tc>
          <w:tcPr>
            <w:tcW w:w="1167" w:type="dxa"/>
            <w:tcBorders>
              <w:top w:val="single" w:sz="4" w:space="0" w:color="AF272F"/>
              <w:left w:val="nil"/>
              <w:bottom w:val="single" w:sz="4" w:space="0" w:color="AF272F"/>
              <w:right w:val="nil"/>
            </w:tcBorders>
            <w:shd w:val="clear" w:color="auto" w:fill="auto"/>
            <w:noWrap/>
            <w:vAlign w:val="center"/>
          </w:tcPr>
          <w:p w14:paraId="6D86DC8A" w14:textId="3BB52FF6" w:rsidR="00885CE6" w:rsidRPr="00A71373" w:rsidRDefault="00885CE6" w:rsidP="006F3C39">
            <w:pPr>
              <w:pStyle w:val="Tabletext"/>
              <w:rPr>
                <w:sz w:val="18"/>
                <w:szCs w:val="18"/>
              </w:rPr>
            </w:pPr>
            <w:r w:rsidRPr="00A71373">
              <w:rPr>
                <w:sz w:val="18"/>
                <w:szCs w:val="18"/>
              </w:rPr>
              <w:t>295/1374 (21.5%)</w:t>
            </w:r>
          </w:p>
        </w:tc>
        <w:tc>
          <w:tcPr>
            <w:tcW w:w="1027" w:type="dxa"/>
            <w:tcBorders>
              <w:top w:val="single" w:sz="4" w:space="0" w:color="AF272F"/>
              <w:left w:val="nil"/>
              <w:bottom w:val="single" w:sz="4" w:space="0" w:color="AF272F"/>
              <w:right w:val="nil"/>
            </w:tcBorders>
            <w:shd w:val="clear" w:color="auto" w:fill="auto"/>
            <w:noWrap/>
            <w:vAlign w:val="center"/>
          </w:tcPr>
          <w:p w14:paraId="69C78DE5" w14:textId="30FDC663" w:rsidR="00885CE6" w:rsidRPr="00A71373" w:rsidRDefault="00885CE6" w:rsidP="006F3C39">
            <w:pPr>
              <w:pStyle w:val="Tabletext"/>
              <w:rPr>
                <w:sz w:val="18"/>
                <w:szCs w:val="18"/>
              </w:rPr>
            </w:pPr>
            <w:r w:rsidRPr="00A71373">
              <w:rPr>
                <w:sz w:val="18"/>
                <w:szCs w:val="18"/>
              </w:rPr>
              <w:t>239/802 (29.8%)</w:t>
            </w:r>
          </w:p>
        </w:tc>
        <w:tc>
          <w:tcPr>
            <w:tcW w:w="1028" w:type="dxa"/>
            <w:tcBorders>
              <w:top w:val="single" w:sz="4" w:space="0" w:color="AF272F"/>
              <w:left w:val="nil"/>
              <w:bottom w:val="single" w:sz="4" w:space="0" w:color="AF272F"/>
              <w:right w:val="nil"/>
            </w:tcBorders>
            <w:shd w:val="clear" w:color="auto" w:fill="auto"/>
            <w:noWrap/>
            <w:vAlign w:val="center"/>
          </w:tcPr>
          <w:p w14:paraId="279B7C75" w14:textId="12B08B86" w:rsidR="00885CE6" w:rsidRPr="00A71373" w:rsidRDefault="00885CE6" w:rsidP="006F3C39">
            <w:pPr>
              <w:pStyle w:val="Tabletext"/>
              <w:rPr>
                <w:sz w:val="18"/>
                <w:szCs w:val="18"/>
              </w:rPr>
            </w:pPr>
            <w:r w:rsidRPr="00A71373">
              <w:rPr>
                <w:sz w:val="18"/>
                <w:szCs w:val="18"/>
              </w:rPr>
              <w:t>50/739 (6.8%)</w:t>
            </w:r>
          </w:p>
        </w:tc>
        <w:tc>
          <w:tcPr>
            <w:tcW w:w="1028" w:type="dxa"/>
            <w:tcBorders>
              <w:top w:val="single" w:sz="4" w:space="0" w:color="AF272F"/>
              <w:left w:val="nil"/>
              <w:bottom w:val="single" w:sz="4" w:space="0" w:color="AF272F"/>
              <w:right w:val="nil"/>
            </w:tcBorders>
            <w:shd w:val="clear" w:color="auto" w:fill="auto"/>
            <w:noWrap/>
            <w:vAlign w:val="center"/>
          </w:tcPr>
          <w:p w14:paraId="13026E6C" w14:textId="19E55911" w:rsidR="00885CE6" w:rsidRPr="00A71373" w:rsidRDefault="00885CE6" w:rsidP="006F3C39">
            <w:pPr>
              <w:pStyle w:val="Tabletext"/>
              <w:rPr>
                <w:sz w:val="18"/>
                <w:szCs w:val="18"/>
              </w:rPr>
            </w:pPr>
            <w:r w:rsidRPr="00A71373">
              <w:rPr>
                <w:sz w:val="18"/>
                <w:szCs w:val="18"/>
              </w:rPr>
              <w:t>133/993 (13.4%)</w:t>
            </w:r>
          </w:p>
        </w:tc>
        <w:tc>
          <w:tcPr>
            <w:tcW w:w="884" w:type="dxa"/>
            <w:tcBorders>
              <w:top w:val="single" w:sz="4" w:space="0" w:color="AF272F"/>
              <w:left w:val="nil"/>
              <w:bottom w:val="single" w:sz="4" w:space="0" w:color="AF272F"/>
              <w:right w:val="nil"/>
            </w:tcBorders>
            <w:shd w:val="clear" w:color="auto" w:fill="auto"/>
            <w:noWrap/>
            <w:vAlign w:val="center"/>
          </w:tcPr>
          <w:p w14:paraId="5F52D782" w14:textId="0E969C4C" w:rsidR="00885CE6" w:rsidRPr="00A71373" w:rsidRDefault="00885CE6" w:rsidP="006F3C39">
            <w:pPr>
              <w:pStyle w:val="Tabletext"/>
              <w:rPr>
                <w:sz w:val="18"/>
                <w:szCs w:val="18"/>
              </w:rPr>
            </w:pPr>
            <w:r w:rsidRPr="00A71373">
              <w:rPr>
                <w:sz w:val="18"/>
                <w:szCs w:val="18"/>
              </w:rPr>
              <w:t>37/838 (4.4%)</w:t>
            </w:r>
          </w:p>
        </w:tc>
        <w:tc>
          <w:tcPr>
            <w:tcW w:w="1275" w:type="dxa"/>
            <w:tcBorders>
              <w:top w:val="single" w:sz="4" w:space="0" w:color="AF272F"/>
              <w:left w:val="nil"/>
              <w:bottom w:val="single" w:sz="4" w:space="0" w:color="AF272F"/>
              <w:right w:val="nil"/>
            </w:tcBorders>
            <w:shd w:val="clear" w:color="auto" w:fill="auto"/>
            <w:noWrap/>
            <w:vAlign w:val="center"/>
          </w:tcPr>
          <w:p w14:paraId="082291DD" w14:textId="42F6CF26" w:rsidR="00885CE6" w:rsidRPr="00A71373" w:rsidRDefault="00885CE6" w:rsidP="006F3C39">
            <w:pPr>
              <w:pStyle w:val="Tabletext"/>
              <w:rPr>
                <w:sz w:val="18"/>
                <w:szCs w:val="18"/>
              </w:rPr>
            </w:pPr>
            <w:r w:rsidRPr="00A71373">
              <w:rPr>
                <w:sz w:val="18"/>
                <w:szCs w:val="18"/>
              </w:rPr>
              <w:t>1623/17853 (9.1%)</w:t>
            </w:r>
          </w:p>
        </w:tc>
      </w:tr>
      <w:tr w:rsidR="00EA30A2" w:rsidRPr="00A71373" w14:paraId="28FABCC1" w14:textId="77777777" w:rsidTr="003A192E">
        <w:trPr>
          <w:trHeight w:val="231"/>
        </w:trPr>
        <w:tc>
          <w:tcPr>
            <w:tcW w:w="646" w:type="dxa"/>
            <w:tcBorders>
              <w:top w:val="single" w:sz="4" w:space="0" w:color="AF272F"/>
              <w:left w:val="nil"/>
              <w:bottom w:val="single" w:sz="4" w:space="0" w:color="AF272F"/>
              <w:right w:val="nil"/>
            </w:tcBorders>
            <w:shd w:val="clear" w:color="auto" w:fill="auto"/>
            <w:noWrap/>
            <w:vAlign w:val="center"/>
            <w:hideMark/>
          </w:tcPr>
          <w:p w14:paraId="5D56A3E9" w14:textId="77777777" w:rsidR="00885CE6" w:rsidRPr="00A71373" w:rsidRDefault="00885CE6" w:rsidP="006F3C39">
            <w:pPr>
              <w:pStyle w:val="Tabletext"/>
              <w:rPr>
                <w:sz w:val="18"/>
                <w:szCs w:val="18"/>
              </w:rPr>
            </w:pPr>
            <w:r w:rsidRPr="00A71373">
              <w:rPr>
                <w:sz w:val="18"/>
                <w:szCs w:val="18"/>
              </w:rPr>
              <w:t>2020</w:t>
            </w:r>
          </w:p>
        </w:tc>
        <w:tc>
          <w:tcPr>
            <w:tcW w:w="1027" w:type="dxa"/>
            <w:tcBorders>
              <w:top w:val="single" w:sz="4" w:space="0" w:color="AF272F"/>
              <w:left w:val="nil"/>
              <w:bottom w:val="single" w:sz="4" w:space="0" w:color="AF272F"/>
              <w:right w:val="nil"/>
            </w:tcBorders>
            <w:shd w:val="clear" w:color="auto" w:fill="auto"/>
            <w:noWrap/>
            <w:vAlign w:val="center"/>
          </w:tcPr>
          <w:p w14:paraId="5FDAFF61" w14:textId="6E7389DA" w:rsidR="00885CE6" w:rsidRPr="00A71373" w:rsidRDefault="00885CE6" w:rsidP="006F3C39">
            <w:pPr>
              <w:pStyle w:val="Tabletext"/>
              <w:rPr>
                <w:sz w:val="18"/>
                <w:szCs w:val="18"/>
              </w:rPr>
            </w:pPr>
            <w:r w:rsidRPr="00A71373">
              <w:rPr>
                <w:sz w:val="18"/>
                <w:szCs w:val="18"/>
              </w:rPr>
              <w:t>262/3797 (6.9%)</w:t>
            </w:r>
          </w:p>
        </w:tc>
        <w:tc>
          <w:tcPr>
            <w:tcW w:w="1028" w:type="dxa"/>
            <w:tcBorders>
              <w:top w:val="single" w:sz="4" w:space="0" w:color="AF272F"/>
              <w:left w:val="nil"/>
              <w:bottom w:val="single" w:sz="4" w:space="0" w:color="AF272F"/>
              <w:right w:val="nil"/>
            </w:tcBorders>
            <w:shd w:val="clear" w:color="auto" w:fill="auto"/>
            <w:noWrap/>
            <w:vAlign w:val="center"/>
          </w:tcPr>
          <w:p w14:paraId="6F840EFE" w14:textId="1175BFD9" w:rsidR="00885CE6" w:rsidRPr="00A71373" w:rsidRDefault="00885CE6" w:rsidP="006F3C39">
            <w:pPr>
              <w:pStyle w:val="Tabletext"/>
              <w:rPr>
                <w:sz w:val="18"/>
                <w:szCs w:val="18"/>
              </w:rPr>
            </w:pPr>
            <w:r w:rsidRPr="00A71373">
              <w:rPr>
                <w:sz w:val="18"/>
                <w:szCs w:val="18"/>
              </w:rPr>
              <w:t>209/4473 (4.7%)</w:t>
            </w:r>
          </w:p>
        </w:tc>
        <w:tc>
          <w:tcPr>
            <w:tcW w:w="1028" w:type="dxa"/>
            <w:tcBorders>
              <w:top w:val="single" w:sz="4" w:space="0" w:color="AF272F"/>
              <w:left w:val="nil"/>
              <w:bottom w:val="single" w:sz="4" w:space="0" w:color="AF272F"/>
              <w:right w:val="nil"/>
            </w:tcBorders>
            <w:shd w:val="clear" w:color="auto" w:fill="auto"/>
            <w:noWrap/>
            <w:vAlign w:val="center"/>
          </w:tcPr>
          <w:p w14:paraId="38400F8C" w14:textId="6D4D8F8B" w:rsidR="00885CE6" w:rsidRPr="00A71373" w:rsidRDefault="00885CE6" w:rsidP="006F3C39">
            <w:pPr>
              <w:pStyle w:val="Tabletext"/>
              <w:rPr>
                <w:sz w:val="18"/>
                <w:szCs w:val="18"/>
              </w:rPr>
            </w:pPr>
            <w:r w:rsidRPr="00A71373">
              <w:rPr>
                <w:sz w:val="18"/>
                <w:szCs w:val="18"/>
              </w:rPr>
              <w:t>371/4692 (7.9%)</w:t>
            </w:r>
          </w:p>
        </w:tc>
        <w:tc>
          <w:tcPr>
            <w:tcW w:w="1167" w:type="dxa"/>
            <w:tcBorders>
              <w:top w:val="single" w:sz="4" w:space="0" w:color="AF272F"/>
              <w:left w:val="nil"/>
              <w:bottom w:val="single" w:sz="4" w:space="0" w:color="AF272F"/>
              <w:right w:val="nil"/>
            </w:tcBorders>
            <w:shd w:val="clear" w:color="auto" w:fill="auto"/>
            <w:noWrap/>
            <w:vAlign w:val="center"/>
          </w:tcPr>
          <w:p w14:paraId="0CA14FA5" w14:textId="5388ABAD" w:rsidR="00885CE6" w:rsidRPr="00A71373" w:rsidRDefault="00885CE6" w:rsidP="006F3C39">
            <w:pPr>
              <w:pStyle w:val="Tabletext"/>
              <w:rPr>
                <w:sz w:val="18"/>
                <w:szCs w:val="18"/>
              </w:rPr>
            </w:pPr>
            <w:r w:rsidRPr="00A71373">
              <w:rPr>
                <w:sz w:val="18"/>
                <w:szCs w:val="18"/>
              </w:rPr>
              <w:t>399/1405 (28.4%)</w:t>
            </w:r>
          </w:p>
        </w:tc>
        <w:tc>
          <w:tcPr>
            <w:tcW w:w="1027" w:type="dxa"/>
            <w:tcBorders>
              <w:top w:val="single" w:sz="4" w:space="0" w:color="AF272F"/>
              <w:left w:val="nil"/>
              <w:bottom w:val="single" w:sz="4" w:space="0" w:color="AF272F"/>
              <w:right w:val="nil"/>
            </w:tcBorders>
            <w:shd w:val="clear" w:color="auto" w:fill="auto"/>
            <w:noWrap/>
            <w:vAlign w:val="center"/>
          </w:tcPr>
          <w:p w14:paraId="237921FE" w14:textId="3D2EE024" w:rsidR="00885CE6" w:rsidRPr="00A71373" w:rsidRDefault="00885CE6" w:rsidP="006F3C39">
            <w:pPr>
              <w:pStyle w:val="Tabletext"/>
              <w:rPr>
                <w:sz w:val="18"/>
                <w:szCs w:val="18"/>
              </w:rPr>
            </w:pPr>
            <w:r w:rsidRPr="00A71373">
              <w:rPr>
                <w:sz w:val="18"/>
                <w:szCs w:val="18"/>
              </w:rPr>
              <w:t>295/855 (34.5%)</w:t>
            </w:r>
          </w:p>
        </w:tc>
        <w:tc>
          <w:tcPr>
            <w:tcW w:w="1028" w:type="dxa"/>
            <w:tcBorders>
              <w:top w:val="single" w:sz="4" w:space="0" w:color="AF272F"/>
              <w:left w:val="nil"/>
              <w:bottom w:val="single" w:sz="4" w:space="0" w:color="AF272F"/>
              <w:right w:val="nil"/>
            </w:tcBorders>
            <w:shd w:val="clear" w:color="auto" w:fill="auto"/>
            <w:noWrap/>
            <w:vAlign w:val="center"/>
          </w:tcPr>
          <w:p w14:paraId="7919D7D3" w14:textId="4A59AC2E" w:rsidR="00885CE6" w:rsidRPr="00A71373" w:rsidRDefault="00885CE6" w:rsidP="006F3C39">
            <w:pPr>
              <w:pStyle w:val="Tabletext"/>
              <w:rPr>
                <w:sz w:val="18"/>
                <w:szCs w:val="18"/>
              </w:rPr>
            </w:pPr>
            <w:r w:rsidRPr="00A71373">
              <w:rPr>
                <w:sz w:val="18"/>
                <w:szCs w:val="18"/>
              </w:rPr>
              <w:t>55/832 (6.6%)</w:t>
            </w:r>
          </w:p>
        </w:tc>
        <w:tc>
          <w:tcPr>
            <w:tcW w:w="1028" w:type="dxa"/>
            <w:tcBorders>
              <w:top w:val="single" w:sz="4" w:space="0" w:color="AF272F"/>
              <w:left w:val="nil"/>
              <w:bottom w:val="single" w:sz="4" w:space="0" w:color="AF272F"/>
              <w:right w:val="nil"/>
            </w:tcBorders>
            <w:shd w:val="clear" w:color="auto" w:fill="auto"/>
            <w:noWrap/>
            <w:vAlign w:val="center"/>
          </w:tcPr>
          <w:p w14:paraId="6F79AF96" w14:textId="6D2F3826" w:rsidR="00885CE6" w:rsidRPr="00A71373" w:rsidRDefault="00885CE6" w:rsidP="006F3C39">
            <w:pPr>
              <w:pStyle w:val="Tabletext"/>
              <w:rPr>
                <w:sz w:val="18"/>
                <w:szCs w:val="18"/>
              </w:rPr>
            </w:pPr>
            <w:r w:rsidRPr="00A71373">
              <w:rPr>
                <w:sz w:val="18"/>
                <w:szCs w:val="18"/>
              </w:rPr>
              <w:t>139/1062 (13.1%)</w:t>
            </w:r>
          </w:p>
        </w:tc>
        <w:tc>
          <w:tcPr>
            <w:tcW w:w="884" w:type="dxa"/>
            <w:tcBorders>
              <w:top w:val="single" w:sz="4" w:space="0" w:color="AF272F"/>
              <w:left w:val="nil"/>
              <w:bottom w:val="single" w:sz="4" w:space="0" w:color="AF272F"/>
              <w:right w:val="nil"/>
            </w:tcBorders>
            <w:shd w:val="clear" w:color="auto" w:fill="auto"/>
            <w:noWrap/>
            <w:vAlign w:val="center"/>
          </w:tcPr>
          <w:p w14:paraId="2A520A19" w14:textId="478A0908" w:rsidR="00885CE6" w:rsidRPr="00A71373" w:rsidRDefault="00885CE6" w:rsidP="006F3C39">
            <w:pPr>
              <w:pStyle w:val="Tabletext"/>
              <w:rPr>
                <w:sz w:val="18"/>
                <w:szCs w:val="18"/>
              </w:rPr>
            </w:pPr>
            <w:r w:rsidRPr="00A71373">
              <w:rPr>
                <w:sz w:val="18"/>
                <w:szCs w:val="18"/>
              </w:rPr>
              <w:t>45/905 (5%)</w:t>
            </w:r>
          </w:p>
        </w:tc>
        <w:tc>
          <w:tcPr>
            <w:tcW w:w="1275" w:type="dxa"/>
            <w:tcBorders>
              <w:top w:val="single" w:sz="4" w:space="0" w:color="AF272F"/>
              <w:left w:val="nil"/>
              <w:bottom w:val="single" w:sz="4" w:space="0" w:color="AF272F"/>
              <w:right w:val="nil"/>
            </w:tcBorders>
            <w:shd w:val="clear" w:color="auto" w:fill="auto"/>
            <w:noWrap/>
            <w:vAlign w:val="center"/>
          </w:tcPr>
          <w:p w14:paraId="285A3D9F" w14:textId="1589623B" w:rsidR="00885CE6" w:rsidRPr="00A71373" w:rsidRDefault="00885CE6" w:rsidP="006F3C39">
            <w:pPr>
              <w:pStyle w:val="Tabletext"/>
              <w:rPr>
                <w:sz w:val="18"/>
                <w:szCs w:val="18"/>
              </w:rPr>
            </w:pPr>
            <w:r w:rsidRPr="00A71373">
              <w:rPr>
                <w:sz w:val="18"/>
                <w:szCs w:val="18"/>
              </w:rPr>
              <w:t>1775/18021 (9.8%)</w:t>
            </w:r>
          </w:p>
        </w:tc>
      </w:tr>
      <w:tr w:rsidR="00EA30A2" w:rsidRPr="00A71373" w14:paraId="2547A2EF" w14:textId="77777777" w:rsidTr="003A192E">
        <w:trPr>
          <w:trHeight w:val="231"/>
        </w:trPr>
        <w:tc>
          <w:tcPr>
            <w:tcW w:w="646" w:type="dxa"/>
            <w:tcBorders>
              <w:top w:val="single" w:sz="4" w:space="0" w:color="AF272F"/>
              <w:left w:val="nil"/>
              <w:bottom w:val="single" w:sz="4" w:space="0" w:color="AF272F"/>
              <w:right w:val="nil"/>
            </w:tcBorders>
            <w:shd w:val="clear" w:color="auto" w:fill="auto"/>
            <w:noWrap/>
            <w:vAlign w:val="center"/>
            <w:hideMark/>
          </w:tcPr>
          <w:p w14:paraId="3627F03C" w14:textId="77777777" w:rsidR="00885CE6" w:rsidRPr="00A71373" w:rsidRDefault="00885CE6" w:rsidP="006F3C39">
            <w:pPr>
              <w:pStyle w:val="Tabletext"/>
              <w:rPr>
                <w:sz w:val="18"/>
                <w:szCs w:val="18"/>
              </w:rPr>
            </w:pPr>
            <w:r w:rsidRPr="00A71373">
              <w:rPr>
                <w:sz w:val="18"/>
                <w:szCs w:val="18"/>
              </w:rPr>
              <w:t>2021</w:t>
            </w:r>
          </w:p>
        </w:tc>
        <w:tc>
          <w:tcPr>
            <w:tcW w:w="1027" w:type="dxa"/>
            <w:tcBorders>
              <w:top w:val="single" w:sz="4" w:space="0" w:color="AF272F"/>
              <w:left w:val="nil"/>
              <w:bottom w:val="single" w:sz="4" w:space="0" w:color="AF272F"/>
              <w:right w:val="nil"/>
            </w:tcBorders>
            <w:shd w:val="clear" w:color="auto" w:fill="auto"/>
            <w:noWrap/>
            <w:vAlign w:val="center"/>
          </w:tcPr>
          <w:p w14:paraId="3499A285" w14:textId="77777777" w:rsidR="00885CE6" w:rsidRPr="00A71373" w:rsidRDefault="00885CE6" w:rsidP="006F3C39">
            <w:pPr>
              <w:pStyle w:val="Tabletext"/>
              <w:rPr>
                <w:sz w:val="18"/>
                <w:szCs w:val="18"/>
              </w:rPr>
            </w:pPr>
            <w:r w:rsidRPr="00A71373">
              <w:rPr>
                <w:sz w:val="18"/>
                <w:szCs w:val="18"/>
              </w:rPr>
              <w:t xml:space="preserve">227/3812 </w:t>
            </w:r>
          </w:p>
          <w:p w14:paraId="35380983" w14:textId="18168FDC" w:rsidR="00885CE6" w:rsidRPr="00A71373" w:rsidRDefault="00885CE6" w:rsidP="006F3C39">
            <w:pPr>
              <w:pStyle w:val="Tabletext"/>
              <w:rPr>
                <w:sz w:val="18"/>
                <w:szCs w:val="18"/>
              </w:rPr>
            </w:pPr>
            <w:r w:rsidRPr="00A71373">
              <w:rPr>
                <w:sz w:val="18"/>
                <w:szCs w:val="18"/>
              </w:rPr>
              <w:t>(6%)</w:t>
            </w:r>
          </w:p>
        </w:tc>
        <w:tc>
          <w:tcPr>
            <w:tcW w:w="1028" w:type="dxa"/>
            <w:tcBorders>
              <w:top w:val="single" w:sz="4" w:space="0" w:color="AF272F"/>
              <w:left w:val="nil"/>
              <w:bottom w:val="single" w:sz="4" w:space="0" w:color="AF272F"/>
              <w:right w:val="nil"/>
            </w:tcBorders>
            <w:shd w:val="clear" w:color="auto" w:fill="auto"/>
            <w:noWrap/>
            <w:vAlign w:val="center"/>
          </w:tcPr>
          <w:p w14:paraId="41D1A6A7" w14:textId="528A419B" w:rsidR="00885CE6" w:rsidRPr="00A71373" w:rsidRDefault="00885CE6" w:rsidP="006F3C39">
            <w:pPr>
              <w:pStyle w:val="Tabletext"/>
              <w:rPr>
                <w:sz w:val="18"/>
                <w:szCs w:val="18"/>
              </w:rPr>
            </w:pPr>
            <w:r w:rsidRPr="00A71373">
              <w:rPr>
                <w:sz w:val="18"/>
                <w:szCs w:val="18"/>
              </w:rPr>
              <w:t>257/4701 (5.5%)</w:t>
            </w:r>
          </w:p>
        </w:tc>
        <w:tc>
          <w:tcPr>
            <w:tcW w:w="1028" w:type="dxa"/>
            <w:tcBorders>
              <w:top w:val="single" w:sz="4" w:space="0" w:color="AF272F"/>
              <w:left w:val="nil"/>
              <w:bottom w:val="single" w:sz="4" w:space="0" w:color="AF272F"/>
              <w:right w:val="nil"/>
            </w:tcBorders>
            <w:shd w:val="clear" w:color="auto" w:fill="auto"/>
            <w:noWrap/>
            <w:vAlign w:val="center"/>
          </w:tcPr>
          <w:p w14:paraId="22F33A1F" w14:textId="1D03BEC9" w:rsidR="00885CE6" w:rsidRPr="00A71373" w:rsidRDefault="00885CE6" w:rsidP="006F3C39">
            <w:pPr>
              <w:pStyle w:val="Tabletext"/>
              <w:rPr>
                <w:sz w:val="18"/>
                <w:szCs w:val="18"/>
              </w:rPr>
            </w:pPr>
            <w:r w:rsidRPr="00A71373">
              <w:rPr>
                <w:sz w:val="18"/>
                <w:szCs w:val="18"/>
              </w:rPr>
              <w:t>325/4885 (6.7%)</w:t>
            </w:r>
          </w:p>
        </w:tc>
        <w:tc>
          <w:tcPr>
            <w:tcW w:w="1167" w:type="dxa"/>
            <w:tcBorders>
              <w:top w:val="single" w:sz="4" w:space="0" w:color="AF272F"/>
              <w:left w:val="nil"/>
              <w:bottom w:val="single" w:sz="4" w:space="0" w:color="AF272F"/>
              <w:right w:val="nil"/>
            </w:tcBorders>
            <w:shd w:val="clear" w:color="auto" w:fill="auto"/>
            <w:noWrap/>
            <w:vAlign w:val="center"/>
          </w:tcPr>
          <w:p w14:paraId="68098EDA" w14:textId="33BAF8F1" w:rsidR="00885CE6" w:rsidRPr="00A71373" w:rsidRDefault="00885CE6" w:rsidP="006F3C39">
            <w:pPr>
              <w:pStyle w:val="Tabletext"/>
              <w:rPr>
                <w:sz w:val="18"/>
                <w:szCs w:val="18"/>
              </w:rPr>
            </w:pPr>
            <w:r w:rsidRPr="00A71373">
              <w:rPr>
                <w:sz w:val="18"/>
                <w:szCs w:val="18"/>
              </w:rPr>
              <w:t>426/1459 (29.2%)</w:t>
            </w:r>
          </w:p>
        </w:tc>
        <w:tc>
          <w:tcPr>
            <w:tcW w:w="1027" w:type="dxa"/>
            <w:tcBorders>
              <w:top w:val="single" w:sz="4" w:space="0" w:color="AF272F"/>
              <w:left w:val="nil"/>
              <w:bottom w:val="single" w:sz="4" w:space="0" w:color="AF272F"/>
              <w:right w:val="nil"/>
            </w:tcBorders>
            <w:shd w:val="clear" w:color="auto" w:fill="auto"/>
            <w:noWrap/>
            <w:vAlign w:val="center"/>
          </w:tcPr>
          <w:p w14:paraId="51BA27FF" w14:textId="26ECF9D0" w:rsidR="00885CE6" w:rsidRPr="00A71373" w:rsidRDefault="00885CE6" w:rsidP="006F3C39">
            <w:pPr>
              <w:pStyle w:val="Tabletext"/>
              <w:rPr>
                <w:sz w:val="18"/>
                <w:szCs w:val="18"/>
              </w:rPr>
            </w:pPr>
            <w:r w:rsidRPr="00A71373">
              <w:rPr>
                <w:sz w:val="18"/>
                <w:szCs w:val="18"/>
              </w:rPr>
              <w:t>304/881 (34.5%)</w:t>
            </w:r>
          </w:p>
        </w:tc>
        <w:tc>
          <w:tcPr>
            <w:tcW w:w="1028" w:type="dxa"/>
            <w:tcBorders>
              <w:top w:val="single" w:sz="4" w:space="0" w:color="AF272F"/>
              <w:left w:val="nil"/>
              <w:bottom w:val="single" w:sz="4" w:space="0" w:color="AF272F"/>
              <w:right w:val="nil"/>
            </w:tcBorders>
            <w:shd w:val="clear" w:color="auto" w:fill="auto"/>
            <w:noWrap/>
            <w:vAlign w:val="center"/>
          </w:tcPr>
          <w:p w14:paraId="161ADB82" w14:textId="77777777" w:rsidR="00885CE6" w:rsidRPr="00A71373" w:rsidRDefault="00885CE6" w:rsidP="006F3C39">
            <w:pPr>
              <w:pStyle w:val="Tabletext"/>
              <w:rPr>
                <w:sz w:val="18"/>
                <w:szCs w:val="18"/>
              </w:rPr>
            </w:pPr>
            <w:r w:rsidRPr="00A71373">
              <w:rPr>
                <w:sz w:val="18"/>
                <w:szCs w:val="18"/>
              </w:rPr>
              <w:t xml:space="preserve">58/825 </w:t>
            </w:r>
          </w:p>
          <w:p w14:paraId="6D9D4391" w14:textId="6E5A37C8" w:rsidR="00885CE6" w:rsidRPr="00A71373" w:rsidRDefault="00885CE6" w:rsidP="006F3C39">
            <w:pPr>
              <w:pStyle w:val="Tabletext"/>
              <w:rPr>
                <w:sz w:val="18"/>
                <w:szCs w:val="18"/>
              </w:rPr>
            </w:pPr>
            <w:r w:rsidRPr="00A71373">
              <w:rPr>
                <w:sz w:val="18"/>
                <w:szCs w:val="18"/>
              </w:rPr>
              <w:t>(7%)</w:t>
            </w:r>
          </w:p>
        </w:tc>
        <w:tc>
          <w:tcPr>
            <w:tcW w:w="1028" w:type="dxa"/>
            <w:tcBorders>
              <w:top w:val="single" w:sz="4" w:space="0" w:color="AF272F"/>
              <w:left w:val="nil"/>
              <w:bottom w:val="single" w:sz="4" w:space="0" w:color="AF272F"/>
              <w:right w:val="nil"/>
            </w:tcBorders>
            <w:shd w:val="clear" w:color="auto" w:fill="auto"/>
            <w:noWrap/>
            <w:vAlign w:val="center"/>
          </w:tcPr>
          <w:p w14:paraId="4535FB06" w14:textId="4AB755E1" w:rsidR="00885CE6" w:rsidRPr="00A71373" w:rsidRDefault="00885CE6" w:rsidP="006F3C39">
            <w:pPr>
              <w:pStyle w:val="Tabletext"/>
              <w:rPr>
                <w:sz w:val="18"/>
                <w:szCs w:val="18"/>
              </w:rPr>
            </w:pPr>
            <w:r w:rsidRPr="00A71373">
              <w:rPr>
                <w:sz w:val="18"/>
                <w:szCs w:val="18"/>
              </w:rPr>
              <w:t>137/1048 (13.1%)</w:t>
            </w:r>
          </w:p>
        </w:tc>
        <w:tc>
          <w:tcPr>
            <w:tcW w:w="884" w:type="dxa"/>
            <w:tcBorders>
              <w:top w:val="single" w:sz="4" w:space="0" w:color="AF272F"/>
              <w:left w:val="nil"/>
              <w:bottom w:val="single" w:sz="4" w:space="0" w:color="AF272F"/>
              <w:right w:val="nil"/>
            </w:tcBorders>
            <w:shd w:val="clear" w:color="auto" w:fill="auto"/>
            <w:noWrap/>
            <w:vAlign w:val="center"/>
          </w:tcPr>
          <w:p w14:paraId="42EBFE01" w14:textId="76666E3A" w:rsidR="00885CE6" w:rsidRPr="00A71373" w:rsidRDefault="00885CE6" w:rsidP="006F3C39">
            <w:pPr>
              <w:pStyle w:val="Tabletext"/>
              <w:rPr>
                <w:sz w:val="18"/>
                <w:szCs w:val="18"/>
              </w:rPr>
            </w:pPr>
            <w:r w:rsidRPr="00A71373">
              <w:rPr>
                <w:sz w:val="18"/>
                <w:szCs w:val="18"/>
              </w:rPr>
              <w:t>47/864 (5.4%)</w:t>
            </w:r>
          </w:p>
        </w:tc>
        <w:tc>
          <w:tcPr>
            <w:tcW w:w="1275" w:type="dxa"/>
            <w:tcBorders>
              <w:top w:val="single" w:sz="4" w:space="0" w:color="AF272F"/>
              <w:left w:val="nil"/>
              <w:bottom w:val="single" w:sz="4" w:space="0" w:color="AF272F"/>
              <w:right w:val="nil"/>
            </w:tcBorders>
            <w:shd w:val="clear" w:color="auto" w:fill="auto"/>
            <w:noWrap/>
            <w:vAlign w:val="center"/>
          </w:tcPr>
          <w:p w14:paraId="727C4A9F" w14:textId="529FB0F0" w:rsidR="00885CE6" w:rsidRPr="00A71373" w:rsidRDefault="00885CE6" w:rsidP="006F3C39">
            <w:pPr>
              <w:pStyle w:val="Tabletext"/>
              <w:rPr>
                <w:sz w:val="18"/>
                <w:szCs w:val="18"/>
              </w:rPr>
            </w:pPr>
            <w:r w:rsidRPr="00A71373">
              <w:rPr>
                <w:sz w:val="18"/>
                <w:szCs w:val="18"/>
              </w:rPr>
              <w:t>1781/18475 (9.6%)</w:t>
            </w:r>
          </w:p>
        </w:tc>
      </w:tr>
      <w:tr w:rsidR="00EA30A2" w:rsidRPr="00A71373" w14:paraId="46600A34" w14:textId="77777777" w:rsidTr="003A192E">
        <w:trPr>
          <w:trHeight w:val="231"/>
        </w:trPr>
        <w:tc>
          <w:tcPr>
            <w:tcW w:w="646" w:type="dxa"/>
            <w:tcBorders>
              <w:top w:val="single" w:sz="4" w:space="0" w:color="AF272F"/>
              <w:left w:val="nil"/>
              <w:bottom w:val="single" w:sz="8" w:space="0" w:color="AF272F"/>
              <w:right w:val="nil"/>
            </w:tcBorders>
            <w:shd w:val="clear" w:color="auto" w:fill="auto"/>
            <w:noWrap/>
            <w:vAlign w:val="center"/>
          </w:tcPr>
          <w:p w14:paraId="5029015D" w14:textId="4881F3E3" w:rsidR="00885CE6" w:rsidRPr="00A71373" w:rsidRDefault="00885CE6" w:rsidP="006F3C39">
            <w:pPr>
              <w:pStyle w:val="Tabletext"/>
              <w:rPr>
                <w:sz w:val="18"/>
                <w:szCs w:val="18"/>
              </w:rPr>
            </w:pPr>
            <w:r w:rsidRPr="00A71373">
              <w:rPr>
                <w:sz w:val="18"/>
                <w:szCs w:val="18"/>
              </w:rPr>
              <w:t>2022</w:t>
            </w:r>
          </w:p>
        </w:tc>
        <w:tc>
          <w:tcPr>
            <w:tcW w:w="1027" w:type="dxa"/>
            <w:tcBorders>
              <w:top w:val="single" w:sz="4" w:space="0" w:color="AF272F"/>
              <w:left w:val="nil"/>
              <w:bottom w:val="single" w:sz="8" w:space="0" w:color="AF272F"/>
              <w:right w:val="nil"/>
            </w:tcBorders>
            <w:shd w:val="clear" w:color="auto" w:fill="auto"/>
            <w:noWrap/>
            <w:vAlign w:val="center"/>
          </w:tcPr>
          <w:p w14:paraId="50261A56" w14:textId="79E8D927" w:rsidR="00885CE6" w:rsidRPr="00A71373" w:rsidRDefault="00885CE6" w:rsidP="006F3C39">
            <w:pPr>
              <w:pStyle w:val="Tabletext"/>
              <w:rPr>
                <w:sz w:val="18"/>
                <w:szCs w:val="18"/>
              </w:rPr>
            </w:pPr>
            <w:r w:rsidRPr="00A71373">
              <w:rPr>
                <w:sz w:val="18"/>
                <w:szCs w:val="18"/>
              </w:rPr>
              <w:t>177/3615 (4.9%)</w:t>
            </w:r>
          </w:p>
        </w:tc>
        <w:tc>
          <w:tcPr>
            <w:tcW w:w="1028" w:type="dxa"/>
            <w:tcBorders>
              <w:top w:val="single" w:sz="4" w:space="0" w:color="AF272F"/>
              <w:left w:val="nil"/>
              <w:bottom w:val="single" w:sz="8" w:space="0" w:color="AF272F"/>
              <w:right w:val="nil"/>
            </w:tcBorders>
            <w:shd w:val="clear" w:color="auto" w:fill="auto"/>
            <w:noWrap/>
            <w:vAlign w:val="center"/>
          </w:tcPr>
          <w:p w14:paraId="60CD2F01" w14:textId="5353C96B" w:rsidR="00885CE6" w:rsidRPr="00A71373" w:rsidRDefault="00885CE6" w:rsidP="006F3C39">
            <w:pPr>
              <w:pStyle w:val="Tabletext"/>
              <w:rPr>
                <w:sz w:val="18"/>
                <w:szCs w:val="18"/>
              </w:rPr>
            </w:pPr>
            <w:r w:rsidRPr="00A71373">
              <w:rPr>
                <w:sz w:val="18"/>
                <w:szCs w:val="18"/>
              </w:rPr>
              <w:t>254/4425 (5.7%)</w:t>
            </w:r>
          </w:p>
        </w:tc>
        <w:tc>
          <w:tcPr>
            <w:tcW w:w="1028" w:type="dxa"/>
            <w:tcBorders>
              <w:top w:val="single" w:sz="4" w:space="0" w:color="AF272F"/>
              <w:left w:val="nil"/>
              <w:bottom w:val="single" w:sz="8" w:space="0" w:color="AF272F"/>
              <w:right w:val="nil"/>
            </w:tcBorders>
            <w:shd w:val="clear" w:color="auto" w:fill="auto"/>
            <w:noWrap/>
            <w:vAlign w:val="center"/>
          </w:tcPr>
          <w:p w14:paraId="3A912A6E" w14:textId="5062ECBB" w:rsidR="00885CE6" w:rsidRPr="00A71373" w:rsidRDefault="00885CE6" w:rsidP="006F3C39">
            <w:pPr>
              <w:pStyle w:val="Tabletext"/>
              <w:rPr>
                <w:sz w:val="18"/>
                <w:szCs w:val="18"/>
              </w:rPr>
            </w:pPr>
            <w:r w:rsidRPr="00A71373">
              <w:rPr>
                <w:sz w:val="18"/>
                <w:szCs w:val="18"/>
              </w:rPr>
              <w:t>563/4877 (11.5%)</w:t>
            </w:r>
          </w:p>
        </w:tc>
        <w:tc>
          <w:tcPr>
            <w:tcW w:w="1167" w:type="dxa"/>
            <w:tcBorders>
              <w:top w:val="single" w:sz="4" w:space="0" w:color="AF272F"/>
              <w:left w:val="nil"/>
              <w:bottom w:val="single" w:sz="8" w:space="0" w:color="AF272F"/>
              <w:right w:val="nil"/>
            </w:tcBorders>
            <w:shd w:val="clear" w:color="auto" w:fill="auto"/>
            <w:noWrap/>
            <w:vAlign w:val="center"/>
          </w:tcPr>
          <w:p w14:paraId="6E159B78" w14:textId="7E209A1F" w:rsidR="00885CE6" w:rsidRPr="00A71373" w:rsidRDefault="00885CE6" w:rsidP="006F3C39">
            <w:pPr>
              <w:pStyle w:val="Tabletext"/>
              <w:rPr>
                <w:sz w:val="18"/>
                <w:szCs w:val="18"/>
              </w:rPr>
            </w:pPr>
            <w:r w:rsidRPr="00A71373">
              <w:rPr>
                <w:sz w:val="18"/>
                <w:szCs w:val="18"/>
              </w:rPr>
              <w:t>394/1480 (26.6%)</w:t>
            </w:r>
          </w:p>
        </w:tc>
        <w:tc>
          <w:tcPr>
            <w:tcW w:w="1027" w:type="dxa"/>
            <w:tcBorders>
              <w:top w:val="single" w:sz="4" w:space="0" w:color="AF272F"/>
              <w:left w:val="nil"/>
              <w:bottom w:val="single" w:sz="8" w:space="0" w:color="AF272F"/>
              <w:right w:val="nil"/>
            </w:tcBorders>
            <w:shd w:val="clear" w:color="auto" w:fill="auto"/>
            <w:noWrap/>
            <w:vAlign w:val="center"/>
          </w:tcPr>
          <w:p w14:paraId="4DFA3ECF" w14:textId="43C58F72" w:rsidR="00885CE6" w:rsidRPr="00A71373" w:rsidRDefault="00885CE6" w:rsidP="006F3C39">
            <w:pPr>
              <w:pStyle w:val="Tabletext"/>
              <w:rPr>
                <w:sz w:val="18"/>
                <w:szCs w:val="18"/>
              </w:rPr>
            </w:pPr>
            <w:r w:rsidRPr="00A71373">
              <w:rPr>
                <w:sz w:val="18"/>
                <w:szCs w:val="18"/>
              </w:rPr>
              <w:t>279/880 (31.7%)</w:t>
            </w:r>
          </w:p>
        </w:tc>
        <w:tc>
          <w:tcPr>
            <w:tcW w:w="1028" w:type="dxa"/>
            <w:tcBorders>
              <w:top w:val="single" w:sz="4" w:space="0" w:color="AF272F"/>
              <w:left w:val="nil"/>
              <w:bottom w:val="single" w:sz="8" w:space="0" w:color="AF272F"/>
              <w:right w:val="nil"/>
            </w:tcBorders>
            <w:shd w:val="clear" w:color="auto" w:fill="auto"/>
            <w:noWrap/>
            <w:vAlign w:val="center"/>
          </w:tcPr>
          <w:p w14:paraId="14485A8D" w14:textId="0D1CEFBE" w:rsidR="00885CE6" w:rsidRPr="00A71373" w:rsidRDefault="00885CE6" w:rsidP="006F3C39">
            <w:pPr>
              <w:pStyle w:val="Tabletext"/>
              <w:rPr>
                <w:sz w:val="18"/>
                <w:szCs w:val="18"/>
              </w:rPr>
            </w:pPr>
            <w:r w:rsidRPr="00A71373">
              <w:rPr>
                <w:sz w:val="18"/>
                <w:szCs w:val="18"/>
              </w:rPr>
              <w:t>63/769 (8.2%)</w:t>
            </w:r>
          </w:p>
        </w:tc>
        <w:tc>
          <w:tcPr>
            <w:tcW w:w="1028" w:type="dxa"/>
            <w:tcBorders>
              <w:top w:val="single" w:sz="4" w:space="0" w:color="AF272F"/>
              <w:left w:val="nil"/>
              <w:bottom w:val="single" w:sz="8" w:space="0" w:color="AF272F"/>
              <w:right w:val="nil"/>
            </w:tcBorders>
            <w:shd w:val="clear" w:color="auto" w:fill="auto"/>
            <w:noWrap/>
            <w:vAlign w:val="center"/>
          </w:tcPr>
          <w:p w14:paraId="36C69469" w14:textId="2A261202" w:rsidR="00885CE6" w:rsidRPr="00A71373" w:rsidRDefault="00885CE6" w:rsidP="006F3C39">
            <w:pPr>
              <w:pStyle w:val="Tabletext"/>
              <w:rPr>
                <w:sz w:val="18"/>
                <w:szCs w:val="18"/>
              </w:rPr>
            </w:pPr>
            <w:r w:rsidRPr="00A71373">
              <w:rPr>
                <w:sz w:val="18"/>
                <w:szCs w:val="18"/>
              </w:rPr>
              <w:t>142/1016 (14%)</w:t>
            </w:r>
          </w:p>
        </w:tc>
        <w:tc>
          <w:tcPr>
            <w:tcW w:w="884" w:type="dxa"/>
            <w:tcBorders>
              <w:top w:val="single" w:sz="4" w:space="0" w:color="AF272F"/>
              <w:left w:val="nil"/>
              <w:bottom w:val="single" w:sz="8" w:space="0" w:color="AF272F"/>
              <w:right w:val="nil"/>
            </w:tcBorders>
            <w:shd w:val="clear" w:color="auto" w:fill="auto"/>
            <w:noWrap/>
            <w:vAlign w:val="center"/>
          </w:tcPr>
          <w:p w14:paraId="7B385B07" w14:textId="118DA33B" w:rsidR="00885CE6" w:rsidRPr="00A71373" w:rsidRDefault="00885CE6" w:rsidP="006F3C39">
            <w:pPr>
              <w:pStyle w:val="Tabletext"/>
              <w:rPr>
                <w:sz w:val="18"/>
                <w:szCs w:val="18"/>
              </w:rPr>
            </w:pPr>
            <w:r w:rsidRPr="00A71373">
              <w:rPr>
                <w:sz w:val="18"/>
                <w:szCs w:val="18"/>
              </w:rPr>
              <w:t>34/806 (4.2%)</w:t>
            </w:r>
          </w:p>
        </w:tc>
        <w:tc>
          <w:tcPr>
            <w:tcW w:w="1275" w:type="dxa"/>
            <w:tcBorders>
              <w:top w:val="single" w:sz="4" w:space="0" w:color="AF272F"/>
              <w:left w:val="nil"/>
              <w:bottom w:val="single" w:sz="8" w:space="0" w:color="AF272F"/>
              <w:right w:val="nil"/>
            </w:tcBorders>
            <w:shd w:val="clear" w:color="auto" w:fill="auto"/>
            <w:noWrap/>
            <w:vAlign w:val="center"/>
          </w:tcPr>
          <w:p w14:paraId="3C092869" w14:textId="01BBD35F" w:rsidR="00885CE6" w:rsidRPr="00A71373" w:rsidRDefault="00885CE6" w:rsidP="006F3C39">
            <w:pPr>
              <w:pStyle w:val="Tabletext"/>
              <w:rPr>
                <w:sz w:val="18"/>
                <w:szCs w:val="18"/>
              </w:rPr>
            </w:pPr>
            <w:r w:rsidRPr="00A71373">
              <w:rPr>
                <w:sz w:val="18"/>
                <w:szCs w:val="18"/>
              </w:rPr>
              <w:t>1906/17868 (10.7%)</w:t>
            </w:r>
          </w:p>
        </w:tc>
      </w:tr>
    </w:tbl>
    <w:p w14:paraId="6C3BB50F" w14:textId="0D5BA97A" w:rsidR="00183E12" w:rsidRPr="005C7AD9" w:rsidRDefault="005040EF" w:rsidP="006F3C39">
      <w:pPr>
        <w:pStyle w:val="Tablefigurenote"/>
        <w:rPr>
          <w:i/>
          <w:iCs/>
          <w:color w:val="2A2736"/>
          <w:sz w:val="18"/>
          <w:szCs w:val="18"/>
        </w:rPr>
      </w:pPr>
      <w:r w:rsidRPr="005C7AD9">
        <w:rPr>
          <w:i/>
          <w:iCs/>
          <w:color w:val="2A2736"/>
          <w:sz w:val="18"/>
          <w:szCs w:val="18"/>
        </w:rPr>
        <w:t xml:space="preserve">Notes: </w:t>
      </w:r>
      <w:r w:rsidR="00183E12" w:rsidRPr="005C7AD9">
        <w:rPr>
          <w:i/>
          <w:iCs/>
          <w:sz w:val="18"/>
          <w:szCs w:val="18"/>
        </w:rPr>
        <w:t xml:space="preserve">Data was obtained via VAED for those who have a metastatic cancer diagnosis code in their hospital admission, and whether they also reported as having an advance care directive in that admission or following metastatic admissions. There are limitations with this method </w:t>
      </w:r>
      <w:r w:rsidR="00E86AFA" w:rsidRPr="005C7AD9">
        <w:rPr>
          <w:i/>
          <w:iCs/>
          <w:sz w:val="18"/>
          <w:szCs w:val="18"/>
        </w:rPr>
        <w:t xml:space="preserve">because </w:t>
      </w:r>
      <w:r w:rsidR="00183E12" w:rsidRPr="005C7AD9">
        <w:rPr>
          <w:i/>
          <w:iCs/>
          <w:sz w:val="18"/>
          <w:szCs w:val="18"/>
        </w:rPr>
        <w:t>only public hospitals record the advance care directive question and a person has to be admitted to hospital to be asked the question. Integrated Cancer Service was derived from the hospital admission of the metastatic cancer diagnosis.</w:t>
      </w:r>
    </w:p>
    <w:p w14:paraId="328B2EC4" w14:textId="6BB02961" w:rsidR="00ED623B" w:rsidRPr="005C7AD9" w:rsidRDefault="00ED623B" w:rsidP="006F3C39">
      <w:pPr>
        <w:pStyle w:val="Tablefigurenote"/>
        <w:rPr>
          <w:i/>
          <w:iCs/>
          <w:color w:val="2A2736"/>
          <w:sz w:val="18"/>
          <w:szCs w:val="18"/>
        </w:rPr>
      </w:pPr>
      <w:r w:rsidRPr="005C7AD9">
        <w:rPr>
          <w:i/>
          <w:iCs/>
          <w:sz w:val="18"/>
          <w:szCs w:val="18"/>
        </w:rPr>
        <w:t>The ‘advance care directive’ variable was recorded in the VAED from 2016 onwards.</w:t>
      </w:r>
    </w:p>
    <w:p w14:paraId="24566C89" w14:textId="3177A642" w:rsidR="009769F9" w:rsidRPr="009769F9" w:rsidRDefault="009769F9" w:rsidP="006048DC">
      <w:pPr>
        <w:pStyle w:val="Heading4"/>
      </w:pPr>
      <w:r>
        <w:t>Goal assessment</w:t>
      </w:r>
    </w:p>
    <w:p w14:paraId="4A2B8145" w14:textId="6FA42A85" w:rsidR="00162984" w:rsidRPr="0062077D" w:rsidRDefault="00162984" w:rsidP="00606436">
      <w:pPr>
        <w:pStyle w:val="Body"/>
      </w:pPr>
      <w:r w:rsidRPr="00BF199D">
        <w:t>Traffic light rating:</w:t>
      </w:r>
      <w:r>
        <w:t xml:space="preserve"> </w:t>
      </w:r>
      <w:r w:rsidRPr="00B504AD">
        <w:rPr>
          <w:b/>
          <w:color w:val="007B4B"/>
        </w:rPr>
        <w:t>Green</w:t>
      </w:r>
      <w:r>
        <w:t xml:space="preserve"> (satisfactory result)</w:t>
      </w:r>
    </w:p>
    <w:p w14:paraId="020B06F1" w14:textId="77777777" w:rsidR="00162984" w:rsidRDefault="00162984" w:rsidP="00606436">
      <w:pPr>
        <w:pStyle w:val="Body"/>
      </w:pPr>
      <w:r>
        <w:t>Overall trend: Moving in the right direction</w:t>
      </w:r>
    </w:p>
    <w:p w14:paraId="5336F733" w14:textId="3DED5919" w:rsidR="00162984" w:rsidRDefault="00162984" w:rsidP="00606436">
      <w:pPr>
        <w:pStyle w:val="Body"/>
      </w:pPr>
      <w:r>
        <w:t xml:space="preserve">Commentary: </w:t>
      </w:r>
      <w:r w:rsidRPr="00162984">
        <w:t xml:space="preserve">Under the </w:t>
      </w:r>
      <w:r w:rsidRPr="76BE792E">
        <w:rPr>
          <w:i/>
          <w:iCs/>
        </w:rPr>
        <w:t>Medical Treatment Planning and Decisions Act 2016</w:t>
      </w:r>
      <w:r w:rsidRPr="00162984">
        <w:t xml:space="preserve"> Victorians </w:t>
      </w:r>
      <w:r>
        <w:t>can</w:t>
      </w:r>
      <w:r w:rsidRPr="00162984">
        <w:t xml:space="preserve"> make advance care directives to give consent to or to refuse medical treatment in advance of losing capacity to make their own medical decisions. Advance care directives can include either a binding instructional directive, a values directive or both, and must be witnessed by a registered medical practitioner.</w:t>
      </w:r>
      <w:r w:rsidR="005F58A3">
        <w:rPr>
          <w:rStyle w:val="FootnoteReference"/>
          <w:rFonts w:cs="Arial"/>
        </w:rPr>
        <w:footnoteReference w:id="225"/>
      </w:r>
    </w:p>
    <w:p w14:paraId="24360EA1" w14:textId="55A21968" w:rsidR="00A0392A" w:rsidRPr="00B61DA2" w:rsidRDefault="005F58A3" w:rsidP="00606436">
      <w:pPr>
        <w:pStyle w:val="Body"/>
      </w:pPr>
      <w:r>
        <w:lastRenderedPageBreak/>
        <w:t xml:space="preserve">Table G4 shows that the proportion of patients with metastatic cancer </w:t>
      </w:r>
      <w:r w:rsidR="0002155B">
        <w:t xml:space="preserve">(with an advanced cancer directive) </w:t>
      </w:r>
      <w:r>
        <w:t>increased from a baseline of 4.</w:t>
      </w:r>
      <w:r w:rsidR="00885CE6">
        <w:t>8</w:t>
      </w:r>
      <w:r w:rsidR="0054537F">
        <w:t>%</w:t>
      </w:r>
      <w:r>
        <w:t xml:space="preserve"> in 2016 to </w:t>
      </w:r>
      <w:r w:rsidR="00885CE6">
        <w:t>10</w:t>
      </w:r>
      <w:r>
        <w:t>.</w:t>
      </w:r>
      <w:r w:rsidR="00885CE6">
        <w:t>7</w:t>
      </w:r>
      <w:r w:rsidR="0054537F">
        <w:t>%</w:t>
      </w:r>
      <w:r>
        <w:t xml:space="preserve"> in 202</w:t>
      </w:r>
      <w:r w:rsidR="00885CE6">
        <w:t>2</w:t>
      </w:r>
      <w:r w:rsidR="005040EF">
        <w:t>. This means</w:t>
      </w:r>
      <w:r>
        <w:t xml:space="preserve"> </w:t>
      </w:r>
      <w:r w:rsidR="00AC7A46">
        <w:t>that Victoria is on track to meet this goal.</w:t>
      </w:r>
    </w:p>
    <w:p w14:paraId="7ECB87FE" w14:textId="46B58119" w:rsidR="004A338D" w:rsidRPr="00525315" w:rsidRDefault="00E608E2" w:rsidP="00A451D4">
      <w:pPr>
        <w:pStyle w:val="Heading3"/>
        <w:rPr>
          <w:b/>
          <w:bCs w:val="0"/>
        </w:rPr>
      </w:pPr>
      <w:r w:rsidRPr="00525315">
        <w:rPr>
          <w:b/>
          <w:bCs w:val="0"/>
        </w:rPr>
        <w:t xml:space="preserve">Goal 5: </w:t>
      </w:r>
      <w:r w:rsidR="0067099F" w:rsidRPr="00525315">
        <w:rPr>
          <w:b/>
          <w:bCs w:val="0"/>
        </w:rPr>
        <w:t>I</w:t>
      </w:r>
      <w:r w:rsidR="004A338D" w:rsidRPr="00525315">
        <w:rPr>
          <w:b/>
          <w:bCs w:val="0"/>
        </w:rPr>
        <w:t>ncrease the overall number of new clinical trial enrolments in rural and regional areas in Victoria by 30</w:t>
      </w:r>
      <w:r w:rsidR="0054537F">
        <w:rPr>
          <w:b/>
          <w:bCs w:val="0"/>
        </w:rPr>
        <w:t>%</w:t>
      </w:r>
      <w:r w:rsidR="004A338D" w:rsidRPr="00525315">
        <w:rPr>
          <w:b/>
          <w:bCs w:val="0"/>
        </w:rPr>
        <w:t xml:space="preserve"> (2024)</w:t>
      </w:r>
    </w:p>
    <w:p w14:paraId="5F92B54D" w14:textId="37CA914F" w:rsidR="00C023AF" w:rsidRDefault="00C65B6D" w:rsidP="00322C89">
      <w:pPr>
        <w:pStyle w:val="Figurecaption"/>
      </w:pPr>
      <w:bookmarkStart w:id="1211" w:name="_Toc140827733"/>
      <w:r w:rsidRPr="00C65B6D">
        <w:t>Figure G5</w:t>
      </w:r>
      <w:r w:rsidR="006048DC">
        <w:t>:</w:t>
      </w:r>
      <w:r w:rsidRPr="00C65B6D">
        <w:t xml:space="preserve"> </w:t>
      </w:r>
      <w:r>
        <w:t>Number of new clinical trial enrolments in rural and regional/rural areas in Victoria, 2016</w:t>
      </w:r>
      <w:r w:rsidRPr="005242A7">
        <w:t>–</w:t>
      </w:r>
      <w:r>
        <w:t>202</w:t>
      </w:r>
      <w:r w:rsidR="00C023AF">
        <w:t>1</w:t>
      </w:r>
      <w:bookmarkEnd w:id="1211"/>
    </w:p>
    <w:p w14:paraId="71355239" w14:textId="7C55B33E" w:rsidR="00322C89" w:rsidRPr="00322C89" w:rsidRDefault="00322C89" w:rsidP="00322C89">
      <w:r w:rsidRPr="00322C89">
        <w:rPr>
          <w:noProof/>
        </w:rPr>
        <w:drawing>
          <wp:inline distT="0" distB="0" distL="0" distR="0" wp14:anchorId="7ECA3CE4" wp14:editId="533558CD">
            <wp:extent cx="6469747" cy="3171825"/>
            <wp:effectExtent l="0" t="0" r="7620" b="0"/>
            <wp:docPr id="92" name="Picture 92" descr="This figure presents data on the number of new clinical trial enrolments in rural/rural area in Victoria, 2016-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This figure presents data on the number of new clinical trial enrolments in rural/rural area in Victoria, 2016-2021."/>
                    <pic:cNvPicPr/>
                  </pic:nvPicPr>
                  <pic:blipFill>
                    <a:blip r:embed="rId185"/>
                    <a:stretch>
                      <a:fillRect/>
                    </a:stretch>
                  </pic:blipFill>
                  <pic:spPr>
                    <a:xfrm>
                      <a:off x="0" y="0"/>
                      <a:ext cx="6494804" cy="3184110"/>
                    </a:xfrm>
                    <a:prstGeom prst="rect">
                      <a:avLst/>
                    </a:prstGeom>
                  </pic:spPr>
                </pic:pic>
              </a:graphicData>
            </a:graphic>
          </wp:inline>
        </w:drawing>
      </w:r>
    </w:p>
    <w:p w14:paraId="18AC82F3" w14:textId="7902BB5B" w:rsidR="00FA30E7" w:rsidRPr="00C023AF" w:rsidRDefault="00FA30E7" w:rsidP="006048DC">
      <w:pPr>
        <w:pStyle w:val="Heading4"/>
      </w:pPr>
      <w:r>
        <w:t>Goal assessment</w:t>
      </w:r>
    </w:p>
    <w:p w14:paraId="7EC58847" w14:textId="77777777" w:rsidR="001F55C0" w:rsidRPr="0062077D" w:rsidRDefault="001F55C0" w:rsidP="001F55C0">
      <w:pPr>
        <w:pStyle w:val="Body"/>
      </w:pPr>
      <w:r w:rsidRPr="00BF199D">
        <w:t>Traffic light rating:</w:t>
      </w:r>
      <w:r>
        <w:t xml:space="preserve"> </w:t>
      </w:r>
      <w:r w:rsidRPr="00B504AD">
        <w:rPr>
          <w:b/>
          <w:color w:val="007B4B"/>
        </w:rPr>
        <w:t>Green</w:t>
      </w:r>
      <w:r>
        <w:t xml:space="preserve"> (satisfactory result)</w:t>
      </w:r>
    </w:p>
    <w:p w14:paraId="7B09FE5B" w14:textId="5DF9D4AE" w:rsidR="001F55C0" w:rsidRPr="005A4985" w:rsidRDefault="001F55C0" w:rsidP="001F55C0">
      <w:pPr>
        <w:pStyle w:val="Body"/>
      </w:pPr>
      <w:r>
        <w:t>Overall trend: Moving at a pace to meet this goal by 2024</w:t>
      </w:r>
    </w:p>
    <w:p w14:paraId="6071ABCB" w14:textId="5B9EA943" w:rsidR="00CC162E" w:rsidRDefault="00FA30E7" w:rsidP="00606436">
      <w:pPr>
        <w:pStyle w:val="Body"/>
      </w:pPr>
      <w:r>
        <w:rPr>
          <w:shd w:val="clear" w:color="auto" w:fill="FFFFFF"/>
        </w:rPr>
        <w:t xml:space="preserve">Commentary: </w:t>
      </w:r>
      <w:r w:rsidR="00755C84">
        <w:t xml:space="preserve">People with cancer living in regional </w:t>
      </w:r>
      <w:r w:rsidR="005D6DC5">
        <w:t xml:space="preserve">or </w:t>
      </w:r>
      <w:r w:rsidR="00755C84">
        <w:t xml:space="preserve">rural Victoria experience several </w:t>
      </w:r>
      <w:r w:rsidR="00AB4FDB">
        <w:t xml:space="preserve">disadvantages compared </w:t>
      </w:r>
      <w:r w:rsidR="002C060B" w:rsidRPr="002C060B">
        <w:t xml:space="preserve">with </w:t>
      </w:r>
      <w:r w:rsidR="00AB4FDB">
        <w:t>those living in Melbourne including geographical barrier</w:t>
      </w:r>
      <w:r w:rsidR="005D6DC5">
        <w:t>s</w:t>
      </w:r>
      <w:r w:rsidR="00AB4FDB">
        <w:t xml:space="preserve"> to clinical trial access</w:t>
      </w:r>
      <w:r>
        <w:t xml:space="preserve">. </w:t>
      </w:r>
      <w:r w:rsidR="00FC52AB">
        <w:t xml:space="preserve">A recent published study </w:t>
      </w:r>
      <w:r w:rsidR="005D6DC5">
        <w:t>suggested</w:t>
      </w:r>
      <w:r w:rsidR="00FC52AB">
        <w:t xml:space="preserve"> that low trial </w:t>
      </w:r>
      <w:r w:rsidR="005D6DC5">
        <w:t xml:space="preserve">participation </w:t>
      </w:r>
      <w:r w:rsidR="00FC52AB">
        <w:t>rates may be a contributing factor to lower cancer five-year survival in regional Victoria compared with metropolitan Melbourne.</w:t>
      </w:r>
      <w:r w:rsidR="00FC52AB">
        <w:rPr>
          <w:rStyle w:val="FootnoteReference"/>
          <w:rFonts w:cs="Arial"/>
          <w:color w:val="2A2736"/>
        </w:rPr>
        <w:footnoteReference w:id="226"/>
      </w:r>
    </w:p>
    <w:p w14:paraId="7FF158AC" w14:textId="7F537A32" w:rsidR="001F55C0" w:rsidRDefault="00055C04" w:rsidP="00606436">
      <w:pPr>
        <w:pStyle w:val="Body"/>
        <w:rPr>
          <w:shd w:val="clear" w:color="auto" w:fill="FFFFFF"/>
        </w:rPr>
      </w:pPr>
      <w:r w:rsidRPr="001F55C0">
        <w:t xml:space="preserve">Figure G5 shows </w:t>
      </w:r>
      <w:r w:rsidR="005D6DC5" w:rsidRPr="001F55C0">
        <w:t xml:space="preserve">that </w:t>
      </w:r>
      <w:r w:rsidRPr="001F55C0">
        <w:t xml:space="preserve">the number of new enrolments in clinical trials </w:t>
      </w:r>
      <w:r w:rsidR="0047009B">
        <w:t>is disproportionate</w:t>
      </w:r>
      <w:r w:rsidRPr="001F55C0">
        <w:t xml:space="preserve"> with most clinical trials </w:t>
      </w:r>
      <w:r w:rsidR="005D6DC5" w:rsidRPr="001F55C0">
        <w:t xml:space="preserve">run </w:t>
      </w:r>
      <w:r w:rsidRPr="001F55C0">
        <w:t xml:space="preserve">in metropolitan health institutions. </w:t>
      </w:r>
      <w:r w:rsidR="001F55C0">
        <w:t xml:space="preserve">Nevertheless, Figure G5 shows that the number of new enrolments in rural areas increased between 2016 and 2021 by 21.5% and is on track to meet this goal by 2030. However, it </w:t>
      </w:r>
      <w:r w:rsidR="001F55C0">
        <w:rPr>
          <w:shd w:val="clear" w:color="auto" w:fill="FFFFFF"/>
        </w:rPr>
        <w:t>is acknowledged that the pandemic had adversely affected the delivery of clinical trials in Victoria and likely progress against this goal as a consequence.</w:t>
      </w:r>
    </w:p>
    <w:p w14:paraId="0E05D52D" w14:textId="22966D71" w:rsidR="00245443" w:rsidRPr="001F55C0" w:rsidRDefault="00E116D8" w:rsidP="00606436">
      <w:pPr>
        <w:pStyle w:val="Body"/>
        <w:rPr>
          <w:shd w:val="clear" w:color="auto" w:fill="FFFFFF"/>
        </w:rPr>
      </w:pPr>
      <w:r w:rsidRPr="001F55C0">
        <w:t xml:space="preserve">To </w:t>
      </w:r>
      <w:r w:rsidR="000A2A52" w:rsidRPr="001F55C0">
        <w:t xml:space="preserve">achieve </w:t>
      </w:r>
      <w:r w:rsidR="005D6DC5" w:rsidRPr="001F55C0">
        <w:t xml:space="preserve">equal </w:t>
      </w:r>
      <w:r w:rsidR="000A2A52" w:rsidRPr="001F55C0">
        <w:t>access to cancer care and clinical trials in regional Victoria</w:t>
      </w:r>
      <w:r w:rsidR="005D6DC5" w:rsidRPr="001F55C0">
        <w:t>,</w:t>
      </w:r>
      <w:r w:rsidR="000A2A52" w:rsidRPr="001F55C0">
        <w:t xml:space="preserve"> </w:t>
      </w:r>
      <w:r w:rsidRPr="001F55C0">
        <w:t xml:space="preserve">a </w:t>
      </w:r>
      <w:r w:rsidR="00E608E2" w:rsidRPr="001F55C0">
        <w:t>new geographically based trials network has been established with the goal of increasing the number regional cancer patients recruited in clinical trials.</w:t>
      </w:r>
      <w:r w:rsidR="008C1FE9" w:rsidRPr="001F55C0">
        <w:t xml:space="preserve"> </w:t>
      </w:r>
      <w:r w:rsidR="008C1FE9" w:rsidRPr="001F55C0">
        <w:rPr>
          <w:shd w:val="clear" w:color="auto" w:fill="FFFFFF"/>
        </w:rPr>
        <w:t>Initially six regional services and Cancer Trials Australia collaborated to form Regional Trials Network Victoria</w:t>
      </w:r>
      <w:r w:rsidR="00525315" w:rsidRPr="001F55C0">
        <w:rPr>
          <w:shd w:val="clear" w:color="auto" w:fill="FFFFFF"/>
        </w:rPr>
        <w:t xml:space="preserve"> (RTNV)</w:t>
      </w:r>
      <w:r w:rsidR="008C1FE9" w:rsidRPr="001F55C0">
        <w:rPr>
          <w:shd w:val="clear" w:color="auto" w:fill="FFFFFF"/>
        </w:rPr>
        <w:t xml:space="preserve">. Two more sites, Latrobe Regional </w:t>
      </w:r>
      <w:r w:rsidR="008C1FE9" w:rsidRPr="001F55C0">
        <w:rPr>
          <w:shd w:val="clear" w:color="auto" w:fill="FFFFFF"/>
        </w:rPr>
        <w:lastRenderedPageBreak/>
        <w:t>Hospital and Mildura Public Hospital</w:t>
      </w:r>
      <w:r w:rsidR="005D6DC5" w:rsidRPr="001F55C0">
        <w:rPr>
          <w:shd w:val="clear" w:color="auto" w:fill="FFFFFF"/>
        </w:rPr>
        <w:t>,</w:t>
      </w:r>
      <w:r w:rsidR="008C1FE9" w:rsidRPr="001F55C0">
        <w:rPr>
          <w:shd w:val="clear" w:color="auto" w:fill="FFFFFF"/>
        </w:rPr>
        <w:t xml:space="preserve"> were added</w:t>
      </w:r>
      <w:r w:rsidR="007F22AC" w:rsidRPr="001F55C0">
        <w:rPr>
          <w:shd w:val="clear" w:color="auto" w:fill="FFFFFF"/>
        </w:rPr>
        <w:t xml:space="preserve"> to the RTNV</w:t>
      </w:r>
      <w:r w:rsidR="008C1FE9" w:rsidRPr="001F55C0">
        <w:rPr>
          <w:shd w:val="clear" w:color="auto" w:fill="FFFFFF"/>
        </w:rPr>
        <w:t xml:space="preserve"> </w:t>
      </w:r>
      <w:r w:rsidR="005D6DC5" w:rsidRPr="001F55C0">
        <w:rPr>
          <w:shd w:val="clear" w:color="auto" w:fill="FFFFFF"/>
        </w:rPr>
        <w:t xml:space="preserve">trials network </w:t>
      </w:r>
      <w:r w:rsidR="008C1FE9" w:rsidRPr="001F55C0">
        <w:rPr>
          <w:shd w:val="clear" w:color="auto" w:fill="FFFFFF"/>
        </w:rPr>
        <w:t>in 2021. This network represents a population of 1.9 million people and approximately 8,000 new cancer diagnoses each year.</w:t>
      </w:r>
      <w:r w:rsidR="00245443" w:rsidRPr="001F55C0">
        <w:rPr>
          <w:rStyle w:val="FootnoteReference"/>
          <w:rFonts w:cs="Arial"/>
          <w:shd w:val="clear" w:color="auto" w:fill="FFFFFF"/>
        </w:rPr>
        <w:footnoteReference w:id="227"/>
      </w:r>
    </w:p>
    <w:p w14:paraId="2A2943D6" w14:textId="35FCC560" w:rsidR="004A338D" w:rsidRDefault="004A338D" w:rsidP="004A338D">
      <w:pPr>
        <w:pStyle w:val="Heading2"/>
      </w:pPr>
      <w:bookmarkStart w:id="1212" w:name="_Toc140843432"/>
      <w:r>
        <w:t>Medium</w:t>
      </w:r>
      <w:r w:rsidR="006048DC">
        <w:t>-</w:t>
      </w:r>
      <w:r>
        <w:t>term goals</w:t>
      </w:r>
      <w:bookmarkEnd w:id="1212"/>
    </w:p>
    <w:p w14:paraId="0A059856" w14:textId="30C3B7DE" w:rsidR="004A338D" w:rsidRPr="00525315" w:rsidRDefault="009B04A4" w:rsidP="00A451D4">
      <w:pPr>
        <w:pStyle w:val="Heading3"/>
        <w:rPr>
          <w:b/>
          <w:bCs w:val="0"/>
        </w:rPr>
      </w:pPr>
      <w:r w:rsidRPr="00525315">
        <w:rPr>
          <w:b/>
          <w:bCs w:val="0"/>
        </w:rPr>
        <w:t xml:space="preserve">Goal </w:t>
      </w:r>
      <w:r w:rsidR="00116824" w:rsidRPr="00525315">
        <w:rPr>
          <w:b/>
          <w:bCs w:val="0"/>
        </w:rPr>
        <w:t>6</w:t>
      </w:r>
      <w:r w:rsidRPr="00525315">
        <w:rPr>
          <w:b/>
          <w:bCs w:val="0"/>
        </w:rPr>
        <w:t xml:space="preserve">: </w:t>
      </w:r>
      <w:r w:rsidR="006048DC" w:rsidRPr="00525315">
        <w:rPr>
          <w:b/>
          <w:bCs w:val="0"/>
        </w:rPr>
        <w:t>S</w:t>
      </w:r>
      <w:r w:rsidR="004A338D" w:rsidRPr="00525315">
        <w:rPr>
          <w:b/>
          <w:bCs w:val="0"/>
        </w:rPr>
        <w:t>ave 10,000 lives by 2025</w:t>
      </w:r>
    </w:p>
    <w:p w14:paraId="5F017A29" w14:textId="77777777" w:rsidR="00C14883" w:rsidRDefault="00C14883" w:rsidP="006048DC">
      <w:pPr>
        <w:pStyle w:val="Heading4"/>
      </w:pPr>
      <w:r>
        <w:t>Goal assessment</w:t>
      </w:r>
    </w:p>
    <w:p w14:paraId="56B86C62" w14:textId="0636BC0D" w:rsidR="00C14883" w:rsidRPr="0062077D" w:rsidRDefault="00C14883" w:rsidP="00606436">
      <w:pPr>
        <w:pStyle w:val="Body"/>
      </w:pPr>
      <w:r w:rsidRPr="00BF199D">
        <w:t>Traffic light rating:</w:t>
      </w:r>
      <w:r>
        <w:t xml:space="preserve"> </w:t>
      </w:r>
      <w:r w:rsidRPr="00B504AD">
        <w:rPr>
          <w:b/>
          <w:color w:val="007B4B"/>
        </w:rPr>
        <w:t>Green</w:t>
      </w:r>
      <w:r>
        <w:t xml:space="preserve"> (satisfactory result)</w:t>
      </w:r>
    </w:p>
    <w:p w14:paraId="7C22BE3E" w14:textId="42015656" w:rsidR="00C14883" w:rsidRPr="005A4985" w:rsidRDefault="00C14883" w:rsidP="00606436">
      <w:pPr>
        <w:pStyle w:val="Body"/>
      </w:pPr>
      <w:r>
        <w:t xml:space="preserve">Overall trend: </w:t>
      </w:r>
      <w:r w:rsidR="005A4985">
        <w:t>This target has been met</w:t>
      </w:r>
      <w:r w:rsidR="005D6DC5">
        <w:t>,</w:t>
      </w:r>
      <w:r w:rsidR="005A4985">
        <w:t xml:space="preserve"> </w:t>
      </w:r>
      <w:r w:rsidR="005A4985" w:rsidRPr="00606436">
        <w:t>with 10,529 lives saved between 2015</w:t>
      </w:r>
      <w:r w:rsidR="005D6DC5">
        <w:t xml:space="preserve"> and </w:t>
      </w:r>
      <w:r w:rsidR="005A4985" w:rsidRPr="005A4985">
        <w:t>2021</w:t>
      </w:r>
      <w:r w:rsidR="005A4985">
        <w:t xml:space="preserve"> (Measure 2.3)</w:t>
      </w:r>
      <w:r w:rsidR="005A4985" w:rsidRPr="00606436">
        <w:t>.</w:t>
      </w:r>
    </w:p>
    <w:p w14:paraId="4E3CC280" w14:textId="5BDE07B6" w:rsidR="00A0392A" w:rsidRPr="00B61DA2" w:rsidRDefault="00116824" w:rsidP="00606436">
      <w:pPr>
        <w:pStyle w:val="Body"/>
        <w:rPr>
          <w:b/>
          <w:bCs/>
        </w:rPr>
      </w:pPr>
      <w:r w:rsidRPr="00116824">
        <w:t>Commentary</w:t>
      </w:r>
      <w:r w:rsidRPr="00525315">
        <w:t>:</w:t>
      </w:r>
      <w:r>
        <w:rPr>
          <w:b/>
          <w:bCs/>
        </w:rPr>
        <w:t xml:space="preserve"> </w:t>
      </w:r>
      <w:r w:rsidR="009B04A4" w:rsidRPr="001776F6">
        <w:t>Data presented for Measure 2.3 show</w:t>
      </w:r>
      <w:r w:rsidR="00296704" w:rsidRPr="001776F6">
        <w:t>s</w:t>
      </w:r>
      <w:r w:rsidR="009B04A4" w:rsidRPr="001776F6">
        <w:t xml:space="preserve"> that Victoria </w:t>
      </w:r>
      <w:r w:rsidR="005A4985">
        <w:t>has met</w:t>
      </w:r>
      <w:r w:rsidR="009B04A4" w:rsidRPr="001776F6">
        <w:t xml:space="preserve"> this medium-term goal. </w:t>
      </w:r>
      <w:r w:rsidR="001776F6">
        <w:t xml:space="preserve">Increasing </w:t>
      </w:r>
      <w:r w:rsidR="000879F9">
        <w:t>acceptability of</w:t>
      </w:r>
      <w:r w:rsidR="001776F6">
        <w:t xml:space="preserve"> screening improve</w:t>
      </w:r>
      <w:r w:rsidR="00742150">
        <w:t>s</w:t>
      </w:r>
      <w:r w:rsidR="001776F6">
        <w:t xml:space="preserve"> outcomes </w:t>
      </w:r>
      <w:r w:rsidR="00083C7F">
        <w:t>(</w:t>
      </w:r>
      <w:r w:rsidR="0035684F">
        <w:t>for example</w:t>
      </w:r>
      <w:r w:rsidR="00271982">
        <w:t>,</w:t>
      </w:r>
      <w:r w:rsidR="00083C7F">
        <w:t xml:space="preserve"> better diagnoses) </w:t>
      </w:r>
      <w:r w:rsidR="001776F6">
        <w:t>and sa</w:t>
      </w:r>
      <w:r w:rsidR="00AD1711">
        <w:t>ve</w:t>
      </w:r>
      <w:r w:rsidR="00742150">
        <w:t>s</w:t>
      </w:r>
      <w:r w:rsidR="00AD1711">
        <w:t xml:space="preserve"> lives. Early recognition of the disease </w:t>
      </w:r>
      <w:r w:rsidR="00742150">
        <w:t xml:space="preserve">has been achieved </w:t>
      </w:r>
      <w:r w:rsidR="00AD1711">
        <w:t xml:space="preserve">through </w:t>
      </w:r>
      <w:r w:rsidR="006070DD">
        <w:t>targeted</w:t>
      </w:r>
      <w:r w:rsidR="00AD1711">
        <w:t xml:space="preserve"> campaigns of screening and education for some types of cancer such as cervical, colo</w:t>
      </w:r>
      <w:r w:rsidR="00E6750D">
        <w:t>rectal, skin and breast</w:t>
      </w:r>
      <w:r w:rsidR="006070DD">
        <w:t>. For example, at the population</w:t>
      </w:r>
      <w:r w:rsidR="007F22AC">
        <w:t xml:space="preserve"> level</w:t>
      </w:r>
      <w:r w:rsidR="006070DD">
        <w:t xml:space="preserve"> there is strong evidence to support the use of mass media pub</w:t>
      </w:r>
      <w:r w:rsidR="001A54E6">
        <w:t>l</w:t>
      </w:r>
      <w:r w:rsidR="006070DD">
        <w:t xml:space="preserve">ic health campaigns </w:t>
      </w:r>
      <w:r w:rsidR="007F22AC">
        <w:t xml:space="preserve">to </w:t>
      </w:r>
      <w:r w:rsidR="006070DD">
        <w:t>significant</w:t>
      </w:r>
      <w:r w:rsidR="007F22AC">
        <w:t>ly</w:t>
      </w:r>
      <w:r w:rsidR="006070DD">
        <w:t xml:space="preserve"> increase</w:t>
      </w:r>
      <w:r w:rsidR="007F22AC">
        <w:t xml:space="preserve"> </w:t>
      </w:r>
      <w:r w:rsidR="006070DD">
        <w:t>bowel screening kit returns in Victoria.</w:t>
      </w:r>
      <w:r w:rsidR="006070DD">
        <w:rPr>
          <w:rStyle w:val="FootnoteReference"/>
          <w:rFonts w:cs="Arial"/>
          <w:color w:val="2A2736"/>
        </w:rPr>
        <w:footnoteReference w:id="228"/>
      </w:r>
      <w:r w:rsidR="001A54E6">
        <w:t xml:space="preserve"> This </w:t>
      </w:r>
      <w:r w:rsidR="0035684F">
        <w:t xml:space="preserve">is </w:t>
      </w:r>
      <w:r w:rsidR="001A54E6">
        <w:t>a key outcome</w:t>
      </w:r>
      <w:r w:rsidR="0035684F">
        <w:t>,</w:t>
      </w:r>
      <w:r w:rsidR="001A54E6">
        <w:t xml:space="preserve"> particularly once </w:t>
      </w:r>
      <w:r w:rsidR="0035684F">
        <w:t xml:space="preserve">people </w:t>
      </w:r>
      <w:r w:rsidR="001A54E6">
        <w:t xml:space="preserve">have </w:t>
      </w:r>
      <w:r w:rsidR="0035684F">
        <w:t xml:space="preserve">been </w:t>
      </w:r>
      <w:r w:rsidR="001A54E6">
        <w:t>screen</w:t>
      </w:r>
      <w:r w:rsidR="0035684F">
        <w:t>ed</w:t>
      </w:r>
      <w:r w:rsidR="001A54E6">
        <w:t xml:space="preserve"> for the first time</w:t>
      </w:r>
      <w:r w:rsidR="0035684F">
        <w:t>,</w:t>
      </w:r>
      <w:r w:rsidR="001A54E6">
        <w:t xml:space="preserve"> </w:t>
      </w:r>
      <w:r w:rsidR="0035684F">
        <w:t xml:space="preserve">because </w:t>
      </w:r>
      <w:r w:rsidR="001A54E6">
        <w:t>they are nearly three times more likely to screen again compared with a first-time invitee.</w:t>
      </w:r>
      <w:r w:rsidR="001A54E6">
        <w:rPr>
          <w:rStyle w:val="FootnoteReference"/>
          <w:rFonts w:cs="Arial"/>
          <w:color w:val="2A2736"/>
        </w:rPr>
        <w:footnoteReference w:id="229"/>
      </w:r>
      <w:r w:rsidR="00083C7F">
        <w:t xml:space="preserve"> However</w:t>
      </w:r>
      <w:r w:rsidR="0035684F">
        <w:t>,</w:t>
      </w:r>
      <w:r w:rsidR="00083C7F">
        <w:t xml:space="preserve"> the question remains</w:t>
      </w:r>
      <w:r w:rsidR="00742150">
        <w:t>:</w:t>
      </w:r>
      <w:r w:rsidR="00083C7F">
        <w:t xml:space="preserve"> </w:t>
      </w:r>
      <w:r w:rsidR="00742150">
        <w:t>H</w:t>
      </w:r>
      <w:r w:rsidR="00083C7F">
        <w:t xml:space="preserve">ow can we know whether screening saves lives? Funded research such as clinical trials are </w:t>
      </w:r>
      <w:r w:rsidR="00296704" w:rsidRPr="001776F6">
        <w:t xml:space="preserve">also </w:t>
      </w:r>
      <w:r w:rsidR="007D7863">
        <w:t xml:space="preserve">helping to </w:t>
      </w:r>
      <w:r w:rsidR="009B04A4" w:rsidRPr="001776F6">
        <w:t>detect</w:t>
      </w:r>
      <w:r w:rsidR="00296704" w:rsidRPr="001776F6">
        <w:t xml:space="preserve"> </w:t>
      </w:r>
      <w:r w:rsidR="009B04A4" w:rsidRPr="001776F6">
        <w:t>cancer</w:t>
      </w:r>
      <w:r w:rsidR="00296704" w:rsidRPr="001776F6">
        <w:t>s</w:t>
      </w:r>
      <w:r w:rsidR="009B04A4" w:rsidRPr="001776F6">
        <w:t xml:space="preserve"> earlier </w:t>
      </w:r>
      <w:r w:rsidR="00296704" w:rsidRPr="001776F6">
        <w:t>and diagnos</w:t>
      </w:r>
      <w:r w:rsidR="001776F6">
        <w:t xml:space="preserve">ing </w:t>
      </w:r>
      <w:r w:rsidR="009B04A4" w:rsidRPr="001776F6">
        <w:rPr>
          <w:color w:val="000000"/>
          <w:shd w:val="clear" w:color="auto" w:fill="FFFFFF"/>
        </w:rPr>
        <w:t>them more accurately, so people receive the right treatment at the earliest opportunity</w:t>
      </w:r>
      <w:r w:rsidR="007D7863">
        <w:rPr>
          <w:color w:val="000000"/>
          <w:shd w:val="clear" w:color="auto" w:fill="FFFFFF"/>
        </w:rPr>
        <w:t>. This is</w:t>
      </w:r>
      <w:r w:rsidR="009B04A4" w:rsidRPr="001776F6">
        <w:rPr>
          <w:color w:val="000000"/>
          <w:shd w:val="clear" w:color="auto" w:fill="FFFFFF"/>
        </w:rPr>
        <w:t xml:space="preserve"> boosting the li</w:t>
      </w:r>
      <w:r w:rsidR="001776F6" w:rsidRPr="001776F6">
        <w:rPr>
          <w:color w:val="000000"/>
          <w:shd w:val="clear" w:color="auto" w:fill="FFFFFF"/>
        </w:rPr>
        <w:t>k</w:t>
      </w:r>
      <w:r w:rsidR="009B04A4" w:rsidRPr="001776F6">
        <w:rPr>
          <w:color w:val="000000"/>
          <w:shd w:val="clear" w:color="auto" w:fill="FFFFFF"/>
        </w:rPr>
        <w:t>elihood of treatment success and better outcomes.</w:t>
      </w:r>
      <w:r w:rsidR="00083C7F">
        <w:rPr>
          <w:color w:val="000000"/>
          <w:shd w:val="clear" w:color="auto" w:fill="FFFFFF"/>
        </w:rPr>
        <w:t xml:space="preserve"> Such trials are worth the expense compared with the continued cost of supporting widespread screening campaigns without knowing whether they truly benefit society.</w:t>
      </w:r>
      <w:r w:rsidR="00083C7F">
        <w:rPr>
          <w:rStyle w:val="FootnoteReference"/>
          <w:rFonts w:cs="Arial"/>
          <w:color w:val="000000"/>
          <w:shd w:val="clear" w:color="auto" w:fill="FFFFFF"/>
        </w:rPr>
        <w:footnoteReference w:id="230"/>
      </w:r>
      <w:r w:rsidR="00A0392A">
        <w:rPr>
          <w:b/>
          <w:bCs/>
          <w:color w:val="AF272F"/>
          <w:sz w:val="24"/>
          <w:szCs w:val="24"/>
        </w:rPr>
        <w:br w:type="page"/>
      </w:r>
    </w:p>
    <w:p w14:paraId="13B1E37A" w14:textId="3C267F83" w:rsidR="004A338D" w:rsidRPr="00151BCF" w:rsidRDefault="009B04A4" w:rsidP="00A451D4">
      <w:pPr>
        <w:pStyle w:val="Heading3"/>
        <w:rPr>
          <w:b/>
          <w:bCs w:val="0"/>
        </w:rPr>
      </w:pPr>
      <w:r w:rsidRPr="00151BCF">
        <w:rPr>
          <w:b/>
          <w:bCs w:val="0"/>
        </w:rPr>
        <w:lastRenderedPageBreak/>
        <w:t>G</w:t>
      </w:r>
      <w:r w:rsidR="00013F59" w:rsidRPr="00151BCF">
        <w:rPr>
          <w:b/>
          <w:bCs w:val="0"/>
        </w:rPr>
        <w:t>oal</w:t>
      </w:r>
      <w:r w:rsidRPr="00151BCF">
        <w:rPr>
          <w:b/>
          <w:bCs w:val="0"/>
        </w:rPr>
        <w:t xml:space="preserve"> </w:t>
      </w:r>
      <w:r w:rsidR="00116824" w:rsidRPr="00151BCF">
        <w:rPr>
          <w:b/>
          <w:bCs w:val="0"/>
        </w:rPr>
        <w:t>7</w:t>
      </w:r>
      <w:r w:rsidR="00013F59" w:rsidRPr="00151BCF">
        <w:rPr>
          <w:b/>
          <w:bCs w:val="0"/>
        </w:rPr>
        <w:t xml:space="preserve">: </w:t>
      </w:r>
      <w:r w:rsidR="004A338D" w:rsidRPr="00151BCF">
        <w:rPr>
          <w:b/>
          <w:bCs w:val="0"/>
        </w:rPr>
        <w:t>90</w:t>
      </w:r>
      <w:r w:rsidR="0054537F">
        <w:rPr>
          <w:b/>
          <w:bCs w:val="0"/>
        </w:rPr>
        <w:t>%</w:t>
      </w:r>
      <w:r w:rsidR="004A338D" w:rsidRPr="00151BCF">
        <w:rPr>
          <w:b/>
          <w:bCs w:val="0"/>
        </w:rPr>
        <w:t xml:space="preserve"> reduction in the number of new infections of hepatitis B and C (2030)</w:t>
      </w:r>
    </w:p>
    <w:p w14:paraId="4794B660" w14:textId="57DBE842" w:rsidR="00013F59" w:rsidRDefault="00013F59" w:rsidP="00151BCF">
      <w:pPr>
        <w:pStyle w:val="Figurecaption"/>
        <w:rPr>
          <w:sz w:val="20"/>
        </w:rPr>
      </w:pPr>
      <w:bookmarkStart w:id="1213" w:name="_Toc140827734"/>
      <w:r w:rsidRPr="005C7AD9">
        <w:rPr>
          <w:sz w:val="20"/>
        </w:rPr>
        <w:t xml:space="preserve">Figure </w:t>
      </w:r>
      <w:r w:rsidR="00116824" w:rsidRPr="005C7AD9">
        <w:rPr>
          <w:sz w:val="20"/>
        </w:rPr>
        <w:t>G7</w:t>
      </w:r>
      <w:r w:rsidR="006048DC" w:rsidRPr="005C7AD9">
        <w:rPr>
          <w:sz w:val="20"/>
        </w:rPr>
        <w:t>:</w:t>
      </w:r>
      <w:r w:rsidRPr="005C7AD9">
        <w:rPr>
          <w:sz w:val="20"/>
        </w:rPr>
        <w:t xml:space="preserve"> Number of newly acquired infections of hepatitis B and C in Victoria</w:t>
      </w:r>
      <w:r w:rsidR="00AF0C01" w:rsidRPr="005C7AD9">
        <w:rPr>
          <w:sz w:val="20"/>
        </w:rPr>
        <w:t>,</w:t>
      </w:r>
      <w:r w:rsidRPr="005C7AD9">
        <w:rPr>
          <w:sz w:val="20"/>
        </w:rPr>
        <w:t xml:space="preserve"> by year, 2014–202</w:t>
      </w:r>
      <w:r w:rsidR="00902EAE" w:rsidRPr="005C7AD9">
        <w:rPr>
          <w:sz w:val="20"/>
        </w:rPr>
        <w:t>2</w:t>
      </w:r>
      <w:bookmarkEnd w:id="1213"/>
    </w:p>
    <w:p w14:paraId="2A6A01EC" w14:textId="2EBF068D" w:rsidR="00322C89" w:rsidRPr="00322C89" w:rsidRDefault="00322C89" w:rsidP="00322C89">
      <w:pPr>
        <w:pStyle w:val="DHHSbody"/>
      </w:pPr>
      <w:r w:rsidRPr="00322C89">
        <w:rPr>
          <w:noProof/>
        </w:rPr>
        <w:drawing>
          <wp:inline distT="0" distB="0" distL="0" distR="0" wp14:anchorId="716B1760" wp14:editId="66F02373">
            <wp:extent cx="6080919" cy="2686050"/>
            <wp:effectExtent l="0" t="0" r="0" b="0"/>
            <wp:docPr id="93" name="Picture 93" descr="This figure presents data on the number of newly acquired infections of hepatitis B and C in Victoria by year, 2014-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This figure presents data on the number of newly acquired infections of hepatitis B and C in Victoria by year, 2014-2022."/>
                    <pic:cNvPicPr/>
                  </pic:nvPicPr>
                  <pic:blipFill>
                    <a:blip r:embed="rId186"/>
                    <a:stretch>
                      <a:fillRect/>
                    </a:stretch>
                  </pic:blipFill>
                  <pic:spPr>
                    <a:xfrm>
                      <a:off x="0" y="0"/>
                      <a:ext cx="6100917" cy="2694883"/>
                    </a:xfrm>
                    <a:prstGeom prst="rect">
                      <a:avLst/>
                    </a:prstGeom>
                  </pic:spPr>
                </pic:pic>
              </a:graphicData>
            </a:graphic>
          </wp:inline>
        </w:drawing>
      </w:r>
    </w:p>
    <w:p w14:paraId="240EEE6A" w14:textId="7253AF83" w:rsidR="00902EAE" w:rsidRDefault="00902EAE" w:rsidP="00E87AAA">
      <w:pPr>
        <w:pStyle w:val="Body"/>
      </w:pPr>
    </w:p>
    <w:p w14:paraId="65235F49" w14:textId="2E2F9A23" w:rsidR="004E539A" w:rsidRPr="005C7AD9" w:rsidRDefault="004E539A" w:rsidP="006048DC">
      <w:pPr>
        <w:pStyle w:val="Tablefigurenote"/>
        <w:rPr>
          <w:i/>
          <w:iCs/>
          <w:sz w:val="18"/>
          <w:szCs w:val="18"/>
        </w:rPr>
      </w:pPr>
      <w:r w:rsidRPr="005C7AD9">
        <w:rPr>
          <w:i/>
          <w:iCs/>
          <w:sz w:val="18"/>
          <w:szCs w:val="18"/>
        </w:rPr>
        <w:t>Source: Infectious diseases surveillance</w:t>
      </w:r>
      <w:r w:rsidR="00AF0C01" w:rsidRPr="005C7AD9">
        <w:rPr>
          <w:i/>
          <w:iCs/>
          <w:sz w:val="18"/>
          <w:szCs w:val="18"/>
        </w:rPr>
        <w:t>,</w:t>
      </w:r>
      <w:r w:rsidRPr="005C7AD9">
        <w:rPr>
          <w:i/>
          <w:iCs/>
          <w:sz w:val="18"/>
          <w:szCs w:val="18"/>
        </w:rPr>
        <w:t xml:space="preserve"> Victoria; https://app.powerbi.com/view?r=eyJrIjoiMjQ0OWI3ZTAtNjMwOS00ODk4LTlmMjAtZDc5MjZiMzA2YWNiIiwidCI6ImMwZTA2MDFmLTBmYWMtNDQ5Yy05Yzg4LWExMDRjNGViOWYyOCJ9</w:t>
      </w:r>
    </w:p>
    <w:p w14:paraId="2A1EAA2F" w14:textId="00EF1275" w:rsidR="00C14883" w:rsidRDefault="00C14883" w:rsidP="006048DC">
      <w:pPr>
        <w:pStyle w:val="Heading4"/>
      </w:pPr>
      <w:r>
        <w:t>Goal assessment</w:t>
      </w:r>
    </w:p>
    <w:p w14:paraId="7573A14A" w14:textId="77777777" w:rsidR="00C14883" w:rsidRPr="0062077D" w:rsidRDefault="00C14883" w:rsidP="00606436">
      <w:pPr>
        <w:pStyle w:val="Body"/>
      </w:pPr>
      <w:r w:rsidRPr="00BF199D">
        <w:t>Traffic light rating:</w:t>
      </w:r>
      <w:r>
        <w:t xml:space="preserve"> </w:t>
      </w:r>
      <w:r w:rsidRPr="00B504AD">
        <w:rPr>
          <w:b/>
          <w:color w:val="007B4B"/>
        </w:rPr>
        <w:t>Green</w:t>
      </w:r>
      <w:r>
        <w:t xml:space="preserve"> (satisfactory result)</w:t>
      </w:r>
      <w:r w:rsidRPr="00CC5019">
        <w:rPr>
          <w:b/>
          <w:color w:val="FFC000"/>
        </w:rPr>
        <w:t xml:space="preserve"> </w:t>
      </w:r>
    </w:p>
    <w:p w14:paraId="1A08C664" w14:textId="66E0B1FD" w:rsidR="004E539A" w:rsidRPr="00C14883" w:rsidRDefault="00C14883" w:rsidP="00606436">
      <w:pPr>
        <w:pStyle w:val="Body"/>
      </w:pPr>
      <w:r>
        <w:t>Overall trend: Moving in the right direction</w:t>
      </w:r>
    </w:p>
    <w:p w14:paraId="4B02716B" w14:textId="2BF69FDB" w:rsidR="00013F59" w:rsidRDefault="00C14883" w:rsidP="00606436">
      <w:pPr>
        <w:pStyle w:val="Body"/>
        <w:rPr>
          <w:color w:val="2A2736"/>
        </w:rPr>
      </w:pPr>
      <w:r>
        <w:rPr>
          <w:shd w:val="clear" w:color="auto" w:fill="FFFFFF"/>
        </w:rPr>
        <w:t xml:space="preserve">Commentary: </w:t>
      </w:r>
      <w:r w:rsidR="00D15A70" w:rsidRPr="00D15A70">
        <w:rPr>
          <w:shd w:val="clear" w:color="auto" w:fill="FFFFFF"/>
        </w:rPr>
        <w:t>Globally, viral hepatitis is responsible for more than 80</w:t>
      </w:r>
      <w:r w:rsidR="0054537F">
        <w:t>%</w:t>
      </w:r>
      <w:r w:rsidR="00D15A70" w:rsidRPr="00D15A70">
        <w:rPr>
          <w:shd w:val="clear" w:color="auto" w:fill="FFFFFF"/>
        </w:rPr>
        <w:t xml:space="preserve"> of liver cancers. Most primary liver cancers are from untreated chronic </w:t>
      </w:r>
      <w:r w:rsidR="00EF4ED3">
        <w:rPr>
          <w:shd w:val="clear" w:color="auto" w:fill="FFFFFF"/>
        </w:rPr>
        <w:t>H</w:t>
      </w:r>
      <w:r w:rsidR="00D15A70" w:rsidRPr="00D15A70">
        <w:rPr>
          <w:shd w:val="clear" w:color="auto" w:fill="FFFFFF"/>
        </w:rPr>
        <w:t>B</w:t>
      </w:r>
      <w:r w:rsidR="00EF4ED3">
        <w:rPr>
          <w:shd w:val="clear" w:color="auto" w:fill="FFFFFF"/>
        </w:rPr>
        <w:t>V</w:t>
      </w:r>
      <w:r w:rsidR="00D15A70" w:rsidRPr="00D15A70">
        <w:rPr>
          <w:shd w:val="clear" w:color="auto" w:fill="FFFFFF"/>
        </w:rPr>
        <w:t xml:space="preserve"> or </w:t>
      </w:r>
      <w:r w:rsidR="00EF4ED3">
        <w:rPr>
          <w:shd w:val="clear" w:color="auto" w:fill="FFFFFF"/>
        </w:rPr>
        <w:t>H</w:t>
      </w:r>
      <w:r w:rsidR="00D15A70" w:rsidRPr="00D15A70">
        <w:rPr>
          <w:shd w:val="clear" w:color="auto" w:fill="FFFFFF"/>
        </w:rPr>
        <w:t>C</w:t>
      </w:r>
      <w:r w:rsidR="00EF4ED3">
        <w:rPr>
          <w:shd w:val="clear" w:color="auto" w:fill="FFFFFF"/>
        </w:rPr>
        <w:t>V</w:t>
      </w:r>
      <w:r w:rsidR="00D15A70" w:rsidRPr="00D15A70">
        <w:rPr>
          <w:shd w:val="clear" w:color="auto" w:fill="FFFFFF"/>
        </w:rPr>
        <w:t xml:space="preserve"> infection.</w:t>
      </w:r>
      <w:r w:rsidR="00D15A70" w:rsidRPr="00D15A70">
        <w:rPr>
          <w:rStyle w:val="FootnoteReference"/>
          <w:rFonts w:cs="Arial"/>
          <w:color w:val="333333"/>
          <w:shd w:val="clear" w:color="auto" w:fill="FFFFFF"/>
        </w:rPr>
        <w:footnoteReference w:id="231"/>
      </w:r>
      <w:r w:rsidR="00D15A70">
        <w:rPr>
          <w:color w:val="000000"/>
          <w:shd w:val="clear" w:color="auto" w:fill="FFFFFF"/>
          <w:vertAlign w:val="superscript"/>
        </w:rPr>
        <w:t xml:space="preserve"> </w:t>
      </w:r>
      <w:r w:rsidR="00013F59" w:rsidRPr="00275B2D">
        <w:rPr>
          <w:color w:val="2A2736"/>
        </w:rPr>
        <w:t xml:space="preserve">In Victoria </w:t>
      </w:r>
      <w:r w:rsidR="00A4336C">
        <w:rPr>
          <w:color w:val="2A2736"/>
        </w:rPr>
        <w:t xml:space="preserve">all diagnoses of </w:t>
      </w:r>
      <w:r w:rsidR="00013F59" w:rsidRPr="00275B2D">
        <w:rPr>
          <w:color w:val="2A2736"/>
        </w:rPr>
        <w:t xml:space="preserve">both </w:t>
      </w:r>
      <w:r w:rsidR="004436DE">
        <w:rPr>
          <w:color w:val="222222"/>
          <w:shd w:val="clear" w:color="auto" w:fill="FFFFFF"/>
        </w:rPr>
        <w:t>HBV and</w:t>
      </w:r>
      <w:r w:rsidR="004436DE" w:rsidRPr="00275B2D">
        <w:rPr>
          <w:color w:val="222222"/>
          <w:shd w:val="clear" w:color="auto" w:fill="FFFFFF"/>
        </w:rPr>
        <w:t xml:space="preserve"> HCV</w:t>
      </w:r>
      <w:r w:rsidR="004436DE">
        <w:rPr>
          <w:color w:val="222222"/>
          <w:shd w:val="clear" w:color="auto" w:fill="FFFFFF"/>
        </w:rPr>
        <w:t xml:space="preserve"> infection</w:t>
      </w:r>
      <w:r w:rsidR="004436DE" w:rsidRPr="00275B2D">
        <w:rPr>
          <w:color w:val="222222"/>
          <w:shd w:val="clear" w:color="auto" w:fill="FFFFFF"/>
        </w:rPr>
        <w:t xml:space="preserve"> </w:t>
      </w:r>
      <w:r w:rsidR="00275B2D" w:rsidRPr="00275B2D">
        <w:rPr>
          <w:color w:val="2A2736"/>
        </w:rPr>
        <w:t>must be notified by medical practitioners and pathology services</w:t>
      </w:r>
      <w:r w:rsidR="00EA3A6B">
        <w:rPr>
          <w:color w:val="2A2736"/>
        </w:rPr>
        <w:t xml:space="preserve"> to the department</w:t>
      </w:r>
      <w:r w:rsidR="00816BA6">
        <w:rPr>
          <w:color w:val="2A2736"/>
        </w:rPr>
        <w:t xml:space="preserve"> in accordance with the </w:t>
      </w:r>
      <w:r w:rsidR="00816BA6" w:rsidRPr="76BE792E">
        <w:rPr>
          <w:i/>
          <w:iCs/>
          <w:color w:val="2A2736"/>
        </w:rPr>
        <w:t>Public Health and Wellbeing Regulations 2019</w:t>
      </w:r>
      <w:r w:rsidR="00EA3A6B">
        <w:rPr>
          <w:color w:val="2A2736"/>
        </w:rPr>
        <w:t xml:space="preserve">. </w:t>
      </w:r>
      <w:r w:rsidR="00EA19CB" w:rsidRPr="00275B2D">
        <w:rPr>
          <w:color w:val="222222"/>
          <w:shd w:val="clear" w:color="auto" w:fill="FFFFFF"/>
        </w:rPr>
        <w:t xml:space="preserve">Identifying and characterising cases of newly acquired </w:t>
      </w:r>
      <w:r w:rsidR="00EA19CB">
        <w:rPr>
          <w:color w:val="222222"/>
          <w:shd w:val="clear" w:color="auto" w:fill="FFFFFF"/>
        </w:rPr>
        <w:t>HBV and</w:t>
      </w:r>
      <w:r w:rsidR="00EA19CB" w:rsidRPr="00275B2D">
        <w:rPr>
          <w:color w:val="222222"/>
          <w:shd w:val="clear" w:color="auto" w:fill="FFFFFF"/>
        </w:rPr>
        <w:t xml:space="preserve"> HCV</w:t>
      </w:r>
      <w:r w:rsidR="00EF4ED3">
        <w:rPr>
          <w:color w:val="222222"/>
          <w:shd w:val="clear" w:color="auto" w:fill="FFFFFF"/>
        </w:rPr>
        <w:t xml:space="preserve"> infection</w:t>
      </w:r>
      <w:r w:rsidR="00EA19CB" w:rsidRPr="00275B2D">
        <w:rPr>
          <w:color w:val="222222"/>
          <w:shd w:val="clear" w:color="auto" w:fill="FFFFFF"/>
        </w:rPr>
        <w:t xml:space="preserve"> enables public health officials to determine who is at risk and </w:t>
      </w:r>
      <w:r w:rsidR="00E00206">
        <w:rPr>
          <w:color w:val="222222"/>
          <w:shd w:val="clear" w:color="auto" w:fill="FFFFFF"/>
        </w:rPr>
        <w:t xml:space="preserve">to </w:t>
      </w:r>
      <w:r w:rsidR="00EA19CB" w:rsidRPr="00275B2D">
        <w:rPr>
          <w:color w:val="222222"/>
          <w:shd w:val="clear" w:color="auto" w:fill="FFFFFF"/>
        </w:rPr>
        <w:t>assess and improve prevention efforts</w:t>
      </w:r>
      <w:r w:rsidR="00EA19CB">
        <w:rPr>
          <w:color w:val="222222"/>
          <w:shd w:val="clear" w:color="auto" w:fill="FFFFFF"/>
        </w:rPr>
        <w:t xml:space="preserve">. </w:t>
      </w:r>
      <w:r w:rsidR="00EA3A6B">
        <w:rPr>
          <w:color w:val="2A2736"/>
        </w:rPr>
        <w:t xml:space="preserve">Notifications are classified as newly </w:t>
      </w:r>
      <w:r w:rsidR="00B7655E">
        <w:rPr>
          <w:color w:val="2A2736"/>
        </w:rPr>
        <w:t xml:space="preserve">acquired where there is laboratory or clinical evidence that infection has been acquired in the </w:t>
      </w:r>
      <w:r w:rsidR="00E00206">
        <w:rPr>
          <w:color w:val="2A2736"/>
        </w:rPr>
        <w:t xml:space="preserve">preceding </w:t>
      </w:r>
      <w:r w:rsidR="00B7655E">
        <w:rPr>
          <w:color w:val="2A2736"/>
        </w:rPr>
        <w:t xml:space="preserve">two years or otherwise as unspecified (refer to </w:t>
      </w:r>
      <w:r w:rsidR="00E00206">
        <w:rPr>
          <w:color w:val="2A2736"/>
        </w:rPr>
        <w:t>M</w:t>
      </w:r>
      <w:r w:rsidR="00B7655E">
        <w:rPr>
          <w:color w:val="2A2736"/>
        </w:rPr>
        <w:t xml:space="preserve">easures 10.2 and 10.3). </w:t>
      </w:r>
      <w:r w:rsidR="00D26678">
        <w:rPr>
          <w:color w:val="2A2736"/>
        </w:rPr>
        <w:t xml:space="preserve">The number of newly acquired </w:t>
      </w:r>
      <w:r w:rsidR="00EA19CB">
        <w:rPr>
          <w:color w:val="2A2736"/>
        </w:rPr>
        <w:t>c</w:t>
      </w:r>
      <w:r w:rsidR="00B7655E">
        <w:rPr>
          <w:color w:val="2A2736"/>
        </w:rPr>
        <w:t>ases categorised as unspecified overwhelmingly represent chronic cases of HBV and HCV.</w:t>
      </w:r>
      <w:r w:rsidR="00EA19CB">
        <w:rPr>
          <w:rStyle w:val="FootnoteReference"/>
          <w:rFonts w:cs="Arial"/>
          <w:color w:val="2A2736"/>
        </w:rPr>
        <w:footnoteReference w:id="232"/>
      </w:r>
    </w:p>
    <w:p w14:paraId="32C254CE" w14:textId="1119E497" w:rsidR="00175D38" w:rsidRPr="002F3C20" w:rsidRDefault="000C1122" w:rsidP="00606436">
      <w:pPr>
        <w:pStyle w:val="Body"/>
        <w:rPr>
          <w:sz w:val="24"/>
          <w:szCs w:val="24"/>
        </w:rPr>
      </w:pPr>
      <w:r>
        <w:t xml:space="preserve">Figure </w:t>
      </w:r>
      <w:r w:rsidR="00C14883">
        <w:t>G7</w:t>
      </w:r>
      <w:r>
        <w:t xml:space="preserve"> shows that the number of newly acquired cases of HBV and HCV </w:t>
      </w:r>
      <w:r w:rsidR="00EA19CB">
        <w:t xml:space="preserve">decreased </w:t>
      </w:r>
      <w:r w:rsidR="00607C62">
        <w:t>between 2014 and 202</w:t>
      </w:r>
      <w:r w:rsidR="00902EAE">
        <w:t>2</w:t>
      </w:r>
      <w:r w:rsidR="00607C62">
        <w:t xml:space="preserve"> by </w:t>
      </w:r>
      <w:r w:rsidR="00DF4951">
        <w:t xml:space="preserve">nearly </w:t>
      </w:r>
      <w:r w:rsidR="000950ED">
        <w:t>8</w:t>
      </w:r>
      <w:r w:rsidR="004B5B22">
        <w:t>6</w:t>
      </w:r>
      <w:r w:rsidR="0054537F">
        <w:t>%</w:t>
      </w:r>
      <w:r w:rsidR="00DF4951">
        <w:t xml:space="preserve"> for HCV and </w:t>
      </w:r>
      <w:r w:rsidR="004B5B22">
        <w:t>78</w:t>
      </w:r>
      <w:r w:rsidR="0054537F">
        <w:t>%</w:t>
      </w:r>
      <w:r w:rsidR="00DF4951">
        <w:t xml:space="preserve"> for HBV</w:t>
      </w:r>
      <w:r w:rsidR="00021116">
        <w:t>. Victoria</w:t>
      </w:r>
      <w:r w:rsidR="00DF4951">
        <w:t xml:space="preserve"> is on target to meet the goal of a 90</w:t>
      </w:r>
      <w:r w:rsidR="0054537F">
        <w:t>%</w:t>
      </w:r>
      <w:r w:rsidR="00DF4951">
        <w:t xml:space="preserve"> reduction in the number of newly acquired infections by 2030.</w:t>
      </w:r>
      <w:r w:rsidR="00175D38">
        <w:rPr>
          <w:b/>
          <w:bCs/>
          <w:color w:val="AF272F"/>
          <w:sz w:val="24"/>
          <w:szCs w:val="24"/>
        </w:rPr>
        <w:br w:type="page"/>
      </w:r>
    </w:p>
    <w:p w14:paraId="2A7076B2" w14:textId="2F32A023" w:rsidR="004A338D" w:rsidRPr="00151BCF" w:rsidRDefault="006833AC" w:rsidP="00A451D4">
      <w:pPr>
        <w:pStyle w:val="Heading3"/>
        <w:rPr>
          <w:b/>
          <w:bCs w:val="0"/>
        </w:rPr>
      </w:pPr>
      <w:r w:rsidRPr="00151BCF">
        <w:rPr>
          <w:b/>
          <w:bCs w:val="0"/>
        </w:rPr>
        <w:lastRenderedPageBreak/>
        <w:t>G</w:t>
      </w:r>
      <w:r w:rsidR="00343761" w:rsidRPr="00151BCF">
        <w:rPr>
          <w:b/>
          <w:bCs w:val="0"/>
        </w:rPr>
        <w:t>oal</w:t>
      </w:r>
      <w:r w:rsidRPr="00151BCF">
        <w:rPr>
          <w:b/>
          <w:bCs w:val="0"/>
        </w:rPr>
        <w:t xml:space="preserve"> </w:t>
      </w:r>
      <w:r w:rsidR="00C14883" w:rsidRPr="00151BCF">
        <w:rPr>
          <w:b/>
          <w:bCs w:val="0"/>
        </w:rPr>
        <w:t>8</w:t>
      </w:r>
      <w:r w:rsidRPr="00151BCF">
        <w:rPr>
          <w:b/>
          <w:bCs w:val="0"/>
        </w:rPr>
        <w:t>:</w:t>
      </w:r>
      <w:r w:rsidR="00343761" w:rsidRPr="00151BCF">
        <w:rPr>
          <w:b/>
          <w:bCs w:val="0"/>
        </w:rPr>
        <w:t xml:space="preserve"> </w:t>
      </w:r>
      <w:r w:rsidR="006048DC" w:rsidRPr="00151BCF">
        <w:rPr>
          <w:b/>
          <w:bCs w:val="0"/>
        </w:rPr>
        <w:t>E</w:t>
      </w:r>
      <w:r w:rsidR="004A338D" w:rsidRPr="00151BCF">
        <w:rPr>
          <w:b/>
          <w:bCs w:val="0"/>
        </w:rPr>
        <w:t>liminate cervical cancer as a public health problem in Victoria (2030)</w:t>
      </w:r>
    </w:p>
    <w:p w14:paraId="1C03EA26" w14:textId="30B4D0DC" w:rsidR="00EA390D" w:rsidRDefault="0026718F" w:rsidP="00606436">
      <w:pPr>
        <w:pStyle w:val="Body"/>
        <w:rPr>
          <w:shd w:val="clear" w:color="auto" w:fill="FFFFFF"/>
        </w:rPr>
      </w:pPr>
      <w:r>
        <w:t xml:space="preserve">Australia could potentially become the first country globally to eliminate cervical cancer by 2030 if vaccination </w:t>
      </w:r>
      <w:r w:rsidRPr="0026718F">
        <w:t xml:space="preserve">for </w:t>
      </w:r>
      <w:r w:rsidRPr="0026718F">
        <w:rPr>
          <w:color w:val="333333"/>
          <w:shd w:val="clear" w:color="auto" w:fill="FFFFFF"/>
        </w:rPr>
        <w:t>HPV and cervical screening coverage are maintained at their current rates</w:t>
      </w:r>
      <w:r>
        <w:t xml:space="preserve">. </w:t>
      </w:r>
      <w:r w:rsidR="001E2940" w:rsidRPr="0037409C">
        <w:rPr>
          <w:shd w:val="clear" w:color="auto" w:fill="FFFFFF"/>
        </w:rPr>
        <w:t xml:space="preserve">The incidence of cervical cancer is predicted to decrease </w:t>
      </w:r>
      <w:r w:rsidR="00EA390D">
        <w:rPr>
          <w:shd w:val="clear" w:color="auto" w:fill="FFFFFF"/>
        </w:rPr>
        <w:t xml:space="preserve">with: </w:t>
      </w:r>
    </w:p>
    <w:p w14:paraId="3E79BE0D" w14:textId="11EB6E5C" w:rsidR="00EA390D" w:rsidRDefault="001E2940" w:rsidP="00151BCF">
      <w:pPr>
        <w:pStyle w:val="Bullet1"/>
        <w:rPr>
          <w:shd w:val="clear" w:color="auto" w:fill="FFFFFF"/>
        </w:rPr>
      </w:pPr>
      <w:r w:rsidRPr="0037409C">
        <w:rPr>
          <w:shd w:val="clear" w:color="auto" w:fill="FFFFFF"/>
        </w:rPr>
        <w:t xml:space="preserve">the introduction of the national HPV </w:t>
      </w:r>
      <w:r w:rsidR="0026718F">
        <w:rPr>
          <w:shd w:val="clear" w:color="auto" w:fill="FFFFFF"/>
        </w:rPr>
        <w:t xml:space="preserve">vaccination </w:t>
      </w:r>
      <w:r w:rsidRPr="0037409C">
        <w:rPr>
          <w:shd w:val="clear" w:color="auto" w:fill="FFFFFF"/>
        </w:rPr>
        <w:t>program in 2007</w:t>
      </w:r>
    </w:p>
    <w:p w14:paraId="467057BB" w14:textId="5106D4B6" w:rsidR="00EA390D" w:rsidRDefault="00EA390D" w:rsidP="00151BCF">
      <w:pPr>
        <w:pStyle w:val="Bullet1"/>
        <w:rPr>
          <w:shd w:val="clear" w:color="auto" w:fill="FFFFFF"/>
        </w:rPr>
      </w:pPr>
      <w:r>
        <w:rPr>
          <w:shd w:val="clear" w:color="auto" w:fill="FFFFFF"/>
        </w:rPr>
        <w:t xml:space="preserve">the </w:t>
      </w:r>
      <w:r w:rsidR="001E2940" w:rsidRPr="0037409C">
        <w:rPr>
          <w:shd w:val="clear" w:color="auto" w:fill="FFFFFF"/>
        </w:rPr>
        <w:t xml:space="preserve">increased effectiveness of screening </w:t>
      </w:r>
    </w:p>
    <w:p w14:paraId="47EAA9CC" w14:textId="1AFA2725" w:rsidR="00343761" w:rsidRDefault="001E2940" w:rsidP="00151BCF">
      <w:pPr>
        <w:pStyle w:val="Bullet1"/>
        <w:rPr>
          <w:shd w:val="clear" w:color="auto" w:fill="FFFFFF"/>
        </w:rPr>
      </w:pPr>
      <w:r w:rsidRPr="0037409C">
        <w:rPr>
          <w:shd w:val="clear" w:color="auto" w:fill="FFFFFF"/>
        </w:rPr>
        <w:t>replac</w:t>
      </w:r>
      <w:r w:rsidR="00EA390D">
        <w:rPr>
          <w:shd w:val="clear" w:color="auto" w:fill="FFFFFF"/>
        </w:rPr>
        <w:t>ing</w:t>
      </w:r>
      <w:r w:rsidRPr="0037409C">
        <w:rPr>
          <w:shd w:val="clear" w:color="auto" w:fill="FFFFFF"/>
        </w:rPr>
        <w:t xml:space="preserve"> the quadrivalent vaccine with the nonavalent vaccine in 2018</w:t>
      </w:r>
      <w:r w:rsidR="00C278FF" w:rsidRPr="0037409C">
        <w:rPr>
          <w:rStyle w:val="FootnoteReference"/>
          <w:rFonts w:cs="Arial"/>
          <w:shd w:val="clear" w:color="auto" w:fill="FFFFFF"/>
        </w:rPr>
        <w:footnoteReference w:id="233"/>
      </w:r>
      <w:r w:rsidR="004E23AA">
        <w:rPr>
          <w:shd w:val="clear" w:color="auto" w:fill="FFFFFF"/>
        </w:rPr>
        <w:t xml:space="preserve"> and from the beginning of 2023 change the routine dose from 2 to a single dose.</w:t>
      </w:r>
    </w:p>
    <w:p w14:paraId="72F383A8" w14:textId="77777777" w:rsidR="00BC65D3" w:rsidRDefault="00BC65D3" w:rsidP="006048DC">
      <w:pPr>
        <w:pStyle w:val="Heading4"/>
      </w:pPr>
      <w:r>
        <w:t>Goal assessment</w:t>
      </w:r>
    </w:p>
    <w:p w14:paraId="030EB9F9" w14:textId="7CD8F677" w:rsidR="00BC65D3" w:rsidRPr="0062077D" w:rsidRDefault="00BC65D3" w:rsidP="00606436">
      <w:pPr>
        <w:pStyle w:val="Body"/>
      </w:pPr>
      <w:r w:rsidRPr="00BF199D">
        <w:t>Traffic light rating:</w:t>
      </w:r>
      <w:r>
        <w:t xml:space="preserve"> </w:t>
      </w:r>
      <w:r w:rsidRPr="00B504AD">
        <w:rPr>
          <w:b/>
          <w:color w:val="007B4B"/>
        </w:rPr>
        <w:t>Green</w:t>
      </w:r>
      <w:r>
        <w:t xml:space="preserve"> (satisfactory result)</w:t>
      </w:r>
    </w:p>
    <w:p w14:paraId="67013556" w14:textId="5A937AF3" w:rsidR="00BC65D3" w:rsidRPr="00C14883" w:rsidRDefault="00BC65D3" w:rsidP="00606436">
      <w:pPr>
        <w:pStyle w:val="Body"/>
      </w:pPr>
      <w:r>
        <w:t>Overall trend: Moving in the right direction</w:t>
      </w:r>
    </w:p>
    <w:p w14:paraId="12A63953" w14:textId="1C8FB5DF" w:rsidR="00482C38" w:rsidRDefault="00BC65D3" w:rsidP="00482C38">
      <w:pPr>
        <w:pStyle w:val="Body"/>
        <w:rPr>
          <w:shd w:val="clear" w:color="auto" w:fill="FFFFFF"/>
        </w:rPr>
      </w:pPr>
      <w:r>
        <w:rPr>
          <w:shd w:val="clear" w:color="auto" w:fill="FFFFFF"/>
        </w:rPr>
        <w:t xml:space="preserve">Commentary: </w:t>
      </w:r>
      <w:r w:rsidR="00482C38">
        <w:rPr>
          <w:shd w:val="clear" w:color="auto" w:fill="FFFFFF"/>
        </w:rPr>
        <w:t>In 2020 the World Health Organization (WHO) published a global strategy to accelerate the elimination of cervical cancer as a public health problem.</w:t>
      </w:r>
      <w:r w:rsidR="00482C38">
        <w:rPr>
          <w:rStyle w:val="FootnoteReference"/>
          <w:shd w:val="clear" w:color="auto" w:fill="FFFFFF"/>
        </w:rPr>
        <w:footnoteReference w:id="234"/>
      </w:r>
      <w:r w:rsidR="00482C38">
        <w:rPr>
          <w:shd w:val="clear" w:color="auto" w:fill="FFFFFF"/>
        </w:rPr>
        <w:t xml:space="preserve"> The definition of elimination of cervical cancer been initiated as a country reaching the threshold of less than 4 cases of cervical cancer incidence per 100 000 population per year.</w:t>
      </w:r>
    </w:p>
    <w:p w14:paraId="028455AF" w14:textId="5F988DD0" w:rsidR="00737F38" w:rsidRPr="00EF6F9B" w:rsidRDefault="00CC53CD" w:rsidP="00606436">
      <w:pPr>
        <w:pStyle w:val="Body"/>
        <w:rPr>
          <w:shd w:val="clear" w:color="auto" w:fill="FFFFFF"/>
        </w:rPr>
      </w:pPr>
      <w:r>
        <w:rPr>
          <w:shd w:val="clear" w:color="auto" w:fill="FFFFFF"/>
        </w:rPr>
        <w:t>Victoria</w:t>
      </w:r>
      <w:r w:rsidR="00457C83">
        <w:rPr>
          <w:shd w:val="clear" w:color="auto" w:fill="FFFFFF"/>
        </w:rPr>
        <w:t xml:space="preserve">’s relatively low incidence of </w:t>
      </w:r>
      <w:r w:rsidR="00EC44E4">
        <w:rPr>
          <w:shd w:val="clear" w:color="auto" w:fill="FFFFFF"/>
        </w:rPr>
        <w:t xml:space="preserve">approximately </w:t>
      </w:r>
      <w:r w:rsidR="00EA390D">
        <w:rPr>
          <w:shd w:val="clear" w:color="auto" w:fill="FFFFFF"/>
        </w:rPr>
        <w:t>six</w:t>
      </w:r>
      <w:r w:rsidR="00457C83">
        <w:rPr>
          <w:shd w:val="clear" w:color="auto" w:fill="FFFFFF"/>
        </w:rPr>
        <w:t xml:space="preserve"> new cases per 100,000 women of all ages between 2014</w:t>
      </w:r>
      <w:r w:rsidR="006057BC">
        <w:rPr>
          <w:shd w:val="clear" w:color="auto" w:fill="FFFFFF"/>
        </w:rPr>
        <w:t xml:space="preserve"> (6.4 per 100,000 population)</w:t>
      </w:r>
      <w:r w:rsidR="00457C83">
        <w:rPr>
          <w:shd w:val="clear" w:color="auto" w:fill="FFFFFF"/>
        </w:rPr>
        <w:t xml:space="preserve"> and 202</w:t>
      </w:r>
      <w:r w:rsidR="00EC44E4">
        <w:rPr>
          <w:shd w:val="clear" w:color="auto" w:fill="FFFFFF"/>
        </w:rPr>
        <w:t>1</w:t>
      </w:r>
      <w:r w:rsidR="006057BC">
        <w:rPr>
          <w:shd w:val="clear" w:color="auto" w:fill="FFFFFF"/>
        </w:rPr>
        <w:t xml:space="preserve"> (6 per 100,000 population)</w:t>
      </w:r>
      <w:r w:rsidR="00457C83">
        <w:rPr>
          <w:shd w:val="clear" w:color="auto" w:fill="FFFFFF"/>
        </w:rPr>
        <w:t xml:space="preserve"> (Measure 1.7) means </w:t>
      </w:r>
      <w:r w:rsidR="006057BC">
        <w:rPr>
          <w:shd w:val="clear" w:color="auto" w:fill="FFFFFF"/>
        </w:rPr>
        <w:t xml:space="preserve">the </w:t>
      </w:r>
      <w:r w:rsidR="00482C38">
        <w:rPr>
          <w:shd w:val="clear" w:color="auto" w:fill="FFFFFF"/>
        </w:rPr>
        <w:t>S</w:t>
      </w:r>
      <w:r w:rsidR="006057BC">
        <w:rPr>
          <w:shd w:val="clear" w:color="auto" w:fill="FFFFFF"/>
        </w:rPr>
        <w:t xml:space="preserve">tate is </w:t>
      </w:r>
      <w:r w:rsidR="0026718F">
        <w:rPr>
          <w:shd w:val="clear" w:color="auto" w:fill="FFFFFF"/>
        </w:rPr>
        <w:t>well positioned</w:t>
      </w:r>
      <w:r>
        <w:rPr>
          <w:shd w:val="clear" w:color="auto" w:fill="FFFFFF"/>
        </w:rPr>
        <w:t xml:space="preserve"> to meet th</w:t>
      </w:r>
      <w:r w:rsidR="00482C38">
        <w:rPr>
          <w:shd w:val="clear" w:color="auto" w:fill="FFFFFF"/>
        </w:rPr>
        <w:t xml:space="preserve">e </w:t>
      </w:r>
      <w:r w:rsidR="00883A8A">
        <w:rPr>
          <w:shd w:val="clear" w:color="auto" w:fill="FFFFFF"/>
        </w:rPr>
        <w:t xml:space="preserve">incidence </w:t>
      </w:r>
      <w:r w:rsidR="00482C38">
        <w:rPr>
          <w:shd w:val="clear" w:color="auto" w:fill="FFFFFF"/>
        </w:rPr>
        <w:t>threshold set down by WHO</w:t>
      </w:r>
      <w:r w:rsidR="0096725A">
        <w:rPr>
          <w:shd w:val="clear" w:color="auto" w:fill="FFFFFF"/>
        </w:rPr>
        <w:t>.</w:t>
      </w:r>
      <w:r w:rsidR="00883A8A">
        <w:rPr>
          <w:shd w:val="clear" w:color="auto" w:fill="FFFFFF"/>
        </w:rPr>
        <w:t xml:space="preserve"> Other WHO targets to be met by 2030 for countries such Australia to be on the path towards cervical cancer elimination include 90</w:t>
      </w:r>
      <w:r w:rsidR="0054537F">
        <w:t>%</w:t>
      </w:r>
      <w:r w:rsidR="00883A8A">
        <w:rPr>
          <w:shd w:val="clear" w:color="auto" w:fill="FFFFFF"/>
        </w:rPr>
        <w:t xml:space="preserve"> of females fully vaccinated with HPV vaccine by age 15 years. </w:t>
      </w:r>
      <w:r w:rsidR="00FB105A">
        <w:rPr>
          <w:shd w:val="clear" w:color="auto" w:fill="FFFFFF"/>
        </w:rPr>
        <w:t xml:space="preserve">Measure 10.1 shows that Victoria </w:t>
      </w:r>
      <w:r w:rsidR="007F22AC">
        <w:rPr>
          <w:shd w:val="clear" w:color="auto" w:fill="FFFFFF"/>
        </w:rPr>
        <w:t>has</w:t>
      </w:r>
      <w:r w:rsidR="00FB105A">
        <w:rPr>
          <w:shd w:val="clear" w:color="auto" w:fill="FFFFFF"/>
        </w:rPr>
        <w:t xml:space="preserve"> HPV vaccination coverage for all males and females turning 15 years of age </w:t>
      </w:r>
      <w:r w:rsidR="007F22AC">
        <w:rPr>
          <w:shd w:val="clear" w:color="auto" w:fill="FFFFFF"/>
        </w:rPr>
        <w:t xml:space="preserve">that </w:t>
      </w:r>
      <w:r w:rsidR="00FB105A">
        <w:rPr>
          <w:shd w:val="clear" w:color="auto" w:fill="FFFFFF"/>
        </w:rPr>
        <w:t>was above the national average in 2021</w:t>
      </w:r>
      <w:r w:rsidR="00883A8A">
        <w:rPr>
          <w:shd w:val="clear" w:color="auto" w:fill="FFFFFF"/>
        </w:rPr>
        <w:t xml:space="preserve"> (82.5</w:t>
      </w:r>
      <w:r w:rsidR="0054537F">
        <w:t>%</w:t>
      </w:r>
      <w:r w:rsidR="00883A8A">
        <w:rPr>
          <w:shd w:val="clear" w:color="auto" w:fill="FFFFFF"/>
        </w:rPr>
        <w:t xml:space="preserve"> for females 15 years)</w:t>
      </w:r>
      <w:r w:rsidR="00FB105A">
        <w:rPr>
          <w:shd w:val="clear" w:color="auto" w:fill="FFFFFF"/>
        </w:rPr>
        <w:t xml:space="preserve">. </w:t>
      </w:r>
      <w:r w:rsidR="00926FA1">
        <w:rPr>
          <w:shd w:val="clear" w:color="auto" w:fill="FFFFFF"/>
        </w:rPr>
        <w:t xml:space="preserve">Therefore Victoria is on the path to meet the vaccination WHO target in the elimination of cervical cancer. </w:t>
      </w:r>
      <w:r w:rsidR="007F22AC">
        <w:rPr>
          <w:shd w:val="clear" w:color="auto" w:fill="FFFFFF"/>
        </w:rPr>
        <w:t>O</w:t>
      </w:r>
      <w:r w:rsidR="00577148">
        <w:rPr>
          <w:shd w:val="clear" w:color="auto" w:fill="FFFFFF"/>
        </w:rPr>
        <w:t xml:space="preserve">f note is while the introduction of primary prevention in the </w:t>
      </w:r>
      <w:r w:rsidR="00577148" w:rsidRPr="00737F38">
        <w:rPr>
          <w:shd w:val="clear" w:color="auto" w:fill="FFFFFF"/>
        </w:rPr>
        <w:t>form of HPV vaccination that complements the existing cervical screening program, cervical screening remains a</w:t>
      </w:r>
      <w:r w:rsidR="00364AEA">
        <w:t xml:space="preserve"> key </w:t>
      </w:r>
      <w:r w:rsidR="00577148" w:rsidRPr="00737F38">
        <w:rPr>
          <w:shd w:val="clear" w:color="auto" w:fill="FFFFFF"/>
        </w:rPr>
        <w:t xml:space="preserve">secondary prevention strategy </w:t>
      </w:r>
      <w:r w:rsidR="00305AAC" w:rsidRPr="00737F38">
        <w:rPr>
          <w:shd w:val="clear" w:color="auto" w:fill="FFFFFF"/>
        </w:rPr>
        <w:t>for those who are HPV-vaccinated and those who are unvaccinated.</w:t>
      </w:r>
      <w:r w:rsidR="00B92D66" w:rsidRPr="00737F38">
        <w:rPr>
          <w:rStyle w:val="FootnoteReference"/>
          <w:rFonts w:cs="Arial"/>
          <w:shd w:val="clear" w:color="auto" w:fill="FFFFFF"/>
        </w:rPr>
        <w:footnoteReference w:id="235"/>
      </w:r>
      <w:r w:rsidR="00870E90" w:rsidRPr="00737F38">
        <w:rPr>
          <w:shd w:val="clear" w:color="auto" w:fill="FFFFFF"/>
        </w:rPr>
        <w:t xml:space="preserve"> This means </w:t>
      </w:r>
      <w:r w:rsidR="00577148" w:rsidRPr="00737F38">
        <w:rPr>
          <w:shd w:val="clear" w:color="auto" w:fill="FFFFFF"/>
        </w:rPr>
        <w:t xml:space="preserve">there </w:t>
      </w:r>
      <w:r w:rsidR="0026718F" w:rsidRPr="00737F38">
        <w:rPr>
          <w:shd w:val="clear" w:color="auto" w:fill="FFFFFF"/>
        </w:rPr>
        <w:t>needs to be continued investment in education campaigns</w:t>
      </w:r>
      <w:r w:rsidR="0096725A">
        <w:rPr>
          <w:shd w:val="clear" w:color="auto" w:fill="FFFFFF"/>
        </w:rPr>
        <w:t>,</w:t>
      </w:r>
      <w:r w:rsidR="0026718F" w:rsidRPr="00737F38">
        <w:rPr>
          <w:shd w:val="clear" w:color="auto" w:fill="FFFFFF"/>
        </w:rPr>
        <w:t xml:space="preserve"> particularly targeting at-risk communities</w:t>
      </w:r>
      <w:r w:rsidR="00577148" w:rsidRPr="00737F38">
        <w:rPr>
          <w:shd w:val="clear" w:color="auto" w:fill="FFFFFF"/>
        </w:rPr>
        <w:t xml:space="preserve">, if </w:t>
      </w:r>
      <w:r w:rsidR="00870E90" w:rsidRPr="00737F38">
        <w:rPr>
          <w:shd w:val="clear" w:color="auto" w:fill="FFFFFF"/>
        </w:rPr>
        <w:t xml:space="preserve">Victoria </w:t>
      </w:r>
      <w:r w:rsidR="00577148" w:rsidRPr="00737F38">
        <w:rPr>
          <w:shd w:val="clear" w:color="auto" w:fill="FFFFFF"/>
        </w:rPr>
        <w:t>is to eliminate cervical cancer as a public health problem by 2030.</w:t>
      </w:r>
      <w:r w:rsidR="00737F38" w:rsidRPr="00737F38">
        <w:rPr>
          <w:shd w:val="clear" w:color="auto" w:fill="FFFFFF"/>
        </w:rPr>
        <w:t xml:space="preserve"> </w:t>
      </w:r>
      <w:r w:rsidR="00EF6F9B">
        <w:rPr>
          <w:shd w:val="clear" w:color="auto" w:fill="FFFFFF"/>
        </w:rPr>
        <w:t>From 1 July 2022 the National Cervical Cancer Screening Program allowed all</w:t>
      </w:r>
      <w:r w:rsidR="00080432">
        <w:rPr>
          <w:shd w:val="clear" w:color="auto" w:fill="FFFFFF"/>
        </w:rPr>
        <w:t xml:space="preserve"> </w:t>
      </w:r>
      <w:r w:rsidR="00EF6F9B">
        <w:rPr>
          <w:shd w:val="clear" w:color="auto" w:fill="FFFFFF"/>
        </w:rPr>
        <w:t xml:space="preserve">eligible </w:t>
      </w:r>
      <w:r w:rsidR="00080432">
        <w:rPr>
          <w:shd w:val="clear" w:color="auto" w:fill="FFFFFF"/>
        </w:rPr>
        <w:t xml:space="preserve">women and </w:t>
      </w:r>
      <w:r w:rsidR="00EF6F9B">
        <w:rPr>
          <w:shd w:val="clear" w:color="auto" w:fill="FFFFFF"/>
        </w:rPr>
        <w:t>people with a cervix aged 25</w:t>
      </w:r>
      <w:r w:rsidR="0096725A">
        <w:rPr>
          <w:shd w:val="clear" w:color="auto" w:fill="FFFFFF"/>
        </w:rPr>
        <w:t>–</w:t>
      </w:r>
      <w:r w:rsidR="00EF6F9B">
        <w:rPr>
          <w:shd w:val="clear" w:color="auto" w:fill="FFFFFF"/>
        </w:rPr>
        <w:t>74 years to self-collect their c</w:t>
      </w:r>
      <w:r w:rsidR="00080432">
        <w:rPr>
          <w:shd w:val="clear" w:color="auto" w:fill="FFFFFF"/>
        </w:rPr>
        <w:t>ervical screening</w:t>
      </w:r>
      <w:r w:rsidR="00EF6F9B">
        <w:rPr>
          <w:shd w:val="clear" w:color="auto" w:fill="FFFFFF"/>
        </w:rPr>
        <w:t xml:space="preserve"> test. As a result, it is anticipated that</w:t>
      </w:r>
      <w:r w:rsidR="00080432">
        <w:rPr>
          <w:shd w:val="clear" w:color="auto" w:fill="FFFFFF"/>
        </w:rPr>
        <w:t xml:space="preserve"> screening</w:t>
      </w:r>
      <w:r w:rsidR="00EF6F9B">
        <w:rPr>
          <w:shd w:val="clear" w:color="auto" w:fill="FFFFFF"/>
        </w:rPr>
        <w:t xml:space="preserve"> participation rates</w:t>
      </w:r>
      <w:r w:rsidR="0096725A">
        <w:rPr>
          <w:shd w:val="clear" w:color="auto" w:fill="FFFFFF"/>
        </w:rPr>
        <w:t>,</w:t>
      </w:r>
      <w:r w:rsidR="00EF6F9B">
        <w:rPr>
          <w:shd w:val="clear" w:color="auto" w:fill="FFFFFF"/>
        </w:rPr>
        <w:t xml:space="preserve"> especially among Aboriginal Victorians</w:t>
      </w:r>
      <w:r w:rsidR="0096725A">
        <w:rPr>
          <w:shd w:val="clear" w:color="auto" w:fill="FFFFFF"/>
        </w:rPr>
        <w:t>,</w:t>
      </w:r>
      <w:r w:rsidR="00EF6F9B">
        <w:rPr>
          <w:shd w:val="clear" w:color="auto" w:fill="FFFFFF"/>
        </w:rPr>
        <w:t xml:space="preserve"> will improve and ultimately reduce the burden of cervical cancer among Aboriginal Victorians</w:t>
      </w:r>
      <w:r w:rsidR="00812E62">
        <w:rPr>
          <w:shd w:val="clear" w:color="auto" w:fill="FFFFFF"/>
        </w:rPr>
        <w:t>.</w:t>
      </w:r>
      <w:r w:rsidR="00500963">
        <w:rPr>
          <w:rStyle w:val="FootnoteReference"/>
          <w:rFonts w:cs="Arial"/>
          <w:shd w:val="clear" w:color="auto" w:fill="FFFFFF"/>
        </w:rPr>
        <w:footnoteReference w:id="236"/>
      </w:r>
    </w:p>
    <w:p w14:paraId="3762CDD2" w14:textId="77777777" w:rsidR="00926FA1" w:rsidRDefault="00926FA1">
      <w:pPr>
        <w:rPr>
          <w:rFonts w:ascii="Arial" w:eastAsia="MS Gothic" w:hAnsi="Arial"/>
          <w:b/>
          <w:color w:val="53565A"/>
          <w:sz w:val="30"/>
          <w:szCs w:val="26"/>
          <w:lang w:eastAsia="en-US"/>
        </w:rPr>
      </w:pPr>
      <w:bookmarkStart w:id="1214" w:name="_Hlk122501746"/>
      <w:r>
        <w:rPr>
          <w:b/>
          <w:bCs/>
        </w:rPr>
        <w:br w:type="page"/>
      </w:r>
    </w:p>
    <w:p w14:paraId="3786470F" w14:textId="7A85442B" w:rsidR="004A338D" w:rsidRPr="00D4020E" w:rsidRDefault="006833AC" w:rsidP="00A451D4">
      <w:pPr>
        <w:pStyle w:val="Heading3"/>
        <w:rPr>
          <w:b/>
          <w:bCs w:val="0"/>
          <w:highlight w:val="yellow"/>
        </w:rPr>
      </w:pPr>
      <w:r w:rsidRPr="00D4020E">
        <w:rPr>
          <w:b/>
          <w:bCs w:val="0"/>
        </w:rPr>
        <w:lastRenderedPageBreak/>
        <w:t xml:space="preserve">Goal </w:t>
      </w:r>
      <w:r w:rsidR="00C14883" w:rsidRPr="00D4020E">
        <w:rPr>
          <w:b/>
          <w:bCs w:val="0"/>
        </w:rPr>
        <w:t>9</w:t>
      </w:r>
      <w:r w:rsidRPr="00D4020E">
        <w:rPr>
          <w:b/>
          <w:bCs w:val="0"/>
        </w:rPr>
        <w:t xml:space="preserve">: </w:t>
      </w:r>
      <w:r w:rsidR="006048DC" w:rsidRPr="00D4020E">
        <w:rPr>
          <w:b/>
          <w:bCs w:val="0"/>
        </w:rPr>
        <w:t>I</w:t>
      </w:r>
      <w:r w:rsidR="004A338D" w:rsidRPr="00D4020E">
        <w:rPr>
          <w:b/>
          <w:bCs w:val="0"/>
        </w:rPr>
        <w:t xml:space="preserve">ncrease the number of women who rescreen for breast cancer to more </w:t>
      </w:r>
      <w:bookmarkStart w:id="1215" w:name="_Hlk130282778"/>
      <w:r w:rsidR="004A338D" w:rsidRPr="00D4020E">
        <w:rPr>
          <w:b/>
          <w:bCs w:val="0"/>
        </w:rPr>
        <w:t>than 75</w:t>
      </w:r>
      <w:r w:rsidR="0054537F">
        <w:rPr>
          <w:b/>
          <w:bCs w:val="0"/>
        </w:rPr>
        <w:t>%</w:t>
      </w:r>
      <w:r w:rsidR="004A338D" w:rsidRPr="00D4020E">
        <w:rPr>
          <w:b/>
          <w:bCs w:val="0"/>
        </w:rPr>
        <w:t xml:space="preserve"> (2030)</w:t>
      </w:r>
    </w:p>
    <w:bookmarkEnd w:id="1214"/>
    <w:p w14:paraId="53D76EE9" w14:textId="77777777" w:rsidR="000B73FE" w:rsidRPr="00F046FC" w:rsidRDefault="000B73FE" w:rsidP="006048DC">
      <w:pPr>
        <w:pStyle w:val="Heading4"/>
      </w:pPr>
      <w:r w:rsidRPr="00F046FC">
        <w:t>Goal assessment</w:t>
      </w:r>
    </w:p>
    <w:p w14:paraId="45BDB4E4" w14:textId="77777777" w:rsidR="008C49E2" w:rsidRPr="00523C27" w:rsidRDefault="008C49E2" w:rsidP="00606436">
      <w:pPr>
        <w:pStyle w:val="Body"/>
      </w:pPr>
      <w:r w:rsidRPr="006F0684">
        <w:t>Traffic light rating:</w:t>
      </w:r>
      <w:r w:rsidRPr="00B504AD">
        <w:rPr>
          <w:color w:val="AF272F"/>
        </w:rPr>
        <w:t xml:space="preserve"> </w:t>
      </w:r>
      <w:r w:rsidRPr="00B504AD">
        <w:rPr>
          <w:b/>
          <w:color w:val="AF272F"/>
        </w:rPr>
        <w:t xml:space="preserve">Red </w:t>
      </w:r>
      <w:r w:rsidRPr="00523C27">
        <w:t>(result is of concern)</w:t>
      </w:r>
    </w:p>
    <w:p w14:paraId="19D15F14" w14:textId="59F88C76" w:rsidR="008C49E2" w:rsidRPr="006F0684" w:rsidRDefault="008C49E2" w:rsidP="00606436">
      <w:pPr>
        <w:pStyle w:val="Body"/>
      </w:pPr>
      <w:r w:rsidRPr="006F0684">
        <w:t xml:space="preserve">Overall trend: Not moving </w:t>
      </w:r>
      <w:r>
        <w:t>in the right direction to meet this goal by 2030</w:t>
      </w:r>
    </w:p>
    <w:p w14:paraId="162A9755" w14:textId="248B7067" w:rsidR="008C49E2" w:rsidRPr="008C49E2" w:rsidRDefault="000B73FE" w:rsidP="00606436">
      <w:pPr>
        <w:pStyle w:val="Body"/>
      </w:pPr>
      <w:r w:rsidRPr="008C49E2">
        <w:rPr>
          <w:shd w:val="clear" w:color="auto" w:fill="FFFFFF"/>
        </w:rPr>
        <w:t xml:space="preserve">Commentary: </w:t>
      </w:r>
      <w:r w:rsidR="008C49E2" w:rsidRPr="008C49E2">
        <w:t>Breast screening is the most effective measure in reducing breast cancer deaths and the impact of treatment among women in the 50–74</w:t>
      </w:r>
      <w:r w:rsidR="008C49E2" w:rsidRPr="008C49E2">
        <w:rPr>
          <w:strike/>
        </w:rPr>
        <w:t xml:space="preserve"> </w:t>
      </w:r>
      <w:r w:rsidR="008C49E2" w:rsidRPr="008C49E2">
        <w:t>age group. Since the BreastScreen Australia program began in 1991, it has led to better health outcomes and a reduction of breast cancer in Victoria and across Australia. In 2015</w:t>
      </w:r>
      <w:r w:rsidR="0096725A">
        <w:t>–</w:t>
      </w:r>
      <w:r w:rsidR="008C49E2" w:rsidRPr="008C49E2">
        <w:t xml:space="preserve">16 the proportion of women who attended their second within 27 months of </w:t>
      </w:r>
      <w:r w:rsidR="0096725A">
        <w:t xml:space="preserve">their </w:t>
      </w:r>
      <w:r w:rsidR="00D857E2">
        <w:t>first</w:t>
      </w:r>
      <w:r w:rsidR="008C49E2" w:rsidRPr="008C49E2">
        <w:t xml:space="preserve"> screening episode was </w:t>
      </w:r>
      <w:r w:rsidR="00754958">
        <w:t>62</w:t>
      </w:r>
      <w:r w:rsidR="001319F3">
        <w:t>.3</w:t>
      </w:r>
      <w:r w:rsidR="0054537F">
        <w:t>%</w:t>
      </w:r>
      <w:r w:rsidR="0096725A">
        <w:t>,</w:t>
      </w:r>
      <w:r w:rsidR="008C49E2" w:rsidRPr="008C49E2">
        <w:t xml:space="preserve"> which decreased to </w:t>
      </w:r>
      <w:r w:rsidR="00754958">
        <w:t>37</w:t>
      </w:r>
      <w:r w:rsidR="008C49E2" w:rsidRPr="008C49E2">
        <w:t>.</w:t>
      </w:r>
      <w:r w:rsidR="00754958">
        <w:t>9</w:t>
      </w:r>
      <w:r w:rsidR="0054537F">
        <w:t>%</w:t>
      </w:r>
      <w:r w:rsidR="008C49E2" w:rsidRPr="008C49E2">
        <w:t xml:space="preserve"> in 2019</w:t>
      </w:r>
      <w:r w:rsidR="0096725A">
        <w:t>–</w:t>
      </w:r>
      <w:r w:rsidR="008C49E2" w:rsidRPr="008C49E2">
        <w:t>20.</w:t>
      </w:r>
    </w:p>
    <w:p w14:paraId="75D000DA" w14:textId="446DC94D" w:rsidR="008C49E2" w:rsidRPr="008C49E2" w:rsidRDefault="008C49E2" w:rsidP="006048DC">
      <w:pPr>
        <w:pStyle w:val="Body"/>
      </w:pPr>
      <w:r w:rsidRPr="008C49E2">
        <w:t>This decrease is due to the impact of the COVID-19 pandemic</w:t>
      </w:r>
      <w:r w:rsidR="00EF389B">
        <w:t>,</w:t>
      </w:r>
      <w:r w:rsidRPr="008C49E2">
        <w:t xml:space="preserve"> which resulted in BreastScreen Victoria pausing screening services and operating for an extended period with reduced screening due to COVID-19 safety measures. The number of women who rescreen within 27 months is </w:t>
      </w:r>
      <w:r w:rsidR="00EF389B">
        <w:t>predicted</w:t>
      </w:r>
      <w:r w:rsidR="00EF389B" w:rsidRPr="008C49E2">
        <w:t xml:space="preserve"> </w:t>
      </w:r>
      <w:r w:rsidRPr="008C49E2">
        <w:t>to increase following a recent announcement of $20 million in the 2022</w:t>
      </w:r>
      <w:r w:rsidR="00EF412D">
        <w:t>–</w:t>
      </w:r>
      <w:r w:rsidRPr="008C49E2">
        <w:t xml:space="preserve">23 </w:t>
      </w:r>
      <w:r w:rsidR="00EF389B">
        <w:t>State</w:t>
      </w:r>
      <w:r w:rsidR="00EF389B" w:rsidRPr="008C49E2">
        <w:t xml:space="preserve"> </w:t>
      </w:r>
      <w:r w:rsidRPr="008C49E2">
        <w:t xml:space="preserve">Budget. This will </w:t>
      </w:r>
      <w:r w:rsidR="001906E6">
        <w:t>help</w:t>
      </w:r>
      <w:r w:rsidR="001906E6" w:rsidRPr="008C49E2">
        <w:t xml:space="preserve"> </w:t>
      </w:r>
      <w:r w:rsidRPr="008C49E2">
        <w:t xml:space="preserve">BreastScreen Victoria </w:t>
      </w:r>
      <w:r w:rsidR="001906E6">
        <w:t xml:space="preserve">to </w:t>
      </w:r>
      <w:r w:rsidRPr="008C49E2">
        <w:t xml:space="preserve">deliver breast screening services to an </w:t>
      </w:r>
      <w:r w:rsidR="001906E6">
        <w:t>extra</w:t>
      </w:r>
      <w:r w:rsidR="001906E6" w:rsidRPr="008C49E2">
        <w:t xml:space="preserve"> </w:t>
      </w:r>
      <w:r w:rsidRPr="008C49E2">
        <w:t>36,000 people every year by 2026</w:t>
      </w:r>
      <w:r w:rsidR="00EF412D">
        <w:t>–</w:t>
      </w:r>
      <w:r w:rsidRPr="008C49E2">
        <w:t xml:space="preserve">27. Five new permanent breast screening services will be </w:t>
      </w:r>
      <w:r w:rsidR="001906E6">
        <w:t>set up</w:t>
      </w:r>
      <w:r w:rsidR="001906E6" w:rsidRPr="008C49E2">
        <w:t xml:space="preserve"> </w:t>
      </w:r>
      <w:r w:rsidRPr="008C49E2">
        <w:t xml:space="preserve">over the next three years in several </w:t>
      </w:r>
      <w:r w:rsidR="001906E6">
        <w:t>LGAs</w:t>
      </w:r>
      <w:r w:rsidRPr="008C49E2">
        <w:t xml:space="preserve"> across Victoria and three temporary sites will be converted into permanent sites with greater capacity</w:t>
      </w:r>
      <w:r w:rsidR="001906E6">
        <w:t>. S</w:t>
      </w:r>
      <w:r w:rsidRPr="008C49E2">
        <w:t>ervices in Parkville (Melbourne) and Monash will be expanded.</w:t>
      </w:r>
      <w:r w:rsidRPr="76BE792E">
        <w:rPr>
          <w:rStyle w:val="FootnoteReference"/>
          <w:sz w:val="20"/>
        </w:rPr>
        <w:footnoteReference w:id="237"/>
      </w:r>
      <w:r w:rsidRPr="008C49E2">
        <w:t xml:space="preserve"> </w:t>
      </w:r>
    </w:p>
    <w:p w14:paraId="3560CD5C" w14:textId="1463EB19" w:rsidR="004A338D" w:rsidRPr="008B286A" w:rsidRDefault="006833AC" w:rsidP="00A451D4">
      <w:pPr>
        <w:pStyle w:val="Heading3"/>
        <w:rPr>
          <w:b/>
          <w:bCs w:val="0"/>
        </w:rPr>
      </w:pPr>
      <w:bookmarkStart w:id="1216" w:name="_Hlk119913520"/>
      <w:bookmarkEnd w:id="1215"/>
      <w:r w:rsidRPr="008B286A">
        <w:rPr>
          <w:b/>
          <w:bCs w:val="0"/>
        </w:rPr>
        <w:t xml:space="preserve">Goal </w:t>
      </w:r>
      <w:r w:rsidR="00C14883" w:rsidRPr="008B286A">
        <w:rPr>
          <w:b/>
          <w:bCs w:val="0"/>
        </w:rPr>
        <w:t>10</w:t>
      </w:r>
      <w:r w:rsidRPr="008B286A">
        <w:rPr>
          <w:b/>
          <w:bCs w:val="0"/>
        </w:rPr>
        <w:t xml:space="preserve">: </w:t>
      </w:r>
      <w:r w:rsidR="004A338D" w:rsidRPr="008B286A">
        <w:rPr>
          <w:b/>
          <w:bCs w:val="0"/>
        </w:rPr>
        <w:t>90</w:t>
      </w:r>
      <w:r w:rsidR="0054537F">
        <w:rPr>
          <w:b/>
          <w:bCs w:val="0"/>
        </w:rPr>
        <w:t>%</w:t>
      </w:r>
      <w:r w:rsidR="004A338D" w:rsidRPr="008B286A">
        <w:rPr>
          <w:b/>
          <w:bCs w:val="0"/>
        </w:rPr>
        <w:t xml:space="preserve"> of cancer patients receiving specialist palliative care within 12 months prior to death (2030)</w:t>
      </w:r>
    </w:p>
    <w:p w14:paraId="10A1B992" w14:textId="77777777" w:rsidR="00845AA1" w:rsidRDefault="00845AA1" w:rsidP="006048DC">
      <w:pPr>
        <w:pStyle w:val="Heading4"/>
      </w:pPr>
      <w:r>
        <w:t>Goal assessment</w:t>
      </w:r>
    </w:p>
    <w:p w14:paraId="2758D641" w14:textId="77777777" w:rsidR="00845AA1" w:rsidRPr="00B975DB" w:rsidRDefault="00845AA1" w:rsidP="00606436">
      <w:pPr>
        <w:pStyle w:val="Body"/>
      </w:pPr>
      <w:bookmarkStart w:id="1217" w:name="_Hlk130288639"/>
      <w:r w:rsidRPr="00BF199D">
        <w:t>Traffic light rating:</w:t>
      </w:r>
      <w:r>
        <w:t xml:space="preserve"> </w:t>
      </w:r>
      <w:r w:rsidRPr="00BA3CE0">
        <w:rPr>
          <w:b/>
          <w:color w:val="C5511A"/>
        </w:rPr>
        <w:t>Amber</w:t>
      </w:r>
      <w:r w:rsidRPr="008B286A">
        <w:rPr>
          <w:b/>
          <w:color w:val="C5511A"/>
        </w:rPr>
        <w:t xml:space="preserve"> </w:t>
      </w:r>
      <w:r w:rsidRPr="00EA3932">
        <w:t>(desired result not yet evident)</w:t>
      </w:r>
    </w:p>
    <w:p w14:paraId="162048A4" w14:textId="77777777" w:rsidR="00845AA1" w:rsidRPr="00C14883" w:rsidRDefault="00845AA1" w:rsidP="00606436">
      <w:pPr>
        <w:pStyle w:val="Body"/>
      </w:pPr>
      <w:r>
        <w:t>Overall trend: Static or unchanging</w:t>
      </w:r>
    </w:p>
    <w:bookmarkEnd w:id="1217"/>
    <w:p w14:paraId="44873FAE" w14:textId="13BD5AEB" w:rsidR="00845AA1" w:rsidRPr="006D5752" w:rsidRDefault="00845AA1" w:rsidP="00606436">
      <w:pPr>
        <w:pStyle w:val="Body"/>
      </w:pPr>
      <w:r w:rsidRPr="000A01CB">
        <w:t>Between 2015–16 and 2019–20, palliative care</w:t>
      </w:r>
      <w:r w:rsidR="00F10866">
        <w:t>–</w:t>
      </w:r>
      <w:r w:rsidRPr="000A01CB">
        <w:t>related hospitalisations (all hospitals) in Victoria have increased slightly less than hospitalisations for all reasons</w:t>
      </w:r>
      <w:r w:rsidR="00F10866">
        <w:t>, with a</w:t>
      </w:r>
      <w:r w:rsidRPr="000A01CB">
        <w:t xml:space="preserve"> 0.7</w:t>
      </w:r>
      <w:r w:rsidR="0054537F">
        <w:t>%</w:t>
      </w:r>
      <w:r w:rsidRPr="000A01CB">
        <w:t xml:space="preserve"> increase (from 8,455 to 8,693) compared with </w:t>
      </w:r>
      <w:r w:rsidR="00F10866">
        <w:t xml:space="preserve">a </w:t>
      </w:r>
      <w:r w:rsidRPr="000A01CB">
        <w:t>1.5</w:t>
      </w:r>
      <w:r w:rsidR="0054537F">
        <w:t>%</w:t>
      </w:r>
      <w:r w:rsidRPr="000A01CB">
        <w:t xml:space="preserve"> increase (from 2.7 to 2.9 million), respectively. This was contrary to the national population rate between the same periods</w:t>
      </w:r>
      <w:r w:rsidR="00F10866">
        <w:t>,</w:t>
      </w:r>
      <w:r w:rsidRPr="000A01CB">
        <w:t xml:space="preserve"> which showed that palliative care</w:t>
      </w:r>
      <w:r w:rsidR="00F02E0B">
        <w:t>–</w:t>
      </w:r>
      <w:r w:rsidRPr="000A01CB">
        <w:t>related hospitalisations (all hospitals) increased by 4.1</w:t>
      </w:r>
      <w:r w:rsidR="0054537F">
        <w:t>%</w:t>
      </w:r>
      <w:r w:rsidR="00F10866">
        <w:t xml:space="preserve">. This </w:t>
      </w:r>
      <w:r w:rsidRPr="000A01CB">
        <w:t>was more than hospitalisations for all reasons (1.4</w:t>
      </w:r>
      <w:r w:rsidR="0054537F">
        <w:t>%</w:t>
      </w:r>
      <w:r w:rsidRPr="000A01CB">
        <w:t>)</w:t>
      </w:r>
      <w:r>
        <w:t xml:space="preserve">. Nevertheless, </w:t>
      </w:r>
      <w:r>
        <w:rPr>
          <w:color w:val="212529"/>
          <w:shd w:val="clear" w:color="auto" w:fill="FFFFFF"/>
        </w:rPr>
        <w:t xml:space="preserve">Victoria’s </w:t>
      </w:r>
      <w:r w:rsidRPr="000A01CB">
        <w:rPr>
          <w:color w:val="212529"/>
          <w:shd w:val="clear" w:color="auto" w:fill="FFFFFF"/>
        </w:rPr>
        <w:t xml:space="preserve">population is </w:t>
      </w:r>
      <w:r>
        <w:rPr>
          <w:color w:val="212529"/>
          <w:shd w:val="clear" w:color="auto" w:fill="FFFFFF"/>
        </w:rPr>
        <w:t xml:space="preserve">continuing to </w:t>
      </w:r>
      <w:r w:rsidRPr="000A01CB">
        <w:rPr>
          <w:color w:val="212529"/>
          <w:shd w:val="clear" w:color="auto" w:fill="FFFFFF"/>
        </w:rPr>
        <w:t xml:space="preserve">grow and age, </w:t>
      </w:r>
      <w:r>
        <w:rPr>
          <w:color w:val="212529"/>
          <w:shd w:val="clear" w:color="auto" w:fill="FFFFFF"/>
        </w:rPr>
        <w:t>with</w:t>
      </w:r>
      <w:r w:rsidRPr="000A01CB">
        <w:rPr>
          <w:color w:val="212529"/>
          <w:shd w:val="clear" w:color="auto" w:fill="FFFFFF"/>
        </w:rPr>
        <w:t xml:space="preserve"> </w:t>
      </w:r>
      <w:r w:rsidR="007F22AC">
        <w:rPr>
          <w:color w:val="212529"/>
          <w:shd w:val="clear" w:color="auto" w:fill="FFFFFF"/>
        </w:rPr>
        <w:t xml:space="preserve">predicted increases in the number of </w:t>
      </w:r>
      <w:r w:rsidRPr="000A01CB">
        <w:rPr>
          <w:color w:val="212529"/>
          <w:shd w:val="clear" w:color="auto" w:fill="FFFFFF"/>
        </w:rPr>
        <w:t xml:space="preserve">people </w:t>
      </w:r>
      <w:r w:rsidR="007F22AC">
        <w:rPr>
          <w:color w:val="212529"/>
          <w:shd w:val="clear" w:color="auto" w:fill="FFFFFF"/>
        </w:rPr>
        <w:t xml:space="preserve">who </w:t>
      </w:r>
      <w:r w:rsidRPr="000A01CB">
        <w:rPr>
          <w:color w:val="212529"/>
          <w:shd w:val="clear" w:color="auto" w:fill="FFFFFF"/>
        </w:rPr>
        <w:t>will be diagnosed with chronic illnesses</w:t>
      </w:r>
      <w:r>
        <w:rPr>
          <w:color w:val="212529"/>
          <w:shd w:val="clear" w:color="auto" w:fill="FFFFFF"/>
        </w:rPr>
        <w:t xml:space="preserve"> such as cancer</w:t>
      </w:r>
      <w:r w:rsidR="00F10866">
        <w:rPr>
          <w:color w:val="212529"/>
          <w:shd w:val="clear" w:color="auto" w:fill="FFFFFF"/>
        </w:rPr>
        <w:t>. Cancer</w:t>
      </w:r>
      <w:r w:rsidRPr="000A01CB">
        <w:rPr>
          <w:color w:val="212529"/>
          <w:shd w:val="clear" w:color="auto" w:fill="FFFFFF"/>
        </w:rPr>
        <w:t xml:space="preserve"> </w:t>
      </w:r>
      <w:r>
        <w:rPr>
          <w:color w:val="212529"/>
          <w:shd w:val="clear" w:color="auto" w:fill="FFFFFF"/>
        </w:rPr>
        <w:t>is projected to</w:t>
      </w:r>
      <w:r w:rsidRPr="000A01CB">
        <w:rPr>
          <w:color w:val="212529"/>
          <w:shd w:val="clear" w:color="auto" w:fill="FFFFFF"/>
        </w:rPr>
        <w:t xml:space="preserve"> increase the need and demand for palliative care</w:t>
      </w:r>
      <w:r>
        <w:rPr>
          <w:color w:val="212529"/>
          <w:shd w:val="clear" w:color="auto" w:fill="FFFFFF"/>
        </w:rPr>
        <w:t xml:space="preserve"> (including specialist palliative care)</w:t>
      </w:r>
      <w:r>
        <w:rPr>
          <w:rStyle w:val="FootnoteReference"/>
          <w:rFonts w:cs="Arial"/>
          <w:color w:val="212529"/>
          <w:shd w:val="clear" w:color="auto" w:fill="FFFFFF"/>
        </w:rPr>
        <w:footnoteReference w:id="238"/>
      </w:r>
      <w:r w:rsidRPr="000A01CB">
        <w:rPr>
          <w:color w:val="212529"/>
          <w:shd w:val="clear" w:color="auto" w:fill="FFFFFF"/>
        </w:rPr>
        <w:t xml:space="preserve"> </w:t>
      </w:r>
      <w:r>
        <w:rPr>
          <w:color w:val="212529"/>
          <w:shd w:val="clear" w:color="auto" w:fill="FFFFFF"/>
        </w:rPr>
        <w:t>across the state</w:t>
      </w:r>
      <w:r w:rsidRPr="000A01CB">
        <w:rPr>
          <w:color w:val="212529"/>
          <w:shd w:val="clear" w:color="auto" w:fill="FFFFFF"/>
        </w:rPr>
        <w:t>.</w:t>
      </w:r>
    </w:p>
    <w:p w14:paraId="13A2D0E1" w14:textId="1A0F0D73" w:rsidR="00845AA1" w:rsidRDefault="00845AA1" w:rsidP="00606436">
      <w:pPr>
        <w:pStyle w:val="Body"/>
      </w:pPr>
      <w:r w:rsidRPr="000A01CB">
        <w:t>In Victoria</w:t>
      </w:r>
      <w:r w:rsidR="00F10866">
        <w:t>,</w:t>
      </w:r>
      <w:r w:rsidRPr="000A01CB">
        <w:t xml:space="preserve"> 25 public acute hospitals (15 in major cities and 10 in inner regional/outer regional areas) reported having a specialist palliative care inpatient unit</w:t>
      </w:r>
      <w:r w:rsidR="00F10866">
        <w:t xml:space="preserve"> (</w:t>
      </w:r>
      <w:r w:rsidR="00F10866" w:rsidRPr="000A01CB">
        <w:t>there were none reported for remote areas</w:t>
      </w:r>
      <w:r w:rsidR="00F10866">
        <w:t>)</w:t>
      </w:r>
      <w:r w:rsidRPr="000A01CB">
        <w:t>.</w:t>
      </w:r>
      <w:r>
        <w:rPr>
          <w:rStyle w:val="FootnoteReference"/>
          <w:rFonts w:cs="Arial"/>
        </w:rPr>
        <w:footnoteReference w:id="239"/>
      </w:r>
      <w:r>
        <w:t xml:space="preserve"> Findings from Measure 12.12 (</w:t>
      </w:r>
      <w:r w:rsidRPr="004C312B">
        <w:t xml:space="preserve">Proportion of patients receiving specialist palliative </w:t>
      </w:r>
      <w:r w:rsidRPr="004C312B">
        <w:lastRenderedPageBreak/>
        <w:t>care within 12 months prior to death</w:t>
      </w:r>
      <w:r>
        <w:t>) showed very little variation during the reporting period (69</w:t>
      </w:r>
      <w:r w:rsidR="0054537F">
        <w:t>%</w:t>
      </w:r>
      <w:r w:rsidR="00E532A9">
        <w:t xml:space="preserve"> in</w:t>
      </w:r>
      <w:r>
        <w:t xml:space="preserve"> 2014 and 68</w:t>
      </w:r>
      <w:r w:rsidR="0054537F">
        <w:t>%</w:t>
      </w:r>
      <w:r w:rsidR="00E532A9">
        <w:t xml:space="preserve"> in</w:t>
      </w:r>
      <w:r>
        <w:t xml:space="preserve"> 2019). However, as reported under Measure 12.12, </w:t>
      </w:r>
      <w:r w:rsidRPr="000A01CB">
        <w:t>the results should be interpreted with caution</w:t>
      </w:r>
      <w:r w:rsidR="00F10866">
        <w:t>,</w:t>
      </w:r>
      <w:r w:rsidRPr="000A01CB">
        <w:t xml:space="preserve"> noting that palliative care provided by private hospitals in a community setting </w:t>
      </w:r>
      <w:r>
        <w:t>i</w:t>
      </w:r>
      <w:r w:rsidRPr="000A01CB">
        <w:t>s not captured in the linked dataset</w:t>
      </w:r>
      <w:r>
        <w:t xml:space="preserve"> used to inform reporting against Measure 12.12</w:t>
      </w:r>
      <w:r w:rsidRPr="000A01CB">
        <w:t xml:space="preserve"> because VINAH is specific to public institutions only.</w:t>
      </w:r>
    </w:p>
    <w:p w14:paraId="6833F2F8" w14:textId="6ED4D091" w:rsidR="00845AA1" w:rsidRDefault="00032411" w:rsidP="00606436">
      <w:pPr>
        <w:pStyle w:val="Body"/>
      </w:pPr>
      <w:bookmarkStart w:id="1218" w:name="_Hlk122605535"/>
      <w:r>
        <w:t xml:space="preserve">In Victoria healthcare, human services and community workforce need to adapt with new skills to better support the </w:t>
      </w:r>
      <w:r w:rsidR="00845AA1">
        <w:t>develop</w:t>
      </w:r>
      <w:r>
        <w:t>ment</w:t>
      </w:r>
      <w:r w:rsidR="00845AA1">
        <w:t xml:space="preserve"> and </w:t>
      </w:r>
      <w:r>
        <w:t xml:space="preserve">strengthen </w:t>
      </w:r>
      <w:r w:rsidR="00845AA1">
        <w:t>the palliative care workforce (including specialist palliative care</w:t>
      </w:r>
      <w:r w:rsidR="007E4E4C">
        <w:t xml:space="preserve"> for example Aboriginal palliative care workforce</w:t>
      </w:r>
      <w:r w:rsidR="00845AA1">
        <w:t>) across the state to meet this goal</w:t>
      </w:r>
      <w:bookmarkEnd w:id="1218"/>
      <w:r w:rsidR="00845AA1">
        <w:t>.</w:t>
      </w:r>
    </w:p>
    <w:p w14:paraId="0453D2E6" w14:textId="65521A96" w:rsidR="004E539A" w:rsidRDefault="00DB6398" w:rsidP="009503E5">
      <w:pPr>
        <w:pStyle w:val="Body"/>
      </w:pPr>
      <w:r>
        <w:t xml:space="preserve">Recent investments of $32.4 million in the 2022-23 State Budget will help to enable access to palliative care across Victoria in a range of community settings, including at home, as well as provide support through the Palliative Care Advice Service. </w:t>
      </w:r>
      <w:bookmarkStart w:id="1219" w:name="_Toc140843433"/>
      <w:bookmarkEnd w:id="1216"/>
      <w:r w:rsidR="004E539A">
        <w:t>Long</w:t>
      </w:r>
      <w:r w:rsidR="00EF412D">
        <w:t>-</w:t>
      </w:r>
      <w:r w:rsidR="004E539A">
        <w:t>term goals</w:t>
      </w:r>
      <w:bookmarkEnd w:id="1219"/>
    </w:p>
    <w:p w14:paraId="7C2B3A08" w14:textId="46CE1C9C" w:rsidR="00DF0766" w:rsidRPr="008B286A" w:rsidRDefault="00C14883" w:rsidP="00A451D4">
      <w:pPr>
        <w:pStyle w:val="Heading3"/>
        <w:rPr>
          <w:b/>
          <w:bCs w:val="0"/>
          <w:highlight w:val="yellow"/>
        </w:rPr>
      </w:pPr>
      <w:r w:rsidRPr="008B286A">
        <w:rPr>
          <w:b/>
          <w:bCs w:val="0"/>
        </w:rPr>
        <w:t xml:space="preserve">Goal 11: </w:t>
      </w:r>
      <w:r w:rsidR="006048DC" w:rsidRPr="008B286A">
        <w:rPr>
          <w:b/>
          <w:bCs w:val="0"/>
        </w:rPr>
        <w:t>H</w:t>
      </w:r>
      <w:r w:rsidR="004E539A" w:rsidRPr="008B286A">
        <w:rPr>
          <w:b/>
          <w:bCs w:val="0"/>
        </w:rPr>
        <w:t>alve the proportion of Victorians diagnosed with preventable cancers (2040)</w:t>
      </w:r>
    </w:p>
    <w:p w14:paraId="21474F94" w14:textId="77777777" w:rsidR="000B1C1A" w:rsidRDefault="000B1C1A" w:rsidP="006048DC">
      <w:pPr>
        <w:pStyle w:val="Heading4"/>
      </w:pPr>
      <w:r>
        <w:t>Goal assessment</w:t>
      </w:r>
    </w:p>
    <w:p w14:paraId="60546536" w14:textId="77777777" w:rsidR="00052B6B" w:rsidRPr="0062077D" w:rsidRDefault="00052B6B" w:rsidP="00052B6B">
      <w:pPr>
        <w:pStyle w:val="Body"/>
      </w:pPr>
      <w:r w:rsidRPr="00BA3CE0">
        <w:rPr>
          <w:b/>
          <w:color w:val="C5511A"/>
        </w:rPr>
        <w:t>Amber</w:t>
      </w:r>
      <w:r w:rsidRPr="008B286A">
        <w:rPr>
          <w:b/>
          <w:color w:val="C5511A"/>
        </w:rPr>
        <w:t xml:space="preserve"> </w:t>
      </w:r>
      <w:r w:rsidRPr="00EA3932">
        <w:t>(desired result not yet evident)</w:t>
      </w:r>
    </w:p>
    <w:p w14:paraId="5CA2D2BE" w14:textId="53DE7280" w:rsidR="000B1C1A" w:rsidRDefault="00052B6B" w:rsidP="00052B6B">
      <w:pPr>
        <w:pStyle w:val="Body"/>
      </w:pPr>
      <w:r>
        <w:t xml:space="preserve">Overall trend: Moving in the right direction in some circumstances however there are several measures where health inequalities </w:t>
      </w:r>
      <w:r w:rsidR="00761FA0">
        <w:t xml:space="preserve">between population groups </w:t>
      </w:r>
      <w:r>
        <w:t>still exist</w:t>
      </w:r>
    </w:p>
    <w:p w14:paraId="33646E16" w14:textId="704DC400" w:rsidR="0018176D" w:rsidRPr="004A49F1" w:rsidRDefault="000B1C1A" w:rsidP="00E87AAA">
      <w:pPr>
        <w:pStyle w:val="Body"/>
      </w:pPr>
      <w:r w:rsidRPr="004A49F1">
        <w:t>Commentary:</w:t>
      </w:r>
      <w:r w:rsidR="0018176D" w:rsidRPr="004A49F1">
        <w:t xml:space="preserve"> Research has shown that up to 37,000 cancers could be prevented in Australia</w:t>
      </w:r>
      <w:r w:rsidR="00D144A6" w:rsidRPr="004A49F1">
        <w:t xml:space="preserve"> each year if the population avoided exposure to 13 common factors known or strongly suspected to cause cancer. Leading factors were tobacco smoke (population attributable fraction all cancers: 13.4</w:t>
      </w:r>
      <w:r w:rsidR="0054537F">
        <w:t>%</w:t>
      </w:r>
      <w:r w:rsidR="00D144A6" w:rsidRPr="004A49F1">
        <w:t>), solar radiation (6.2</w:t>
      </w:r>
      <w:r w:rsidR="0054537F">
        <w:t>%</w:t>
      </w:r>
      <w:r w:rsidR="00D144A6" w:rsidRPr="004A49F1">
        <w:t>), inadequate diet (6.1</w:t>
      </w:r>
      <w:r w:rsidR="0054537F">
        <w:t>%</w:t>
      </w:r>
      <w:r w:rsidR="00D144A6" w:rsidRPr="004A49F1">
        <w:t>) and overweight/obesity (3.4</w:t>
      </w:r>
      <w:r w:rsidR="0054537F">
        <w:t>%</w:t>
      </w:r>
      <w:r w:rsidR="00D144A6" w:rsidRPr="004A49F1">
        <w:t>).</w:t>
      </w:r>
      <w:r w:rsidR="00D144A6" w:rsidRPr="004A49F1">
        <w:rPr>
          <w:rStyle w:val="FootnoteReference"/>
          <w:rFonts w:cs="Arial"/>
        </w:rPr>
        <w:footnoteReference w:id="240"/>
      </w:r>
    </w:p>
    <w:p w14:paraId="711ECD1B" w14:textId="41580B27" w:rsidR="00B731E9" w:rsidRPr="00606436" w:rsidRDefault="00DF0766" w:rsidP="00606436">
      <w:pPr>
        <w:pStyle w:val="Body"/>
      </w:pPr>
      <w:r w:rsidRPr="004A49F1">
        <w:t xml:space="preserve">Measure 1.1 </w:t>
      </w:r>
      <w:r w:rsidR="00D144A6" w:rsidRPr="004A49F1">
        <w:t xml:space="preserve">of this report </w:t>
      </w:r>
      <w:r w:rsidRPr="004A49F1">
        <w:t>shows that the incidence rate</w:t>
      </w:r>
      <w:r w:rsidR="0018176D" w:rsidRPr="004A49F1">
        <w:t xml:space="preserve"> of preventable cancers in Victoria</w:t>
      </w:r>
      <w:r w:rsidRPr="004A49F1">
        <w:t xml:space="preserve"> </w:t>
      </w:r>
      <w:r w:rsidR="00D144A6" w:rsidRPr="004A49F1">
        <w:t xml:space="preserve">has </w:t>
      </w:r>
      <w:r w:rsidR="00612C51" w:rsidRPr="004A49F1">
        <w:t>decreas</w:t>
      </w:r>
      <w:r w:rsidR="00D144A6" w:rsidRPr="004A49F1">
        <w:t>ed</w:t>
      </w:r>
      <w:r w:rsidR="00612C51" w:rsidRPr="004A49F1">
        <w:t xml:space="preserve"> from a baseline rate of 3</w:t>
      </w:r>
      <w:r w:rsidR="00D33EBC">
        <w:t>3</w:t>
      </w:r>
      <w:r w:rsidR="00612C51" w:rsidRPr="004A49F1">
        <w:t>9 per 100</w:t>
      </w:r>
      <w:r w:rsidR="003D5C6C">
        <w:t>,</w:t>
      </w:r>
      <w:r w:rsidR="00612C51" w:rsidRPr="004A49F1">
        <w:t>000 population in 2014 to 3</w:t>
      </w:r>
      <w:r w:rsidR="00D33EBC">
        <w:t>21</w:t>
      </w:r>
      <w:r w:rsidR="00612C51" w:rsidRPr="004A49F1">
        <w:t xml:space="preserve"> per 100</w:t>
      </w:r>
      <w:r w:rsidR="003D5C6C">
        <w:t>,</w:t>
      </w:r>
      <w:r w:rsidR="00612C51" w:rsidRPr="004A49F1">
        <w:t>000 population in 202</w:t>
      </w:r>
      <w:r w:rsidR="00D33EBC">
        <w:t>1</w:t>
      </w:r>
      <w:r w:rsidR="00612C51" w:rsidRPr="004A49F1">
        <w:t xml:space="preserve">. </w:t>
      </w:r>
      <w:r w:rsidR="004A49F1">
        <w:t xml:space="preserve">Despite this measure indicating </w:t>
      </w:r>
      <w:r w:rsidR="00C43D74">
        <w:t xml:space="preserve">that </w:t>
      </w:r>
      <w:r w:rsidR="004A49F1">
        <w:t>Victoria is moving in the right direction</w:t>
      </w:r>
      <w:r w:rsidR="004A49F1" w:rsidRPr="004A49F1">
        <w:t>,</w:t>
      </w:r>
      <w:r w:rsidR="00B731E9">
        <w:t xml:space="preserve"> other measures (Measure 6.1) </w:t>
      </w:r>
      <w:r w:rsidR="00C43D74">
        <w:t xml:space="preserve">that </w:t>
      </w:r>
      <w:r w:rsidR="00B731E9">
        <w:t>report on risk factors such as tobacco use (a leading preventable cause of cancer and cancer deaths)</w:t>
      </w:r>
      <w:r w:rsidR="00B731E9">
        <w:rPr>
          <w:color w:val="000000"/>
        </w:rPr>
        <w:t xml:space="preserve"> </w:t>
      </w:r>
      <w:r w:rsidR="00B731E9" w:rsidRPr="00606436">
        <w:t xml:space="preserve">showed that the proportion of Victorian adults who smoke daily remained relatively the same between 2015 and 2020. Sustained and ongoing cancer prevention efforts that target </w:t>
      </w:r>
      <w:r w:rsidR="00EF1458" w:rsidRPr="00606436">
        <w:t xml:space="preserve">risk factors including </w:t>
      </w:r>
      <w:r w:rsidR="00B731E9" w:rsidRPr="00606436">
        <w:t xml:space="preserve">smoking, diet, alcohol and sun exposure remain </w:t>
      </w:r>
      <w:r w:rsidR="00364AEA">
        <w:t xml:space="preserve">essential </w:t>
      </w:r>
      <w:r w:rsidR="00B731E9" w:rsidRPr="00606436">
        <w:t>to embed and reinforce health</w:t>
      </w:r>
      <w:r w:rsidR="00C43D74">
        <w:t>-</w:t>
      </w:r>
      <w:r w:rsidR="00B731E9" w:rsidRPr="00606436">
        <w:t xml:space="preserve">promoting behaviours and to increase participation in cancer screening programs for early detection of cancer as advocated by the </w:t>
      </w:r>
      <w:r w:rsidR="00B731E9" w:rsidRPr="76BE792E">
        <w:rPr>
          <w:i/>
          <w:iCs/>
        </w:rPr>
        <w:t xml:space="preserve">National </w:t>
      </w:r>
      <w:r w:rsidR="00F7160F" w:rsidRPr="76BE792E">
        <w:rPr>
          <w:i/>
          <w:iCs/>
        </w:rPr>
        <w:t>P</w:t>
      </w:r>
      <w:r w:rsidR="00B731E9" w:rsidRPr="76BE792E">
        <w:rPr>
          <w:i/>
          <w:iCs/>
        </w:rPr>
        <w:t>reventive Health Strategy 2021</w:t>
      </w:r>
      <w:r w:rsidR="008166A7" w:rsidRPr="76BE792E">
        <w:rPr>
          <w:i/>
          <w:iCs/>
        </w:rPr>
        <w:t>–</w:t>
      </w:r>
      <w:r w:rsidR="00B731E9" w:rsidRPr="76BE792E">
        <w:rPr>
          <w:i/>
          <w:iCs/>
        </w:rPr>
        <w:t>2030</w:t>
      </w:r>
      <w:r w:rsidR="00B731E9" w:rsidRPr="00606436">
        <w:t>.</w:t>
      </w:r>
      <w:r w:rsidR="00B731E9" w:rsidRPr="0050758C">
        <w:rPr>
          <w:rStyle w:val="FootnoteReference"/>
        </w:rPr>
        <w:footnoteReference w:id="241"/>
      </w:r>
    </w:p>
    <w:p w14:paraId="6C3E4572" w14:textId="77777777" w:rsidR="00926FA1" w:rsidRDefault="00926FA1">
      <w:pPr>
        <w:rPr>
          <w:rFonts w:ascii="Arial" w:eastAsia="MS Gothic" w:hAnsi="Arial"/>
          <w:b/>
          <w:color w:val="53565A"/>
          <w:sz w:val="30"/>
          <w:szCs w:val="26"/>
          <w:lang w:eastAsia="en-US"/>
        </w:rPr>
      </w:pPr>
      <w:r>
        <w:rPr>
          <w:b/>
          <w:bCs/>
        </w:rPr>
        <w:br w:type="page"/>
      </w:r>
    </w:p>
    <w:p w14:paraId="38547DBA" w14:textId="647EB6F8" w:rsidR="004E539A" w:rsidRPr="00F7160F" w:rsidRDefault="00C14883" w:rsidP="00A451D4">
      <w:pPr>
        <w:pStyle w:val="Heading3"/>
        <w:rPr>
          <w:b/>
          <w:bCs w:val="0"/>
        </w:rPr>
      </w:pPr>
      <w:r w:rsidRPr="00F7160F">
        <w:rPr>
          <w:b/>
          <w:bCs w:val="0"/>
        </w:rPr>
        <w:lastRenderedPageBreak/>
        <w:t xml:space="preserve">Goal 12: </w:t>
      </w:r>
      <w:r w:rsidR="006048DC" w:rsidRPr="00F7160F">
        <w:rPr>
          <w:b/>
          <w:bCs w:val="0"/>
        </w:rPr>
        <w:t>A</w:t>
      </w:r>
      <w:r w:rsidR="004E539A" w:rsidRPr="00F7160F">
        <w:rPr>
          <w:b/>
          <w:bCs w:val="0"/>
        </w:rPr>
        <w:t>chieve equitable outcomes for all Victorians (2040)</w:t>
      </w:r>
    </w:p>
    <w:p w14:paraId="221EADCC" w14:textId="77777777" w:rsidR="009A0391" w:rsidRDefault="009A0391" w:rsidP="006048DC">
      <w:pPr>
        <w:pStyle w:val="Heading4"/>
      </w:pPr>
      <w:r>
        <w:t>Goal assessment</w:t>
      </w:r>
    </w:p>
    <w:p w14:paraId="0DFE2748" w14:textId="1BB0C0D4" w:rsidR="009A0391" w:rsidRPr="0062077D" w:rsidRDefault="009A0391" w:rsidP="00606436">
      <w:pPr>
        <w:pStyle w:val="Body"/>
      </w:pPr>
      <w:r w:rsidRPr="00BF199D">
        <w:t>Traffic light rating:</w:t>
      </w:r>
      <w:r>
        <w:t xml:space="preserve"> </w:t>
      </w:r>
      <w:r w:rsidR="00BC4DB7" w:rsidRPr="00BA3CE0">
        <w:rPr>
          <w:b/>
          <w:color w:val="C5511A"/>
        </w:rPr>
        <w:t>Amber</w:t>
      </w:r>
      <w:r w:rsidR="00BC4DB7" w:rsidRPr="008B286A">
        <w:rPr>
          <w:b/>
          <w:color w:val="C5511A"/>
        </w:rPr>
        <w:t xml:space="preserve"> </w:t>
      </w:r>
      <w:r w:rsidR="00BC4DB7" w:rsidRPr="00EA3932">
        <w:t>(desired result not yet evident)</w:t>
      </w:r>
    </w:p>
    <w:p w14:paraId="6A35A329" w14:textId="16F0987E" w:rsidR="009A0391" w:rsidRDefault="009A0391" w:rsidP="00606436">
      <w:pPr>
        <w:pStyle w:val="Body"/>
      </w:pPr>
      <w:bookmarkStart w:id="1220" w:name="_Hlk136867594"/>
      <w:r>
        <w:t>Overall trend: Moving in the right direction</w:t>
      </w:r>
      <w:r w:rsidR="00BC4DB7">
        <w:t xml:space="preserve"> in some circumstances however there are several measures where health inequalities still exist</w:t>
      </w:r>
    </w:p>
    <w:bookmarkEnd w:id="1220"/>
    <w:p w14:paraId="7F1EF954" w14:textId="5CFA144B" w:rsidR="002B1AC4" w:rsidRDefault="009A0391" w:rsidP="00606436">
      <w:pPr>
        <w:pStyle w:val="Body"/>
      </w:pPr>
      <w:r>
        <w:t xml:space="preserve">Commentary: </w:t>
      </w:r>
      <w:r w:rsidR="002B06B5" w:rsidRPr="006E13D8">
        <w:t xml:space="preserve">The Department of Health plays a key role in reducing the impact of cancer on all Victorians. Despite </w:t>
      </w:r>
      <w:r w:rsidR="002B06B5" w:rsidRPr="00212266">
        <w:t>Victoria having some of the best cancer survival outcomes globally, this</w:t>
      </w:r>
      <w:r w:rsidR="00F94579">
        <w:t xml:space="preserve"> </w:t>
      </w:r>
      <w:r w:rsidR="002B06B5" w:rsidRPr="00212266">
        <w:t>progress report has identified some measures where there are still differences in cancer treatment, care and survival</w:t>
      </w:r>
      <w:r w:rsidR="00C43D74">
        <w:t>,</w:t>
      </w:r>
      <w:r w:rsidR="002B06B5" w:rsidRPr="00212266">
        <w:t xml:space="preserve"> meaning that the burden of cancer is unevenly spread. </w:t>
      </w:r>
      <w:r w:rsidR="00737F38" w:rsidRPr="00212266">
        <w:t xml:space="preserve">This report has identified several </w:t>
      </w:r>
      <w:r w:rsidR="006E13D8" w:rsidRPr="00212266">
        <w:t xml:space="preserve">measures </w:t>
      </w:r>
      <w:r w:rsidR="00737F38" w:rsidRPr="00212266">
        <w:t xml:space="preserve">where </w:t>
      </w:r>
      <w:r w:rsidR="006E13D8" w:rsidRPr="00212266">
        <w:t>health inequalities still exist for groups such as people experiencing socioeconomic disadvantage, culturally and linguistically diverse communities, people living in regional and rural communities, and Aboriginal and Torres Strait Islander people.</w:t>
      </w:r>
      <w:r w:rsidR="00502904" w:rsidRPr="00212266">
        <w:t xml:space="preserve"> </w:t>
      </w:r>
    </w:p>
    <w:p w14:paraId="1D40844C" w14:textId="5888856E" w:rsidR="002B1AC4" w:rsidRDefault="00502904" w:rsidP="00606436">
      <w:pPr>
        <w:pStyle w:val="Body"/>
        <w:rPr>
          <w:color w:val="231F20"/>
          <w:shd w:val="clear" w:color="auto" w:fill="FFFFFF"/>
        </w:rPr>
      </w:pPr>
      <w:r w:rsidRPr="00212266">
        <w:t xml:space="preserve">To address the disparity associated with </w:t>
      </w:r>
      <w:r w:rsidR="002B1AC4" w:rsidRPr="00212266">
        <w:t xml:space="preserve">Aboriginal </w:t>
      </w:r>
      <w:r w:rsidR="002B1AC4">
        <w:t>communities</w:t>
      </w:r>
      <w:r w:rsidR="00710671">
        <w:t>/peoples</w:t>
      </w:r>
      <w:r w:rsidR="00212266" w:rsidRPr="00212266">
        <w:t>, the Victorian</w:t>
      </w:r>
      <w:r w:rsidR="00212266">
        <w:t xml:space="preserve"> </w:t>
      </w:r>
      <w:r w:rsidR="00212266" w:rsidRPr="00212266">
        <w:t>Aboriginal Community Controlled Health</w:t>
      </w:r>
      <w:r w:rsidR="00212266">
        <w:t xml:space="preserve"> </w:t>
      </w:r>
      <w:r w:rsidR="00212266" w:rsidRPr="00212266">
        <w:t>Organisation (VACCHO), in partnership with</w:t>
      </w:r>
      <w:r w:rsidR="00212266">
        <w:t xml:space="preserve"> </w:t>
      </w:r>
      <w:r w:rsidR="00C43D74">
        <w:t>c</w:t>
      </w:r>
      <w:r w:rsidR="00212266" w:rsidRPr="00212266">
        <w:t>ommunity members with lived cancer experience</w:t>
      </w:r>
      <w:r w:rsidR="00212266">
        <w:t xml:space="preserve"> </w:t>
      </w:r>
      <w:r w:rsidR="00212266" w:rsidRPr="00212266">
        <w:t>and their families, the Aboriginal workforce and</w:t>
      </w:r>
      <w:r w:rsidR="00212266">
        <w:t xml:space="preserve"> </w:t>
      </w:r>
      <w:r w:rsidR="00212266" w:rsidRPr="00212266">
        <w:t xml:space="preserve">cancer organisations </w:t>
      </w:r>
      <w:r w:rsidR="002B1AC4">
        <w:t>(</w:t>
      </w:r>
      <w:r w:rsidR="00212266" w:rsidRPr="00212266">
        <w:t>Cancer Council</w:t>
      </w:r>
      <w:r w:rsidR="00212266">
        <w:t xml:space="preserve"> </w:t>
      </w:r>
      <w:r w:rsidR="00212266" w:rsidRPr="00212266">
        <w:t>Victoria, the Victorian Comprehensive Cancer Centre,</w:t>
      </w:r>
      <w:r w:rsidR="00212266">
        <w:t xml:space="preserve"> </w:t>
      </w:r>
      <w:r w:rsidR="00212266" w:rsidRPr="00212266">
        <w:t>health services and Regional Cancer Centres</w:t>
      </w:r>
      <w:r w:rsidR="002B1AC4">
        <w:t>)</w:t>
      </w:r>
      <w:r w:rsidR="00212266" w:rsidRPr="00212266">
        <w:t xml:space="preserve"> </w:t>
      </w:r>
      <w:r w:rsidR="00212266">
        <w:t xml:space="preserve">has </w:t>
      </w:r>
      <w:r w:rsidR="00742F92">
        <w:t xml:space="preserve">published </w:t>
      </w:r>
      <w:r w:rsidR="00212266" w:rsidRPr="00212266">
        <w:t xml:space="preserve">a strategy </w:t>
      </w:r>
      <w:r w:rsidR="00212266">
        <w:t xml:space="preserve">designed to </w:t>
      </w:r>
      <w:r w:rsidR="00212266" w:rsidRPr="00212266">
        <w:t>reduc</w:t>
      </w:r>
      <w:r w:rsidR="00212266">
        <w:t>e</w:t>
      </w:r>
      <w:r w:rsidR="00212266" w:rsidRPr="00212266">
        <w:t xml:space="preserve"> cancer</w:t>
      </w:r>
      <w:r w:rsidR="00212266">
        <w:t xml:space="preserve"> </w:t>
      </w:r>
      <w:r w:rsidR="00212266" w:rsidRPr="00212266">
        <w:t>incidence and improv</w:t>
      </w:r>
      <w:r w:rsidR="002B1AC4">
        <w:t>e</w:t>
      </w:r>
      <w:r w:rsidR="00212266" w:rsidRPr="00212266">
        <w:t xml:space="preserve"> cancer survival among</w:t>
      </w:r>
      <w:r w:rsidR="00212266">
        <w:t xml:space="preserve"> </w:t>
      </w:r>
      <w:r w:rsidR="002B1AC4" w:rsidRPr="00212266">
        <w:t xml:space="preserve">Aboriginal </w:t>
      </w:r>
      <w:r w:rsidR="00212266" w:rsidRPr="00212266">
        <w:t>Victorian</w:t>
      </w:r>
      <w:r w:rsidR="002B1AC4">
        <w:t>s</w:t>
      </w:r>
      <w:r w:rsidR="00212266" w:rsidRPr="00212266">
        <w:t xml:space="preserve">. </w:t>
      </w:r>
      <w:bookmarkStart w:id="1221" w:name="_Hlk137125141"/>
      <w:r w:rsidR="00212266" w:rsidRPr="00212266">
        <w:t xml:space="preserve">The </w:t>
      </w:r>
      <w:r w:rsidR="00212266" w:rsidRPr="76BE792E">
        <w:rPr>
          <w:i/>
          <w:iCs/>
        </w:rPr>
        <w:t>Victorian Aboriginal Cancer Journey Strategy</w:t>
      </w:r>
      <w:r w:rsidR="00212266" w:rsidRPr="00212266">
        <w:t xml:space="preserve"> </w:t>
      </w:r>
      <w:r w:rsidR="0064259F">
        <w:t>(2023-2028)</w:t>
      </w:r>
      <w:r w:rsidR="0064259F">
        <w:rPr>
          <w:rStyle w:val="FootnoteReference"/>
        </w:rPr>
        <w:footnoteReference w:id="242"/>
      </w:r>
      <w:r w:rsidR="0064259F">
        <w:t xml:space="preserve"> </w:t>
      </w:r>
      <w:r w:rsidR="00212266">
        <w:t>aims to</w:t>
      </w:r>
      <w:r w:rsidR="00212266" w:rsidRPr="00212266">
        <w:t xml:space="preserve"> advance</w:t>
      </w:r>
      <w:r w:rsidR="00212266">
        <w:t xml:space="preserve"> </w:t>
      </w:r>
      <w:r w:rsidR="00212266" w:rsidRPr="00212266">
        <w:t>self-determination by leading the development</w:t>
      </w:r>
      <w:r w:rsidR="00212266">
        <w:t xml:space="preserve"> </w:t>
      </w:r>
      <w:r w:rsidR="00212266" w:rsidRPr="00212266">
        <w:t>and delivery of high-quality care in a culturally</w:t>
      </w:r>
      <w:r w:rsidR="00212266">
        <w:t xml:space="preserve"> </w:t>
      </w:r>
      <w:r w:rsidR="00212266" w:rsidRPr="00212266">
        <w:t xml:space="preserve">appropriate way to Aboriginal Victorians. </w:t>
      </w:r>
      <w:r w:rsidR="00EF3B1A" w:rsidRPr="00212266">
        <w:rPr>
          <w:color w:val="231F20"/>
          <w:shd w:val="clear" w:color="auto" w:fill="FFFFFF"/>
        </w:rPr>
        <w:t>The goal of this strategy is to</w:t>
      </w:r>
      <w:r w:rsidR="002B1AC4">
        <w:rPr>
          <w:color w:val="231F20"/>
          <w:shd w:val="clear" w:color="auto" w:fill="FFFFFF"/>
        </w:rPr>
        <w:t>:</w:t>
      </w:r>
      <w:r w:rsidR="00EF3B1A" w:rsidRPr="00212266">
        <w:rPr>
          <w:color w:val="231F20"/>
          <w:shd w:val="clear" w:color="auto" w:fill="FFFFFF"/>
        </w:rPr>
        <w:t xml:space="preserve"> </w:t>
      </w:r>
    </w:p>
    <w:p w14:paraId="04EBA2FB" w14:textId="1AA54E83" w:rsidR="002B1AC4" w:rsidRDefault="00EF3B1A" w:rsidP="002B1AC4">
      <w:pPr>
        <w:pStyle w:val="Bullet1"/>
        <w:rPr>
          <w:color w:val="231F20"/>
          <w:shd w:val="clear" w:color="auto" w:fill="FFFFFF"/>
        </w:rPr>
      </w:pPr>
      <w:r w:rsidRPr="00212266">
        <w:rPr>
          <w:color w:val="231F20"/>
          <w:shd w:val="clear" w:color="auto" w:fill="FFFFFF"/>
        </w:rPr>
        <w:t>complement the</w:t>
      </w:r>
      <w:r w:rsidR="00BA2AB3" w:rsidRPr="00212266">
        <w:rPr>
          <w:color w:val="231F20"/>
          <w:shd w:val="clear" w:color="auto" w:fill="FFFFFF"/>
        </w:rPr>
        <w:t xml:space="preserve"> existing national Optimal Care Pathways for </w:t>
      </w:r>
      <w:r w:rsidR="00BA2AB3" w:rsidRPr="00212266">
        <w:t>Aboriginal and Torres Strait Islander people with cancer</w:t>
      </w:r>
      <w:r w:rsidR="002B1AC4">
        <w:t>,</w:t>
      </w:r>
      <w:r w:rsidR="00BA2AB3" w:rsidRPr="00212266">
        <w:t xml:space="preserve"> previous community consultations and work undertaken by VACCHO</w:t>
      </w:r>
      <w:r w:rsidR="0064259F">
        <w:t>;</w:t>
      </w:r>
    </w:p>
    <w:p w14:paraId="1A3CD585" w14:textId="5EDB35A1" w:rsidR="002B1AC4" w:rsidRDefault="00EF3B1A" w:rsidP="002B1AC4">
      <w:pPr>
        <w:pStyle w:val="Bullet1"/>
        <w:rPr>
          <w:color w:val="231F20"/>
          <w:shd w:val="clear" w:color="auto" w:fill="FFFFFF"/>
        </w:rPr>
      </w:pPr>
      <w:r w:rsidRPr="00212266">
        <w:rPr>
          <w:color w:val="231F20"/>
          <w:shd w:val="clear" w:color="auto" w:fill="FFFFFF"/>
        </w:rPr>
        <w:t xml:space="preserve">embed Aboriginal ways and culture into the </w:t>
      </w:r>
      <w:r w:rsidR="00CD7A52">
        <w:rPr>
          <w:color w:val="231F20"/>
          <w:shd w:val="clear" w:color="auto" w:fill="FFFFFF"/>
        </w:rPr>
        <w:t>C</w:t>
      </w:r>
      <w:r w:rsidRPr="00212266">
        <w:rPr>
          <w:color w:val="231F20"/>
          <w:shd w:val="clear" w:color="auto" w:fill="FFFFFF"/>
        </w:rPr>
        <w:t xml:space="preserve">ancer </w:t>
      </w:r>
      <w:r w:rsidR="00CD7A52">
        <w:rPr>
          <w:color w:val="231F20"/>
          <w:shd w:val="clear" w:color="auto" w:fill="FFFFFF"/>
        </w:rPr>
        <w:t>J</w:t>
      </w:r>
      <w:r w:rsidRPr="00212266">
        <w:rPr>
          <w:color w:val="231F20"/>
          <w:shd w:val="clear" w:color="auto" w:fill="FFFFFF"/>
        </w:rPr>
        <w:t>ourney in Victoria</w:t>
      </w:r>
      <w:r w:rsidR="0064259F">
        <w:rPr>
          <w:color w:val="231F20"/>
          <w:shd w:val="clear" w:color="auto" w:fill="FFFFFF"/>
        </w:rPr>
        <w:t>;</w:t>
      </w:r>
      <w:r w:rsidRPr="00212266">
        <w:rPr>
          <w:color w:val="231F20"/>
          <w:shd w:val="clear" w:color="auto" w:fill="FFFFFF"/>
        </w:rPr>
        <w:t xml:space="preserve"> and </w:t>
      </w:r>
    </w:p>
    <w:p w14:paraId="29B3FC02" w14:textId="772BCC27" w:rsidR="000E683B" w:rsidRPr="00BF3E19" w:rsidRDefault="00EF3B1A" w:rsidP="00BF3E19">
      <w:pPr>
        <w:pStyle w:val="Bullet1"/>
        <w:numPr>
          <w:ilvl w:val="0"/>
          <w:numId w:val="0"/>
        </w:numPr>
        <w:ind w:left="284"/>
        <w:rPr>
          <w:color w:val="231F20"/>
          <w:shd w:val="clear" w:color="auto" w:fill="FFFFFF"/>
        </w:rPr>
      </w:pPr>
      <w:r w:rsidRPr="00BF3E19">
        <w:rPr>
          <w:color w:val="231F20"/>
          <w:shd w:val="clear" w:color="auto" w:fill="FFFFFF"/>
        </w:rPr>
        <w:t>close cancer equality of opportunity</w:t>
      </w:r>
      <w:r w:rsidR="007F22AC" w:rsidRPr="00BF3E19">
        <w:rPr>
          <w:color w:val="231F20"/>
          <w:shd w:val="clear" w:color="auto" w:fill="FFFFFF"/>
        </w:rPr>
        <w:t>, access</w:t>
      </w:r>
      <w:r w:rsidRPr="00BF3E19">
        <w:rPr>
          <w:color w:val="231F20"/>
          <w:shd w:val="clear" w:color="auto" w:fill="FFFFFF"/>
        </w:rPr>
        <w:t xml:space="preserve"> and outcome gaps across the </w:t>
      </w:r>
      <w:r w:rsidR="00212266" w:rsidRPr="00BF3E19">
        <w:rPr>
          <w:color w:val="231F20"/>
          <w:shd w:val="clear" w:color="auto" w:fill="FFFFFF"/>
        </w:rPr>
        <w:t>s</w:t>
      </w:r>
      <w:r w:rsidRPr="00BF3E19">
        <w:rPr>
          <w:color w:val="231F20"/>
          <w:shd w:val="clear" w:color="auto" w:fill="FFFFFF"/>
        </w:rPr>
        <w:t>tate</w:t>
      </w:r>
      <w:r w:rsidR="006C7DA3" w:rsidRPr="00BF3E19">
        <w:rPr>
          <w:color w:val="231F20"/>
          <w:shd w:val="clear" w:color="auto" w:fill="FFFFFF"/>
        </w:rPr>
        <w:t xml:space="preserve"> by imbedding culturally safe cancer support services to Aboriginal people in Victoria</w:t>
      </w:r>
      <w:r w:rsidRPr="00BF3E19">
        <w:rPr>
          <w:color w:val="231F20"/>
          <w:shd w:val="clear" w:color="auto" w:fill="FFFFFF"/>
        </w:rPr>
        <w:t>.</w:t>
      </w:r>
      <w:r w:rsidR="00BF3E19">
        <w:rPr>
          <w:rStyle w:val="FootnoteReference"/>
          <w:color w:val="231F20"/>
          <w:shd w:val="clear" w:color="auto" w:fill="FFFFFF"/>
        </w:rPr>
        <w:footnoteReference w:id="243"/>
      </w:r>
      <w:r w:rsidR="006C7DA3" w:rsidRPr="00BF3E19">
        <w:rPr>
          <w:color w:val="231F20"/>
          <w:shd w:val="clear" w:color="auto" w:fill="FFFFFF"/>
        </w:rPr>
        <w:t xml:space="preserve"> </w:t>
      </w:r>
      <w:bookmarkEnd w:id="1221"/>
    </w:p>
    <w:p w14:paraId="1C6829D4" w14:textId="20B02A72" w:rsidR="004E539A" w:rsidRPr="00F7160F" w:rsidRDefault="00C14883" w:rsidP="00A451D4">
      <w:pPr>
        <w:pStyle w:val="Heading3"/>
        <w:rPr>
          <w:b/>
          <w:bCs w:val="0"/>
        </w:rPr>
      </w:pPr>
      <w:r w:rsidRPr="00F7160F">
        <w:rPr>
          <w:b/>
          <w:bCs w:val="0"/>
        </w:rPr>
        <w:t xml:space="preserve">Goal 13: </w:t>
      </w:r>
      <w:r w:rsidR="006048DC" w:rsidRPr="00F7160F">
        <w:rPr>
          <w:b/>
          <w:bCs w:val="0"/>
        </w:rPr>
        <w:t>E</w:t>
      </w:r>
      <w:r w:rsidR="004E539A" w:rsidRPr="00F7160F">
        <w:rPr>
          <w:b/>
          <w:bCs w:val="0"/>
        </w:rPr>
        <w:t>nsure Victorians have the best possible experience of the cancer treatment and care system (2040)</w:t>
      </w:r>
    </w:p>
    <w:p w14:paraId="3C197B41" w14:textId="77777777" w:rsidR="00F056DA" w:rsidRDefault="00F056DA" w:rsidP="006048DC">
      <w:pPr>
        <w:pStyle w:val="Heading4"/>
      </w:pPr>
      <w:r>
        <w:t>Goal assessment</w:t>
      </w:r>
    </w:p>
    <w:p w14:paraId="389A3DE9" w14:textId="03AB8A07" w:rsidR="00F056DA" w:rsidRPr="0062077D" w:rsidRDefault="00F056DA" w:rsidP="00606436">
      <w:pPr>
        <w:pStyle w:val="Body"/>
      </w:pPr>
      <w:r w:rsidRPr="00BF199D">
        <w:t>Traffic light rating:</w:t>
      </w:r>
      <w:r>
        <w:t xml:space="preserve"> </w:t>
      </w:r>
      <w:r w:rsidRPr="00B504AD">
        <w:rPr>
          <w:b/>
          <w:color w:val="007B4B"/>
        </w:rPr>
        <w:t>Green</w:t>
      </w:r>
      <w:r>
        <w:t xml:space="preserve"> (satisfactory result)</w:t>
      </w:r>
    </w:p>
    <w:p w14:paraId="14C747C8" w14:textId="662A5A6A" w:rsidR="00F056DA" w:rsidRDefault="00F056DA" w:rsidP="00606436">
      <w:pPr>
        <w:pStyle w:val="Body"/>
      </w:pPr>
      <w:r>
        <w:t>Overall trend: Moving in the right direction</w:t>
      </w:r>
    </w:p>
    <w:p w14:paraId="62BF950D" w14:textId="0473CBD8" w:rsidR="004C2762" w:rsidRPr="0059422F" w:rsidRDefault="006C018B" w:rsidP="00606436">
      <w:pPr>
        <w:pStyle w:val="Body"/>
      </w:pPr>
      <w:r w:rsidRPr="0059422F">
        <w:t xml:space="preserve">Commentary: </w:t>
      </w:r>
      <w:r w:rsidR="004C2762" w:rsidRPr="0059422F">
        <w:t xml:space="preserve">The </w:t>
      </w:r>
      <w:r w:rsidR="008C65CA">
        <w:t>d</w:t>
      </w:r>
      <w:r w:rsidR="004C2762" w:rsidRPr="0059422F">
        <w:t xml:space="preserve">epartment </w:t>
      </w:r>
      <w:r w:rsidRPr="0059422F">
        <w:t xml:space="preserve">continues to </w:t>
      </w:r>
      <w:r w:rsidR="004C2762" w:rsidRPr="0059422F">
        <w:t xml:space="preserve">monitor changes to overall patient experience as well as across different types of cancers such as breast cancer via regular </w:t>
      </w:r>
      <w:r w:rsidR="001A4B20" w:rsidRPr="0059422F">
        <w:t>state-wide</w:t>
      </w:r>
      <w:r w:rsidR="004C2762" w:rsidRPr="0059422F">
        <w:t xml:space="preserve"> surveys. The </w:t>
      </w:r>
      <w:r w:rsidR="007F3845" w:rsidRPr="0059422F">
        <w:t xml:space="preserve">Victorian Cancer Patient Experiences of Care Survey </w:t>
      </w:r>
      <w:r w:rsidR="004C2762" w:rsidRPr="0059422F">
        <w:t>monitor</w:t>
      </w:r>
      <w:r w:rsidR="008C65CA">
        <w:t>s</w:t>
      </w:r>
      <w:r w:rsidR="004C2762" w:rsidRPr="0059422F">
        <w:t xml:space="preserve"> </w:t>
      </w:r>
      <w:r w:rsidR="001A4B20" w:rsidRPr="0059422F">
        <w:t>state-wide</w:t>
      </w:r>
      <w:r w:rsidR="004C2762" w:rsidRPr="0059422F">
        <w:t xml:space="preserve"> progress on cancer care</w:t>
      </w:r>
      <w:r w:rsidR="002D22CC" w:rsidRPr="0059422F">
        <w:t xml:space="preserve"> and help</w:t>
      </w:r>
      <w:r w:rsidR="008C65CA">
        <w:t>s</w:t>
      </w:r>
      <w:r w:rsidR="002D22CC" w:rsidRPr="0059422F">
        <w:t xml:space="preserve"> focus on aspects of concern to patients</w:t>
      </w:r>
      <w:r w:rsidR="00074C6E" w:rsidRPr="0059422F">
        <w:t xml:space="preserve"> to improve models of care such the </w:t>
      </w:r>
      <w:r w:rsidR="001A4B20" w:rsidRPr="0059422F">
        <w:t>O</w:t>
      </w:r>
      <w:r w:rsidR="001A4B20">
        <w:t>p</w:t>
      </w:r>
      <w:r w:rsidR="001A4B20" w:rsidRPr="0059422F">
        <w:t>timal</w:t>
      </w:r>
      <w:r w:rsidR="00074C6E" w:rsidRPr="0059422F">
        <w:t xml:space="preserve"> Care Pathways.</w:t>
      </w:r>
      <w:r w:rsidR="00F056DA" w:rsidRPr="0059422F">
        <w:t xml:space="preserve"> </w:t>
      </w:r>
      <w:r w:rsidR="00074C6E" w:rsidRPr="0059422F">
        <w:t xml:space="preserve">This integrated model of care </w:t>
      </w:r>
      <w:r w:rsidR="002D22CC" w:rsidRPr="0059422F">
        <w:t xml:space="preserve">pathways aims to improve patient outcomes by facilitating consistent cancer care based on a standardised pathway of care, </w:t>
      </w:r>
      <w:r w:rsidR="002D22CC" w:rsidRPr="0059422F">
        <w:rPr>
          <w:shd w:val="clear" w:color="auto" w:fill="FFFFFF"/>
        </w:rPr>
        <w:t xml:space="preserve">irrespective of where </w:t>
      </w:r>
      <w:r w:rsidR="00A24D0A">
        <w:rPr>
          <w:shd w:val="clear" w:color="auto" w:fill="FFFFFF"/>
        </w:rPr>
        <w:t xml:space="preserve">people </w:t>
      </w:r>
      <w:r w:rsidR="002D22CC" w:rsidRPr="0059422F">
        <w:rPr>
          <w:shd w:val="clear" w:color="auto" w:fill="FFFFFF"/>
        </w:rPr>
        <w:t>live or receive cancer treatment.</w:t>
      </w:r>
      <w:r w:rsidR="00074C6E" w:rsidRPr="0059422F">
        <w:rPr>
          <w:shd w:val="clear" w:color="auto" w:fill="FFFFFF"/>
        </w:rPr>
        <w:t xml:space="preserve"> The Victorian Tumour Summits program, an initiative of the ICS</w:t>
      </w:r>
      <w:r w:rsidR="00F7160F">
        <w:rPr>
          <w:shd w:val="clear" w:color="auto" w:fill="FFFFFF"/>
        </w:rPr>
        <w:t>s</w:t>
      </w:r>
      <w:r w:rsidR="00074C6E" w:rsidRPr="0059422F">
        <w:rPr>
          <w:shd w:val="clear" w:color="auto" w:fill="FFFFFF"/>
        </w:rPr>
        <w:t xml:space="preserve"> </w:t>
      </w:r>
      <w:r w:rsidR="00074C6E" w:rsidRPr="0059422F">
        <w:rPr>
          <w:shd w:val="clear" w:color="auto" w:fill="FFFFFF"/>
        </w:rPr>
        <w:lastRenderedPageBreak/>
        <w:t xml:space="preserve">delivered in collaboration with the </w:t>
      </w:r>
      <w:r w:rsidR="00BF3667">
        <w:rPr>
          <w:shd w:val="clear" w:color="auto" w:fill="FFFFFF"/>
        </w:rPr>
        <w:t>d</w:t>
      </w:r>
      <w:r w:rsidR="00074C6E" w:rsidRPr="0059422F">
        <w:rPr>
          <w:shd w:val="clear" w:color="auto" w:fill="FFFFFF"/>
        </w:rPr>
        <w:t xml:space="preserve">epartment and Cancer Council Victoria, </w:t>
      </w:r>
      <w:r w:rsidR="00F056DA" w:rsidRPr="0059422F">
        <w:rPr>
          <w:shd w:val="clear" w:color="auto" w:fill="FFFFFF"/>
        </w:rPr>
        <w:t xml:space="preserve">continues to </w:t>
      </w:r>
      <w:r w:rsidR="00074C6E" w:rsidRPr="0059422F">
        <w:rPr>
          <w:shd w:val="clear" w:color="auto" w:fill="FFFFFF"/>
        </w:rPr>
        <w:t>support the broader program of work implementing the optimal care pathways</w:t>
      </w:r>
      <w:r w:rsidR="00F056DA" w:rsidRPr="0059422F">
        <w:rPr>
          <w:shd w:val="clear" w:color="auto" w:fill="FFFFFF"/>
        </w:rPr>
        <w:t>.</w:t>
      </w:r>
    </w:p>
    <w:p w14:paraId="63197B03" w14:textId="31DEA533" w:rsidR="004E539A" w:rsidRPr="00F7160F" w:rsidRDefault="00C14883" w:rsidP="00A451D4">
      <w:pPr>
        <w:pStyle w:val="Heading3"/>
        <w:rPr>
          <w:b/>
          <w:bCs w:val="0"/>
        </w:rPr>
      </w:pPr>
      <w:r w:rsidRPr="00F7160F">
        <w:rPr>
          <w:b/>
          <w:bCs w:val="0"/>
        </w:rPr>
        <w:t xml:space="preserve">Goal 14: </w:t>
      </w:r>
      <w:r w:rsidR="006048DC" w:rsidRPr="00F7160F">
        <w:rPr>
          <w:b/>
          <w:bCs w:val="0"/>
        </w:rPr>
        <w:t>I</w:t>
      </w:r>
      <w:r w:rsidR="004E539A" w:rsidRPr="00F7160F">
        <w:rPr>
          <w:b/>
          <w:bCs w:val="0"/>
        </w:rPr>
        <w:t>ncrease one- and five-year survival of Victorians with cancer (2040)</w:t>
      </w:r>
    </w:p>
    <w:p w14:paraId="79BB37F6" w14:textId="77777777" w:rsidR="009A0391" w:rsidRDefault="009A0391" w:rsidP="006048DC">
      <w:pPr>
        <w:pStyle w:val="Heading4"/>
      </w:pPr>
      <w:r>
        <w:t>Goal assessment</w:t>
      </w:r>
    </w:p>
    <w:p w14:paraId="1E5EBF05" w14:textId="21E86D3E" w:rsidR="009A0391" w:rsidRPr="0062077D" w:rsidRDefault="009A0391" w:rsidP="00606436">
      <w:pPr>
        <w:pStyle w:val="Body"/>
      </w:pPr>
      <w:r w:rsidRPr="00BF199D">
        <w:t>Traffic light rating:</w:t>
      </w:r>
      <w:r>
        <w:t xml:space="preserve"> </w:t>
      </w:r>
      <w:r w:rsidR="00DB0EB4" w:rsidRPr="00BA3CE0">
        <w:rPr>
          <w:b/>
          <w:color w:val="C5511A"/>
        </w:rPr>
        <w:t>Amber</w:t>
      </w:r>
      <w:r w:rsidR="00DB0EB4" w:rsidRPr="008B286A">
        <w:rPr>
          <w:b/>
          <w:color w:val="C5511A"/>
        </w:rPr>
        <w:t xml:space="preserve"> </w:t>
      </w:r>
      <w:r w:rsidR="00DB0EB4" w:rsidRPr="00EA3932">
        <w:t>(desired result not yet evident)</w:t>
      </w:r>
    </w:p>
    <w:p w14:paraId="603F5C0D" w14:textId="5CA7715D" w:rsidR="009A0391" w:rsidRPr="009A0391" w:rsidRDefault="009A0391" w:rsidP="00606436">
      <w:pPr>
        <w:pStyle w:val="Body"/>
      </w:pPr>
      <w:bookmarkStart w:id="1223" w:name="_Hlk136868251"/>
      <w:r>
        <w:t>Overall trend: Moving in the right direction</w:t>
      </w:r>
      <w:r w:rsidR="00DB0EB4">
        <w:t xml:space="preserve"> but impacts of the </w:t>
      </w:r>
      <w:r w:rsidR="000E5401">
        <w:t xml:space="preserve">COVID-19 </w:t>
      </w:r>
      <w:r w:rsidR="00DB0EB4">
        <w:t xml:space="preserve">pandemic on one- and </w:t>
      </w:r>
      <w:r w:rsidR="00956C51">
        <w:t>five-year</w:t>
      </w:r>
      <w:r w:rsidR="00DB0EB4">
        <w:t xml:space="preserve"> survival uncertain</w:t>
      </w:r>
    </w:p>
    <w:bookmarkEnd w:id="1223"/>
    <w:p w14:paraId="41AED806" w14:textId="194AA021" w:rsidR="00032403" w:rsidRDefault="009A0391" w:rsidP="00E87AAA">
      <w:pPr>
        <w:pStyle w:val="Body"/>
      </w:pPr>
      <w:r>
        <w:t xml:space="preserve">Commentary: </w:t>
      </w:r>
      <w:r w:rsidR="00FF5214">
        <w:t xml:space="preserve">In Victoria more people are surviving cancer than ever before. </w:t>
      </w:r>
      <w:r w:rsidR="00350842">
        <w:t xml:space="preserve">This progress report shows that </w:t>
      </w:r>
      <w:r>
        <w:t>all cancer survival (one- and five-year survival, Measures 13.1 and 13.9) continues to improve across the state</w:t>
      </w:r>
      <w:r w:rsidR="003E6226">
        <w:t xml:space="preserve"> with uncertain impacts of the pandemic on one- and </w:t>
      </w:r>
      <w:r w:rsidR="00956C51">
        <w:t>five-year</w:t>
      </w:r>
      <w:r w:rsidR="003E6226">
        <w:t xml:space="preserve"> survival likely to become clearer from data over the next few years. Nevertheless, t</w:t>
      </w:r>
      <w:r>
        <w:t xml:space="preserve">he latest one- and five-year cancer </w:t>
      </w:r>
      <w:r w:rsidR="00533012">
        <w:t>survival is 85.</w:t>
      </w:r>
      <w:r w:rsidR="00B21623">
        <w:t>3</w:t>
      </w:r>
      <w:r w:rsidR="0054537F">
        <w:t>%</w:t>
      </w:r>
      <w:r w:rsidR="00533012">
        <w:t xml:space="preserve"> (202</w:t>
      </w:r>
      <w:r w:rsidR="00B21623">
        <w:t>1</w:t>
      </w:r>
      <w:r w:rsidR="00533012">
        <w:t>) and 70.</w:t>
      </w:r>
      <w:r w:rsidR="00B21623">
        <w:t>3</w:t>
      </w:r>
      <w:r w:rsidR="0054537F">
        <w:t>%</w:t>
      </w:r>
      <w:r w:rsidR="00533012">
        <w:t xml:space="preserve"> (2015</w:t>
      </w:r>
      <w:r w:rsidR="00533012">
        <w:rPr>
          <w:rFonts w:cs="Arial"/>
        </w:rPr>
        <w:t>–</w:t>
      </w:r>
      <w:r w:rsidR="00533012">
        <w:t>2019), an increase from 8</w:t>
      </w:r>
      <w:r w:rsidR="00B21623">
        <w:t>3</w:t>
      </w:r>
      <w:r w:rsidR="00533012">
        <w:t>.</w:t>
      </w:r>
      <w:r w:rsidR="00B21623">
        <w:t>6</w:t>
      </w:r>
      <w:r w:rsidR="0054537F">
        <w:t>%</w:t>
      </w:r>
      <w:r w:rsidR="00533012">
        <w:t xml:space="preserve"> (2014) and 68.</w:t>
      </w:r>
      <w:r w:rsidR="00B21623">
        <w:t>1</w:t>
      </w:r>
      <w:r w:rsidR="0054537F">
        <w:t>%</w:t>
      </w:r>
      <w:r w:rsidR="00533012">
        <w:t xml:space="preserve"> (2010</w:t>
      </w:r>
      <w:r w:rsidR="00533012">
        <w:rPr>
          <w:rFonts w:cs="Arial"/>
        </w:rPr>
        <w:t>–</w:t>
      </w:r>
      <w:r w:rsidR="00533012">
        <w:t>2014). However,</w:t>
      </w:r>
      <w:r w:rsidR="00ED5145">
        <w:t xml:space="preserve"> both one- and five-year survival rates vary significantly across cancer types and are also impacted by age, where </w:t>
      </w:r>
      <w:r w:rsidR="007F22AC">
        <w:t>people</w:t>
      </w:r>
      <w:r w:rsidR="00ED5145">
        <w:t xml:space="preserve"> live and whether the</w:t>
      </w:r>
      <w:r w:rsidR="00255692">
        <w:t>y</w:t>
      </w:r>
      <w:r w:rsidR="00ED5145">
        <w:t xml:space="preserve"> identify as Aboriginal or Torres Strait Islander.</w:t>
      </w:r>
      <w:r w:rsidR="00533012">
        <w:t xml:space="preserve"> </w:t>
      </w:r>
      <w:r w:rsidR="00ED5145">
        <w:t>L</w:t>
      </w:r>
      <w:r w:rsidR="00533012">
        <w:t xml:space="preserve">ow survival cancers </w:t>
      </w:r>
      <w:r w:rsidR="00ED5145">
        <w:t xml:space="preserve">diagnosed </w:t>
      </w:r>
      <w:r w:rsidR="00533012">
        <w:t>include a wide range of common and less common cancers with challenges relating to prevention, early detection and treatment options. Cancers with five-year survival less than 30</w:t>
      </w:r>
      <w:r w:rsidR="0054537F">
        <w:t>%</w:t>
      </w:r>
      <w:r w:rsidR="00533012">
        <w:t xml:space="preserve"> still include those of the pancreas, lung, brain, oesophagus and acute </w:t>
      </w:r>
      <w:r w:rsidR="00727B9C">
        <w:t>myeloid leukaemia (Measures 13.10, 13.11, 13.14, 13.15 and 13.16).</w:t>
      </w:r>
    </w:p>
    <w:p w14:paraId="0664A77B" w14:textId="58E862F4" w:rsidR="00BB7BA9" w:rsidRDefault="00564F06" w:rsidP="00E87AAA">
      <w:pPr>
        <w:pStyle w:val="Body"/>
        <w:sectPr w:rsidR="00BB7BA9" w:rsidSect="009302EB">
          <w:pgSz w:w="11906" w:h="16838"/>
          <w:pgMar w:top="1411" w:right="1310" w:bottom="1138" w:left="1310" w:header="454" w:footer="510" w:gutter="0"/>
          <w:cols w:space="720"/>
          <w:docGrid w:linePitch="360"/>
        </w:sectPr>
      </w:pPr>
      <w:r w:rsidRPr="00564F06">
        <w:t>Since 2011 the Victorian Cancer Survivorship Program has provided grant funding across acute, primary and community settings to pilot new and innovative models of cancer survivorship care across Victoria.</w:t>
      </w:r>
      <w:r>
        <w:t xml:space="preserve"> More recently the department has supported a stepped-care approach to treat fear of cancer recurrence in cancer survivors (Fear-Less)</w:t>
      </w:r>
      <w:r w:rsidR="0009611A">
        <w:t xml:space="preserve"> originally targeting stage 4 melanoma survivors </w:t>
      </w:r>
      <w:r w:rsidR="007F22AC">
        <w:t xml:space="preserve">and more </w:t>
      </w:r>
      <w:r w:rsidR="00C04CA5">
        <w:t>recent</w:t>
      </w:r>
      <w:r w:rsidR="007F22AC">
        <w:t>ly</w:t>
      </w:r>
      <w:r w:rsidR="00C04CA5">
        <w:t xml:space="preserve"> </w:t>
      </w:r>
      <w:r w:rsidR="0009611A">
        <w:t>adapted for early-stage disease.</w:t>
      </w:r>
      <w:bookmarkEnd w:id="1206"/>
      <w:r w:rsidR="008A7C68">
        <w:br w:type="page"/>
      </w:r>
    </w:p>
    <w:p w14:paraId="52660DB7" w14:textId="48126A24" w:rsidR="007D6826" w:rsidRPr="007D6BCA" w:rsidRDefault="007D6826" w:rsidP="007D6BCA">
      <w:pPr>
        <w:pStyle w:val="Heading1"/>
        <w:rPr>
          <w:b/>
        </w:rPr>
      </w:pPr>
      <w:bookmarkStart w:id="1224" w:name="_Toc140843434"/>
      <w:r w:rsidRPr="007D6BCA">
        <w:lastRenderedPageBreak/>
        <w:t>Appendix 1: Measures identified for future reporting</w:t>
      </w:r>
      <w:bookmarkEnd w:id="1203"/>
      <w:bookmarkEnd w:id="1224"/>
      <w:r w:rsidRPr="007D6BCA">
        <w:t xml:space="preserve"> </w:t>
      </w:r>
    </w:p>
    <w:p w14:paraId="33CB90F0" w14:textId="1CA110E6" w:rsidR="007D6826" w:rsidRDefault="007D6826" w:rsidP="00E87AAA">
      <w:pPr>
        <w:pStyle w:val="Body"/>
      </w:pPr>
      <w:r>
        <w:t xml:space="preserve">This table lists measures identified for future reporting with next steps and </w:t>
      </w:r>
      <w:r w:rsidR="009F2CC0">
        <w:t xml:space="preserve">an </w:t>
      </w:r>
      <w:r>
        <w:t>indicative reporting</w:t>
      </w:r>
      <w:r w:rsidR="00D37CC8">
        <w:t xml:space="preserve"> </w:t>
      </w:r>
      <w:r>
        <w:t>schedule.</w:t>
      </w:r>
    </w:p>
    <w:p w14:paraId="39A00741" w14:textId="4B4322C0" w:rsidR="00ED20D5" w:rsidRDefault="00ED20D5" w:rsidP="006D0DC0">
      <w:pPr>
        <w:pStyle w:val="Tablecaption"/>
      </w:pPr>
      <w:bookmarkStart w:id="1225" w:name="_Toc140834941"/>
      <w:r w:rsidRPr="00603D31">
        <w:t>Key result area: Increase healthier eating and active living</w:t>
      </w:r>
      <w:bookmarkEnd w:id="1225"/>
    </w:p>
    <w:tbl>
      <w:tblPr>
        <w:tblW w:w="14317" w:type="dxa"/>
        <w:tblBorders>
          <w:top w:val="single" w:sz="12" w:space="0" w:color="FFFFFF" w:themeColor="background1"/>
          <w:insideH w:val="single" w:sz="12" w:space="0" w:color="FFFFFF" w:themeColor="background1"/>
          <w:insideV w:val="single" w:sz="12" w:space="0" w:color="FFFFFF" w:themeColor="background1"/>
        </w:tblBorders>
        <w:shd w:val="clear" w:color="auto" w:fill="EDCDCF"/>
        <w:tblLook w:val="04A0" w:firstRow="1" w:lastRow="0" w:firstColumn="1" w:lastColumn="0" w:noHBand="0" w:noVBand="1"/>
      </w:tblPr>
      <w:tblGrid>
        <w:gridCol w:w="1843"/>
        <w:gridCol w:w="2977"/>
        <w:gridCol w:w="6095"/>
        <w:gridCol w:w="3402"/>
      </w:tblGrid>
      <w:tr w:rsidR="00ED20D5" w14:paraId="7FC63937" w14:textId="77777777" w:rsidTr="00A729DF">
        <w:tc>
          <w:tcPr>
            <w:tcW w:w="1843" w:type="dxa"/>
            <w:tcBorders>
              <w:bottom w:val="single" w:sz="4" w:space="0" w:color="C00000"/>
            </w:tcBorders>
            <w:shd w:val="clear" w:color="auto" w:fill="EDCDCF"/>
          </w:tcPr>
          <w:p w14:paraId="58411605" w14:textId="4E6316B7" w:rsidR="00ED20D5" w:rsidRDefault="00206E9F" w:rsidP="007B6CCF">
            <w:pPr>
              <w:pStyle w:val="Tablecolhead"/>
            </w:pPr>
            <w:r>
              <w:t>Measure r</w:t>
            </w:r>
            <w:r w:rsidR="00ED20D5" w:rsidRPr="00603D31">
              <w:t>eference number</w:t>
            </w:r>
          </w:p>
        </w:tc>
        <w:tc>
          <w:tcPr>
            <w:tcW w:w="2977" w:type="dxa"/>
            <w:tcBorders>
              <w:bottom w:val="single" w:sz="4" w:space="0" w:color="C00000"/>
            </w:tcBorders>
            <w:shd w:val="clear" w:color="auto" w:fill="EDCDCF"/>
          </w:tcPr>
          <w:p w14:paraId="53F6A631" w14:textId="32B9F77B" w:rsidR="00ED20D5" w:rsidRDefault="00ED20D5" w:rsidP="007B6CCF">
            <w:pPr>
              <w:pStyle w:val="Tablecolhead"/>
            </w:pPr>
            <w:r w:rsidRPr="00603D31">
              <w:t>Name of measure</w:t>
            </w:r>
          </w:p>
        </w:tc>
        <w:tc>
          <w:tcPr>
            <w:tcW w:w="6095" w:type="dxa"/>
            <w:tcBorders>
              <w:bottom w:val="single" w:sz="4" w:space="0" w:color="C00000"/>
            </w:tcBorders>
            <w:shd w:val="clear" w:color="auto" w:fill="EDCDCF"/>
          </w:tcPr>
          <w:p w14:paraId="3852809D" w14:textId="2357E7A7" w:rsidR="00ED20D5" w:rsidRDefault="00ED20D5" w:rsidP="007B6CCF">
            <w:pPr>
              <w:pStyle w:val="Tablecolhead"/>
            </w:pPr>
            <w:r w:rsidRPr="00603D31">
              <w:t>Required next steps</w:t>
            </w:r>
          </w:p>
        </w:tc>
        <w:tc>
          <w:tcPr>
            <w:tcW w:w="3402" w:type="dxa"/>
            <w:tcBorders>
              <w:bottom w:val="single" w:sz="4" w:space="0" w:color="C00000"/>
            </w:tcBorders>
            <w:shd w:val="clear" w:color="auto" w:fill="EDCDCF"/>
          </w:tcPr>
          <w:p w14:paraId="501CE691" w14:textId="7E5EAD75" w:rsidR="00ED20D5" w:rsidRDefault="00ED20D5" w:rsidP="007B6CCF">
            <w:pPr>
              <w:pStyle w:val="Tablecolhead"/>
            </w:pPr>
            <w:r w:rsidRPr="00603D31">
              <w:t>Indicative reporting schedule</w:t>
            </w:r>
          </w:p>
        </w:tc>
      </w:tr>
      <w:tr w:rsidR="009B1762" w14:paraId="11FE8B38" w14:textId="77777777" w:rsidTr="00A729DF">
        <w:tc>
          <w:tcPr>
            <w:tcW w:w="1843" w:type="dxa"/>
            <w:tcBorders>
              <w:top w:val="single" w:sz="4" w:space="0" w:color="C00000"/>
              <w:bottom w:val="single" w:sz="4" w:space="0" w:color="C00000"/>
            </w:tcBorders>
            <w:shd w:val="clear" w:color="auto" w:fill="FFFFFF" w:themeFill="background1"/>
          </w:tcPr>
          <w:p w14:paraId="18D6509B" w14:textId="77777777" w:rsidR="009B1762" w:rsidRDefault="009B1762" w:rsidP="00E1278E">
            <w:pPr>
              <w:pStyle w:val="Tabletext"/>
            </w:pPr>
            <w:r>
              <w:t>7.7</w:t>
            </w:r>
          </w:p>
        </w:tc>
        <w:tc>
          <w:tcPr>
            <w:tcW w:w="2977" w:type="dxa"/>
            <w:tcBorders>
              <w:top w:val="single" w:sz="4" w:space="0" w:color="C00000"/>
              <w:bottom w:val="single" w:sz="4" w:space="0" w:color="C00000"/>
            </w:tcBorders>
            <w:shd w:val="clear" w:color="auto" w:fill="FFFFFF" w:themeFill="background1"/>
          </w:tcPr>
          <w:p w14:paraId="70DF1084" w14:textId="77777777" w:rsidR="009B1762" w:rsidRDefault="009B1762" w:rsidP="00E1278E">
            <w:pPr>
              <w:pStyle w:val="Tabletext"/>
            </w:pPr>
            <w:r>
              <w:t>Mean number of times that adults eat red meat</w:t>
            </w:r>
          </w:p>
        </w:tc>
        <w:tc>
          <w:tcPr>
            <w:tcW w:w="6095" w:type="dxa"/>
            <w:tcBorders>
              <w:top w:val="single" w:sz="4" w:space="0" w:color="C00000"/>
              <w:bottom w:val="single" w:sz="4" w:space="0" w:color="C00000"/>
            </w:tcBorders>
            <w:shd w:val="clear" w:color="auto" w:fill="FFFFFF" w:themeFill="background1"/>
          </w:tcPr>
          <w:p w14:paraId="51C9E6BA" w14:textId="55235AD3" w:rsidR="009B1762" w:rsidRDefault="0046746C" w:rsidP="00E1278E">
            <w:pPr>
              <w:pStyle w:val="Tabletext"/>
            </w:pPr>
            <w:r>
              <w:t>T</w:t>
            </w:r>
            <w:r w:rsidR="009B1762">
              <w:t xml:space="preserve">he </w:t>
            </w:r>
            <w:r w:rsidR="002E008F">
              <w:t>Intergenerational Health and Mental Health Study 2020</w:t>
            </w:r>
            <w:r w:rsidR="008166A7">
              <w:t>–</w:t>
            </w:r>
            <w:r w:rsidR="002E008F">
              <w:t xml:space="preserve">2024 funded by the </w:t>
            </w:r>
            <w:r w:rsidR="009B1762">
              <w:t>Commonwealth Department of Health</w:t>
            </w:r>
            <w:r w:rsidR="00841278">
              <w:t xml:space="preserve"> </w:t>
            </w:r>
            <w:r w:rsidR="002E008F">
              <w:t xml:space="preserve">and conducted by </w:t>
            </w:r>
            <w:r w:rsidR="00841278">
              <w:t>the</w:t>
            </w:r>
            <w:r w:rsidR="009B1762">
              <w:t xml:space="preserve"> </w:t>
            </w:r>
            <w:r>
              <w:t xml:space="preserve">Australian Bureau of Statistics </w:t>
            </w:r>
            <w:r w:rsidR="009B1762">
              <w:t>include</w:t>
            </w:r>
            <w:r w:rsidR="002E008F">
              <w:t>s</w:t>
            </w:r>
            <w:r w:rsidR="009B1762">
              <w:t xml:space="preserve"> </w:t>
            </w:r>
            <w:r w:rsidR="00475A87">
              <w:t>the National Nutrition and Physical Activity Survey</w:t>
            </w:r>
            <w:r w:rsidR="009B1762">
              <w:t>).</w:t>
            </w:r>
            <w:r w:rsidR="00952FC7">
              <w:t xml:space="preserve"> </w:t>
            </w:r>
            <w:r w:rsidR="009B1762">
              <w:t>Red and processed meat consumption will be part of this survey.</w:t>
            </w:r>
            <w:r w:rsidR="00952FC7">
              <w:t xml:space="preserve"> </w:t>
            </w:r>
            <w:r w:rsidR="009B1762">
              <w:t>The department has recommended that it waits for this survey</w:t>
            </w:r>
            <w:r w:rsidR="00841278">
              <w:t>,</w:t>
            </w:r>
            <w:r w:rsidR="009B1762">
              <w:t xml:space="preserve"> which will inform th</w:t>
            </w:r>
            <w:r w:rsidR="00234BC5">
              <w:t>e</w:t>
            </w:r>
            <w:r w:rsidR="009B1762">
              <w:t xml:space="preserve"> </w:t>
            </w:r>
            <w:r w:rsidR="0047009B">
              <w:t>fourth</w:t>
            </w:r>
            <w:r w:rsidR="009B1762">
              <w:t xml:space="preserve"> state cancer plan</w:t>
            </w:r>
            <w:r w:rsidR="00841278">
              <w:t>.</w:t>
            </w:r>
          </w:p>
          <w:p w14:paraId="358EA065" w14:textId="3BAC07DA" w:rsidR="00475A87" w:rsidRDefault="00475A87" w:rsidP="00E1278E">
            <w:pPr>
              <w:pStyle w:val="Tabletext"/>
            </w:pPr>
          </w:p>
          <w:p w14:paraId="3889795C" w14:textId="4373CE53" w:rsidR="002E008F" w:rsidRDefault="00475A87" w:rsidP="00E1278E">
            <w:pPr>
              <w:pStyle w:val="Tabletext"/>
            </w:pPr>
            <w:r w:rsidRPr="00801B7C">
              <w:t>For more information</w:t>
            </w:r>
            <w:r w:rsidR="00B005B0">
              <w:t xml:space="preserve">, refer to the </w:t>
            </w:r>
            <w:hyperlink r:id="rId187" w:history="1">
              <w:r w:rsidR="00B005B0" w:rsidRPr="00B005B0">
                <w:rPr>
                  <w:rStyle w:val="Hyperlink"/>
                </w:rPr>
                <w:t>ABS website</w:t>
              </w:r>
            </w:hyperlink>
            <w:r w:rsidRPr="00801B7C">
              <w:t xml:space="preserve"> </w:t>
            </w:r>
            <w:r w:rsidR="00B005B0">
              <w:t>&lt;</w:t>
            </w:r>
            <w:r w:rsidR="00B005B0" w:rsidRPr="005777BA">
              <w:rPr>
                <w:rFonts w:eastAsia="MS Gothic"/>
              </w:rPr>
              <w:t>https://www.abs.gov.au/about/key-priorities/ihmhs</w:t>
            </w:r>
            <w:r w:rsidR="00B005B0">
              <w:rPr>
                <w:rFonts w:eastAsia="MS Gothic"/>
              </w:rPr>
              <w:t>&gt;.</w:t>
            </w:r>
          </w:p>
        </w:tc>
        <w:tc>
          <w:tcPr>
            <w:tcW w:w="3402" w:type="dxa"/>
            <w:tcBorders>
              <w:top w:val="single" w:sz="4" w:space="0" w:color="C00000"/>
              <w:bottom w:val="single" w:sz="4" w:space="0" w:color="C00000"/>
            </w:tcBorders>
            <w:shd w:val="clear" w:color="auto" w:fill="FFFFFF" w:themeFill="background1"/>
          </w:tcPr>
          <w:p w14:paraId="0D019D5C" w14:textId="77777777" w:rsidR="009B1762" w:rsidRDefault="00E65EA1" w:rsidP="00E1278E">
            <w:pPr>
              <w:pStyle w:val="Tabletext"/>
            </w:pPr>
            <w:r>
              <w:t>Future report</w:t>
            </w:r>
          </w:p>
        </w:tc>
      </w:tr>
      <w:tr w:rsidR="009B1762" w14:paraId="6D03614A" w14:textId="77777777" w:rsidTr="00A729DF">
        <w:tc>
          <w:tcPr>
            <w:tcW w:w="1843" w:type="dxa"/>
            <w:tcBorders>
              <w:top w:val="single" w:sz="4" w:space="0" w:color="C00000"/>
              <w:bottom w:val="single" w:sz="4" w:space="0" w:color="C00000"/>
            </w:tcBorders>
            <w:shd w:val="clear" w:color="auto" w:fill="FFFFFF" w:themeFill="background1"/>
          </w:tcPr>
          <w:p w14:paraId="6D2FB10B" w14:textId="77777777" w:rsidR="009B1762" w:rsidRDefault="009B1762" w:rsidP="00E1278E">
            <w:pPr>
              <w:pStyle w:val="Tabletext"/>
            </w:pPr>
            <w:r>
              <w:t>7.8</w:t>
            </w:r>
          </w:p>
        </w:tc>
        <w:tc>
          <w:tcPr>
            <w:tcW w:w="2977" w:type="dxa"/>
            <w:tcBorders>
              <w:top w:val="single" w:sz="4" w:space="0" w:color="C00000"/>
              <w:bottom w:val="single" w:sz="4" w:space="0" w:color="C00000"/>
            </w:tcBorders>
            <w:shd w:val="clear" w:color="auto" w:fill="FFFFFF" w:themeFill="background1"/>
          </w:tcPr>
          <w:p w14:paraId="59A7DAB2" w14:textId="77777777" w:rsidR="009B1762" w:rsidRDefault="009B1762" w:rsidP="00E1278E">
            <w:pPr>
              <w:pStyle w:val="Tabletext"/>
            </w:pPr>
            <w:r>
              <w:t>Mean number of times that adults eat processed meat</w:t>
            </w:r>
          </w:p>
        </w:tc>
        <w:tc>
          <w:tcPr>
            <w:tcW w:w="6095" w:type="dxa"/>
            <w:tcBorders>
              <w:top w:val="single" w:sz="4" w:space="0" w:color="C00000"/>
              <w:bottom w:val="single" w:sz="4" w:space="0" w:color="C00000"/>
            </w:tcBorders>
            <w:shd w:val="clear" w:color="auto" w:fill="FFFFFF" w:themeFill="background1"/>
          </w:tcPr>
          <w:p w14:paraId="177DC77E" w14:textId="364AEE0E" w:rsidR="009B1762" w:rsidRDefault="00CB463B" w:rsidP="00E1278E">
            <w:pPr>
              <w:pStyle w:val="Tabletext"/>
            </w:pPr>
            <w:r>
              <w:t>Same as above for Measure 7.7</w:t>
            </w:r>
          </w:p>
        </w:tc>
        <w:tc>
          <w:tcPr>
            <w:tcW w:w="3402" w:type="dxa"/>
            <w:tcBorders>
              <w:top w:val="single" w:sz="4" w:space="0" w:color="C00000"/>
              <w:bottom w:val="single" w:sz="4" w:space="0" w:color="C00000"/>
            </w:tcBorders>
            <w:shd w:val="clear" w:color="auto" w:fill="FFFFFF" w:themeFill="background1"/>
          </w:tcPr>
          <w:p w14:paraId="4F5AE4AB" w14:textId="77777777" w:rsidR="009B1762" w:rsidRDefault="00E65EA1" w:rsidP="00E1278E">
            <w:pPr>
              <w:pStyle w:val="Tabletext"/>
            </w:pPr>
            <w:r>
              <w:t>Future report</w:t>
            </w:r>
          </w:p>
        </w:tc>
      </w:tr>
    </w:tbl>
    <w:p w14:paraId="6B4895D1" w14:textId="2504EB15" w:rsidR="00A35D2E" w:rsidRDefault="00A35D2E" w:rsidP="006D0DC0">
      <w:pPr>
        <w:pStyle w:val="Tablecaption"/>
      </w:pPr>
      <w:bookmarkStart w:id="1226" w:name="_Toc140834942"/>
      <w:r w:rsidRPr="00603D31">
        <w:t>Key result area: Increase early-stage diagnosis</w:t>
      </w:r>
      <w:bookmarkEnd w:id="1226"/>
    </w:p>
    <w:tbl>
      <w:tblPr>
        <w:tblW w:w="14317" w:type="dxa"/>
        <w:tblBorders>
          <w:top w:val="single" w:sz="4" w:space="0" w:color="C00000"/>
          <w:bottom w:val="single" w:sz="4" w:space="0" w:color="C00000"/>
          <w:insideH w:val="single" w:sz="4" w:space="0" w:color="C00000"/>
        </w:tblBorders>
        <w:shd w:val="clear" w:color="auto" w:fill="EDCDCF"/>
        <w:tblLook w:val="04A0" w:firstRow="1" w:lastRow="0" w:firstColumn="1" w:lastColumn="0" w:noHBand="0" w:noVBand="1"/>
      </w:tblPr>
      <w:tblGrid>
        <w:gridCol w:w="1843"/>
        <w:gridCol w:w="2972"/>
        <w:gridCol w:w="6095"/>
        <w:gridCol w:w="3407"/>
      </w:tblGrid>
      <w:tr w:rsidR="00A35D2E" w14:paraId="67533EA6" w14:textId="77777777" w:rsidTr="00A53875">
        <w:tc>
          <w:tcPr>
            <w:tcW w:w="1843" w:type="dxa"/>
            <w:tcBorders>
              <w:top w:val="nil"/>
              <w:left w:val="single" w:sz="4" w:space="0" w:color="FFFFFF" w:themeColor="background1"/>
              <w:right w:val="single" w:sz="4" w:space="0" w:color="FFFFFF" w:themeColor="background1"/>
            </w:tcBorders>
            <w:shd w:val="clear" w:color="auto" w:fill="EDCDCF"/>
          </w:tcPr>
          <w:p w14:paraId="7BFBC732" w14:textId="3B6019E5" w:rsidR="00A35D2E" w:rsidRPr="002A6B82" w:rsidRDefault="00206E9F" w:rsidP="007B6CCF">
            <w:pPr>
              <w:pStyle w:val="Tablecolhead"/>
            </w:pPr>
            <w:r>
              <w:t>Measure r</w:t>
            </w:r>
            <w:r w:rsidR="00A35D2E" w:rsidRPr="00603D31">
              <w:t>eference number</w:t>
            </w:r>
          </w:p>
        </w:tc>
        <w:tc>
          <w:tcPr>
            <w:tcW w:w="2972" w:type="dxa"/>
            <w:tcBorders>
              <w:top w:val="nil"/>
              <w:left w:val="single" w:sz="4" w:space="0" w:color="FFFFFF" w:themeColor="background1"/>
              <w:right w:val="single" w:sz="4" w:space="0" w:color="FFFFFF" w:themeColor="background1"/>
            </w:tcBorders>
            <w:shd w:val="clear" w:color="auto" w:fill="EDCDCF"/>
          </w:tcPr>
          <w:p w14:paraId="0515C746" w14:textId="7505F898" w:rsidR="00A35D2E" w:rsidRPr="002A6B82" w:rsidRDefault="00A35D2E" w:rsidP="007B6CCF">
            <w:pPr>
              <w:pStyle w:val="Tablecolhead"/>
            </w:pPr>
            <w:r w:rsidRPr="00603D31">
              <w:t>Name of measure</w:t>
            </w:r>
          </w:p>
        </w:tc>
        <w:tc>
          <w:tcPr>
            <w:tcW w:w="6095" w:type="dxa"/>
            <w:tcBorders>
              <w:top w:val="nil"/>
              <w:left w:val="single" w:sz="4" w:space="0" w:color="FFFFFF" w:themeColor="background1"/>
              <w:right w:val="single" w:sz="4" w:space="0" w:color="FFFFFF" w:themeColor="background1"/>
            </w:tcBorders>
            <w:shd w:val="clear" w:color="auto" w:fill="EDCDCF"/>
          </w:tcPr>
          <w:p w14:paraId="2F8A7085" w14:textId="011EE160" w:rsidR="00A35D2E" w:rsidRDefault="00A35D2E" w:rsidP="007B6CCF">
            <w:pPr>
              <w:pStyle w:val="Tablecolhead"/>
            </w:pPr>
            <w:r w:rsidRPr="00603D31">
              <w:t>Required next steps</w:t>
            </w:r>
          </w:p>
        </w:tc>
        <w:tc>
          <w:tcPr>
            <w:tcW w:w="3407" w:type="dxa"/>
            <w:tcBorders>
              <w:top w:val="nil"/>
              <w:left w:val="single" w:sz="4" w:space="0" w:color="FFFFFF" w:themeColor="background1"/>
            </w:tcBorders>
            <w:shd w:val="clear" w:color="auto" w:fill="EDCDCF"/>
          </w:tcPr>
          <w:p w14:paraId="6D0B589C" w14:textId="18B8C09F" w:rsidR="00A35D2E" w:rsidRDefault="00A35D2E" w:rsidP="007B6CCF">
            <w:pPr>
              <w:pStyle w:val="Tablecolhead"/>
            </w:pPr>
            <w:r w:rsidRPr="00603D31">
              <w:t>Indicative reporting schedule</w:t>
            </w:r>
          </w:p>
        </w:tc>
      </w:tr>
      <w:tr w:rsidR="001D7926" w14:paraId="5DAF22E4" w14:textId="77777777" w:rsidTr="00A53875">
        <w:tc>
          <w:tcPr>
            <w:tcW w:w="1843" w:type="dxa"/>
            <w:shd w:val="clear" w:color="auto" w:fill="auto"/>
          </w:tcPr>
          <w:p w14:paraId="28D0C5B8" w14:textId="77777777" w:rsidR="001D7926" w:rsidRPr="002A6B82" w:rsidRDefault="001D7926" w:rsidP="001D7926">
            <w:pPr>
              <w:pStyle w:val="Tabletext"/>
            </w:pPr>
            <w:r w:rsidRPr="002A6B82">
              <w:t>11.1</w:t>
            </w:r>
          </w:p>
        </w:tc>
        <w:tc>
          <w:tcPr>
            <w:tcW w:w="2972" w:type="dxa"/>
            <w:shd w:val="clear" w:color="auto" w:fill="auto"/>
          </w:tcPr>
          <w:p w14:paraId="6C3DFBE2" w14:textId="7AA43C03" w:rsidR="001D7926" w:rsidRPr="002A6B82" w:rsidRDefault="001D7926" w:rsidP="001D7926">
            <w:pPr>
              <w:pStyle w:val="Tabletext"/>
            </w:pPr>
            <w:r w:rsidRPr="002A6B82">
              <w:t>Proportion</w:t>
            </w:r>
            <w:r>
              <w:t xml:space="preserve"> of all cancers diagnosed at stages 1 or 2</w:t>
            </w:r>
          </w:p>
        </w:tc>
        <w:tc>
          <w:tcPr>
            <w:tcW w:w="6095" w:type="dxa"/>
            <w:shd w:val="clear" w:color="auto" w:fill="auto"/>
          </w:tcPr>
          <w:p w14:paraId="20F4F75A" w14:textId="17EB35EC" w:rsidR="001D7926" w:rsidRPr="00687D02" w:rsidRDefault="001D7926" w:rsidP="001D7926">
            <w:pPr>
              <w:pStyle w:val="Tabletext"/>
            </w:pPr>
            <w:r>
              <w:t xml:space="preserve">Abrevio has been implemented. However, at the time </w:t>
            </w:r>
            <w:r w:rsidR="00B005B0">
              <w:t xml:space="preserve">of </w:t>
            </w:r>
            <w:r>
              <w:t xml:space="preserve">writing </w:t>
            </w:r>
            <w:r w:rsidR="00B005B0">
              <w:t xml:space="preserve">the </w:t>
            </w:r>
            <w:r>
              <w:t xml:space="preserve">VCR has not expanded </w:t>
            </w:r>
            <w:r w:rsidR="00B005B0">
              <w:t xml:space="preserve">its </w:t>
            </w:r>
            <w:r>
              <w:t>process for extract</w:t>
            </w:r>
            <w:r w:rsidR="00B005B0">
              <w:t>ing</w:t>
            </w:r>
            <w:r>
              <w:t xml:space="preserve"> staging. Unlikely to obtain a dataset to report against this measure (aspirational)</w:t>
            </w:r>
            <w:r w:rsidR="00B005B0">
              <w:t>.</w:t>
            </w:r>
          </w:p>
        </w:tc>
        <w:tc>
          <w:tcPr>
            <w:tcW w:w="3407" w:type="dxa"/>
            <w:shd w:val="clear" w:color="auto" w:fill="auto"/>
          </w:tcPr>
          <w:p w14:paraId="70C2010C" w14:textId="5060A36E" w:rsidR="001D7926" w:rsidRPr="00687D02" w:rsidRDefault="001D7926" w:rsidP="001D7926">
            <w:pPr>
              <w:pStyle w:val="Tabletext"/>
            </w:pPr>
            <w:r>
              <w:t xml:space="preserve">Obtaining staging data is a high priority for the VCR via several initiatives including obtaining MDM data and working with hospital </w:t>
            </w:r>
            <w:r w:rsidR="00B005B0">
              <w:t>health information managers</w:t>
            </w:r>
            <w:r>
              <w:t xml:space="preserve"> to improve the </w:t>
            </w:r>
            <w:r>
              <w:lastRenderedPageBreak/>
              <w:t>reporting of staging data to the VCR.</w:t>
            </w:r>
          </w:p>
        </w:tc>
      </w:tr>
      <w:tr w:rsidR="001D7926" w14:paraId="6C9F9B61" w14:textId="77777777" w:rsidTr="00610D4B">
        <w:tc>
          <w:tcPr>
            <w:tcW w:w="1843" w:type="dxa"/>
            <w:tcBorders>
              <w:bottom w:val="single" w:sz="4" w:space="0" w:color="C00000"/>
            </w:tcBorders>
            <w:shd w:val="clear" w:color="auto" w:fill="auto"/>
          </w:tcPr>
          <w:p w14:paraId="22DA76A5" w14:textId="77777777" w:rsidR="001D7926" w:rsidRPr="002A6B82" w:rsidRDefault="001D7926" w:rsidP="001D7926">
            <w:pPr>
              <w:pStyle w:val="Tabletext"/>
            </w:pPr>
            <w:r w:rsidRPr="002A6B82">
              <w:lastRenderedPageBreak/>
              <w:t>11</w:t>
            </w:r>
            <w:r>
              <w:t>.4</w:t>
            </w:r>
          </w:p>
        </w:tc>
        <w:tc>
          <w:tcPr>
            <w:tcW w:w="2972" w:type="dxa"/>
            <w:tcBorders>
              <w:bottom w:val="single" w:sz="4" w:space="0" w:color="C00000"/>
            </w:tcBorders>
            <w:shd w:val="clear" w:color="auto" w:fill="auto"/>
          </w:tcPr>
          <w:p w14:paraId="32066E69" w14:textId="3BCD5940" w:rsidR="001D7926" w:rsidRPr="002A6B82" w:rsidRDefault="001D7926" w:rsidP="001D7926">
            <w:pPr>
              <w:pStyle w:val="Tabletext"/>
            </w:pPr>
            <w:r>
              <w:t>Proportion of cervical cancers diagnosed at stages 1 or 2</w:t>
            </w:r>
          </w:p>
        </w:tc>
        <w:tc>
          <w:tcPr>
            <w:tcW w:w="6095" w:type="dxa"/>
            <w:tcBorders>
              <w:bottom w:val="single" w:sz="4" w:space="0" w:color="C00000"/>
            </w:tcBorders>
            <w:shd w:val="clear" w:color="auto" w:fill="auto"/>
          </w:tcPr>
          <w:p w14:paraId="3BC67D26" w14:textId="005D01CE" w:rsidR="001D7926" w:rsidRPr="00687D02" w:rsidRDefault="001D7926" w:rsidP="001D7926">
            <w:pPr>
              <w:pStyle w:val="Tabletext"/>
            </w:pPr>
            <w:r>
              <w:t>Same as above for Measure 11.1.</w:t>
            </w:r>
          </w:p>
        </w:tc>
        <w:tc>
          <w:tcPr>
            <w:tcW w:w="3407" w:type="dxa"/>
            <w:tcBorders>
              <w:bottom w:val="single" w:sz="4" w:space="0" w:color="C00000"/>
            </w:tcBorders>
            <w:shd w:val="clear" w:color="auto" w:fill="auto"/>
          </w:tcPr>
          <w:p w14:paraId="48BBEDD3" w14:textId="77777777" w:rsidR="001D7926" w:rsidRPr="00687D02" w:rsidRDefault="001D7926" w:rsidP="001D7926">
            <w:pPr>
              <w:pStyle w:val="Tabletext"/>
            </w:pPr>
            <w:r>
              <w:t>Future report</w:t>
            </w:r>
          </w:p>
        </w:tc>
      </w:tr>
      <w:tr w:rsidR="001D7926" w14:paraId="58E54EB5" w14:textId="77777777" w:rsidTr="00A53875">
        <w:tc>
          <w:tcPr>
            <w:tcW w:w="1843" w:type="dxa"/>
            <w:shd w:val="clear" w:color="auto" w:fill="auto"/>
          </w:tcPr>
          <w:p w14:paraId="4218CF60" w14:textId="77777777" w:rsidR="001D7926" w:rsidRPr="002A6B82" w:rsidRDefault="001D7926" w:rsidP="001D7926">
            <w:pPr>
              <w:pStyle w:val="Tabletext"/>
            </w:pPr>
            <w:r>
              <w:t>11.5</w:t>
            </w:r>
          </w:p>
        </w:tc>
        <w:tc>
          <w:tcPr>
            <w:tcW w:w="2972" w:type="dxa"/>
            <w:shd w:val="clear" w:color="auto" w:fill="auto"/>
          </w:tcPr>
          <w:p w14:paraId="4CD86885" w14:textId="2B38E94F" w:rsidR="001D7926" w:rsidRPr="002A6B82" w:rsidRDefault="001D7926" w:rsidP="001D7926">
            <w:pPr>
              <w:pStyle w:val="Tabletext"/>
            </w:pPr>
            <w:r>
              <w:t>Proportion of lung cancers diagnosed at stages 1 or 2</w:t>
            </w:r>
          </w:p>
        </w:tc>
        <w:tc>
          <w:tcPr>
            <w:tcW w:w="6095" w:type="dxa"/>
            <w:shd w:val="clear" w:color="auto" w:fill="auto"/>
          </w:tcPr>
          <w:p w14:paraId="252E9D92" w14:textId="536A27F2" w:rsidR="001D7926" w:rsidRPr="00687D02" w:rsidRDefault="001D7926" w:rsidP="001D7926">
            <w:pPr>
              <w:pStyle w:val="Tabletext"/>
            </w:pPr>
            <w:r>
              <w:t>Same as above for Measure 11.1.</w:t>
            </w:r>
          </w:p>
        </w:tc>
        <w:tc>
          <w:tcPr>
            <w:tcW w:w="3407" w:type="dxa"/>
            <w:shd w:val="clear" w:color="auto" w:fill="auto"/>
          </w:tcPr>
          <w:p w14:paraId="085FA90F" w14:textId="77777777" w:rsidR="001D7926" w:rsidRPr="00687D02" w:rsidRDefault="001D7926" w:rsidP="001D7926">
            <w:pPr>
              <w:pStyle w:val="Tabletext"/>
            </w:pPr>
            <w:r>
              <w:t>Future report</w:t>
            </w:r>
          </w:p>
        </w:tc>
      </w:tr>
    </w:tbl>
    <w:p w14:paraId="0EE401C4" w14:textId="7C088173" w:rsidR="009F18EA" w:rsidRDefault="009F18EA" w:rsidP="006D0DC0">
      <w:pPr>
        <w:pStyle w:val="Tablecaption"/>
      </w:pPr>
      <w:bookmarkStart w:id="1227" w:name="_Toc140834943"/>
      <w:r w:rsidRPr="00603D31">
        <w:t>Key result area: Increase adherence to optimal care pathways</w:t>
      </w:r>
      <w:bookmarkEnd w:id="1227"/>
    </w:p>
    <w:tbl>
      <w:tblPr>
        <w:tblW w:w="14317" w:type="dxa"/>
        <w:tblBorders>
          <w:top w:val="single" w:sz="12" w:space="0" w:color="FFFFFF" w:themeColor="background1"/>
          <w:insideH w:val="single" w:sz="12" w:space="0" w:color="FFFFFF" w:themeColor="background1"/>
          <w:insideV w:val="single" w:sz="12" w:space="0" w:color="FFFFFF" w:themeColor="background1"/>
        </w:tblBorders>
        <w:shd w:val="clear" w:color="auto" w:fill="EDCDCF"/>
        <w:tblLook w:val="04A0" w:firstRow="1" w:lastRow="0" w:firstColumn="1" w:lastColumn="0" w:noHBand="0" w:noVBand="1"/>
      </w:tblPr>
      <w:tblGrid>
        <w:gridCol w:w="1303"/>
        <w:gridCol w:w="4084"/>
        <w:gridCol w:w="5528"/>
        <w:gridCol w:w="3402"/>
      </w:tblGrid>
      <w:tr w:rsidR="009F18EA" w14:paraId="472C3DEB" w14:textId="77777777" w:rsidTr="00600321">
        <w:tc>
          <w:tcPr>
            <w:tcW w:w="1303" w:type="dxa"/>
            <w:tcBorders>
              <w:bottom w:val="single" w:sz="4" w:space="0" w:color="C00000"/>
            </w:tcBorders>
            <w:shd w:val="clear" w:color="auto" w:fill="EDCDCF"/>
          </w:tcPr>
          <w:p w14:paraId="1DA8CF7A" w14:textId="32F70A87" w:rsidR="009F18EA" w:rsidRDefault="00206E9F" w:rsidP="007B6CCF">
            <w:pPr>
              <w:pStyle w:val="Tablecolhead"/>
            </w:pPr>
            <w:r>
              <w:t>Measure r</w:t>
            </w:r>
            <w:r w:rsidR="009F18EA" w:rsidRPr="00603D31">
              <w:t>eference number</w:t>
            </w:r>
          </w:p>
        </w:tc>
        <w:tc>
          <w:tcPr>
            <w:tcW w:w="4084" w:type="dxa"/>
            <w:tcBorders>
              <w:bottom w:val="single" w:sz="4" w:space="0" w:color="C00000"/>
            </w:tcBorders>
            <w:shd w:val="clear" w:color="auto" w:fill="EDCDCF"/>
          </w:tcPr>
          <w:p w14:paraId="702C498B" w14:textId="56118E2A" w:rsidR="009F18EA" w:rsidRDefault="009F18EA" w:rsidP="007B6CCF">
            <w:pPr>
              <w:pStyle w:val="Tablecolhead"/>
            </w:pPr>
            <w:r w:rsidRPr="00603D31">
              <w:t>Name of measure</w:t>
            </w:r>
          </w:p>
        </w:tc>
        <w:tc>
          <w:tcPr>
            <w:tcW w:w="5528" w:type="dxa"/>
            <w:tcBorders>
              <w:bottom w:val="single" w:sz="4" w:space="0" w:color="C00000"/>
            </w:tcBorders>
            <w:shd w:val="clear" w:color="auto" w:fill="EDCDCF"/>
          </w:tcPr>
          <w:p w14:paraId="6E0E4B9C" w14:textId="7A87B7A6" w:rsidR="009F18EA" w:rsidRPr="00BC51BA" w:rsidRDefault="009F18EA" w:rsidP="007B6CCF">
            <w:pPr>
              <w:pStyle w:val="Tablecolhead"/>
            </w:pPr>
            <w:r w:rsidRPr="00603D31">
              <w:t>Required next steps</w:t>
            </w:r>
          </w:p>
        </w:tc>
        <w:tc>
          <w:tcPr>
            <w:tcW w:w="3402" w:type="dxa"/>
            <w:tcBorders>
              <w:bottom w:val="single" w:sz="4" w:space="0" w:color="C00000"/>
            </w:tcBorders>
            <w:shd w:val="clear" w:color="auto" w:fill="EDCDCF"/>
          </w:tcPr>
          <w:p w14:paraId="35779217" w14:textId="439D45B4" w:rsidR="009F18EA" w:rsidRPr="00A00A5F" w:rsidRDefault="009F18EA" w:rsidP="007B6CCF">
            <w:pPr>
              <w:pStyle w:val="Tablecolhead"/>
            </w:pPr>
            <w:r w:rsidRPr="00603D31">
              <w:t>Indicative reporting schedule</w:t>
            </w:r>
          </w:p>
        </w:tc>
      </w:tr>
      <w:tr w:rsidR="007F267D" w14:paraId="674C8F0B" w14:textId="77777777" w:rsidTr="00600321">
        <w:trPr>
          <w:trHeight w:val="872"/>
        </w:trPr>
        <w:tc>
          <w:tcPr>
            <w:tcW w:w="1303" w:type="dxa"/>
            <w:tcBorders>
              <w:top w:val="single" w:sz="4" w:space="0" w:color="C00000"/>
              <w:bottom w:val="single" w:sz="4" w:space="0" w:color="C00000"/>
            </w:tcBorders>
            <w:shd w:val="clear" w:color="auto" w:fill="auto"/>
          </w:tcPr>
          <w:p w14:paraId="3E059270" w14:textId="7D2EF770" w:rsidR="007F267D" w:rsidRDefault="007F267D" w:rsidP="00E1278E">
            <w:pPr>
              <w:pStyle w:val="Tabletext"/>
            </w:pPr>
            <w:r>
              <w:t>12.2</w:t>
            </w:r>
          </w:p>
        </w:tc>
        <w:tc>
          <w:tcPr>
            <w:tcW w:w="4084" w:type="dxa"/>
            <w:tcBorders>
              <w:top w:val="single" w:sz="4" w:space="0" w:color="C00000"/>
              <w:bottom w:val="single" w:sz="4" w:space="0" w:color="C00000"/>
            </w:tcBorders>
            <w:shd w:val="clear" w:color="auto" w:fill="auto"/>
          </w:tcPr>
          <w:p w14:paraId="76CFB78A" w14:textId="77777777" w:rsidR="007F267D" w:rsidRPr="007F7A9E" w:rsidRDefault="007F267D" w:rsidP="00E1278E">
            <w:pPr>
              <w:pStyle w:val="Tabletext"/>
            </w:pPr>
            <w:r>
              <w:t>Proportion of patients receiving PET prior to primary treatment where appropriate</w:t>
            </w:r>
          </w:p>
        </w:tc>
        <w:tc>
          <w:tcPr>
            <w:tcW w:w="5528" w:type="dxa"/>
            <w:tcBorders>
              <w:top w:val="single" w:sz="4" w:space="0" w:color="C00000"/>
              <w:bottom w:val="single" w:sz="4" w:space="0" w:color="C00000"/>
            </w:tcBorders>
            <w:shd w:val="clear" w:color="auto" w:fill="auto"/>
          </w:tcPr>
          <w:p w14:paraId="1F6A7BE0" w14:textId="29ACDC06" w:rsidR="007F267D" w:rsidRPr="00EB7815" w:rsidRDefault="007F267D" w:rsidP="00E1278E">
            <w:pPr>
              <w:pStyle w:val="Tabletext"/>
            </w:pPr>
            <w:r w:rsidRPr="00BC51BA">
              <w:t xml:space="preserve">There </w:t>
            </w:r>
            <w:r w:rsidR="00AF57E5">
              <w:t>are</w:t>
            </w:r>
            <w:r w:rsidRPr="00BC51BA">
              <w:t xml:space="preserve"> currently no MBS data available for the cancer cohort</w:t>
            </w:r>
            <w:r w:rsidR="0046746C">
              <w:t>,</w:t>
            </w:r>
            <w:r w:rsidRPr="00BC51BA">
              <w:t xml:space="preserve"> but it </w:t>
            </w:r>
            <w:r w:rsidR="00CF6CB9">
              <w:t xml:space="preserve">is expected this </w:t>
            </w:r>
            <w:r w:rsidRPr="00BC51BA">
              <w:t>will be available in the future.</w:t>
            </w:r>
          </w:p>
        </w:tc>
        <w:tc>
          <w:tcPr>
            <w:tcW w:w="3402" w:type="dxa"/>
            <w:tcBorders>
              <w:top w:val="single" w:sz="4" w:space="0" w:color="C00000"/>
              <w:bottom w:val="single" w:sz="4" w:space="0" w:color="C00000"/>
            </w:tcBorders>
            <w:shd w:val="clear" w:color="auto" w:fill="auto"/>
          </w:tcPr>
          <w:p w14:paraId="531EFFEA" w14:textId="77777777" w:rsidR="007F267D" w:rsidRPr="00C54C4B" w:rsidRDefault="007F267D" w:rsidP="00E1278E">
            <w:pPr>
              <w:pStyle w:val="Tabletext"/>
              <w:rPr>
                <w:highlight w:val="yellow"/>
              </w:rPr>
            </w:pPr>
            <w:r w:rsidRPr="00A00A5F">
              <w:t>Future report</w:t>
            </w:r>
          </w:p>
        </w:tc>
      </w:tr>
      <w:tr w:rsidR="007F267D" w14:paraId="2E921B3D" w14:textId="77777777" w:rsidTr="00600321">
        <w:tc>
          <w:tcPr>
            <w:tcW w:w="1303" w:type="dxa"/>
            <w:tcBorders>
              <w:top w:val="single" w:sz="4" w:space="0" w:color="C00000"/>
              <w:bottom w:val="single" w:sz="4" w:space="0" w:color="C00000"/>
            </w:tcBorders>
            <w:shd w:val="clear" w:color="auto" w:fill="auto"/>
          </w:tcPr>
          <w:p w14:paraId="7F188D6E" w14:textId="77777777" w:rsidR="007F267D" w:rsidRDefault="007F267D" w:rsidP="00E1278E">
            <w:pPr>
              <w:pStyle w:val="Tabletext"/>
            </w:pPr>
            <w:r>
              <w:t>12.3</w:t>
            </w:r>
          </w:p>
        </w:tc>
        <w:tc>
          <w:tcPr>
            <w:tcW w:w="4084" w:type="dxa"/>
            <w:tcBorders>
              <w:top w:val="single" w:sz="4" w:space="0" w:color="C00000"/>
              <w:bottom w:val="single" w:sz="4" w:space="0" w:color="C00000"/>
            </w:tcBorders>
            <w:shd w:val="clear" w:color="auto" w:fill="auto"/>
          </w:tcPr>
          <w:p w14:paraId="6BF6BF80" w14:textId="77777777" w:rsidR="007F267D" w:rsidRDefault="007F267D" w:rsidP="00E1278E">
            <w:pPr>
              <w:pStyle w:val="Tabletext"/>
            </w:pPr>
            <w:r>
              <w:t>Proportion of patients receiving molecular diagnostics prior to primary treatment where appropriate</w:t>
            </w:r>
          </w:p>
        </w:tc>
        <w:tc>
          <w:tcPr>
            <w:tcW w:w="5528" w:type="dxa"/>
            <w:tcBorders>
              <w:top w:val="single" w:sz="4" w:space="0" w:color="C00000"/>
              <w:bottom w:val="single" w:sz="4" w:space="0" w:color="C00000"/>
            </w:tcBorders>
            <w:shd w:val="clear" w:color="auto" w:fill="auto"/>
          </w:tcPr>
          <w:p w14:paraId="741D8C28" w14:textId="7FEF214B" w:rsidR="007F267D" w:rsidRPr="00BC51BA" w:rsidRDefault="00B005B0" w:rsidP="00E1278E">
            <w:pPr>
              <w:pStyle w:val="Tabletext"/>
            </w:pPr>
            <w:r>
              <w:t xml:space="preserve">The </w:t>
            </w:r>
            <w:r w:rsidR="005E2624">
              <w:t xml:space="preserve">VCR has </w:t>
            </w:r>
            <w:r>
              <w:t xml:space="preserve">started </w:t>
            </w:r>
            <w:r w:rsidR="005E2624">
              <w:t xml:space="preserve">work on biomarkers with external researchers </w:t>
            </w:r>
            <w:r>
              <w:t>– that is,</w:t>
            </w:r>
            <w:r w:rsidR="005E2624">
              <w:t xml:space="preserve"> validate with the golden standard </w:t>
            </w:r>
            <w:r>
              <w:t>(</w:t>
            </w:r>
            <w:r w:rsidR="005E2624">
              <w:t>what the clinician extracts from the pathology reports</w:t>
            </w:r>
            <w:r>
              <w:t>)</w:t>
            </w:r>
            <w:r w:rsidR="005E2624">
              <w:t>. However, at the time of writing there was no suitable data available.</w:t>
            </w:r>
          </w:p>
        </w:tc>
        <w:tc>
          <w:tcPr>
            <w:tcW w:w="3402" w:type="dxa"/>
            <w:tcBorders>
              <w:top w:val="single" w:sz="4" w:space="0" w:color="C00000"/>
              <w:bottom w:val="single" w:sz="4" w:space="0" w:color="C00000"/>
            </w:tcBorders>
            <w:shd w:val="clear" w:color="auto" w:fill="auto"/>
          </w:tcPr>
          <w:p w14:paraId="2C96C1B6" w14:textId="37D0E020" w:rsidR="007F267D" w:rsidRPr="00A00A5F" w:rsidRDefault="00CB463B" w:rsidP="00E1278E">
            <w:pPr>
              <w:pStyle w:val="Tabletext"/>
            </w:pPr>
            <w:r w:rsidRPr="00A00A5F">
              <w:t>Future report</w:t>
            </w:r>
          </w:p>
        </w:tc>
      </w:tr>
      <w:tr w:rsidR="007F267D" w14:paraId="3F46B3FF" w14:textId="77777777" w:rsidTr="00600321">
        <w:tc>
          <w:tcPr>
            <w:tcW w:w="1303" w:type="dxa"/>
            <w:tcBorders>
              <w:top w:val="single" w:sz="4" w:space="0" w:color="C00000"/>
              <w:bottom w:val="single" w:sz="4" w:space="0" w:color="C00000"/>
            </w:tcBorders>
            <w:shd w:val="clear" w:color="auto" w:fill="auto"/>
          </w:tcPr>
          <w:p w14:paraId="362BCEE0" w14:textId="77777777" w:rsidR="007F267D" w:rsidRDefault="007F267D" w:rsidP="00E1278E">
            <w:pPr>
              <w:pStyle w:val="Tabletext"/>
            </w:pPr>
            <w:r>
              <w:t>12.7</w:t>
            </w:r>
          </w:p>
        </w:tc>
        <w:tc>
          <w:tcPr>
            <w:tcW w:w="4084" w:type="dxa"/>
            <w:tcBorders>
              <w:top w:val="single" w:sz="4" w:space="0" w:color="C00000"/>
              <w:bottom w:val="single" w:sz="4" w:space="0" w:color="C00000"/>
            </w:tcBorders>
            <w:shd w:val="clear" w:color="auto" w:fill="auto"/>
          </w:tcPr>
          <w:p w14:paraId="49AC2770" w14:textId="77777777" w:rsidR="007F267D" w:rsidRDefault="007F267D" w:rsidP="00E1278E">
            <w:pPr>
              <w:pStyle w:val="Tabletext"/>
            </w:pPr>
            <w:r>
              <w:t>Proportion of patients aged less than 40 years referred to fertility preservation treatment as part of their primary treatment</w:t>
            </w:r>
          </w:p>
        </w:tc>
        <w:tc>
          <w:tcPr>
            <w:tcW w:w="5528" w:type="dxa"/>
            <w:tcBorders>
              <w:top w:val="single" w:sz="4" w:space="0" w:color="C00000"/>
              <w:bottom w:val="single" w:sz="4" w:space="0" w:color="C00000"/>
            </w:tcBorders>
            <w:shd w:val="clear" w:color="auto" w:fill="auto"/>
          </w:tcPr>
          <w:p w14:paraId="6C71D923" w14:textId="127AB1EE" w:rsidR="007F267D" w:rsidRPr="00BC51BA" w:rsidRDefault="005E2624" w:rsidP="00E1278E">
            <w:pPr>
              <w:pStyle w:val="Tabletext"/>
            </w:pPr>
            <w:r>
              <w:t>Currently no data source available.</w:t>
            </w:r>
          </w:p>
        </w:tc>
        <w:tc>
          <w:tcPr>
            <w:tcW w:w="3402" w:type="dxa"/>
            <w:tcBorders>
              <w:top w:val="single" w:sz="4" w:space="0" w:color="C00000"/>
              <w:bottom w:val="single" w:sz="4" w:space="0" w:color="C00000"/>
            </w:tcBorders>
            <w:shd w:val="clear" w:color="auto" w:fill="auto"/>
          </w:tcPr>
          <w:p w14:paraId="66A411AB" w14:textId="63330A7B" w:rsidR="007F267D" w:rsidRPr="00A00A5F" w:rsidRDefault="00CB463B" w:rsidP="00E1278E">
            <w:pPr>
              <w:pStyle w:val="Tabletext"/>
            </w:pPr>
            <w:r w:rsidRPr="00A00A5F">
              <w:t>Future report</w:t>
            </w:r>
          </w:p>
        </w:tc>
      </w:tr>
      <w:tr w:rsidR="0066291D" w14:paraId="7B16B3F7" w14:textId="77777777" w:rsidTr="00600321">
        <w:tc>
          <w:tcPr>
            <w:tcW w:w="1303" w:type="dxa"/>
            <w:tcBorders>
              <w:top w:val="single" w:sz="4" w:space="0" w:color="C00000"/>
              <w:bottom w:val="single" w:sz="4" w:space="0" w:color="C00000"/>
            </w:tcBorders>
            <w:shd w:val="clear" w:color="auto" w:fill="auto"/>
          </w:tcPr>
          <w:p w14:paraId="1674268A" w14:textId="77777777" w:rsidR="0066291D" w:rsidRPr="00D67FE9" w:rsidRDefault="0066291D" w:rsidP="00E1278E">
            <w:pPr>
              <w:pStyle w:val="Tabletext"/>
            </w:pPr>
            <w:r w:rsidRPr="00D67FE9">
              <w:t>12.11</w:t>
            </w:r>
          </w:p>
        </w:tc>
        <w:tc>
          <w:tcPr>
            <w:tcW w:w="4084" w:type="dxa"/>
            <w:tcBorders>
              <w:top w:val="single" w:sz="4" w:space="0" w:color="C00000"/>
              <w:bottom w:val="single" w:sz="4" w:space="0" w:color="C00000"/>
            </w:tcBorders>
            <w:shd w:val="clear" w:color="auto" w:fill="auto"/>
          </w:tcPr>
          <w:p w14:paraId="00F73B00" w14:textId="77777777" w:rsidR="0066291D" w:rsidRPr="00D67FE9" w:rsidRDefault="0066291D" w:rsidP="00E1278E">
            <w:pPr>
              <w:pStyle w:val="Tabletext"/>
            </w:pPr>
            <w:r w:rsidRPr="00D67FE9">
              <w:t>Proportion of patients with local recurrence or primary tumour within two years</w:t>
            </w:r>
            <w:r w:rsidR="00A8632B" w:rsidRPr="00D67FE9">
              <w:t xml:space="preserve"> of surgical resection or curative radiotherapy of a primary tumour</w:t>
            </w:r>
          </w:p>
        </w:tc>
        <w:tc>
          <w:tcPr>
            <w:tcW w:w="5528" w:type="dxa"/>
            <w:tcBorders>
              <w:top w:val="single" w:sz="4" w:space="0" w:color="C00000"/>
              <w:bottom w:val="single" w:sz="4" w:space="0" w:color="C00000"/>
            </w:tcBorders>
            <w:shd w:val="clear" w:color="auto" w:fill="auto"/>
          </w:tcPr>
          <w:p w14:paraId="279F31B0" w14:textId="5B921C2A" w:rsidR="00D67FE9" w:rsidRPr="00D67FE9" w:rsidRDefault="00D67FE9" w:rsidP="00E1278E">
            <w:pPr>
              <w:pStyle w:val="Tabletext"/>
            </w:pPr>
            <w:r w:rsidRPr="00D67FE9">
              <w:t xml:space="preserve">Although date of recurrence is currently </w:t>
            </w:r>
            <w:r>
              <w:t>un</w:t>
            </w:r>
            <w:r w:rsidRPr="00D67FE9">
              <w:t>available, it could probably be derived from the currently available linked data (VCR, VAED, VINAH).</w:t>
            </w:r>
            <w:r w:rsidR="00F90C56">
              <w:t xml:space="preserve"> </w:t>
            </w:r>
            <w:r w:rsidR="00F90C56" w:rsidRPr="00D67FE9">
              <w:t xml:space="preserve">This </w:t>
            </w:r>
            <w:r w:rsidR="00F90C56">
              <w:t>requires a</w:t>
            </w:r>
            <w:r w:rsidR="00222342">
              <w:t xml:space="preserve">n </w:t>
            </w:r>
            <w:r w:rsidR="00F90C56">
              <w:t>extensive</w:t>
            </w:r>
            <w:r w:rsidR="00222342">
              <w:t xml:space="preserve"> </w:t>
            </w:r>
            <w:r w:rsidR="00F90C56" w:rsidRPr="00D67FE9">
              <w:t xml:space="preserve">validation </w:t>
            </w:r>
            <w:r w:rsidR="00F90C56">
              <w:t xml:space="preserve">process </w:t>
            </w:r>
            <w:r w:rsidR="00F90C56" w:rsidRPr="00D67FE9">
              <w:t>before it c</w:t>
            </w:r>
            <w:r w:rsidR="00F90C56">
              <w:t>an</w:t>
            </w:r>
            <w:r w:rsidR="00F90C56" w:rsidRPr="00D67FE9">
              <w:t xml:space="preserve"> be used to</w:t>
            </w:r>
            <w:r w:rsidR="00F90C56">
              <w:t xml:space="preserve"> report against this measure.</w:t>
            </w:r>
          </w:p>
        </w:tc>
        <w:tc>
          <w:tcPr>
            <w:tcW w:w="3402" w:type="dxa"/>
            <w:tcBorders>
              <w:top w:val="single" w:sz="4" w:space="0" w:color="C00000"/>
              <w:bottom w:val="single" w:sz="4" w:space="0" w:color="C00000"/>
            </w:tcBorders>
            <w:shd w:val="clear" w:color="auto" w:fill="auto"/>
          </w:tcPr>
          <w:p w14:paraId="2141F9BE" w14:textId="214C63D1" w:rsidR="0066291D" w:rsidRPr="007F267D" w:rsidRDefault="00E863D5" w:rsidP="00E1278E">
            <w:pPr>
              <w:pStyle w:val="Tabletext"/>
              <w:rPr>
                <w:highlight w:val="yellow"/>
              </w:rPr>
            </w:pPr>
            <w:r w:rsidRPr="00D67FE9">
              <w:t>Future report</w:t>
            </w:r>
          </w:p>
        </w:tc>
      </w:tr>
    </w:tbl>
    <w:p w14:paraId="3302B1C9" w14:textId="610C82F3" w:rsidR="009F18EA" w:rsidRDefault="009F18EA" w:rsidP="006D0DC0">
      <w:pPr>
        <w:pStyle w:val="Tablecaption"/>
      </w:pPr>
      <w:bookmarkStart w:id="1228" w:name="_Toc140834944"/>
      <w:bookmarkStart w:id="1229" w:name="_Hlk140510500"/>
      <w:r w:rsidRPr="00603D31">
        <w:lastRenderedPageBreak/>
        <w:t>Key result area: Improve quality of life</w:t>
      </w:r>
      <w:bookmarkEnd w:id="1228"/>
    </w:p>
    <w:tbl>
      <w:tblPr>
        <w:tblW w:w="14317" w:type="dxa"/>
        <w:tblBorders>
          <w:top w:val="single" w:sz="4" w:space="0" w:color="C00000"/>
          <w:bottom w:val="single" w:sz="4" w:space="0" w:color="C00000"/>
          <w:insideH w:val="single" w:sz="4" w:space="0" w:color="C00000"/>
        </w:tblBorders>
        <w:shd w:val="clear" w:color="auto" w:fill="EDCDCF"/>
        <w:tblLook w:val="04A0" w:firstRow="1" w:lastRow="0" w:firstColumn="1" w:lastColumn="0" w:noHBand="0" w:noVBand="1"/>
      </w:tblPr>
      <w:tblGrid>
        <w:gridCol w:w="1303"/>
        <w:gridCol w:w="3659"/>
        <w:gridCol w:w="5528"/>
        <w:gridCol w:w="3827"/>
      </w:tblGrid>
      <w:tr w:rsidR="00BC6977" w14:paraId="47A285C1" w14:textId="77777777" w:rsidTr="004C0F3F">
        <w:tc>
          <w:tcPr>
            <w:tcW w:w="1303" w:type="dxa"/>
            <w:tcBorders>
              <w:top w:val="nil"/>
              <w:right w:val="single" w:sz="4" w:space="0" w:color="FFFFFF" w:themeColor="background1"/>
            </w:tcBorders>
            <w:shd w:val="clear" w:color="auto" w:fill="EDCDCF"/>
          </w:tcPr>
          <w:p w14:paraId="7D4BB721" w14:textId="081ABA7D" w:rsidR="00BC6977" w:rsidRDefault="00206E9F" w:rsidP="007B6CCF">
            <w:pPr>
              <w:pStyle w:val="Tablecolhead"/>
            </w:pPr>
            <w:r>
              <w:t>Measure r</w:t>
            </w:r>
            <w:r w:rsidR="00BC6977" w:rsidRPr="00603D31">
              <w:t>eference number</w:t>
            </w:r>
          </w:p>
        </w:tc>
        <w:tc>
          <w:tcPr>
            <w:tcW w:w="3659" w:type="dxa"/>
            <w:tcBorders>
              <w:top w:val="nil"/>
              <w:left w:val="single" w:sz="4" w:space="0" w:color="FFFFFF" w:themeColor="background1"/>
              <w:right w:val="single" w:sz="4" w:space="0" w:color="FFFFFF" w:themeColor="background1"/>
            </w:tcBorders>
            <w:shd w:val="clear" w:color="auto" w:fill="EDCDCF"/>
          </w:tcPr>
          <w:p w14:paraId="5CBD756E" w14:textId="60BBBDB1" w:rsidR="00BC6977" w:rsidRDefault="00BC6977" w:rsidP="007B6CCF">
            <w:pPr>
              <w:pStyle w:val="Tablecolhead"/>
            </w:pPr>
            <w:r w:rsidRPr="00603D31">
              <w:t>Name of measure</w:t>
            </w:r>
          </w:p>
        </w:tc>
        <w:tc>
          <w:tcPr>
            <w:tcW w:w="5528" w:type="dxa"/>
            <w:tcBorders>
              <w:top w:val="nil"/>
              <w:left w:val="single" w:sz="4" w:space="0" w:color="FFFFFF" w:themeColor="background1"/>
              <w:right w:val="single" w:sz="4" w:space="0" w:color="FFFFFF" w:themeColor="background1"/>
            </w:tcBorders>
            <w:shd w:val="clear" w:color="auto" w:fill="EDCDCF"/>
          </w:tcPr>
          <w:p w14:paraId="6B4EF452" w14:textId="1D69168E" w:rsidR="00BC6977" w:rsidRDefault="00BC6977" w:rsidP="007B6CCF">
            <w:pPr>
              <w:pStyle w:val="Tablecolhead"/>
            </w:pPr>
            <w:r w:rsidRPr="00603D31">
              <w:t>Required next steps</w:t>
            </w:r>
          </w:p>
        </w:tc>
        <w:tc>
          <w:tcPr>
            <w:tcW w:w="3827" w:type="dxa"/>
            <w:tcBorders>
              <w:top w:val="nil"/>
              <w:left w:val="single" w:sz="4" w:space="0" w:color="FFFFFF" w:themeColor="background1"/>
            </w:tcBorders>
            <w:shd w:val="clear" w:color="auto" w:fill="EDCDCF"/>
          </w:tcPr>
          <w:p w14:paraId="4EFFD531" w14:textId="63930499" w:rsidR="00BC6977" w:rsidRDefault="00BC6977" w:rsidP="007B6CCF">
            <w:pPr>
              <w:pStyle w:val="Tablecolhead"/>
            </w:pPr>
            <w:r w:rsidRPr="00603D31">
              <w:t>Indicative reporting schedule</w:t>
            </w:r>
          </w:p>
        </w:tc>
      </w:tr>
      <w:tr w:rsidR="007D6826" w14:paraId="396FBD70" w14:textId="77777777" w:rsidTr="006808A3">
        <w:tc>
          <w:tcPr>
            <w:tcW w:w="1303" w:type="dxa"/>
            <w:shd w:val="clear" w:color="auto" w:fill="FFFFFF" w:themeFill="background1"/>
          </w:tcPr>
          <w:p w14:paraId="04984B79" w14:textId="77777777" w:rsidR="007D6826" w:rsidRDefault="005D0142" w:rsidP="00E1278E">
            <w:pPr>
              <w:pStyle w:val="Tabletext"/>
            </w:pPr>
            <w:r>
              <w:t>14.1</w:t>
            </w:r>
          </w:p>
        </w:tc>
        <w:tc>
          <w:tcPr>
            <w:tcW w:w="3659" w:type="dxa"/>
            <w:shd w:val="clear" w:color="auto" w:fill="FFFFFF" w:themeFill="background1"/>
          </w:tcPr>
          <w:p w14:paraId="61941BB3" w14:textId="77777777" w:rsidR="007D6826" w:rsidRDefault="009663CF" w:rsidP="00E1278E">
            <w:pPr>
              <w:pStyle w:val="Tabletext"/>
            </w:pPr>
            <w:r>
              <w:t>Health-related quality of life following primary treatment</w:t>
            </w:r>
          </w:p>
        </w:tc>
        <w:tc>
          <w:tcPr>
            <w:tcW w:w="5528" w:type="dxa"/>
            <w:shd w:val="clear" w:color="auto" w:fill="FFFFFF" w:themeFill="background1"/>
          </w:tcPr>
          <w:p w14:paraId="09F78B74" w14:textId="11C67659" w:rsidR="007D6826" w:rsidRDefault="00835B67" w:rsidP="00E1278E">
            <w:pPr>
              <w:pStyle w:val="Tabletext"/>
            </w:pPr>
            <w:r>
              <w:t>There is a population-wide dataset available based on supportive care screening (N</w:t>
            </w:r>
            <w:r w:rsidR="00AF57E5">
              <w:t>ational Comprehensive Cancer Network</w:t>
            </w:r>
            <w:r>
              <w:t xml:space="preserve"> distress monitor)</w:t>
            </w:r>
            <w:r w:rsidR="00E110DF">
              <w:t>.</w:t>
            </w:r>
            <w:r w:rsidR="00952FC7">
              <w:t xml:space="preserve"> </w:t>
            </w:r>
            <w:r w:rsidR="00E110DF">
              <w:t>This was</w:t>
            </w:r>
            <w:r w:rsidR="00B911D7">
              <w:t xml:space="preserve"> undertaken</w:t>
            </w:r>
            <w:r w:rsidR="00E110DF">
              <w:t xml:space="preserve"> in 2017.</w:t>
            </w:r>
            <w:r w:rsidR="00952FC7">
              <w:t xml:space="preserve"> </w:t>
            </w:r>
            <w:r w:rsidR="00E110DF">
              <w:t>It is unclear what the local data may look like</w:t>
            </w:r>
            <w:r w:rsidR="0046746C">
              <w:t>,</w:t>
            </w:r>
            <w:r w:rsidR="00E110DF">
              <w:t xml:space="preserve"> which would necessitate the development of a </w:t>
            </w:r>
            <w:r w:rsidR="005777BA">
              <w:t>state-wide</w:t>
            </w:r>
            <w:r w:rsidR="00CF6CB9">
              <w:t xml:space="preserve"> specific</w:t>
            </w:r>
            <w:r w:rsidR="0046746C">
              <w:t xml:space="preserve"> p</w:t>
            </w:r>
            <w:r w:rsidR="0046746C" w:rsidRPr="0046746C">
              <w:t>atient-reported outcome measure</w:t>
            </w:r>
            <w:r w:rsidR="00CF6CB9">
              <w:t xml:space="preserve"> </w:t>
            </w:r>
            <w:r w:rsidR="0046746C">
              <w:t>(</w:t>
            </w:r>
            <w:r w:rsidR="00E110DF">
              <w:t>PROM</w:t>
            </w:r>
            <w:r w:rsidR="0046746C">
              <w:t>)</w:t>
            </w:r>
            <w:r w:rsidR="00E110DF">
              <w:t>.</w:t>
            </w:r>
          </w:p>
        </w:tc>
        <w:tc>
          <w:tcPr>
            <w:tcW w:w="3827" w:type="dxa"/>
            <w:shd w:val="clear" w:color="auto" w:fill="FFFFFF" w:themeFill="background1"/>
          </w:tcPr>
          <w:p w14:paraId="78ADAA6B" w14:textId="77777777" w:rsidR="007D6826" w:rsidRDefault="00E110DF" w:rsidP="00E1278E">
            <w:pPr>
              <w:pStyle w:val="Tabletext"/>
            </w:pPr>
            <w:r>
              <w:t>To be determined</w:t>
            </w:r>
          </w:p>
        </w:tc>
      </w:tr>
    </w:tbl>
    <w:p w14:paraId="343FC1B9" w14:textId="09EFAE54" w:rsidR="00BC6977" w:rsidRDefault="00BC6977" w:rsidP="006D0DC0">
      <w:pPr>
        <w:pStyle w:val="Tablecaption"/>
      </w:pPr>
      <w:bookmarkStart w:id="1230" w:name="_Toc140834945"/>
      <w:r w:rsidRPr="00603D31">
        <w:t>Key result area: Improve patient experience of health</w:t>
      </w:r>
      <w:r w:rsidR="00B005B0">
        <w:t xml:space="preserve"> </w:t>
      </w:r>
      <w:r w:rsidRPr="00603D31">
        <w:t>care</w:t>
      </w:r>
      <w:bookmarkEnd w:id="1230"/>
    </w:p>
    <w:tbl>
      <w:tblPr>
        <w:tblW w:w="14317" w:type="dxa"/>
        <w:tblBorders>
          <w:top w:val="single" w:sz="4" w:space="0" w:color="C00000"/>
          <w:bottom w:val="single" w:sz="4" w:space="0" w:color="C00000"/>
          <w:insideH w:val="single" w:sz="4" w:space="0" w:color="C00000"/>
        </w:tblBorders>
        <w:shd w:val="clear" w:color="auto" w:fill="EDCDCF"/>
        <w:tblLook w:val="04A0" w:firstRow="1" w:lastRow="0" w:firstColumn="1" w:lastColumn="0" w:noHBand="0" w:noVBand="1"/>
      </w:tblPr>
      <w:tblGrid>
        <w:gridCol w:w="1303"/>
        <w:gridCol w:w="3659"/>
        <w:gridCol w:w="5528"/>
        <w:gridCol w:w="3827"/>
      </w:tblGrid>
      <w:tr w:rsidR="00BC6977" w14:paraId="0B607F00" w14:textId="77777777" w:rsidTr="004C0F3F">
        <w:trPr>
          <w:tblHeader/>
        </w:trPr>
        <w:tc>
          <w:tcPr>
            <w:tcW w:w="1303" w:type="dxa"/>
            <w:tcBorders>
              <w:top w:val="nil"/>
              <w:right w:val="single" w:sz="4" w:space="0" w:color="FFFFFF" w:themeColor="background1"/>
            </w:tcBorders>
            <w:shd w:val="clear" w:color="auto" w:fill="EDCDCF"/>
          </w:tcPr>
          <w:p w14:paraId="46126F08" w14:textId="3CDB7EB5" w:rsidR="00BC6977" w:rsidRDefault="00206E9F" w:rsidP="00780CAB">
            <w:pPr>
              <w:pStyle w:val="Tablecolhead"/>
            </w:pPr>
            <w:r>
              <w:t>Measure r</w:t>
            </w:r>
            <w:r w:rsidR="00BC6977" w:rsidRPr="00603D31">
              <w:t>eference number</w:t>
            </w:r>
          </w:p>
        </w:tc>
        <w:tc>
          <w:tcPr>
            <w:tcW w:w="3659" w:type="dxa"/>
            <w:tcBorders>
              <w:top w:val="nil"/>
              <w:left w:val="single" w:sz="4" w:space="0" w:color="FFFFFF" w:themeColor="background1"/>
              <w:right w:val="single" w:sz="4" w:space="0" w:color="FFFFFF" w:themeColor="background1"/>
            </w:tcBorders>
            <w:shd w:val="clear" w:color="auto" w:fill="EDCDCF"/>
          </w:tcPr>
          <w:p w14:paraId="4C3A52A2" w14:textId="7710F417" w:rsidR="00BC6977" w:rsidRPr="003215ED" w:rsidRDefault="00BC6977" w:rsidP="00780CAB">
            <w:pPr>
              <w:pStyle w:val="Tablecolhead"/>
            </w:pPr>
            <w:r w:rsidRPr="00603D31">
              <w:t>Name of measure</w:t>
            </w:r>
          </w:p>
        </w:tc>
        <w:tc>
          <w:tcPr>
            <w:tcW w:w="5528" w:type="dxa"/>
            <w:tcBorders>
              <w:top w:val="nil"/>
              <w:left w:val="single" w:sz="4" w:space="0" w:color="FFFFFF" w:themeColor="background1"/>
              <w:right w:val="single" w:sz="4" w:space="0" w:color="FFFFFF" w:themeColor="background1"/>
            </w:tcBorders>
            <w:shd w:val="clear" w:color="auto" w:fill="EDCDCF"/>
          </w:tcPr>
          <w:p w14:paraId="7480EAB0" w14:textId="60711B6D" w:rsidR="00BC6977" w:rsidRDefault="00BC6977" w:rsidP="00780CAB">
            <w:pPr>
              <w:pStyle w:val="Tablecolhead"/>
            </w:pPr>
            <w:r w:rsidRPr="00603D31">
              <w:t>Required next steps</w:t>
            </w:r>
          </w:p>
        </w:tc>
        <w:tc>
          <w:tcPr>
            <w:tcW w:w="3827" w:type="dxa"/>
            <w:tcBorders>
              <w:top w:val="nil"/>
              <w:left w:val="single" w:sz="4" w:space="0" w:color="FFFFFF" w:themeColor="background1"/>
            </w:tcBorders>
            <w:shd w:val="clear" w:color="auto" w:fill="EDCDCF"/>
          </w:tcPr>
          <w:p w14:paraId="10B859FA" w14:textId="6E361536" w:rsidR="00BC6977" w:rsidRDefault="00BC6977" w:rsidP="00780CAB">
            <w:pPr>
              <w:pStyle w:val="Tablecolhead"/>
            </w:pPr>
            <w:r w:rsidRPr="00603D31">
              <w:t>Indicative reporting schedule</w:t>
            </w:r>
          </w:p>
        </w:tc>
      </w:tr>
      <w:tr w:rsidR="00A729DF" w14:paraId="50CCA686" w14:textId="77777777" w:rsidTr="006808A3">
        <w:tc>
          <w:tcPr>
            <w:tcW w:w="1303" w:type="dxa"/>
            <w:shd w:val="clear" w:color="auto" w:fill="FFFFFF" w:themeFill="background1"/>
          </w:tcPr>
          <w:p w14:paraId="491933C5" w14:textId="77777777" w:rsidR="00A729DF" w:rsidRDefault="00A729DF" w:rsidP="00A729DF">
            <w:pPr>
              <w:pStyle w:val="Tabletext"/>
            </w:pPr>
            <w:r>
              <w:t>15.3</w:t>
            </w:r>
          </w:p>
        </w:tc>
        <w:tc>
          <w:tcPr>
            <w:tcW w:w="3659" w:type="dxa"/>
            <w:shd w:val="clear" w:color="auto" w:fill="FFFFFF" w:themeFill="background1"/>
          </w:tcPr>
          <w:p w14:paraId="66E3D8B1" w14:textId="77777777" w:rsidR="00A729DF" w:rsidRDefault="00A729DF" w:rsidP="00A729DF">
            <w:pPr>
              <w:pStyle w:val="Tabletext"/>
            </w:pPr>
            <w:r w:rsidRPr="008D57F1">
              <w:t>Proportion of adults admitted to public hospitals due to cancer who report positive transition from care index score</w:t>
            </w:r>
          </w:p>
        </w:tc>
        <w:tc>
          <w:tcPr>
            <w:tcW w:w="5528" w:type="dxa"/>
            <w:shd w:val="clear" w:color="auto" w:fill="FFFFFF" w:themeFill="background1"/>
          </w:tcPr>
          <w:p w14:paraId="4DFCED1F" w14:textId="308D73CC" w:rsidR="00A729DF" w:rsidRDefault="00A729DF" w:rsidP="00A729DF">
            <w:pPr>
              <w:pStyle w:val="Tabletext"/>
            </w:pPr>
            <w:r>
              <w:t xml:space="preserve">Exploring whether the index score could be calculated using three questions. Reporting on this measure will depend on data linkage. </w:t>
            </w:r>
          </w:p>
        </w:tc>
        <w:tc>
          <w:tcPr>
            <w:tcW w:w="3827" w:type="dxa"/>
            <w:shd w:val="clear" w:color="auto" w:fill="FFFFFF" w:themeFill="background1"/>
          </w:tcPr>
          <w:p w14:paraId="7B218A89" w14:textId="3DA0138E" w:rsidR="00A729DF" w:rsidRDefault="00A729DF" w:rsidP="00A729DF">
            <w:pPr>
              <w:pStyle w:val="Tabletext"/>
            </w:pPr>
            <w:r>
              <w:t>Future report</w:t>
            </w:r>
          </w:p>
        </w:tc>
      </w:tr>
      <w:tr w:rsidR="00BD127C" w14:paraId="496BEAE6" w14:textId="77777777" w:rsidTr="006808A3">
        <w:tc>
          <w:tcPr>
            <w:tcW w:w="1303" w:type="dxa"/>
            <w:shd w:val="clear" w:color="auto" w:fill="FFFFFF" w:themeFill="background1"/>
          </w:tcPr>
          <w:p w14:paraId="3EF2AD5D" w14:textId="77777777" w:rsidR="00BD127C" w:rsidRDefault="00BD127C" w:rsidP="00E1278E">
            <w:pPr>
              <w:pStyle w:val="Tabletext"/>
            </w:pPr>
            <w:r>
              <w:t>15.5</w:t>
            </w:r>
          </w:p>
        </w:tc>
        <w:tc>
          <w:tcPr>
            <w:tcW w:w="3659" w:type="dxa"/>
            <w:shd w:val="clear" w:color="auto" w:fill="FFFFFF" w:themeFill="background1"/>
          </w:tcPr>
          <w:p w14:paraId="7EF1A385" w14:textId="79594ED2" w:rsidR="00BD127C" w:rsidRDefault="00BD127C" w:rsidP="00E1278E">
            <w:pPr>
              <w:pStyle w:val="Tabletext"/>
            </w:pPr>
            <w:r w:rsidRPr="008D57F1">
              <w:t xml:space="preserve">Proportion of </w:t>
            </w:r>
            <w:r>
              <w:t>people</w:t>
            </w:r>
            <w:r w:rsidRPr="008D57F1">
              <w:t xml:space="preserve"> attending hospital outpatients due to cancer who report </w:t>
            </w:r>
            <w:r w:rsidR="00224D14">
              <w:t xml:space="preserve">a </w:t>
            </w:r>
            <w:r w:rsidRPr="008D57F1">
              <w:t>positive healthcare experience</w:t>
            </w:r>
          </w:p>
        </w:tc>
        <w:tc>
          <w:tcPr>
            <w:tcW w:w="5528" w:type="dxa"/>
            <w:shd w:val="clear" w:color="auto" w:fill="FFFFFF" w:themeFill="background1"/>
          </w:tcPr>
          <w:p w14:paraId="171B243F" w14:textId="411AFC23" w:rsidR="00BD127C" w:rsidRDefault="00D64B5D" w:rsidP="00E1278E">
            <w:pPr>
              <w:pStyle w:val="Tabletext"/>
            </w:pPr>
            <w:r>
              <w:t>The r</w:t>
            </w:r>
            <w:r w:rsidR="00BD127C" w:rsidRPr="00AB372D">
              <w:t>esources</w:t>
            </w:r>
            <w:r w:rsidR="0046084D">
              <w:t xml:space="preserve"> needed</w:t>
            </w:r>
            <w:r w:rsidR="00BD127C" w:rsidRPr="00AB372D">
              <w:t xml:space="preserve"> to resolve th</w:t>
            </w:r>
            <w:r w:rsidR="00156B6E">
              <w:t>is</w:t>
            </w:r>
            <w:r w:rsidR="00BD127C" w:rsidRPr="00AB372D">
              <w:t xml:space="preserve"> measure in the future are yet </w:t>
            </w:r>
            <w:r w:rsidR="00BD127C">
              <w:t xml:space="preserve">to be confirmed. </w:t>
            </w:r>
          </w:p>
        </w:tc>
        <w:tc>
          <w:tcPr>
            <w:tcW w:w="3827" w:type="dxa"/>
            <w:shd w:val="clear" w:color="auto" w:fill="FFFFFF" w:themeFill="background1"/>
          </w:tcPr>
          <w:p w14:paraId="074A5357" w14:textId="77777777" w:rsidR="00BD127C" w:rsidRDefault="00BD127C" w:rsidP="00E1278E">
            <w:pPr>
              <w:pStyle w:val="Tabletext"/>
            </w:pPr>
            <w:r>
              <w:t>To be determined</w:t>
            </w:r>
          </w:p>
        </w:tc>
      </w:tr>
      <w:tr w:rsidR="00BD127C" w14:paraId="295D50EF" w14:textId="77777777" w:rsidTr="006808A3">
        <w:tc>
          <w:tcPr>
            <w:tcW w:w="1303" w:type="dxa"/>
            <w:shd w:val="clear" w:color="auto" w:fill="FFFFFF" w:themeFill="background1"/>
          </w:tcPr>
          <w:p w14:paraId="4C1F5F88" w14:textId="77777777" w:rsidR="00BD127C" w:rsidRDefault="00BD127C" w:rsidP="00E1278E">
            <w:pPr>
              <w:pStyle w:val="Tabletext"/>
            </w:pPr>
            <w:r>
              <w:t>15.6</w:t>
            </w:r>
          </w:p>
        </w:tc>
        <w:tc>
          <w:tcPr>
            <w:tcW w:w="3659" w:type="dxa"/>
            <w:shd w:val="clear" w:color="auto" w:fill="FFFFFF" w:themeFill="background1"/>
          </w:tcPr>
          <w:p w14:paraId="6AA0C669" w14:textId="3343436B" w:rsidR="00BD127C" w:rsidRDefault="00BD127C" w:rsidP="00E1278E">
            <w:pPr>
              <w:pStyle w:val="Tabletext"/>
            </w:pPr>
            <w:r w:rsidRPr="008D57F1">
              <w:t xml:space="preserve">Proportion of </w:t>
            </w:r>
            <w:r>
              <w:t>people</w:t>
            </w:r>
            <w:r w:rsidRPr="008D57F1">
              <w:t xml:space="preserve"> attending primary care due to cancer who report </w:t>
            </w:r>
            <w:r w:rsidR="00224D14">
              <w:t xml:space="preserve">a </w:t>
            </w:r>
            <w:r w:rsidRPr="008D57F1">
              <w:t>positive healthcare experience</w:t>
            </w:r>
          </w:p>
        </w:tc>
        <w:tc>
          <w:tcPr>
            <w:tcW w:w="5528" w:type="dxa"/>
            <w:shd w:val="clear" w:color="auto" w:fill="FFFFFF" w:themeFill="background1"/>
          </w:tcPr>
          <w:p w14:paraId="34E89A77" w14:textId="7BE35889" w:rsidR="00BD127C" w:rsidRDefault="00206E9F" w:rsidP="00E1278E">
            <w:pPr>
              <w:pStyle w:val="Tabletext"/>
            </w:pPr>
            <w:r>
              <w:t>Same as above for Measure 15.5.</w:t>
            </w:r>
          </w:p>
        </w:tc>
        <w:tc>
          <w:tcPr>
            <w:tcW w:w="3827" w:type="dxa"/>
            <w:shd w:val="clear" w:color="auto" w:fill="FFFFFF" w:themeFill="background1"/>
          </w:tcPr>
          <w:p w14:paraId="5A7A856B" w14:textId="64695A8D" w:rsidR="00BD127C" w:rsidRDefault="00206E9F" w:rsidP="00E1278E">
            <w:pPr>
              <w:pStyle w:val="Tabletext"/>
            </w:pPr>
            <w:r>
              <w:t>To be determined</w:t>
            </w:r>
          </w:p>
        </w:tc>
      </w:tr>
    </w:tbl>
    <w:p w14:paraId="1641F124" w14:textId="77777777" w:rsidR="00E12404" w:rsidRDefault="00E12404" w:rsidP="006D0DC0">
      <w:pPr>
        <w:pStyle w:val="Tablecaption"/>
      </w:pPr>
    </w:p>
    <w:bookmarkEnd w:id="1229"/>
    <w:p w14:paraId="18F4FEE1" w14:textId="77777777" w:rsidR="00E12404" w:rsidRDefault="00E12404">
      <w:pPr>
        <w:rPr>
          <w:rFonts w:ascii="Arial" w:hAnsi="Arial"/>
          <w:b/>
          <w:sz w:val="21"/>
          <w:lang w:eastAsia="en-US"/>
        </w:rPr>
      </w:pPr>
      <w:r>
        <w:br w:type="page"/>
      </w:r>
    </w:p>
    <w:p w14:paraId="540E88AE" w14:textId="7ACCAC25" w:rsidR="00BC6977" w:rsidRDefault="00BC6977" w:rsidP="006D0DC0">
      <w:pPr>
        <w:pStyle w:val="Tablecaption"/>
      </w:pPr>
      <w:bookmarkStart w:id="1231" w:name="_Toc140834946"/>
      <w:r w:rsidRPr="00603D31">
        <w:lastRenderedPageBreak/>
        <w:t>Key result area: Innovations and improved evidence of best practice</w:t>
      </w:r>
      <w:bookmarkEnd w:id="1231"/>
    </w:p>
    <w:tbl>
      <w:tblPr>
        <w:tblW w:w="14317" w:type="dxa"/>
        <w:tblBorders>
          <w:top w:val="single" w:sz="4" w:space="0" w:color="C00000"/>
          <w:bottom w:val="single" w:sz="4" w:space="0" w:color="C00000"/>
          <w:insideH w:val="single" w:sz="4" w:space="0" w:color="C00000"/>
        </w:tblBorders>
        <w:shd w:val="clear" w:color="auto" w:fill="EDCDCF"/>
        <w:tblLook w:val="04A0" w:firstRow="1" w:lastRow="0" w:firstColumn="1" w:lastColumn="0" w:noHBand="0" w:noVBand="1"/>
      </w:tblPr>
      <w:tblGrid>
        <w:gridCol w:w="1303"/>
        <w:gridCol w:w="3659"/>
        <w:gridCol w:w="5528"/>
        <w:gridCol w:w="3827"/>
      </w:tblGrid>
      <w:tr w:rsidR="00BC6977" w:rsidRPr="00331CAB" w14:paraId="42457600" w14:textId="77777777" w:rsidTr="004C0F3F">
        <w:tc>
          <w:tcPr>
            <w:tcW w:w="1303" w:type="dxa"/>
            <w:tcBorders>
              <w:top w:val="nil"/>
              <w:right w:val="single" w:sz="4" w:space="0" w:color="FFFFFF" w:themeColor="background1"/>
            </w:tcBorders>
            <w:shd w:val="clear" w:color="auto" w:fill="EDCDCF"/>
          </w:tcPr>
          <w:bookmarkEnd w:id="1204"/>
          <w:p w14:paraId="3CF566D8" w14:textId="4B7A9755" w:rsidR="00BC6977" w:rsidRPr="00A64E7A" w:rsidRDefault="00206E9F" w:rsidP="00780CAB">
            <w:pPr>
              <w:pStyle w:val="Tablecolhead"/>
            </w:pPr>
            <w:r>
              <w:t>Measure r</w:t>
            </w:r>
            <w:r w:rsidR="00BC6977" w:rsidRPr="00603D31">
              <w:t>eference number</w:t>
            </w:r>
          </w:p>
        </w:tc>
        <w:tc>
          <w:tcPr>
            <w:tcW w:w="3659" w:type="dxa"/>
            <w:tcBorders>
              <w:top w:val="nil"/>
              <w:left w:val="single" w:sz="4" w:space="0" w:color="FFFFFF" w:themeColor="background1"/>
              <w:right w:val="single" w:sz="4" w:space="0" w:color="FFFFFF" w:themeColor="background1"/>
            </w:tcBorders>
            <w:shd w:val="clear" w:color="auto" w:fill="EDCDCF"/>
          </w:tcPr>
          <w:p w14:paraId="2D774D47" w14:textId="41AC7E12" w:rsidR="00BC6977" w:rsidRPr="00A64E7A" w:rsidRDefault="00BC6977" w:rsidP="00780CAB">
            <w:pPr>
              <w:pStyle w:val="Tablecolhead"/>
            </w:pPr>
            <w:r w:rsidRPr="00603D31">
              <w:t>Name of measure</w:t>
            </w:r>
          </w:p>
        </w:tc>
        <w:tc>
          <w:tcPr>
            <w:tcW w:w="5528" w:type="dxa"/>
            <w:tcBorders>
              <w:top w:val="nil"/>
              <w:left w:val="single" w:sz="4" w:space="0" w:color="FFFFFF" w:themeColor="background1"/>
              <w:right w:val="single" w:sz="4" w:space="0" w:color="FFFFFF" w:themeColor="background1"/>
            </w:tcBorders>
            <w:shd w:val="clear" w:color="auto" w:fill="EDCDCF"/>
          </w:tcPr>
          <w:p w14:paraId="54DC6A58" w14:textId="116D5CCC" w:rsidR="00BC6977" w:rsidRPr="00A64E7A" w:rsidRDefault="00BC6977" w:rsidP="00780CAB">
            <w:pPr>
              <w:pStyle w:val="Tablecolhead"/>
            </w:pPr>
            <w:r w:rsidRPr="00603D31">
              <w:t>Required next steps</w:t>
            </w:r>
          </w:p>
        </w:tc>
        <w:tc>
          <w:tcPr>
            <w:tcW w:w="3827" w:type="dxa"/>
            <w:tcBorders>
              <w:top w:val="nil"/>
              <w:left w:val="single" w:sz="4" w:space="0" w:color="FFFFFF" w:themeColor="background1"/>
            </w:tcBorders>
            <w:shd w:val="clear" w:color="auto" w:fill="EDCDCF"/>
          </w:tcPr>
          <w:p w14:paraId="26E88BBC" w14:textId="2B8DB2EF" w:rsidR="00BC6977" w:rsidRPr="00A64E7A" w:rsidRDefault="00BC6977" w:rsidP="00780CAB">
            <w:pPr>
              <w:pStyle w:val="Tablecolhead"/>
            </w:pPr>
            <w:r w:rsidRPr="00603D31">
              <w:t>Indicative reporting schedule</w:t>
            </w:r>
          </w:p>
        </w:tc>
      </w:tr>
      <w:tr w:rsidR="00A64E7A" w:rsidRPr="00331CAB" w14:paraId="53D3E4ED" w14:textId="77777777" w:rsidTr="006808A3">
        <w:tc>
          <w:tcPr>
            <w:tcW w:w="1303" w:type="dxa"/>
            <w:shd w:val="clear" w:color="auto" w:fill="FFFFFF" w:themeFill="background1"/>
          </w:tcPr>
          <w:p w14:paraId="26AF3B2F" w14:textId="5722016F" w:rsidR="00A64E7A" w:rsidRPr="00A64E7A" w:rsidRDefault="00A64E7A" w:rsidP="00E1278E">
            <w:pPr>
              <w:pStyle w:val="Tabletext"/>
            </w:pPr>
            <w:r w:rsidRPr="00A64E7A">
              <w:t>17.4</w:t>
            </w:r>
          </w:p>
        </w:tc>
        <w:tc>
          <w:tcPr>
            <w:tcW w:w="3659" w:type="dxa"/>
            <w:shd w:val="clear" w:color="auto" w:fill="FFFFFF" w:themeFill="background1"/>
          </w:tcPr>
          <w:p w14:paraId="0833EC75" w14:textId="5A6A2BDA" w:rsidR="00A64E7A" w:rsidRPr="00A64E7A" w:rsidRDefault="00A64E7A" w:rsidP="00E1278E">
            <w:pPr>
              <w:pStyle w:val="Tabletext"/>
            </w:pPr>
            <w:r w:rsidRPr="00A64E7A">
              <w:t>Proportion of eligible patients who receive medication within 12 months of listing on the Pharmaceutical Benefits Scheme (PBS)</w:t>
            </w:r>
          </w:p>
        </w:tc>
        <w:tc>
          <w:tcPr>
            <w:tcW w:w="5528" w:type="dxa"/>
            <w:shd w:val="clear" w:color="auto" w:fill="FFFFFF" w:themeFill="background1"/>
          </w:tcPr>
          <w:p w14:paraId="4B02EDB7" w14:textId="714C15C0" w:rsidR="00A64E7A" w:rsidRPr="00A64E7A" w:rsidRDefault="00A64E7A" w:rsidP="00E1278E">
            <w:pPr>
              <w:pStyle w:val="Tabletext"/>
            </w:pPr>
            <w:r w:rsidRPr="00A64E7A">
              <w:t xml:space="preserve">Substantial work is required to identify data criteria </w:t>
            </w:r>
            <w:r w:rsidR="00D64B5D">
              <w:t>(</w:t>
            </w:r>
            <w:r w:rsidRPr="00A64E7A">
              <w:rPr>
                <w:rFonts w:cs="Calibri"/>
              </w:rPr>
              <w:t>the most appropriate medication</w:t>
            </w:r>
            <w:r w:rsidR="00D64B5D">
              <w:rPr>
                <w:rFonts w:cs="Calibri"/>
              </w:rPr>
              <w:t>)</w:t>
            </w:r>
            <w:r w:rsidRPr="00A64E7A">
              <w:rPr>
                <w:rFonts w:cs="Calibri"/>
              </w:rPr>
              <w:t xml:space="preserve"> and </w:t>
            </w:r>
            <w:r w:rsidR="00222342">
              <w:rPr>
                <w:rFonts w:cs="Calibri"/>
              </w:rPr>
              <w:t xml:space="preserve">obtain </w:t>
            </w:r>
            <w:r w:rsidRPr="00A64E7A">
              <w:rPr>
                <w:rFonts w:cs="Calibri"/>
              </w:rPr>
              <w:t>PBS data.</w:t>
            </w:r>
          </w:p>
        </w:tc>
        <w:tc>
          <w:tcPr>
            <w:tcW w:w="3827" w:type="dxa"/>
            <w:shd w:val="clear" w:color="auto" w:fill="FFFFFF" w:themeFill="background1"/>
          </w:tcPr>
          <w:p w14:paraId="4A665B93" w14:textId="77777777" w:rsidR="00A64E7A" w:rsidRPr="00A64E7A" w:rsidRDefault="00A64E7A" w:rsidP="00E1278E">
            <w:pPr>
              <w:pStyle w:val="Tabletext"/>
            </w:pPr>
            <w:r w:rsidRPr="00A64E7A">
              <w:t>Future report</w:t>
            </w:r>
          </w:p>
        </w:tc>
      </w:tr>
    </w:tbl>
    <w:p w14:paraId="114B956B" w14:textId="7FE6849A" w:rsidR="00D20D63" w:rsidRPr="00924827" w:rsidRDefault="00D20D63" w:rsidP="00606436">
      <w:pPr>
        <w:pStyle w:val="Body"/>
      </w:pPr>
      <w:bookmarkStart w:id="1232" w:name="_Appendix_2:_Datasets"/>
      <w:bookmarkEnd w:id="1232"/>
      <w:r>
        <w:br w:type="page"/>
      </w:r>
    </w:p>
    <w:p w14:paraId="35514C5A" w14:textId="77777777" w:rsidR="00C554CE" w:rsidRDefault="00C554CE" w:rsidP="007D6BCA">
      <w:pPr>
        <w:pStyle w:val="Heading1"/>
        <w:sectPr w:rsidR="00C554CE" w:rsidSect="009302EB">
          <w:pgSz w:w="16838" w:h="11906" w:orient="landscape"/>
          <w:pgMar w:top="1411" w:right="1310" w:bottom="1138" w:left="1310" w:header="454" w:footer="510" w:gutter="0"/>
          <w:cols w:space="720"/>
          <w:docGrid w:linePitch="360"/>
        </w:sectPr>
      </w:pPr>
      <w:bookmarkStart w:id="1233" w:name="_Toc518553908"/>
    </w:p>
    <w:p w14:paraId="5F3C69D1" w14:textId="5FA4189E" w:rsidR="00D20D63" w:rsidRPr="006019B3" w:rsidRDefault="00D20D63" w:rsidP="007D6BCA">
      <w:pPr>
        <w:pStyle w:val="Heading1"/>
      </w:pPr>
      <w:bookmarkStart w:id="1234" w:name="_Toc19008245"/>
      <w:bookmarkStart w:id="1235" w:name="_Toc140843435"/>
      <w:r w:rsidRPr="006019B3">
        <w:lastRenderedPageBreak/>
        <w:t>Abbreviations</w:t>
      </w:r>
      <w:bookmarkEnd w:id="1233"/>
      <w:bookmarkEnd w:id="1234"/>
      <w:bookmarkEnd w:id="1235"/>
    </w:p>
    <w:tbl>
      <w:tblPr>
        <w:tblStyle w:val="PlainTable21"/>
        <w:tblW w:w="0" w:type="auto"/>
        <w:tblLook w:val="04A0" w:firstRow="1" w:lastRow="0" w:firstColumn="1" w:lastColumn="0" w:noHBand="0" w:noVBand="1"/>
      </w:tblPr>
      <w:tblGrid>
        <w:gridCol w:w="1439"/>
        <w:gridCol w:w="7628"/>
      </w:tblGrid>
      <w:tr w:rsidR="00D20D63" w:rsidRPr="002D5B2E" w14:paraId="79295F0A" w14:textId="77777777" w:rsidTr="00D20D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2BB46A9E" w14:textId="77777777" w:rsidR="00D20D63" w:rsidRPr="002D5B2E" w:rsidRDefault="00D20D63" w:rsidP="00D20D63">
            <w:pPr>
              <w:pStyle w:val="Tabletext"/>
            </w:pPr>
            <w:r w:rsidRPr="002D5B2E">
              <w:t xml:space="preserve">ABS </w:t>
            </w:r>
          </w:p>
        </w:tc>
        <w:tc>
          <w:tcPr>
            <w:tcW w:w="7628" w:type="dxa"/>
          </w:tcPr>
          <w:p w14:paraId="436AF442" w14:textId="77777777" w:rsidR="00D20D63" w:rsidRPr="00B15B70" w:rsidRDefault="00D20D63" w:rsidP="00D20D63">
            <w:pPr>
              <w:pStyle w:val="Tabletext"/>
              <w:cnfStyle w:val="100000000000" w:firstRow="1" w:lastRow="0" w:firstColumn="0" w:lastColumn="0" w:oddVBand="0" w:evenVBand="0" w:oddHBand="0" w:evenHBand="0" w:firstRowFirstColumn="0" w:firstRowLastColumn="0" w:lastRowFirstColumn="0" w:lastRowLastColumn="0"/>
              <w:rPr>
                <w:b w:val="0"/>
              </w:rPr>
            </w:pPr>
            <w:r w:rsidRPr="00B15B70">
              <w:rPr>
                <w:b w:val="0"/>
              </w:rPr>
              <w:t xml:space="preserve">Australian Bureau of Statistics </w:t>
            </w:r>
          </w:p>
        </w:tc>
      </w:tr>
      <w:tr w:rsidR="00D20D63" w:rsidRPr="002D5B2E" w14:paraId="79A5B50C" w14:textId="427B07B2"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3300562" w14:textId="27DA6FF6" w:rsidR="00D20D63" w:rsidRPr="002D5B2E" w:rsidRDefault="00D20D63" w:rsidP="00D20D63">
            <w:pPr>
              <w:pStyle w:val="Tabletext"/>
            </w:pPr>
            <w:r w:rsidRPr="002D5B2E">
              <w:t>AIHW</w:t>
            </w:r>
          </w:p>
        </w:tc>
        <w:tc>
          <w:tcPr>
            <w:tcW w:w="7628" w:type="dxa"/>
          </w:tcPr>
          <w:p w14:paraId="244B5918" w14:textId="386CD6D9" w:rsidR="00D20D63" w:rsidRPr="002D5B2E" w:rsidRDefault="00D20D63" w:rsidP="00D20D63">
            <w:pPr>
              <w:pStyle w:val="Tabletext"/>
              <w:cnfStyle w:val="000000100000" w:firstRow="0" w:lastRow="0" w:firstColumn="0" w:lastColumn="0" w:oddVBand="0" w:evenVBand="0" w:oddHBand="1" w:evenHBand="0" w:firstRowFirstColumn="0" w:firstRowLastColumn="0" w:lastRowFirstColumn="0" w:lastRowLastColumn="0"/>
            </w:pPr>
            <w:r w:rsidRPr="002D5B2E">
              <w:t>Australian Institute of Health and Welfare</w:t>
            </w:r>
          </w:p>
        </w:tc>
      </w:tr>
      <w:tr w:rsidR="00873EEC" w:rsidRPr="002D5B2E" w14:paraId="616F490E"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00C929D8" w14:textId="47B8EA49" w:rsidR="00873EEC" w:rsidRPr="002D5B2E" w:rsidRDefault="00873EEC" w:rsidP="00D20D63">
            <w:pPr>
              <w:pStyle w:val="Tabletext"/>
            </w:pPr>
            <w:r>
              <w:t>AML</w:t>
            </w:r>
          </w:p>
        </w:tc>
        <w:tc>
          <w:tcPr>
            <w:tcW w:w="7628" w:type="dxa"/>
          </w:tcPr>
          <w:p w14:paraId="4056EA82" w14:textId="7455696A" w:rsidR="00873EEC" w:rsidRPr="002D5B2E" w:rsidRDefault="00873EEC" w:rsidP="00D20D63">
            <w:pPr>
              <w:pStyle w:val="Tabletext"/>
              <w:cnfStyle w:val="000000000000" w:firstRow="0" w:lastRow="0" w:firstColumn="0" w:lastColumn="0" w:oddVBand="0" w:evenVBand="0" w:oddHBand="0" w:evenHBand="0" w:firstRowFirstColumn="0" w:firstRowLastColumn="0" w:lastRowFirstColumn="0" w:lastRowLastColumn="0"/>
            </w:pPr>
            <w:r>
              <w:t>acute myeloid leukemia</w:t>
            </w:r>
          </w:p>
        </w:tc>
      </w:tr>
      <w:tr w:rsidR="00F65A87" w:rsidRPr="002D5B2E" w14:paraId="312B9D50"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89FFEFE" w14:textId="1FD7989E" w:rsidR="00F65A87" w:rsidRPr="002D5B2E" w:rsidRDefault="00F65A87" w:rsidP="00D20D63">
            <w:pPr>
              <w:pStyle w:val="Tabletext"/>
            </w:pPr>
            <w:r>
              <w:t>ASGC</w:t>
            </w:r>
          </w:p>
        </w:tc>
        <w:tc>
          <w:tcPr>
            <w:tcW w:w="7628" w:type="dxa"/>
          </w:tcPr>
          <w:p w14:paraId="3D062E51" w14:textId="25ADA750" w:rsidR="00F65A87" w:rsidRDefault="00F65A87" w:rsidP="00D20D63">
            <w:pPr>
              <w:pStyle w:val="Tabletext"/>
              <w:cnfStyle w:val="000000100000" w:firstRow="0" w:lastRow="0" w:firstColumn="0" w:lastColumn="0" w:oddVBand="0" w:evenVBand="0" w:oddHBand="1" w:evenHBand="0" w:firstRowFirstColumn="0" w:firstRowLastColumn="0" w:lastRowFirstColumn="0" w:lastRowLastColumn="0"/>
            </w:pPr>
            <w:r w:rsidRPr="00F018F3">
              <w:t>Australian Standard Geographical Classification</w:t>
            </w:r>
          </w:p>
        </w:tc>
      </w:tr>
      <w:tr w:rsidR="00D20D63" w:rsidRPr="002D5B2E" w14:paraId="260E266E"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4E6D6131" w14:textId="77777777" w:rsidR="00D20D63" w:rsidRPr="002D5B2E" w:rsidRDefault="00D20D63" w:rsidP="00D20D63">
            <w:pPr>
              <w:pStyle w:val="Tabletext"/>
            </w:pPr>
            <w:r w:rsidRPr="002D5B2E">
              <w:t>BMI</w:t>
            </w:r>
          </w:p>
        </w:tc>
        <w:tc>
          <w:tcPr>
            <w:tcW w:w="7628" w:type="dxa"/>
          </w:tcPr>
          <w:p w14:paraId="55367AB4" w14:textId="39393C7C" w:rsidR="00D20D63" w:rsidRPr="002D5B2E" w:rsidRDefault="00873EEC" w:rsidP="00D20D63">
            <w:pPr>
              <w:pStyle w:val="Tabletext"/>
              <w:cnfStyle w:val="000000000000" w:firstRow="0" w:lastRow="0" w:firstColumn="0" w:lastColumn="0" w:oddVBand="0" w:evenVBand="0" w:oddHBand="0" w:evenHBand="0" w:firstRowFirstColumn="0" w:firstRowLastColumn="0" w:lastRowFirstColumn="0" w:lastRowLastColumn="0"/>
            </w:pPr>
            <w:r>
              <w:t>b</w:t>
            </w:r>
            <w:r w:rsidR="00D20D63" w:rsidRPr="002D5B2E">
              <w:t>ody mass index</w:t>
            </w:r>
          </w:p>
        </w:tc>
      </w:tr>
      <w:tr w:rsidR="00D20D63" w:rsidRPr="002D5B2E" w14:paraId="49F010FF"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07E5180A" w14:textId="77777777" w:rsidR="00D20D63" w:rsidRPr="002D5B2E" w:rsidRDefault="00D20D63" w:rsidP="00D20D63">
            <w:pPr>
              <w:pStyle w:val="Tabletext"/>
            </w:pPr>
            <w:r>
              <w:t>BSWRICS</w:t>
            </w:r>
          </w:p>
        </w:tc>
        <w:tc>
          <w:tcPr>
            <w:tcW w:w="7628" w:type="dxa"/>
          </w:tcPr>
          <w:p w14:paraId="7AD7F572" w14:textId="66C6DF20" w:rsidR="00D20D63" w:rsidRDefault="00D20D63" w:rsidP="00D20D63">
            <w:pPr>
              <w:pStyle w:val="Tabletext"/>
              <w:cnfStyle w:val="000000100000" w:firstRow="0" w:lastRow="0" w:firstColumn="0" w:lastColumn="0" w:oddVBand="0" w:evenVBand="0" w:oddHBand="1" w:evenHBand="0" w:firstRowFirstColumn="0" w:firstRowLastColumn="0" w:lastRowFirstColumn="0" w:lastRowLastColumn="0"/>
            </w:pPr>
            <w:r w:rsidRPr="00657B9B">
              <w:rPr>
                <w:lang w:eastAsia="en-AU"/>
              </w:rPr>
              <w:t>Bar</w:t>
            </w:r>
            <w:r w:rsidRPr="00A34B54">
              <w:rPr>
                <w:lang w:eastAsia="en-AU"/>
              </w:rPr>
              <w:t>won South Western I</w:t>
            </w:r>
            <w:r>
              <w:rPr>
                <w:lang w:eastAsia="en-AU"/>
              </w:rPr>
              <w:t>ntegrated Cancer Service</w:t>
            </w:r>
          </w:p>
        </w:tc>
      </w:tr>
      <w:tr w:rsidR="00873EEC" w:rsidRPr="002D5B2E" w14:paraId="0AF25B29"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4B3AF8B5" w14:textId="5F968CE8" w:rsidR="00873EEC" w:rsidRDefault="00873EEC" w:rsidP="00D20D63">
            <w:pPr>
              <w:pStyle w:val="Tabletext"/>
            </w:pPr>
            <w:r>
              <w:t>CRC</w:t>
            </w:r>
          </w:p>
        </w:tc>
        <w:tc>
          <w:tcPr>
            <w:tcW w:w="7628" w:type="dxa"/>
          </w:tcPr>
          <w:p w14:paraId="306417D0" w14:textId="447F843C" w:rsidR="00873EEC" w:rsidRPr="00657B9B" w:rsidRDefault="00873EEC" w:rsidP="00D20D63">
            <w:pPr>
              <w:pStyle w:val="Tabletext"/>
              <w:cnfStyle w:val="000000000000" w:firstRow="0" w:lastRow="0" w:firstColumn="0" w:lastColumn="0" w:oddVBand="0" w:evenVBand="0" w:oddHBand="0" w:evenHBand="0" w:firstRowFirstColumn="0" w:firstRowLastColumn="0" w:lastRowFirstColumn="0" w:lastRowLastColumn="0"/>
              <w:rPr>
                <w:lang w:eastAsia="en-AU"/>
              </w:rPr>
            </w:pPr>
            <w:r>
              <w:rPr>
                <w:lang w:eastAsia="en-AU"/>
              </w:rPr>
              <w:t>colorectal cancer</w:t>
            </w:r>
          </w:p>
        </w:tc>
      </w:tr>
      <w:tr w:rsidR="00D20D63" w:rsidRPr="002D5B2E" w14:paraId="6E679D7A"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19C8E6C6" w14:textId="77777777" w:rsidR="00D20D63" w:rsidRPr="002D5B2E" w:rsidRDefault="00D20D63" w:rsidP="00D20D63">
            <w:pPr>
              <w:pStyle w:val="Tabletext"/>
            </w:pPr>
            <w:r>
              <w:t>CVDL</w:t>
            </w:r>
          </w:p>
        </w:tc>
        <w:tc>
          <w:tcPr>
            <w:tcW w:w="7628" w:type="dxa"/>
          </w:tcPr>
          <w:p w14:paraId="4B49EF21" w14:textId="043AA2E1" w:rsidR="00D20D63" w:rsidRPr="002D5B2E" w:rsidRDefault="00D20D63" w:rsidP="00D20D63">
            <w:pPr>
              <w:pStyle w:val="Tabletext"/>
              <w:cnfStyle w:val="000000100000" w:firstRow="0" w:lastRow="0" w:firstColumn="0" w:lastColumn="0" w:oddVBand="0" w:evenVBand="0" w:oddHBand="1" w:evenHBand="0" w:firstRowFirstColumn="0" w:firstRowLastColumn="0" w:lastRowFirstColumn="0" w:lastRowLastColumn="0"/>
            </w:pPr>
            <w:r>
              <w:t xml:space="preserve">Centre for Victorian Data Linkage, Department of Health </w:t>
            </w:r>
          </w:p>
        </w:tc>
      </w:tr>
      <w:tr w:rsidR="00F65A87" w:rsidRPr="002D5B2E" w14:paraId="26703AE7"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610EC1A5" w14:textId="2C63C026" w:rsidR="00F65A87" w:rsidRDefault="00F65A87" w:rsidP="00D20D63">
            <w:pPr>
              <w:pStyle w:val="Tabletext"/>
            </w:pPr>
            <w:r>
              <w:t>ED</w:t>
            </w:r>
          </w:p>
        </w:tc>
        <w:tc>
          <w:tcPr>
            <w:tcW w:w="7628" w:type="dxa"/>
          </w:tcPr>
          <w:p w14:paraId="0E27C2FE" w14:textId="66CD57EE" w:rsidR="00F65A87" w:rsidRPr="00F65A87" w:rsidRDefault="00F65A87" w:rsidP="00D20D63">
            <w:pPr>
              <w:pStyle w:val="Tabletext"/>
              <w:cnfStyle w:val="000000000000" w:firstRow="0" w:lastRow="0" w:firstColumn="0" w:lastColumn="0" w:oddVBand="0" w:evenVBand="0" w:oddHBand="0" w:evenHBand="0" w:firstRowFirstColumn="0" w:firstRowLastColumn="0" w:lastRowFirstColumn="0" w:lastRowLastColumn="0"/>
              <w:rPr>
                <w:rStyle w:val="Emphasis"/>
                <w:b w:val="0"/>
              </w:rPr>
            </w:pPr>
            <w:r>
              <w:rPr>
                <w:rStyle w:val="Emphasis"/>
                <w:b w:val="0"/>
              </w:rPr>
              <w:t>e</w:t>
            </w:r>
            <w:r w:rsidRPr="001003DB">
              <w:rPr>
                <w:rStyle w:val="Emphasis"/>
                <w:b w:val="0"/>
              </w:rPr>
              <w:t>mergency department</w:t>
            </w:r>
          </w:p>
        </w:tc>
      </w:tr>
      <w:tr w:rsidR="00D20D63" w:rsidRPr="002D5B2E" w14:paraId="26296156"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75BA1D67" w14:textId="77777777" w:rsidR="00D20D63" w:rsidRDefault="00D20D63" w:rsidP="00D20D63">
            <w:pPr>
              <w:pStyle w:val="Tabletext"/>
            </w:pPr>
            <w:r>
              <w:t>ERP</w:t>
            </w:r>
          </w:p>
        </w:tc>
        <w:tc>
          <w:tcPr>
            <w:tcW w:w="7628" w:type="dxa"/>
          </w:tcPr>
          <w:p w14:paraId="0006F674" w14:textId="77777777" w:rsidR="00D20D63" w:rsidRPr="00084840" w:rsidRDefault="00D20D63" w:rsidP="00D20D63">
            <w:pPr>
              <w:pStyle w:val="Tabletext"/>
              <w:cnfStyle w:val="000000100000" w:firstRow="0" w:lastRow="0" w:firstColumn="0" w:lastColumn="0" w:oddVBand="0" w:evenVBand="0" w:oddHBand="1" w:evenHBand="0" w:firstRowFirstColumn="0" w:firstRowLastColumn="0" w:lastRowFirstColumn="0" w:lastRowLastColumn="0"/>
              <w:rPr>
                <w:rStyle w:val="Emphasis"/>
                <w:b w:val="0"/>
              </w:rPr>
            </w:pPr>
            <w:r w:rsidRPr="00084840">
              <w:rPr>
                <w:rStyle w:val="Emphasis"/>
                <w:b w:val="0"/>
              </w:rPr>
              <w:t>Estimated Resident Population</w:t>
            </w:r>
          </w:p>
        </w:tc>
      </w:tr>
      <w:tr w:rsidR="00D20D63" w:rsidRPr="002D5B2E" w14:paraId="07D8A4AD"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1C87E5A1" w14:textId="77777777" w:rsidR="00D20D63" w:rsidRPr="002D5B2E" w:rsidRDefault="00D20D63" w:rsidP="00D20D63">
            <w:pPr>
              <w:pStyle w:val="Tabletext"/>
            </w:pPr>
            <w:r>
              <w:t>GICS</w:t>
            </w:r>
          </w:p>
        </w:tc>
        <w:tc>
          <w:tcPr>
            <w:tcW w:w="7628" w:type="dxa"/>
          </w:tcPr>
          <w:p w14:paraId="24811A3F" w14:textId="418FA063" w:rsidR="00D20D63" w:rsidRPr="005607BE" w:rsidRDefault="005008D6" w:rsidP="00D20D63">
            <w:pPr>
              <w:pStyle w:val="Tabletext"/>
              <w:cnfStyle w:val="000000000000" w:firstRow="0" w:lastRow="0" w:firstColumn="0" w:lastColumn="0" w:oddVBand="0" w:evenVBand="0" w:oddHBand="0" w:evenHBand="0" w:firstRowFirstColumn="0" w:firstRowLastColumn="0" w:lastRowFirstColumn="0" w:lastRowLastColumn="0"/>
              <w:rPr>
                <w:rStyle w:val="Emphasis"/>
                <w:b w:val="0"/>
              </w:rPr>
            </w:pPr>
            <w:r>
              <w:rPr>
                <w:rStyle w:val="Emphasis"/>
                <w:b w:val="0"/>
              </w:rPr>
              <w:t>Grampians Integrated Cancer Service</w:t>
            </w:r>
          </w:p>
        </w:tc>
      </w:tr>
      <w:tr w:rsidR="00D20D63" w:rsidRPr="002D5B2E" w14:paraId="7377AA24"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1D3246C2" w14:textId="77777777" w:rsidR="00D20D63" w:rsidRPr="002D5B2E" w:rsidRDefault="00D20D63" w:rsidP="00D20D63">
            <w:pPr>
              <w:pStyle w:val="Tabletext"/>
            </w:pPr>
            <w:r>
              <w:t>GRICS</w:t>
            </w:r>
          </w:p>
        </w:tc>
        <w:tc>
          <w:tcPr>
            <w:tcW w:w="7628" w:type="dxa"/>
          </w:tcPr>
          <w:p w14:paraId="2CD14603" w14:textId="6E28D7D5" w:rsidR="00D20D63" w:rsidRDefault="00D20D63" w:rsidP="00D20D63">
            <w:pPr>
              <w:pStyle w:val="Tabletext"/>
              <w:cnfStyle w:val="000000100000" w:firstRow="0" w:lastRow="0" w:firstColumn="0" w:lastColumn="0" w:oddVBand="0" w:evenVBand="0" w:oddHBand="1" w:evenHBand="0" w:firstRowFirstColumn="0" w:firstRowLastColumn="0" w:lastRowFirstColumn="0" w:lastRowLastColumn="0"/>
              <w:rPr>
                <w:rStyle w:val="Emphasis"/>
                <w:b w:val="0"/>
              </w:rPr>
            </w:pPr>
            <w:r>
              <w:rPr>
                <w:rStyle w:val="Emphasis"/>
                <w:b w:val="0"/>
              </w:rPr>
              <w:t>G</w:t>
            </w:r>
            <w:r w:rsidR="005008D6">
              <w:rPr>
                <w:rStyle w:val="Emphasis"/>
                <w:b w:val="0"/>
              </w:rPr>
              <w:t>ippsland</w:t>
            </w:r>
            <w:r>
              <w:rPr>
                <w:rStyle w:val="Emphasis"/>
                <w:b w:val="0"/>
              </w:rPr>
              <w:t xml:space="preserve"> Regional Integrated Cancer Service</w:t>
            </w:r>
            <w:r w:rsidR="005008D6">
              <w:rPr>
                <w:rStyle w:val="Emphasis"/>
                <w:b w:val="0"/>
              </w:rPr>
              <w:t xml:space="preserve"> </w:t>
            </w:r>
          </w:p>
        </w:tc>
      </w:tr>
      <w:tr w:rsidR="00616E82" w:rsidRPr="002D5B2E" w14:paraId="4F989B8E"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3EA553C0" w14:textId="5B975CDB" w:rsidR="00616E82" w:rsidRPr="002D5B2E" w:rsidRDefault="00616E82" w:rsidP="00D20D63">
            <w:pPr>
              <w:pStyle w:val="Tabletext"/>
            </w:pPr>
            <w:r>
              <w:t>HBV</w:t>
            </w:r>
          </w:p>
        </w:tc>
        <w:tc>
          <w:tcPr>
            <w:tcW w:w="7628" w:type="dxa"/>
          </w:tcPr>
          <w:p w14:paraId="678AB6ED" w14:textId="4FC7FC57" w:rsidR="00616E82" w:rsidRDefault="00616E82" w:rsidP="00D20D63">
            <w:pPr>
              <w:pStyle w:val="Tabletext"/>
              <w:cnfStyle w:val="000000000000" w:firstRow="0" w:lastRow="0" w:firstColumn="0" w:lastColumn="0" w:oddVBand="0" w:evenVBand="0" w:oddHBand="0" w:evenHBand="0" w:firstRowFirstColumn="0" w:firstRowLastColumn="0" w:lastRowFirstColumn="0" w:lastRowLastColumn="0"/>
              <w:rPr>
                <w:rStyle w:val="Emphasis"/>
                <w:b w:val="0"/>
              </w:rPr>
            </w:pPr>
            <w:r>
              <w:rPr>
                <w:rStyle w:val="Emphasis"/>
                <w:b w:val="0"/>
              </w:rPr>
              <w:t>hepatitis B</w:t>
            </w:r>
          </w:p>
        </w:tc>
      </w:tr>
      <w:tr w:rsidR="00616E82" w:rsidRPr="002D5B2E" w14:paraId="0FC5BBDC"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5C8472D3" w14:textId="5E4EE3DD" w:rsidR="00616E82" w:rsidRPr="002D5B2E" w:rsidRDefault="00616E82" w:rsidP="00D20D63">
            <w:pPr>
              <w:pStyle w:val="Tabletext"/>
            </w:pPr>
            <w:r>
              <w:t>HCV</w:t>
            </w:r>
          </w:p>
        </w:tc>
        <w:tc>
          <w:tcPr>
            <w:tcW w:w="7628" w:type="dxa"/>
          </w:tcPr>
          <w:p w14:paraId="6035ECAE" w14:textId="706D3976" w:rsidR="00616E82" w:rsidRDefault="00616E82" w:rsidP="00D20D63">
            <w:pPr>
              <w:pStyle w:val="Tabletext"/>
              <w:cnfStyle w:val="000000100000" w:firstRow="0" w:lastRow="0" w:firstColumn="0" w:lastColumn="0" w:oddVBand="0" w:evenVBand="0" w:oddHBand="1" w:evenHBand="0" w:firstRowFirstColumn="0" w:firstRowLastColumn="0" w:lastRowFirstColumn="0" w:lastRowLastColumn="0"/>
              <w:rPr>
                <w:rStyle w:val="Emphasis"/>
                <w:b w:val="0"/>
              </w:rPr>
            </w:pPr>
            <w:r>
              <w:rPr>
                <w:rStyle w:val="Emphasis"/>
                <w:b w:val="0"/>
              </w:rPr>
              <w:t>hepatitis C</w:t>
            </w:r>
          </w:p>
        </w:tc>
      </w:tr>
      <w:tr w:rsidR="00D20D63" w:rsidRPr="002D5B2E" w14:paraId="78F76491"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50C72B1A" w14:textId="77777777" w:rsidR="00D20D63" w:rsidRPr="002D5B2E" w:rsidRDefault="00D20D63" w:rsidP="00D20D63">
            <w:pPr>
              <w:pStyle w:val="Tabletext"/>
            </w:pPr>
            <w:r w:rsidRPr="002D5B2E">
              <w:t>HPV</w:t>
            </w:r>
          </w:p>
        </w:tc>
        <w:tc>
          <w:tcPr>
            <w:tcW w:w="7628" w:type="dxa"/>
          </w:tcPr>
          <w:p w14:paraId="03CD6063" w14:textId="331D6AFE" w:rsidR="00D20D63" w:rsidRPr="00E82CFE" w:rsidRDefault="00D20D63" w:rsidP="00D20D63">
            <w:pPr>
              <w:pStyle w:val="Tabletext"/>
              <w:cnfStyle w:val="000000000000" w:firstRow="0" w:lastRow="0" w:firstColumn="0" w:lastColumn="0" w:oddVBand="0" w:evenVBand="0" w:oddHBand="0" w:evenHBand="0" w:firstRowFirstColumn="0" w:firstRowLastColumn="0" w:lastRowFirstColumn="0" w:lastRowLastColumn="0"/>
              <w:rPr>
                <w:rStyle w:val="Emphasis"/>
                <w:b w:val="0"/>
                <w:i/>
                <w:iCs/>
              </w:rPr>
            </w:pPr>
            <w:r>
              <w:rPr>
                <w:rStyle w:val="Emphasis"/>
                <w:b w:val="0"/>
              </w:rPr>
              <w:t>h</w:t>
            </w:r>
            <w:r w:rsidRPr="00E82CFE">
              <w:rPr>
                <w:rStyle w:val="Emphasis"/>
                <w:b w:val="0"/>
              </w:rPr>
              <w:t>uman papillomavirus</w:t>
            </w:r>
          </w:p>
        </w:tc>
      </w:tr>
      <w:tr w:rsidR="00D20D63" w:rsidRPr="002D5B2E" w14:paraId="5B28157F"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5DA0E21" w14:textId="77777777" w:rsidR="00D20D63" w:rsidRPr="002D5B2E" w:rsidRDefault="00D20D63" w:rsidP="00D20D63">
            <w:pPr>
              <w:pStyle w:val="Tabletext"/>
            </w:pPr>
            <w:r>
              <w:t>HRICS</w:t>
            </w:r>
          </w:p>
        </w:tc>
        <w:tc>
          <w:tcPr>
            <w:tcW w:w="7628" w:type="dxa"/>
          </w:tcPr>
          <w:p w14:paraId="595CE0C7" w14:textId="77777777" w:rsidR="00D20D63" w:rsidRPr="00E82CFE" w:rsidRDefault="00D20D63" w:rsidP="00D20D63">
            <w:pPr>
              <w:pStyle w:val="Tabletext"/>
              <w:cnfStyle w:val="000000100000" w:firstRow="0" w:lastRow="0" w:firstColumn="0" w:lastColumn="0" w:oddVBand="0" w:evenVBand="0" w:oddHBand="1" w:evenHBand="0" w:firstRowFirstColumn="0" w:firstRowLastColumn="0" w:lastRowFirstColumn="0" w:lastRowLastColumn="0"/>
              <w:rPr>
                <w:rStyle w:val="Emphasis"/>
                <w:b w:val="0"/>
              </w:rPr>
            </w:pPr>
            <w:r>
              <w:rPr>
                <w:rStyle w:val="Emphasis"/>
                <w:b w:val="0"/>
              </w:rPr>
              <w:t>Hume Regional Integrated Cancer Service</w:t>
            </w:r>
          </w:p>
        </w:tc>
      </w:tr>
      <w:tr w:rsidR="00B802EB" w:rsidRPr="002D5B2E" w14:paraId="7D759F6E" w14:textId="321DCD95" w:rsidTr="00D20D63">
        <w:tc>
          <w:tcPr>
            <w:cnfStyle w:val="001000000000" w:firstRow="0" w:lastRow="0" w:firstColumn="1" w:lastColumn="0" w:oddVBand="0" w:evenVBand="0" w:oddHBand="0" w:evenHBand="0" w:firstRowFirstColumn="0" w:firstRowLastColumn="0" w:lastRowFirstColumn="0" w:lastRowLastColumn="0"/>
            <w:tcW w:w="1439" w:type="dxa"/>
          </w:tcPr>
          <w:p w14:paraId="7CEEA74E" w14:textId="5E0ABE91" w:rsidR="00B802EB" w:rsidRPr="002D5B2E" w:rsidRDefault="00B802EB" w:rsidP="00D20D63">
            <w:pPr>
              <w:pStyle w:val="Tabletext"/>
            </w:pPr>
            <w:r>
              <w:t>IARC</w:t>
            </w:r>
          </w:p>
        </w:tc>
        <w:tc>
          <w:tcPr>
            <w:tcW w:w="7628" w:type="dxa"/>
          </w:tcPr>
          <w:p w14:paraId="6A9551F2" w14:textId="58A44CA9" w:rsidR="00B802EB" w:rsidRPr="00E82CFE" w:rsidRDefault="00B802EB" w:rsidP="00D20D63">
            <w:pPr>
              <w:pStyle w:val="Tabletext"/>
              <w:cnfStyle w:val="000000000000" w:firstRow="0" w:lastRow="0" w:firstColumn="0" w:lastColumn="0" w:oddVBand="0" w:evenVBand="0" w:oddHBand="0" w:evenHBand="0" w:firstRowFirstColumn="0" w:firstRowLastColumn="0" w:lastRowFirstColumn="0" w:lastRowLastColumn="0"/>
              <w:rPr>
                <w:rStyle w:val="Emphasis"/>
                <w:b w:val="0"/>
              </w:rPr>
            </w:pPr>
            <w:r w:rsidRPr="00C91D37">
              <w:rPr>
                <w:lang w:eastAsia="en-AU"/>
              </w:rPr>
              <w:t>International Agency for Cancer Research</w:t>
            </w:r>
          </w:p>
        </w:tc>
      </w:tr>
      <w:tr w:rsidR="00D20D63" w:rsidRPr="002D5B2E" w14:paraId="1BB9319D"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2BCD95DC" w14:textId="77777777" w:rsidR="00D20D63" w:rsidRPr="002D5B2E" w:rsidRDefault="00D20D63" w:rsidP="00D20D63">
            <w:pPr>
              <w:pStyle w:val="Tabletext"/>
            </w:pPr>
            <w:r w:rsidRPr="002D5B2E">
              <w:t>ICD</w:t>
            </w:r>
          </w:p>
        </w:tc>
        <w:tc>
          <w:tcPr>
            <w:tcW w:w="7628" w:type="dxa"/>
          </w:tcPr>
          <w:p w14:paraId="08FAE1E8" w14:textId="77777777" w:rsidR="00D20D63" w:rsidRPr="00E82CFE" w:rsidRDefault="00D20D63" w:rsidP="00D20D63">
            <w:pPr>
              <w:pStyle w:val="Tabletext"/>
              <w:cnfStyle w:val="000000100000" w:firstRow="0" w:lastRow="0" w:firstColumn="0" w:lastColumn="0" w:oddVBand="0" w:evenVBand="0" w:oddHBand="1" w:evenHBand="0" w:firstRowFirstColumn="0" w:firstRowLastColumn="0" w:lastRowFirstColumn="0" w:lastRowLastColumn="0"/>
              <w:rPr>
                <w:rStyle w:val="Emphasis"/>
                <w:b w:val="0"/>
                <w:i/>
                <w:iCs/>
              </w:rPr>
            </w:pPr>
            <w:r w:rsidRPr="00E82CFE">
              <w:rPr>
                <w:rStyle w:val="Emphasis"/>
                <w:b w:val="0"/>
              </w:rPr>
              <w:t>International Classification of Diseases</w:t>
            </w:r>
          </w:p>
        </w:tc>
      </w:tr>
      <w:tr w:rsidR="00D20D63" w:rsidRPr="002D5B2E" w14:paraId="1B63AAE0"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2AB10D95" w14:textId="77777777" w:rsidR="00D20D63" w:rsidRPr="002D5B2E" w:rsidRDefault="00D20D63" w:rsidP="00D20D63">
            <w:pPr>
              <w:pStyle w:val="Tabletext"/>
            </w:pPr>
            <w:r w:rsidRPr="002D5B2E">
              <w:t>ICS</w:t>
            </w:r>
          </w:p>
        </w:tc>
        <w:tc>
          <w:tcPr>
            <w:tcW w:w="7628" w:type="dxa"/>
          </w:tcPr>
          <w:p w14:paraId="6562D3C9" w14:textId="74FFCA9F" w:rsidR="00D20D63" w:rsidRPr="00E82CFE" w:rsidRDefault="00D20D63" w:rsidP="00D20D63">
            <w:pPr>
              <w:pStyle w:val="Tabletext"/>
              <w:cnfStyle w:val="000000000000" w:firstRow="0" w:lastRow="0" w:firstColumn="0" w:lastColumn="0" w:oddVBand="0" w:evenVBand="0" w:oddHBand="0" w:evenHBand="0" w:firstRowFirstColumn="0" w:firstRowLastColumn="0" w:lastRowFirstColumn="0" w:lastRowLastColumn="0"/>
              <w:rPr>
                <w:rStyle w:val="Emphasis"/>
                <w:b w:val="0"/>
                <w:i/>
              </w:rPr>
            </w:pPr>
            <w:r w:rsidRPr="00E82CFE">
              <w:rPr>
                <w:rStyle w:val="Emphasis"/>
                <w:b w:val="0"/>
              </w:rPr>
              <w:t>Integrated Cancer Service</w:t>
            </w:r>
          </w:p>
        </w:tc>
      </w:tr>
      <w:tr w:rsidR="00D20D63" w:rsidRPr="002D5B2E" w14:paraId="54A6BB6F"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69D7008C" w14:textId="77777777" w:rsidR="00D20D63" w:rsidRPr="002D5B2E" w:rsidRDefault="00D20D63" w:rsidP="00D20D63">
            <w:pPr>
              <w:pStyle w:val="Tabletext"/>
            </w:pPr>
            <w:r w:rsidRPr="002D5B2E">
              <w:t>LGA</w:t>
            </w:r>
          </w:p>
        </w:tc>
        <w:tc>
          <w:tcPr>
            <w:tcW w:w="7628" w:type="dxa"/>
          </w:tcPr>
          <w:p w14:paraId="783CEEEC" w14:textId="46B4856D" w:rsidR="00D20D63" w:rsidRPr="00E82CFE" w:rsidRDefault="00D20D63" w:rsidP="00D20D63">
            <w:pPr>
              <w:pStyle w:val="Tabletext"/>
              <w:cnfStyle w:val="000000100000" w:firstRow="0" w:lastRow="0" w:firstColumn="0" w:lastColumn="0" w:oddVBand="0" w:evenVBand="0" w:oddHBand="1" w:evenHBand="0" w:firstRowFirstColumn="0" w:firstRowLastColumn="0" w:lastRowFirstColumn="0" w:lastRowLastColumn="0"/>
              <w:rPr>
                <w:rStyle w:val="Emphasis"/>
                <w:b w:val="0"/>
                <w:i/>
                <w:iCs/>
              </w:rPr>
            </w:pPr>
            <w:r>
              <w:rPr>
                <w:rStyle w:val="Emphasis"/>
                <w:b w:val="0"/>
              </w:rPr>
              <w:t>l</w:t>
            </w:r>
            <w:r w:rsidRPr="00E82CFE">
              <w:rPr>
                <w:rStyle w:val="Emphasis"/>
                <w:b w:val="0"/>
              </w:rPr>
              <w:t xml:space="preserve">ocal government area </w:t>
            </w:r>
          </w:p>
        </w:tc>
      </w:tr>
      <w:tr w:rsidR="00D20D63" w:rsidRPr="002D5B2E" w14:paraId="0B586CFD"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1B717A27" w14:textId="77777777" w:rsidR="00D20D63" w:rsidRDefault="00D20D63" w:rsidP="00D20D63">
            <w:pPr>
              <w:pStyle w:val="Tabletext"/>
            </w:pPr>
            <w:r>
              <w:t>LMICS</w:t>
            </w:r>
          </w:p>
        </w:tc>
        <w:tc>
          <w:tcPr>
            <w:tcW w:w="7628" w:type="dxa"/>
          </w:tcPr>
          <w:p w14:paraId="6B67E210" w14:textId="77777777" w:rsidR="00D20D63" w:rsidRDefault="00D20D63" w:rsidP="00D20D63">
            <w:pPr>
              <w:pStyle w:val="Tabletext"/>
              <w:cnfStyle w:val="000000000000" w:firstRow="0" w:lastRow="0" w:firstColumn="0" w:lastColumn="0" w:oddVBand="0" w:evenVBand="0" w:oddHBand="0" w:evenHBand="0" w:firstRowFirstColumn="0" w:firstRowLastColumn="0" w:lastRowFirstColumn="0" w:lastRowLastColumn="0"/>
            </w:pPr>
            <w:r>
              <w:t>Loddon Mallee Integrated Cancer Service</w:t>
            </w:r>
          </w:p>
        </w:tc>
      </w:tr>
      <w:tr w:rsidR="00D20D63" w:rsidRPr="002D5B2E" w14:paraId="0EC5B212"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5A59CC0C" w14:textId="77777777" w:rsidR="00D20D63" w:rsidRPr="002D5B2E" w:rsidRDefault="00D20D63" w:rsidP="00D20D63">
            <w:pPr>
              <w:pStyle w:val="Tabletext"/>
            </w:pPr>
            <w:r>
              <w:t>LOS</w:t>
            </w:r>
          </w:p>
        </w:tc>
        <w:tc>
          <w:tcPr>
            <w:tcW w:w="7628" w:type="dxa"/>
          </w:tcPr>
          <w:p w14:paraId="41F5D3A8" w14:textId="4EE41741" w:rsidR="00D20D63" w:rsidRPr="00B43ED8" w:rsidRDefault="00D20D63" w:rsidP="00D20D63">
            <w:pPr>
              <w:pStyle w:val="Tabletext"/>
              <w:cnfStyle w:val="000000100000" w:firstRow="0" w:lastRow="0" w:firstColumn="0" w:lastColumn="0" w:oddVBand="0" w:evenVBand="0" w:oddHBand="1" w:evenHBand="0" w:firstRowFirstColumn="0" w:firstRowLastColumn="0" w:lastRowFirstColumn="0" w:lastRowLastColumn="0"/>
            </w:pPr>
            <w:r>
              <w:t>length of stay</w:t>
            </w:r>
          </w:p>
        </w:tc>
      </w:tr>
      <w:tr w:rsidR="00D20D63" w:rsidRPr="002D5B2E" w14:paraId="0B5E6450"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514D0E71" w14:textId="77777777" w:rsidR="00D20D63" w:rsidRDefault="00D20D63" w:rsidP="00D20D63">
            <w:pPr>
              <w:pStyle w:val="Tabletext"/>
            </w:pPr>
            <w:r>
              <w:t>MDT</w:t>
            </w:r>
          </w:p>
        </w:tc>
        <w:tc>
          <w:tcPr>
            <w:tcW w:w="7628" w:type="dxa"/>
          </w:tcPr>
          <w:p w14:paraId="142FDDD8" w14:textId="1F5D0231" w:rsidR="00D20D63" w:rsidRDefault="00D20D63" w:rsidP="00D20D63">
            <w:pPr>
              <w:pStyle w:val="Tabletext"/>
              <w:cnfStyle w:val="000000000000" w:firstRow="0" w:lastRow="0" w:firstColumn="0" w:lastColumn="0" w:oddVBand="0" w:evenVBand="0" w:oddHBand="0" w:evenHBand="0" w:firstRowFirstColumn="0" w:firstRowLastColumn="0" w:lastRowFirstColumn="0" w:lastRowLastColumn="0"/>
            </w:pPr>
            <w:r>
              <w:rPr>
                <w:rFonts w:cs="Arial"/>
              </w:rPr>
              <w:t>m</w:t>
            </w:r>
            <w:r w:rsidRPr="008D6F6B">
              <w:rPr>
                <w:rFonts w:cs="Arial"/>
              </w:rPr>
              <w:t>ultidisciplinary team</w:t>
            </w:r>
          </w:p>
        </w:tc>
      </w:tr>
      <w:tr w:rsidR="00D20D63" w:rsidRPr="002D5B2E" w14:paraId="2FCB3BAC"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3F3B176C" w14:textId="77777777" w:rsidR="00D20D63" w:rsidRPr="002D5B2E" w:rsidRDefault="00D20D63" w:rsidP="00D20D63">
            <w:pPr>
              <w:pStyle w:val="Tabletext"/>
            </w:pPr>
            <w:r>
              <w:t>NEMICS</w:t>
            </w:r>
          </w:p>
        </w:tc>
        <w:tc>
          <w:tcPr>
            <w:tcW w:w="7628" w:type="dxa"/>
          </w:tcPr>
          <w:p w14:paraId="58FE5337" w14:textId="77777777" w:rsidR="00D20D63" w:rsidRPr="002D5B2E" w:rsidRDefault="00D20D63" w:rsidP="00D20D63">
            <w:pPr>
              <w:pStyle w:val="Tabletext"/>
              <w:cnfStyle w:val="000000100000" w:firstRow="0" w:lastRow="0" w:firstColumn="0" w:lastColumn="0" w:oddVBand="0" w:evenVBand="0" w:oddHBand="1" w:evenHBand="0" w:firstRowFirstColumn="0" w:firstRowLastColumn="0" w:lastRowFirstColumn="0" w:lastRowLastColumn="0"/>
            </w:pPr>
            <w:r>
              <w:t>North Eastern Melbourne Integrated Cancer Service</w:t>
            </w:r>
          </w:p>
        </w:tc>
      </w:tr>
      <w:tr w:rsidR="00D20D63" w:rsidRPr="002D5B2E" w14:paraId="22CA5D30" w14:textId="226F93B6" w:rsidTr="00D20D63">
        <w:tc>
          <w:tcPr>
            <w:cnfStyle w:val="001000000000" w:firstRow="0" w:lastRow="0" w:firstColumn="1" w:lastColumn="0" w:oddVBand="0" w:evenVBand="0" w:oddHBand="0" w:evenHBand="0" w:firstRowFirstColumn="0" w:firstRowLastColumn="0" w:lastRowFirstColumn="0" w:lastRowLastColumn="0"/>
            <w:tcW w:w="1439" w:type="dxa"/>
          </w:tcPr>
          <w:p w14:paraId="22BD1565" w14:textId="119E2282" w:rsidR="00D20D63" w:rsidRPr="002D5B2E" w:rsidRDefault="00D20D63" w:rsidP="00D20D63">
            <w:pPr>
              <w:pStyle w:val="Tabletext"/>
            </w:pPr>
            <w:r>
              <w:t>OECD</w:t>
            </w:r>
          </w:p>
        </w:tc>
        <w:tc>
          <w:tcPr>
            <w:tcW w:w="7628" w:type="dxa"/>
          </w:tcPr>
          <w:p w14:paraId="4AEA8A59" w14:textId="547EE04C" w:rsidR="00D20D63" w:rsidRPr="002D5B2E" w:rsidRDefault="00D20D63" w:rsidP="00D20D63">
            <w:pPr>
              <w:pStyle w:val="Tabletext"/>
              <w:cnfStyle w:val="000000000000" w:firstRow="0" w:lastRow="0" w:firstColumn="0" w:lastColumn="0" w:oddVBand="0" w:evenVBand="0" w:oddHBand="0" w:evenHBand="0" w:firstRowFirstColumn="0" w:firstRowLastColumn="0" w:lastRowFirstColumn="0" w:lastRowLastColumn="0"/>
            </w:pPr>
            <w:r w:rsidRPr="00A70B4C">
              <w:rPr>
                <w:lang w:val="en"/>
              </w:rPr>
              <w:t>Organi</w:t>
            </w:r>
            <w:r>
              <w:rPr>
                <w:lang w:val="en"/>
              </w:rPr>
              <w:t>z</w:t>
            </w:r>
            <w:r w:rsidRPr="00A70B4C">
              <w:rPr>
                <w:lang w:val="en"/>
              </w:rPr>
              <w:t>ation for Economic Co-operation and Development</w:t>
            </w:r>
          </w:p>
        </w:tc>
      </w:tr>
      <w:tr w:rsidR="00D20D63" w:rsidRPr="002D5B2E" w14:paraId="43694444" w14:textId="366B912C"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865C0A5" w14:textId="2D1B5993" w:rsidR="00D20D63" w:rsidRPr="002D5B2E" w:rsidRDefault="00D20D63" w:rsidP="00D20D63">
            <w:pPr>
              <w:pStyle w:val="Tabletext"/>
            </w:pPr>
            <w:r w:rsidRPr="002D5B2E">
              <w:t>PHESS</w:t>
            </w:r>
          </w:p>
        </w:tc>
        <w:tc>
          <w:tcPr>
            <w:tcW w:w="7628" w:type="dxa"/>
          </w:tcPr>
          <w:p w14:paraId="029C5B5A" w14:textId="23E8D622" w:rsidR="00D20D63" w:rsidRPr="002D5B2E" w:rsidRDefault="00D20D63" w:rsidP="00D20D63">
            <w:pPr>
              <w:pStyle w:val="Tabletext"/>
              <w:cnfStyle w:val="000000100000" w:firstRow="0" w:lastRow="0" w:firstColumn="0" w:lastColumn="0" w:oddVBand="0" w:evenVBand="0" w:oddHBand="1" w:evenHBand="0" w:firstRowFirstColumn="0" w:firstRowLastColumn="0" w:lastRowFirstColumn="0" w:lastRowLastColumn="0"/>
            </w:pPr>
            <w:r w:rsidRPr="002D5B2E">
              <w:t xml:space="preserve">Public Health Event Surveillance System </w:t>
            </w:r>
          </w:p>
        </w:tc>
      </w:tr>
      <w:tr w:rsidR="00D20D63" w:rsidRPr="002D5B2E" w14:paraId="65919D8B"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386CC3DD" w14:textId="77777777" w:rsidR="00D20D63" w:rsidRDefault="00D20D63" w:rsidP="00D20D63">
            <w:pPr>
              <w:pStyle w:val="Tabletext"/>
            </w:pPr>
            <w:r>
              <w:t>PBS</w:t>
            </w:r>
          </w:p>
        </w:tc>
        <w:tc>
          <w:tcPr>
            <w:tcW w:w="7628" w:type="dxa"/>
          </w:tcPr>
          <w:p w14:paraId="3FA2D9FD" w14:textId="77777777" w:rsidR="00D20D63" w:rsidRDefault="00D20D63" w:rsidP="00D20D63">
            <w:pPr>
              <w:pStyle w:val="Tabletext"/>
              <w:cnfStyle w:val="000000000000" w:firstRow="0" w:lastRow="0" w:firstColumn="0" w:lastColumn="0" w:oddVBand="0" w:evenVBand="0" w:oddHBand="0" w:evenHBand="0" w:firstRowFirstColumn="0" w:firstRowLastColumn="0" w:lastRowFirstColumn="0" w:lastRowLastColumn="0"/>
              <w:rPr>
                <w:rFonts w:cs="Arial"/>
              </w:rPr>
            </w:pPr>
            <w:r w:rsidRPr="00A64E7A">
              <w:rPr>
                <w:lang w:eastAsia="en-AU"/>
              </w:rPr>
              <w:t xml:space="preserve">Pharmaceutical Benefits Scheme </w:t>
            </w:r>
          </w:p>
        </w:tc>
      </w:tr>
      <w:tr w:rsidR="00D20D63" w:rsidRPr="002D5B2E" w14:paraId="4AAF4454"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1E55C726" w14:textId="77777777" w:rsidR="00D20D63" w:rsidRDefault="00D20D63" w:rsidP="00D20D63">
            <w:pPr>
              <w:pStyle w:val="Tabletext"/>
            </w:pPr>
            <w:r>
              <w:t>PICS</w:t>
            </w:r>
          </w:p>
        </w:tc>
        <w:tc>
          <w:tcPr>
            <w:tcW w:w="7628" w:type="dxa"/>
          </w:tcPr>
          <w:p w14:paraId="5BC5B4A0" w14:textId="77777777" w:rsidR="00D20D63" w:rsidRDefault="00D20D63" w:rsidP="00D20D63">
            <w:pPr>
              <w:pStyle w:val="Tabletext"/>
              <w:cnfStyle w:val="000000100000" w:firstRow="0" w:lastRow="0" w:firstColumn="0" w:lastColumn="0" w:oddVBand="0" w:evenVBand="0" w:oddHBand="1" w:evenHBand="0" w:firstRowFirstColumn="0" w:firstRowLastColumn="0" w:lastRowFirstColumn="0" w:lastRowLastColumn="0"/>
              <w:rPr>
                <w:rFonts w:cs="Arial"/>
              </w:rPr>
            </w:pPr>
            <w:r>
              <w:rPr>
                <w:rFonts w:cs="Arial"/>
              </w:rPr>
              <w:t>Paediatric Integrated Cancer Service</w:t>
            </w:r>
          </w:p>
        </w:tc>
      </w:tr>
      <w:tr w:rsidR="00D20D63" w:rsidRPr="002D5B2E" w14:paraId="0416FCE3" w14:textId="4D35EFAA" w:rsidTr="00D20D63">
        <w:tc>
          <w:tcPr>
            <w:cnfStyle w:val="001000000000" w:firstRow="0" w:lastRow="0" w:firstColumn="1" w:lastColumn="0" w:oddVBand="0" w:evenVBand="0" w:oddHBand="0" w:evenHBand="0" w:firstRowFirstColumn="0" w:firstRowLastColumn="0" w:lastRowFirstColumn="0" w:lastRowLastColumn="0"/>
            <w:tcW w:w="1439" w:type="dxa"/>
          </w:tcPr>
          <w:p w14:paraId="40DD1B10" w14:textId="684EEF10" w:rsidR="00D20D63" w:rsidRPr="002D5B2E" w:rsidRDefault="00D20D63" w:rsidP="00D20D63">
            <w:pPr>
              <w:pStyle w:val="Tabletext"/>
            </w:pPr>
            <w:r>
              <w:t>RD stage</w:t>
            </w:r>
          </w:p>
        </w:tc>
        <w:tc>
          <w:tcPr>
            <w:tcW w:w="7628" w:type="dxa"/>
          </w:tcPr>
          <w:p w14:paraId="7D6418C3" w14:textId="3ABBAF04" w:rsidR="00D20D63" w:rsidRDefault="00D20D63" w:rsidP="00D20D63">
            <w:pPr>
              <w:pStyle w:val="Tabletext"/>
              <w:cnfStyle w:val="000000000000" w:firstRow="0" w:lastRow="0" w:firstColumn="0" w:lastColumn="0" w:oddVBand="0" w:evenVBand="0" w:oddHBand="0" w:evenHBand="0" w:firstRowFirstColumn="0" w:firstRowLastColumn="0" w:lastRowFirstColumn="0" w:lastRowLastColumn="0"/>
            </w:pPr>
            <w:r>
              <w:rPr>
                <w:rFonts w:cs="Arial"/>
              </w:rPr>
              <w:t xml:space="preserve">registry-derived </w:t>
            </w:r>
            <w:r w:rsidRPr="00EC02A5">
              <w:rPr>
                <w:rFonts w:cs="Arial"/>
              </w:rPr>
              <w:t>stage</w:t>
            </w:r>
          </w:p>
        </w:tc>
      </w:tr>
      <w:tr w:rsidR="00D20D63" w:rsidRPr="002D5B2E" w14:paraId="7E6172BE"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00F03050" w14:textId="77777777" w:rsidR="00D20D63" w:rsidRPr="002D5B2E" w:rsidRDefault="00D20D63" w:rsidP="00D20D63">
            <w:pPr>
              <w:pStyle w:val="Tabletext"/>
            </w:pPr>
            <w:r>
              <w:t>SACT</w:t>
            </w:r>
          </w:p>
        </w:tc>
        <w:tc>
          <w:tcPr>
            <w:tcW w:w="7628" w:type="dxa"/>
          </w:tcPr>
          <w:p w14:paraId="197A281C" w14:textId="09254566" w:rsidR="00D20D63" w:rsidRPr="002D5B2E" w:rsidRDefault="00D20D63" w:rsidP="00D20D63">
            <w:pPr>
              <w:pStyle w:val="Tabletext"/>
              <w:cnfStyle w:val="000000100000" w:firstRow="0" w:lastRow="0" w:firstColumn="0" w:lastColumn="0" w:oddVBand="0" w:evenVBand="0" w:oddHBand="1" w:evenHBand="0" w:firstRowFirstColumn="0" w:firstRowLastColumn="0" w:lastRowFirstColumn="0" w:lastRowLastColumn="0"/>
            </w:pPr>
            <w:r>
              <w:t>systemic anti-cancer therapy</w:t>
            </w:r>
          </w:p>
        </w:tc>
      </w:tr>
      <w:tr w:rsidR="00D20D63" w:rsidRPr="002D5B2E" w14:paraId="130F4BDC"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7B7BCDAE" w14:textId="77777777" w:rsidR="00D20D63" w:rsidRPr="002D5B2E" w:rsidRDefault="00D20D63" w:rsidP="00D20D63">
            <w:pPr>
              <w:pStyle w:val="Tabletext"/>
            </w:pPr>
            <w:r w:rsidRPr="002D5B2E">
              <w:t>SEIFA</w:t>
            </w:r>
          </w:p>
        </w:tc>
        <w:tc>
          <w:tcPr>
            <w:tcW w:w="7628" w:type="dxa"/>
          </w:tcPr>
          <w:p w14:paraId="578E8EF6" w14:textId="77777777" w:rsidR="00D20D63" w:rsidRPr="002D5B2E" w:rsidRDefault="00D20D63" w:rsidP="00D20D63">
            <w:pPr>
              <w:pStyle w:val="Tabletext"/>
              <w:cnfStyle w:val="000000000000" w:firstRow="0" w:lastRow="0" w:firstColumn="0" w:lastColumn="0" w:oddVBand="0" w:evenVBand="0" w:oddHBand="0" w:evenHBand="0" w:firstRowFirstColumn="0" w:firstRowLastColumn="0" w:lastRowFirstColumn="0" w:lastRowLastColumn="0"/>
            </w:pPr>
            <w:r w:rsidRPr="002D5B2E">
              <w:t>Socio</w:t>
            </w:r>
            <w:r>
              <w:t>-E</w:t>
            </w:r>
            <w:r w:rsidRPr="002D5B2E">
              <w:t xml:space="preserve">conomic </w:t>
            </w:r>
            <w:r>
              <w:t>I</w:t>
            </w:r>
            <w:r w:rsidRPr="002D5B2E">
              <w:t xml:space="preserve">ndexes for </w:t>
            </w:r>
            <w:r>
              <w:t>A</w:t>
            </w:r>
            <w:r w:rsidRPr="002D5B2E">
              <w:t>reas</w:t>
            </w:r>
          </w:p>
        </w:tc>
      </w:tr>
      <w:tr w:rsidR="00D20D63" w:rsidRPr="002D5B2E" w14:paraId="0D1C81FD"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CDDFE41" w14:textId="77777777" w:rsidR="00D20D63" w:rsidRDefault="00D20D63" w:rsidP="00D20D63">
            <w:pPr>
              <w:pStyle w:val="Tabletext"/>
            </w:pPr>
            <w:r>
              <w:t>SES</w:t>
            </w:r>
          </w:p>
        </w:tc>
        <w:tc>
          <w:tcPr>
            <w:tcW w:w="7628" w:type="dxa"/>
          </w:tcPr>
          <w:p w14:paraId="7B6FDA74" w14:textId="737CCF69" w:rsidR="00D20D63" w:rsidRDefault="00EB46C6" w:rsidP="00D20D63">
            <w:pPr>
              <w:pStyle w:val="Tabletext"/>
              <w:cnfStyle w:val="000000100000" w:firstRow="0" w:lastRow="0" w:firstColumn="0" w:lastColumn="0" w:oddVBand="0" w:evenVBand="0" w:oddHBand="1" w:evenHBand="0" w:firstRowFirstColumn="0" w:firstRowLastColumn="0" w:lastRowFirstColumn="0" w:lastRowLastColumn="0"/>
            </w:pPr>
            <w:r>
              <w:t>S</w:t>
            </w:r>
            <w:r w:rsidR="00D20D63">
              <w:t xml:space="preserve">ocioeconomic status (quintiles); it is an </w:t>
            </w:r>
            <w:r w:rsidR="00D20D63" w:rsidRPr="00DF2E40">
              <w:rPr>
                <w:b/>
              </w:rPr>
              <w:t>area</w:t>
            </w:r>
            <w:r w:rsidR="00D20D63">
              <w:t>-based measure not an individual measure</w:t>
            </w:r>
          </w:p>
        </w:tc>
      </w:tr>
      <w:tr w:rsidR="00D20D63" w:rsidRPr="002D5B2E" w14:paraId="04ACF36D"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19B3857A" w14:textId="77777777" w:rsidR="00D20D63" w:rsidRPr="002D5B2E" w:rsidRDefault="00D20D63" w:rsidP="00D20D63">
            <w:pPr>
              <w:pStyle w:val="Tabletext"/>
            </w:pPr>
            <w:r>
              <w:t>SMICS</w:t>
            </w:r>
          </w:p>
        </w:tc>
        <w:tc>
          <w:tcPr>
            <w:tcW w:w="7628" w:type="dxa"/>
          </w:tcPr>
          <w:p w14:paraId="17146680" w14:textId="77777777" w:rsidR="00D20D63" w:rsidRPr="002D5B2E" w:rsidRDefault="00D20D63" w:rsidP="00D20D63">
            <w:pPr>
              <w:pStyle w:val="Tabletext"/>
              <w:cnfStyle w:val="000000000000" w:firstRow="0" w:lastRow="0" w:firstColumn="0" w:lastColumn="0" w:oddVBand="0" w:evenVBand="0" w:oddHBand="0" w:evenHBand="0" w:firstRowFirstColumn="0" w:firstRowLastColumn="0" w:lastRowFirstColumn="0" w:lastRowLastColumn="0"/>
            </w:pPr>
            <w:r>
              <w:t>Southern Melbourne Integrated Cancer Service</w:t>
            </w:r>
          </w:p>
        </w:tc>
      </w:tr>
      <w:tr w:rsidR="00CA315B" w:rsidRPr="002D5B2E" w14:paraId="1DF6E0BF"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B78833A" w14:textId="08E573AE" w:rsidR="00CA315B" w:rsidRPr="002D5B2E" w:rsidRDefault="00CA315B" w:rsidP="00D20D63">
            <w:pPr>
              <w:pStyle w:val="Tabletext"/>
            </w:pPr>
            <w:r>
              <w:lastRenderedPageBreak/>
              <w:t>UV</w:t>
            </w:r>
          </w:p>
        </w:tc>
        <w:tc>
          <w:tcPr>
            <w:tcW w:w="7628" w:type="dxa"/>
          </w:tcPr>
          <w:p w14:paraId="694F3025" w14:textId="2A82636E" w:rsidR="00CA315B" w:rsidRPr="002D5B2E" w:rsidRDefault="00CA315B" w:rsidP="00D20D63">
            <w:pPr>
              <w:pStyle w:val="Tabletext"/>
              <w:cnfStyle w:val="000000100000" w:firstRow="0" w:lastRow="0" w:firstColumn="0" w:lastColumn="0" w:oddVBand="0" w:evenVBand="0" w:oddHBand="1" w:evenHBand="0" w:firstRowFirstColumn="0" w:firstRowLastColumn="0" w:lastRowFirstColumn="0" w:lastRowLastColumn="0"/>
            </w:pPr>
            <w:r>
              <w:t>ultraviolet</w:t>
            </w:r>
          </w:p>
        </w:tc>
      </w:tr>
      <w:tr w:rsidR="00D37C99" w:rsidRPr="002D5B2E" w14:paraId="5C9011B9"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3DF7BCA5" w14:textId="1E04D8A0" w:rsidR="00D37C99" w:rsidRPr="002D5B2E" w:rsidRDefault="00D37C99" w:rsidP="00D20D63">
            <w:pPr>
              <w:pStyle w:val="Tabletext"/>
            </w:pPr>
            <w:r>
              <w:rPr>
                <w:lang w:val="en"/>
              </w:rPr>
              <w:t>VACCHO</w:t>
            </w:r>
          </w:p>
        </w:tc>
        <w:tc>
          <w:tcPr>
            <w:tcW w:w="7628" w:type="dxa"/>
          </w:tcPr>
          <w:p w14:paraId="640CDD3B" w14:textId="35F91E58" w:rsidR="00D37C99" w:rsidRPr="002D5B2E" w:rsidRDefault="00D37C99" w:rsidP="00D20D63">
            <w:pPr>
              <w:pStyle w:val="Tabletext"/>
              <w:cnfStyle w:val="000000000000" w:firstRow="0" w:lastRow="0" w:firstColumn="0" w:lastColumn="0" w:oddVBand="0" w:evenVBand="0" w:oddHBand="0" w:evenHBand="0" w:firstRowFirstColumn="0" w:firstRowLastColumn="0" w:lastRowFirstColumn="0" w:lastRowLastColumn="0"/>
            </w:pPr>
            <w:r w:rsidRPr="00212266">
              <w:t>Victorian</w:t>
            </w:r>
            <w:r>
              <w:t xml:space="preserve"> </w:t>
            </w:r>
            <w:r w:rsidRPr="00212266">
              <w:t>Aboriginal Community Controlled Health</w:t>
            </w:r>
            <w:r>
              <w:t xml:space="preserve"> </w:t>
            </w:r>
            <w:r w:rsidRPr="00212266">
              <w:t>Organisation</w:t>
            </w:r>
          </w:p>
        </w:tc>
      </w:tr>
      <w:tr w:rsidR="00D20D63" w:rsidRPr="002D5B2E" w14:paraId="23CDA4E3"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7A03558A" w14:textId="77777777" w:rsidR="00D20D63" w:rsidRPr="002D5B2E" w:rsidRDefault="00D20D63" w:rsidP="00D20D63">
            <w:pPr>
              <w:pStyle w:val="Tabletext"/>
            </w:pPr>
            <w:r w:rsidRPr="002D5B2E">
              <w:t>VAED</w:t>
            </w:r>
          </w:p>
        </w:tc>
        <w:tc>
          <w:tcPr>
            <w:tcW w:w="7628" w:type="dxa"/>
          </w:tcPr>
          <w:p w14:paraId="6CF59122" w14:textId="77777777" w:rsidR="00D20D63" w:rsidRPr="002D5B2E" w:rsidRDefault="00D20D63" w:rsidP="00D20D63">
            <w:pPr>
              <w:pStyle w:val="Tabletext"/>
              <w:cnfStyle w:val="000000100000" w:firstRow="0" w:lastRow="0" w:firstColumn="0" w:lastColumn="0" w:oddVBand="0" w:evenVBand="0" w:oddHBand="1" w:evenHBand="0" w:firstRowFirstColumn="0" w:firstRowLastColumn="0" w:lastRowFirstColumn="0" w:lastRowLastColumn="0"/>
            </w:pPr>
            <w:r w:rsidRPr="002D5B2E">
              <w:t>Victorian Admitted Episodes Dataset</w:t>
            </w:r>
          </w:p>
        </w:tc>
      </w:tr>
      <w:tr w:rsidR="00D20D63" w:rsidRPr="002D5B2E" w14:paraId="17E0D8DC"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233B62B9" w14:textId="77777777" w:rsidR="00D20D63" w:rsidRPr="002D5B2E" w:rsidRDefault="00D20D63" w:rsidP="00D20D63">
            <w:pPr>
              <w:pStyle w:val="Tabletext"/>
            </w:pPr>
            <w:r>
              <w:t>VAHI</w:t>
            </w:r>
          </w:p>
        </w:tc>
        <w:tc>
          <w:tcPr>
            <w:tcW w:w="7628" w:type="dxa"/>
          </w:tcPr>
          <w:p w14:paraId="384706E9" w14:textId="77777777" w:rsidR="00D20D63" w:rsidRPr="002D5B2E" w:rsidRDefault="00D20D63" w:rsidP="00D20D63">
            <w:pPr>
              <w:pStyle w:val="Tabletext"/>
              <w:cnfStyle w:val="000000000000" w:firstRow="0" w:lastRow="0" w:firstColumn="0" w:lastColumn="0" w:oddVBand="0" w:evenVBand="0" w:oddHBand="0" w:evenHBand="0" w:firstRowFirstColumn="0" w:firstRowLastColumn="0" w:lastRowFirstColumn="0" w:lastRowLastColumn="0"/>
            </w:pPr>
            <w:r>
              <w:t>Victorian Agency for Health Information</w:t>
            </w:r>
          </w:p>
        </w:tc>
      </w:tr>
      <w:tr w:rsidR="00D20D63" w:rsidRPr="002D5B2E" w14:paraId="4F43B2AD"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27EC3CF3" w14:textId="77777777" w:rsidR="00D20D63" w:rsidRPr="002D5B2E" w:rsidRDefault="00D20D63" w:rsidP="00D20D63">
            <w:pPr>
              <w:pStyle w:val="Tabletext"/>
            </w:pPr>
            <w:r w:rsidRPr="002D5B2E">
              <w:t>VCR</w:t>
            </w:r>
          </w:p>
        </w:tc>
        <w:tc>
          <w:tcPr>
            <w:tcW w:w="7628" w:type="dxa"/>
          </w:tcPr>
          <w:p w14:paraId="2CEB05A1" w14:textId="77777777" w:rsidR="00D20D63" w:rsidRPr="002D5B2E" w:rsidRDefault="00D20D63" w:rsidP="00D20D63">
            <w:pPr>
              <w:pStyle w:val="Tabletext"/>
              <w:cnfStyle w:val="000000100000" w:firstRow="0" w:lastRow="0" w:firstColumn="0" w:lastColumn="0" w:oddVBand="0" w:evenVBand="0" w:oddHBand="1" w:evenHBand="0" w:firstRowFirstColumn="0" w:firstRowLastColumn="0" w:lastRowFirstColumn="0" w:lastRowLastColumn="0"/>
            </w:pPr>
            <w:r w:rsidRPr="002D5B2E">
              <w:t>Victorian Cancer Registry</w:t>
            </w:r>
          </w:p>
        </w:tc>
      </w:tr>
      <w:tr w:rsidR="00D20D63" w:rsidRPr="002D5B2E" w14:paraId="639F30A1"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0D4751E1" w14:textId="77777777" w:rsidR="00D20D63" w:rsidRDefault="00D20D63" w:rsidP="00D20D63">
            <w:pPr>
              <w:pStyle w:val="Tabletext"/>
            </w:pPr>
            <w:r>
              <w:t>VEMD</w:t>
            </w:r>
          </w:p>
        </w:tc>
        <w:tc>
          <w:tcPr>
            <w:tcW w:w="7628" w:type="dxa"/>
          </w:tcPr>
          <w:p w14:paraId="041CE58E" w14:textId="77777777" w:rsidR="00D20D63" w:rsidRDefault="00D20D63" w:rsidP="00D20D63">
            <w:pPr>
              <w:pStyle w:val="Tabletext"/>
              <w:cnfStyle w:val="000000000000" w:firstRow="0" w:lastRow="0" w:firstColumn="0" w:lastColumn="0" w:oddVBand="0" w:evenVBand="0" w:oddHBand="0" w:evenHBand="0" w:firstRowFirstColumn="0" w:firstRowLastColumn="0" w:lastRowFirstColumn="0" w:lastRowLastColumn="0"/>
            </w:pPr>
            <w:r>
              <w:rPr>
                <w:rFonts w:cs="Arial"/>
                <w:color w:val="000000"/>
              </w:rPr>
              <w:t>Victorian Emergency Minimum Dataset</w:t>
            </w:r>
          </w:p>
        </w:tc>
      </w:tr>
      <w:tr w:rsidR="00D20D63" w:rsidRPr="002D5B2E" w14:paraId="7D14B46E" w14:textId="344AB6CA"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6D198B98" w14:textId="1EDDA5E9" w:rsidR="00D20D63" w:rsidRDefault="00D20D63" w:rsidP="00D20D63">
            <w:pPr>
              <w:pStyle w:val="Tabletext"/>
            </w:pPr>
            <w:r>
              <w:t>VHES</w:t>
            </w:r>
          </w:p>
        </w:tc>
        <w:tc>
          <w:tcPr>
            <w:tcW w:w="7628" w:type="dxa"/>
          </w:tcPr>
          <w:p w14:paraId="080D30C5" w14:textId="0616D088" w:rsidR="00D20D63" w:rsidRPr="009F3D47" w:rsidRDefault="00D20D63" w:rsidP="00D20D63">
            <w:pPr>
              <w:pStyle w:val="Tabletext"/>
              <w:cnfStyle w:val="000000100000" w:firstRow="0" w:lastRow="0" w:firstColumn="0" w:lastColumn="0" w:oddVBand="0" w:evenVBand="0" w:oddHBand="1" w:evenHBand="0" w:firstRowFirstColumn="0" w:firstRowLastColumn="0" w:lastRowFirstColumn="0" w:lastRowLastColumn="0"/>
              <w:rPr>
                <w:rFonts w:cs="Arial"/>
              </w:rPr>
            </w:pPr>
            <w:r>
              <w:rPr>
                <w:rFonts w:cs="Arial"/>
              </w:rPr>
              <w:t>Victorian Healthcare Experience Survey</w:t>
            </w:r>
          </w:p>
        </w:tc>
      </w:tr>
      <w:tr w:rsidR="00D20D63" w:rsidRPr="002D5B2E" w14:paraId="390B7F61"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1E5AC903" w14:textId="77777777" w:rsidR="00D20D63" w:rsidRPr="002D5B2E" w:rsidRDefault="00D20D63" w:rsidP="00D20D63">
            <w:pPr>
              <w:pStyle w:val="Tabletext"/>
            </w:pPr>
            <w:r>
              <w:t>VINAH</w:t>
            </w:r>
          </w:p>
        </w:tc>
        <w:tc>
          <w:tcPr>
            <w:tcW w:w="7628" w:type="dxa"/>
          </w:tcPr>
          <w:p w14:paraId="1BDE450B" w14:textId="77777777" w:rsidR="00D20D63" w:rsidRPr="00E82CFE" w:rsidRDefault="00D20D63" w:rsidP="00D20D63">
            <w:pPr>
              <w:pStyle w:val="Tabletext"/>
              <w:cnfStyle w:val="000000000000" w:firstRow="0" w:lastRow="0" w:firstColumn="0" w:lastColumn="0" w:oddVBand="0" w:evenVBand="0" w:oddHBand="0" w:evenHBand="0" w:firstRowFirstColumn="0" w:firstRowLastColumn="0" w:lastRowFirstColumn="0" w:lastRowLastColumn="0"/>
              <w:rPr>
                <w:rFonts w:cs="Arial"/>
              </w:rPr>
            </w:pPr>
            <w:r w:rsidRPr="00E82CFE">
              <w:rPr>
                <w:rFonts w:cs="Arial"/>
              </w:rPr>
              <w:t xml:space="preserve">Victorian </w:t>
            </w:r>
            <w:r w:rsidRPr="00E82CFE">
              <w:rPr>
                <w:rStyle w:val="Emphasis"/>
                <w:rFonts w:cs="Arial"/>
                <w:b w:val="0"/>
                <w:bCs w:val="0"/>
                <w:shd w:val="clear" w:color="auto" w:fill="FFFFFF"/>
              </w:rPr>
              <w:t>Integrated Non-Admitted Health dataset</w:t>
            </w:r>
          </w:p>
        </w:tc>
      </w:tr>
      <w:tr w:rsidR="00D20D63" w14:paraId="4368028C"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7950B5E0" w14:textId="77777777" w:rsidR="00D20D63" w:rsidRDefault="00D20D63" w:rsidP="00D20D63">
            <w:pPr>
              <w:pStyle w:val="Tabletext"/>
            </w:pPr>
            <w:r>
              <w:t>WCMICS</w:t>
            </w:r>
          </w:p>
        </w:tc>
        <w:tc>
          <w:tcPr>
            <w:tcW w:w="7628" w:type="dxa"/>
          </w:tcPr>
          <w:p w14:paraId="285E441E" w14:textId="77777777" w:rsidR="00D20D63" w:rsidRDefault="00D20D63" w:rsidP="00D20D63">
            <w:pPr>
              <w:pStyle w:val="Tabletext"/>
              <w:cnfStyle w:val="000000100000" w:firstRow="0" w:lastRow="0" w:firstColumn="0" w:lastColumn="0" w:oddVBand="0" w:evenVBand="0" w:oddHBand="1" w:evenHBand="0" w:firstRowFirstColumn="0" w:firstRowLastColumn="0" w:lastRowFirstColumn="0" w:lastRowLastColumn="0"/>
            </w:pPr>
            <w:r>
              <w:t>Western and Central Melbourne Integrated Cancer Service</w:t>
            </w:r>
          </w:p>
        </w:tc>
      </w:tr>
    </w:tbl>
    <w:p w14:paraId="7F8D1366" w14:textId="77777777" w:rsidR="00E928F9" w:rsidRDefault="00E928F9" w:rsidP="00606436">
      <w:pPr>
        <w:pStyle w:val="Body"/>
      </w:pPr>
      <w:r>
        <w:br w:type="page"/>
      </w:r>
    </w:p>
    <w:p w14:paraId="64AA361D" w14:textId="11E343E8" w:rsidR="00D20D63" w:rsidRDefault="001D02F2" w:rsidP="005777BA">
      <w:pPr>
        <w:pStyle w:val="Heading1"/>
      </w:pPr>
      <w:bookmarkStart w:id="1236" w:name="_Toc140843436"/>
      <w:r>
        <w:lastRenderedPageBreak/>
        <w:t>List of f</w:t>
      </w:r>
      <w:r w:rsidR="00E928F9">
        <w:t>igures</w:t>
      </w:r>
      <w:bookmarkEnd w:id="1236"/>
    </w:p>
    <w:p w14:paraId="3246100A" w14:textId="2D0F3E9F" w:rsidR="00D37F38" w:rsidRDefault="00757D17">
      <w:pPr>
        <w:pStyle w:val="TOC1"/>
        <w:rPr>
          <w:rFonts w:asciiTheme="minorHAnsi" w:eastAsiaTheme="minorEastAsia" w:hAnsiTheme="minorHAnsi" w:cstheme="minorBidi"/>
          <w:sz w:val="22"/>
          <w:szCs w:val="22"/>
        </w:rPr>
      </w:pPr>
      <w:r>
        <w:fldChar w:fldCharType="begin"/>
      </w:r>
      <w:r>
        <w:instrText xml:space="preserve"> TOC \h \z \t "Figure caption,1" </w:instrText>
      </w:r>
      <w:r>
        <w:fldChar w:fldCharType="separate"/>
      </w:r>
      <w:hyperlink w:anchor="_Toc140827587" w:history="1">
        <w:r w:rsidR="00D37F38" w:rsidRPr="00EB0B73">
          <w:rPr>
            <w:rStyle w:val="Hyperlink"/>
          </w:rPr>
          <w:t>Figure 1: Outcomes framework logic model</w:t>
        </w:r>
        <w:r w:rsidR="00D37F38">
          <w:rPr>
            <w:webHidden/>
          </w:rPr>
          <w:tab/>
        </w:r>
        <w:r w:rsidR="00D37F38">
          <w:rPr>
            <w:webHidden/>
          </w:rPr>
          <w:fldChar w:fldCharType="begin"/>
        </w:r>
        <w:r w:rsidR="00D37F38">
          <w:rPr>
            <w:webHidden/>
          </w:rPr>
          <w:instrText xml:space="preserve"> PAGEREF _Toc140827587 \h </w:instrText>
        </w:r>
        <w:r w:rsidR="00D37F38">
          <w:rPr>
            <w:webHidden/>
          </w:rPr>
        </w:r>
        <w:r w:rsidR="00D37F38">
          <w:rPr>
            <w:webHidden/>
          </w:rPr>
          <w:fldChar w:fldCharType="separate"/>
        </w:r>
        <w:r w:rsidR="00850AA4">
          <w:rPr>
            <w:webHidden/>
          </w:rPr>
          <w:t>10</w:t>
        </w:r>
        <w:r w:rsidR="00D37F38">
          <w:rPr>
            <w:webHidden/>
          </w:rPr>
          <w:fldChar w:fldCharType="end"/>
        </w:r>
      </w:hyperlink>
    </w:p>
    <w:p w14:paraId="44E21458" w14:textId="5930157A" w:rsidR="00D37F38" w:rsidRDefault="00000000">
      <w:pPr>
        <w:pStyle w:val="TOC1"/>
        <w:rPr>
          <w:rFonts w:asciiTheme="minorHAnsi" w:eastAsiaTheme="minorEastAsia" w:hAnsiTheme="minorHAnsi" w:cstheme="minorBidi"/>
          <w:sz w:val="22"/>
          <w:szCs w:val="22"/>
        </w:rPr>
      </w:pPr>
      <w:hyperlink w:anchor="_Toc140827588" w:history="1">
        <w:r w:rsidR="00D37F38" w:rsidRPr="00EB0B73">
          <w:rPr>
            <w:rStyle w:val="Hyperlink"/>
          </w:rPr>
          <w:t>Figure 2: Simplified example of how relative survival is calculated</w:t>
        </w:r>
        <w:r w:rsidR="00D37F38">
          <w:rPr>
            <w:webHidden/>
          </w:rPr>
          <w:tab/>
        </w:r>
        <w:r w:rsidR="00D37F38">
          <w:rPr>
            <w:webHidden/>
          </w:rPr>
          <w:fldChar w:fldCharType="begin"/>
        </w:r>
        <w:r w:rsidR="00D37F38">
          <w:rPr>
            <w:webHidden/>
          </w:rPr>
          <w:instrText xml:space="preserve"> PAGEREF _Toc140827588 \h </w:instrText>
        </w:r>
        <w:r w:rsidR="00D37F38">
          <w:rPr>
            <w:webHidden/>
          </w:rPr>
        </w:r>
        <w:r w:rsidR="00D37F38">
          <w:rPr>
            <w:webHidden/>
          </w:rPr>
          <w:fldChar w:fldCharType="separate"/>
        </w:r>
        <w:r w:rsidR="00850AA4">
          <w:rPr>
            <w:webHidden/>
          </w:rPr>
          <w:t>31</w:t>
        </w:r>
        <w:r w:rsidR="00D37F38">
          <w:rPr>
            <w:webHidden/>
          </w:rPr>
          <w:fldChar w:fldCharType="end"/>
        </w:r>
      </w:hyperlink>
    </w:p>
    <w:p w14:paraId="30333D1A" w14:textId="75E6AD8C" w:rsidR="00D37F38" w:rsidRDefault="00000000">
      <w:pPr>
        <w:pStyle w:val="TOC1"/>
        <w:rPr>
          <w:rFonts w:asciiTheme="minorHAnsi" w:eastAsiaTheme="minorEastAsia" w:hAnsiTheme="minorHAnsi" w:cstheme="minorBidi"/>
          <w:sz w:val="22"/>
          <w:szCs w:val="22"/>
        </w:rPr>
      </w:pPr>
      <w:hyperlink w:anchor="_Toc140827589" w:history="1">
        <w:r w:rsidR="00D37F38" w:rsidRPr="00EB0B73">
          <w:rPr>
            <w:rStyle w:val="Hyperlink"/>
          </w:rPr>
          <w:t>Figure 1.1: Incidence of preventable cancers in Victoria per 100,000 standardised to the 2001 Australian population, by year of diagnosis, 2014, 2017 and 2021</w:t>
        </w:r>
        <w:r w:rsidR="00D37F38">
          <w:rPr>
            <w:webHidden/>
          </w:rPr>
          <w:tab/>
        </w:r>
        <w:r w:rsidR="00D37F38">
          <w:rPr>
            <w:webHidden/>
          </w:rPr>
          <w:fldChar w:fldCharType="begin"/>
        </w:r>
        <w:r w:rsidR="00D37F38">
          <w:rPr>
            <w:webHidden/>
          </w:rPr>
          <w:instrText xml:space="preserve"> PAGEREF _Toc140827589 \h </w:instrText>
        </w:r>
        <w:r w:rsidR="00D37F38">
          <w:rPr>
            <w:webHidden/>
          </w:rPr>
        </w:r>
        <w:r w:rsidR="00D37F38">
          <w:rPr>
            <w:webHidden/>
          </w:rPr>
          <w:fldChar w:fldCharType="separate"/>
        </w:r>
        <w:r w:rsidR="00850AA4">
          <w:rPr>
            <w:webHidden/>
          </w:rPr>
          <w:t>32</w:t>
        </w:r>
        <w:r w:rsidR="00D37F38">
          <w:rPr>
            <w:webHidden/>
          </w:rPr>
          <w:fldChar w:fldCharType="end"/>
        </w:r>
      </w:hyperlink>
    </w:p>
    <w:p w14:paraId="38BBCCB6" w14:textId="35E68278" w:rsidR="00D37F38" w:rsidRDefault="00000000">
      <w:pPr>
        <w:pStyle w:val="TOC1"/>
        <w:rPr>
          <w:rFonts w:asciiTheme="minorHAnsi" w:eastAsiaTheme="minorEastAsia" w:hAnsiTheme="minorHAnsi" w:cstheme="minorBidi"/>
          <w:sz w:val="22"/>
          <w:szCs w:val="22"/>
        </w:rPr>
      </w:pPr>
      <w:hyperlink w:anchor="_Toc140827590" w:history="1">
        <w:r w:rsidR="00D37F38" w:rsidRPr="00EB0B73">
          <w:rPr>
            <w:rStyle w:val="Hyperlink"/>
          </w:rPr>
          <w:t>Figure 1.1.1: Incidence of preventable cancers in Victoria per 100,000 standardised to the 2001 Australian population, by ICS and year, 2014, 2017 and 2021</w:t>
        </w:r>
        <w:r w:rsidR="00D37F38">
          <w:rPr>
            <w:webHidden/>
          </w:rPr>
          <w:tab/>
        </w:r>
        <w:r w:rsidR="00D37F38">
          <w:rPr>
            <w:webHidden/>
          </w:rPr>
          <w:fldChar w:fldCharType="begin"/>
        </w:r>
        <w:r w:rsidR="00D37F38">
          <w:rPr>
            <w:webHidden/>
          </w:rPr>
          <w:instrText xml:space="preserve"> PAGEREF _Toc140827590 \h </w:instrText>
        </w:r>
        <w:r w:rsidR="00D37F38">
          <w:rPr>
            <w:webHidden/>
          </w:rPr>
        </w:r>
        <w:r w:rsidR="00D37F38">
          <w:rPr>
            <w:webHidden/>
          </w:rPr>
          <w:fldChar w:fldCharType="separate"/>
        </w:r>
        <w:r w:rsidR="00850AA4">
          <w:rPr>
            <w:webHidden/>
          </w:rPr>
          <w:t>33</w:t>
        </w:r>
        <w:r w:rsidR="00D37F38">
          <w:rPr>
            <w:webHidden/>
          </w:rPr>
          <w:fldChar w:fldCharType="end"/>
        </w:r>
      </w:hyperlink>
    </w:p>
    <w:p w14:paraId="17A939C9" w14:textId="22E0DF44" w:rsidR="00D37F38" w:rsidRDefault="00000000">
      <w:pPr>
        <w:pStyle w:val="TOC1"/>
        <w:rPr>
          <w:rFonts w:asciiTheme="minorHAnsi" w:eastAsiaTheme="minorEastAsia" w:hAnsiTheme="minorHAnsi" w:cstheme="minorBidi"/>
          <w:sz w:val="22"/>
          <w:szCs w:val="22"/>
        </w:rPr>
      </w:pPr>
      <w:hyperlink w:anchor="_Toc140827591" w:history="1">
        <w:r w:rsidR="00D37F38" w:rsidRPr="00EB0B73">
          <w:rPr>
            <w:rStyle w:val="Hyperlink"/>
          </w:rPr>
          <w:t>Figure 1.1.2: Incidence of preventable cancers in Victoria per 100,000 standardised to the 2001 Australian population, by Victorian LGA, 2014, 2017 and 2021</w:t>
        </w:r>
        <w:r w:rsidR="00D37F38">
          <w:rPr>
            <w:webHidden/>
          </w:rPr>
          <w:tab/>
        </w:r>
        <w:r w:rsidR="00D37F38">
          <w:rPr>
            <w:webHidden/>
          </w:rPr>
          <w:fldChar w:fldCharType="begin"/>
        </w:r>
        <w:r w:rsidR="00D37F38">
          <w:rPr>
            <w:webHidden/>
          </w:rPr>
          <w:instrText xml:space="preserve"> PAGEREF _Toc140827591 \h </w:instrText>
        </w:r>
        <w:r w:rsidR="00D37F38">
          <w:rPr>
            <w:webHidden/>
          </w:rPr>
        </w:r>
        <w:r w:rsidR="00D37F38">
          <w:rPr>
            <w:webHidden/>
          </w:rPr>
          <w:fldChar w:fldCharType="separate"/>
        </w:r>
        <w:r w:rsidR="00850AA4">
          <w:rPr>
            <w:webHidden/>
          </w:rPr>
          <w:t>34</w:t>
        </w:r>
        <w:r w:rsidR="00D37F38">
          <w:rPr>
            <w:webHidden/>
          </w:rPr>
          <w:fldChar w:fldCharType="end"/>
        </w:r>
      </w:hyperlink>
    </w:p>
    <w:p w14:paraId="521A9B6D" w14:textId="7BCA4F34" w:rsidR="00D37F38" w:rsidRDefault="00000000">
      <w:pPr>
        <w:pStyle w:val="TOC1"/>
        <w:rPr>
          <w:rFonts w:asciiTheme="minorHAnsi" w:eastAsiaTheme="minorEastAsia" w:hAnsiTheme="minorHAnsi" w:cstheme="minorBidi"/>
          <w:sz w:val="22"/>
          <w:szCs w:val="22"/>
        </w:rPr>
      </w:pPr>
      <w:hyperlink w:anchor="_Toc140827592" w:history="1">
        <w:r w:rsidR="00D37F38" w:rsidRPr="00EB0B73">
          <w:rPr>
            <w:rStyle w:val="Hyperlink"/>
          </w:rPr>
          <w:t>Figure 1.2: Lifetime risk of cancer before the age of 85 years by year, 2014, 2017 and 2021</w:t>
        </w:r>
        <w:r w:rsidR="00D37F38">
          <w:rPr>
            <w:webHidden/>
          </w:rPr>
          <w:tab/>
        </w:r>
        <w:r w:rsidR="00D37F38">
          <w:rPr>
            <w:webHidden/>
          </w:rPr>
          <w:fldChar w:fldCharType="begin"/>
        </w:r>
        <w:r w:rsidR="00D37F38">
          <w:rPr>
            <w:webHidden/>
          </w:rPr>
          <w:instrText xml:space="preserve"> PAGEREF _Toc140827592 \h </w:instrText>
        </w:r>
        <w:r w:rsidR="00D37F38">
          <w:rPr>
            <w:webHidden/>
          </w:rPr>
        </w:r>
        <w:r w:rsidR="00D37F38">
          <w:rPr>
            <w:webHidden/>
          </w:rPr>
          <w:fldChar w:fldCharType="separate"/>
        </w:r>
        <w:r w:rsidR="00850AA4">
          <w:rPr>
            <w:webHidden/>
          </w:rPr>
          <w:t>35</w:t>
        </w:r>
        <w:r w:rsidR="00D37F38">
          <w:rPr>
            <w:webHidden/>
          </w:rPr>
          <w:fldChar w:fldCharType="end"/>
        </w:r>
      </w:hyperlink>
    </w:p>
    <w:p w14:paraId="61C98268" w14:textId="7B8B1E8F" w:rsidR="00D37F38" w:rsidRDefault="00000000">
      <w:pPr>
        <w:pStyle w:val="TOC1"/>
        <w:rPr>
          <w:rFonts w:asciiTheme="minorHAnsi" w:eastAsiaTheme="minorEastAsia" w:hAnsiTheme="minorHAnsi" w:cstheme="minorBidi"/>
          <w:sz w:val="22"/>
          <w:szCs w:val="22"/>
        </w:rPr>
      </w:pPr>
      <w:hyperlink w:anchor="_Toc140827593" w:history="1">
        <w:r w:rsidR="00D37F38" w:rsidRPr="00EB0B73">
          <w:rPr>
            <w:rStyle w:val="Hyperlink"/>
          </w:rPr>
          <w:t>Figure 1.2.1: Lifetime risk of developing cancer before the age of 85 years, by ICS and year, 2010–2021</w:t>
        </w:r>
        <w:r w:rsidR="00D37F38">
          <w:rPr>
            <w:webHidden/>
          </w:rPr>
          <w:tab/>
        </w:r>
        <w:r w:rsidR="00D37F38">
          <w:rPr>
            <w:webHidden/>
          </w:rPr>
          <w:fldChar w:fldCharType="begin"/>
        </w:r>
        <w:r w:rsidR="00D37F38">
          <w:rPr>
            <w:webHidden/>
          </w:rPr>
          <w:instrText xml:space="preserve"> PAGEREF _Toc140827593 \h </w:instrText>
        </w:r>
        <w:r w:rsidR="00D37F38">
          <w:rPr>
            <w:webHidden/>
          </w:rPr>
        </w:r>
        <w:r w:rsidR="00D37F38">
          <w:rPr>
            <w:webHidden/>
          </w:rPr>
          <w:fldChar w:fldCharType="separate"/>
        </w:r>
        <w:r w:rsidR="00850AA4">
          <w:rPr>
            <w:webHidden/>
          </w:rPr>
          <w:t>36</w:t>
        </w:r>
        <w:r w:rsidR="00D37F38">
          <w:rPr>
            <w:webHidden/>
          </w:rPr>
          <w:fldChar w:fldCharType="end"/>
        </w:r>
      </w:hyperlink>
    </w:p>
    <w:p w14:paraId="0A9CB982" w14:textId="15288230" w:rsidR="00D37F38" w:rsidRDefault="00000000">
      <w:pPr>
        <w:pStyle w:val="TOC1"/>
        <w:rPr>
          <w:rFonts w:asciiTheme="minorHAnsi" w:eastAsiaTheme="minorEastAsia" w:hAnsiTheme="minorHAnsi" w:cstheme="minorBidi"/>
          <w:sz w:val="22"/>
          <w:szCs w:val="22"/>
        </w:rPr>
      </w:pPr>
      <w:hyperlink w:anchor="_Toc140827594" w:history="1">
        <w:r w:rsidR="00D37F38" w:rsidRPr="00EB0B73">
          <w:rPr>
            <w:rStyle w:val="Hyperlink"/>
          </w:rPr>
          <w:t>Figure 1.3: Incidence of lung cancer in Victoria per 100,000 standardised to the 2001 Australian population, by year of diagnosis, 2014, 2017 and 2021</w:t>
        </w:r>
        <w:r w:rsidR="00D37F38">
          <w:rPr>
            <w:webHidden/>
          </w:rPr>
          <w:tab/>
        </w:r>
        <w:r w:rsidR="00D37F38">
          <w:rPr>
            <w:webHidden/>
          </w:rPr>
          <w:fldChar w:fldCharType="begin"/>
        </w:r>
        <w:r w:rsidR="00D37F38">
          <w:rPr>
            <w:webHidden/>
          </w:rPr>
          <w:instrText xml:space="preserve"> PAGEREF _Toc140827594 \h </w:instrText>
        </w:r>
        <w:r w:rsidR="00D37F38">
          <w:rPr>
            <w:webHidden/>
          </w:rPr>
        </w:r>
        <w:r w:rsidR="00D37F38">
          <w:rPr>
            <w:webHidden/>
          </w:rPr>
          <w:fldChar w:fldCharType="separate"/>
        </w:r>
        <w:r w:rsidR="00850AA4">
          <w:rPr>
            <w:webHidden/>
          </w:rPr>
          <w:t>37</w:t>
        </w:r>
        <w:r w:rsidR="00D37F38">
          <w:rPr>
            <w:webHidden/>
          </w:rPr>
          <w:fldChar w:fldCharType="end"/>
        </w:r>
      </w:hyperlink>
    </w:p>
    <w:p w14:paraId="39856F04" w14:textId="1B5806A3" w:rsidR="00D37F38" w:rsidRDefault="00000000">
      <w:pPr>
        <w:pStyle w:val="TOC1"/>
        <w:rPr>
          <w:rFonts w:asciiTheme="minorHAnsi" w:eastAsiaTheme="minorEastAsia" w:hAnsiTheme="minorHAnsi" w:cstheme="minorBidi"/>
          <w:sz w:val="22"/>
          <w:szCs w:val="22"/>
        </w:rPr>
      </w:pPr>
      <w:hyperlink w:anchor="_Toc140827595" w:history="1">
        <w:r w:rsidR="00D37F38" w:rsidRPr="00EB0B73">
          <w:rPr>
            <w:rStyle w:val="Hyperlink"/>
          </w:rPr>
          <w:t>Figure 1.3.1: Incidence of lung cancer in Victoria per 100,000 standardised to the 2001 Australian population, by ICS and year, 2014, 2017 and 2021</w:t>
        </w:r>
        <w:r w:rsidR="00D37F38">
          <w:rPr>
            <w:webHidden/>
          </w:rPr>
          <w:tab/>
        </w:r>
        <w:r w:rsidR="00D37F38">
          <w:rPr>
            <w:webHidden/>
          </w:rPr>
          <w:fldChar w:fldCharType="begin"/>
        </w:r>
        <w:r w:rsidR="00D37F38">
          <w:rPr>
            <w:webHidden/>
          </w:rPr>
          <w:instrText xml:space="preserve"> PAGEREF _Toc140827595 \h </w:instrText>
        </w:r>
        <w:r w:rsidR="00D37F38">
          <w:rPr>
            <w:webHidden/>
          </w:rPr>
        </w:r>
        <w:r w:rsidR="00D37F38">
          <w:rPr>
            <w:webHidden/>
          </w:rPr>
          <w:fldChar w:fldCharType="separate"/>
        </w:r>
        <w:r w:rsidR="00850AA4">
          <w:rPr>
            <w:webHidden/>
          </w:rPr>
          <w:t>38</w:t>
        </w:r>
        <w:r w:rsidR="00D37F38">
          <w:rPr>
            <w:webHidden/>
          </w:rPr>
          <w:fldChar w:fldCharType="end"/>
        </w:r>
      </w:hyperlink>
    </w:p>
    <w:p w14:paraId="4F00CE89" w14:textId="27B41FF5" w:rsidR="00D37F38" w:rsidRDefault="00000000">
      <w:pPr>
        <w:pStyle w:val="TOC1"/>
        <w:rPr>
          <w:rFonts w:asciiTheme="minorHAnsi" w:eastAsiaTheme="minorEastAsia" w:hAnsiTheme="minorHAnsi" w:cstheme="minorBidi"/>
          <w:sz w:val="22"/>
          <w:szCs w:val="22"/>
        </w:rPr>
      </w:pPr>
      <w:hyperlink w:anchor="_Toc140827596" w:history="1">
        <w:r w:rsidR="00D37F38" w:rsidRPr="00EB0B73">
          <w:rPr>
            <w:rStyle w:val="Hyperlink"/>
          </w:rPr>
          <w:t>Figure 1.3.2: Incidence of lung cancer in Victoria per 100,000 standardised to the 2001 Australian population, by Victorian LGA, 2014, 2017 and 2021</w:t>
        </w:r>
        <w:r w:rsidR="00D37F38">
          <w:rPr>
            <w:webHidden/>
          </w:rPr>
          <w:tab/>
        </w:r>
        <w:r w:rsidR="00D37F38">
          <w:rPr>
            <w:webHidden/>
          </w:rPr>
          <w:fldChar w:fldCharType="begin"/>
        </w:r>
        <w:r w:rsidR="00D37F38">
          <w:rPr>
            <w:webHidden/>
          </w:rPr>
          <w:instrText xml:space="preserve"> PAGEREF _Toc140827596 \h </w:instrText>
        </w:r>
        <w:r w:rsidR="00D37F38">
          <w:rPr>
            <w:webHidden/>
          </w:rPr>
        </w:r>
        <w:r w:rsidR="00D37F38">
          <w:rPr>
            <w:webHidden/>
          </w:rPr>
          <w:fldChar w:fldCharType="separate"/>
        </w:r>
        <w:r w:rsidR="00850AA4">
          <w:rPr>
            <w:webHidden/>
          </w:rPr>
          <w:t>39</w:t>
        </w:r>
        <w:r w:rsidR="00D37F38">
          <w:rPr>
            <w:webHidden/>
          </w:rPr>
          <w:fldChar w:fldCharType="end"/>
        </w:r>
      </w:hyperlink>
    </w:p>
    <w:p w14:paraId="6D002EB1" w14:textId="588CCDF3" w:rsidR="00D37F38" w:rsidRDefault="00000000">
      <w:pPr>
        <w:pStyle w:val="TOC1"/>
        <w:rPr>
          <w:rFonts w:asciiTheme="minorHAnsi" w:eastAsiaTheme="minorEastAsia" w:hAnsiTheme="minorHAnsi" w:cstheme="minorBidi"/>
          <w:sz w:val="22"/>
          <w:szCs w:val="22"/>
        </w:rPr>
      </w:pPr>
      <w:hyperlink w:anchor="_Toc140827597" w:history="1">
        <w:r w:rsidR="00D37F38" w:rsidRPr="00EB0B73">
          <w:rPr>
            <w:rStyle w:val="Hyperlink"/>
          </w:rPr>
          <w:t>Figure 1.4: Incidence of colorectal cancer in Victoria per 100,000 standardised to the 2001 Australian population, by year of diagnosis, 2014, 2017 and 2021</w:t>
        </w:r>
        <w:r w:rsidR="00D37F38">
          <w:rPr>
            <w:webHidden/>
          </w:rPr>
          <w:tab/>
        </w:r>
        <w:r w:rsidR="00D37F38">
          <w:rPr>
            <w:webHidden/>
          </w:rPr>
          <w:fldChar w:fldCharType="begin"/>
        </w:r>
        <w:r w:rsidR="00D37F38">
          <w:rPr>
            <w:webHidden/>
          </w:rPr>
          <w:instrText xml:space="preserve"> PAGEREF _Toc140827597 \h </w:instrText>
        </w:r>
        <w:r w:rsidR="00D37F38">
          <w:rPr>
            <w:webHidden/>
          </w:rPr>
        </w:r>
        <w:r w:rsidR="00D37F38">
          <w:rPr>
            <w:webHidden/>
          </w:rPr>
          <w:fldChar w:fldCharType="separate"/>
        </w:r>
        <w:r w:rsidR="00850AA4">
          <w:rPr>
            <w:webHidden/>
          </w:rPr>
          <w:t>41</w:t>
        </w:r>
        <w:r w:rsidR="00D37F38">
          <w:rPr>
            <w:webHidden/>
          </w:rPr>
          <w:fldChar w:fldCharType="end"/>
        </w:r>
      </w:hyperlink>
    </w:p>
    <w:p w14:paraId="3B0C1CBC" w14:textId="507740E2" w:rsidR="00D37F38" w:rsidRDefault="00000000">
      <w:pPr>
        <w:pStyle w:val="TOC1"/>
        <w:rPr>
          <w:rFonts w:asciiTheme="minorHAnsi" w:eastAsiaTheme="minorEastAsia" w:hAnsiTheme="minorHAnsi" w:cstheme="minorBidi"/>
          <w:sz w:val="22"/>
          <w:szCs w:val="22"/>
        </w:rPr>
      </w:pPr>
      <w:hyperlink w:anchor="_Toc140827598" w:history="1">
        <w:r w:rsidR="00D37F38" w:rsidRPr="00EB0B73">
          <w:rPr>
            <w:rStyle w:val="Hyperlink"/>
          </w:rPr>
          <w:t>Figure 1.4.1: Incidence of colorectal cancer in Victoria per 100,000 standardised to the 2001 Australian population, by ICS and year, 2014, 2017 and 2021</w:t>
        </w:r>
        <w:r w:rsidR="00D37F38">
          <w:rPr>
            <w:webHidden/>
          </w:rPr>
          <w:tab/>
        </w:r>
        <w:r w:rsidR="00D37F38">
          <w:rPr>
            <w:webHidden/>
          </w:rPr>
          <w:fldChar w:fldCharType="begin"/>
        </w:r>
        <w:r w:rsidR="00D37F38">
          <w:rPr>
            <w:webHidden/>
          </w:rPr>
          <w:instrText xml:space="preserve"> PAGEREF _Toc140827598 \h </w:instrText>
        </w:r>
        <w:r w:rsidR="00D37F38">
          <w:rPr>
            <w:webHidden/>
          </w:rPr>
        </w:r>
        <w:r w:rsidR="00D37F38">
          <w:rPr>
            <w:webHidden/>
          </w:rPr>
          <w:fldChar w:fldCharType="separate"/>
        </w:r>
        <w:r w:rsidR="00850AA4">
          <w:rPr>
            <w:webHidden/>
          </w:rPr>
          <w:t>42</w:t>
        </w:r>
        <w:r w:rsidR="00D37F38">
          <w:rPr>
            <w:webHidden/>
          </w:rPr>
          <w:fldChar w:fldCharType="end"/>
        </w:r>
      </w:hyperlink>
    </w:p>
    <w:p w14:paraId="5AB72971" w14:textId="19B16050" w:rsidR="00D37F38" w:rsidRDefault="00000000">
      <w:pPr>
        <w:pStyle w:val="TOC1"/>
        <w:rPr>
          <w:rFonts w:asciiTheme="minorHAnsi" w:eastAsiaTheme="minorEastAsia" w:hAnsiTheme="minorHAnsi" w:cstheme="minorBidi"/>
          <w:sz w:val="22"/>
          <w:szCs w:val="22"/>
        </w:rPr>
      </w:pPr>
      <w:hyperlink w:anchor="_Toc140827599" w:history="1">
        <w:r w:rsidR="00D37F38" w:rsidRPr="00EB0B73">
          <w:rPr>
            <w:rStyle w:val="Hyperlink"/>
          </w:rPr>
          <w:t>Figure 1.4.2: Incidence of colorectal cancer in Victoria per 100,000 standardised to the 2001 Australian population, by Victorian LGA, 2014, 2017 and 2021</w:t>
        </w:r>
        <w:r w:rsidR="00D37F38">
          <w:rPr>
            <w:webHidden/>
          </w:rPr>
          <w:tab/>
        </w:r>
        <w:r w:rsidR="00D37F38">
          <w:rPr>
            <w:webHidden/>
          </w:rPr>
          <w:fldChar w:fldCharType="begin"/>
        </w:r>
        <w:r w:rsidR="00D37F38">
          <w:rPr>
            <w:webHidden/>
          </w:rPr>
          <w:instrText xml:space="preserve"> PAGEREF _Toc140827599 \h </w:instrText>
        </w:r>
        <w:r w:rsidR="00D37F38">
          <w:rPr>
            <w:webHidden/>
          </w:rPr>
        </w:r>
        <w:r w:rsidR="00D37F38">
          <w:rPr>
            <w:webHidden/>
          </w:rPr>
          <w:fldChar w:fldCharType="separate"/>
        </w:r>
        <w:r w:rsidR="00850AA4">
          <w:rPr>
            <w:webHidden/>
          </w:rPr>
          <w:t>43</w:t>
        </w:r>
        <w:r w:rsidR="00D37F38">
          <w:rPr>
            <w:webHidden/>
          </w:rPr>
          <w:fldChar w:fldCharType="end"/>
        </w:r>
      </w:hyperlink>
    </w:p>
    <w:p w14:paraId="3FBDC964" w14:textId="49368148" w:rsidR="00D37F38" w:rsidRDefault="00000000">
      <w:pPr>
        <w:pStyle w:val="TOC1"/>
        <w:rPr>
          <w:rFonts w:asciiTheme="minorHAnsi" w:eastAsiaTheme="minorEastAsia" w:hAnsiTheme="minorHAnsi" w:cstheme="minorBidi"/>
          <w:sz w:val="22"/>
          <w:szCs w:val="22"/>
        </w:rPr>
      </w:pPr>
      <w:hyperlink w:anchor="_Toc140827600" w:history="1">
        <w:r w:rsidR="00D37F38" w:rsidRPr="00EB0B73">
          <w:rPr>
            <w:rStyle w:val="Hyperlink"/>
          </w:rPr>
          <w:t>Figure 1.5: Incidence of melanoma in Victoria per 100,000 standardised to the 2001 Australian population, by year of diagnosis, 2014, 2017 and 2021</w:t>
        </w:r>
        <w:r w:rsidR="00D37F38">
          <w:rPr>
            <w:webHidden/>
          </w:rPr>
          <w:tab/>
        </w:r>
        <w:r w:rsidR="00D37F38">
          <w:rPr>
            <w:webHidden/>
          </w:rPr>
          <w:fldChar w:fldCharType="begin"/>
        </w:r>
        <w:r w:rsidR="00D37F38">
          <w:rPr>
            <w:webHidden/>
          </w:rPr>
          <w:instrText xml:space="preserve"> PAGEREF _Toc140827600 \h </w:instrText>
        </w:r>
        <w:r w:rsidR="00D37F38">
          <w:rPr>
            <w:webHidden/>
          </w:rPr>
        </w:r>
        <w:r w:rsidR="00D37F38">
          <w:rPr>
            <w:webHidden/>
          </w:rPr>
          <w:fldChar w:fldCharType="separate"/>
        </w:r>
        <w:r w:rsidR="00850AA4">
          <w:rPr>
            <w:webHidden/>
          </w:rPr>
          <w:t>45</w:t>
        </w:r>
        <w:r w:rsidR="00D37F38">
          <w:rPr>
            <w:webHidden/>
          </w:rPr>
          <w:fldChar w:fldCharType="end"/>
        </w:r>
      </w:hyperlink>
    </w:p>
    <w:p w14:paraId="6EE3C609" w14:textId="0C765947" w:rsidR="00D37F38" w:rsidRDefault="00000000">
      <w:pPr>
        <w:pStyle w:val="TOC1"/>
        <w:rPr>
          <w:rFonts w:asciiTheme="minorHAnsi" w:eastAsiaTheme="minorEastAsia" w:hAnsiTheme="minorHAnsi" w:cstheme="minorBidi"/>
          <w:sz w:val="22"/>
          <w:szCs w:val="22"/>
        </w:rPr>
      </w:pPr>
      <w:hyperlink w:anchor="_Toc140827601" w:history="1">
        <w:r w:rsidR="00D37F38" w:rsidRPr="00EB0B73">
          <w:rPr>
            <w:rStyle w:val="Hyperlink"/>
          </w:rPr>
          <w:t>Figure 1.5.1: Incidence of melanoma in Victoria per 100,000 standardised to the 2001 Australian population, by ICS and year, 2014, 2017 and 2021</w:t>
        </w:r>
        <w:r w:rsidR="00D37F38">
          <w:rPr>
            <w:webHidden/>
          </w:rPr>
          <w:tab/>
        </w:r>
        <w:r w:rsidR="00D37F38">
          <w:rPr>
            <w:webHidden/>
          </w:rPr>
          <w:fldChar w:fldCharType="begin"/>
        </w:r>
        <w:r w:rsidR="00D37F38">
          <w:rPr>
            <w:webHidden/>
          </w:rPr>
          <w:instrText xml:space="preserve"> PAGEREF _Toc140827601 \h </w:instrText>
        </w:r>
        <w:r w:rsidR="00D37F38">
          <w:rPr>
            <w:webHidden/>
          </w:rPr>
        </w:r>
        <w:r w:rsidR="00D37F38">
          <w:rPr>
            <w:webHidden/>
          </w:rPr>
          <w:fldChar w:fldCharType="separate"/>
        </w:r>
        <w:r w:rsidR="00850AA4">
          <w:rPr>
            <w:webHidden/>
          </w:rPr>
          <w:t>46</w:t>
        </w:r>
        <w:r w:rsidR="00D37F38">
          <w:rPr>
            <w:webHidden/>
          </w:rPr>
          <w:fldChar w:fldCharType="end"/>
        </w:r>
      </w:hyperlink>
    </w:p>
    <w:p w14:paraId="333136C4" w14:textId="25DB1AD5" w:rsidR="00D37F38" w:rsidRDefault="00000000">
      <w:pPr>
        <w:pStyle w:val="TOC1"/>
        <w:rPr>
          <w:rFonts w:asciiTheme="minorHAnsi" w:eastAsiaTheme="minorEastAsia" w:hAnsiTheme="minorHAnsi" w:cstheme="minorBidi"/>
          <w:sz w:val="22"/>
          <w:szCs w:val="22"/>
        </w:rPr>
      </w:pPr>
      <w:hyperlink w:anchor="_Toc140827602" w:history="1">
        <w:r w:rsidR="00D37F38" w:rsidRPr="00EB0B73">
          <w:rPr>
            <w:rStyle w:val="Hyperlink"/>
          </w:rPr>
          <w:t>Figure 1.5.2: Incidence of melanoma in Victoria per 100,000 standardised to the 2001 Australian population, by Victorian LGA, 2014, 2017 and 2021</w:t>
        </w:r>
        <w:r w:rsidR="00D37F38">
          <w:rPr>
            <w:webHidden/>
          </w:rPr>
          <w:tab/>
        </w:r>
        <w:r w:rsidR="00D37F38">
          <w:rPr>
            <w:webHidden/>
          </w:rPr>
          <w:fldChar w:fldCharType="begin"/>
        </w:r>
        <w:r w:rsidR="00D37F38">
          <w:rPr>
            <w:webHidden/>
          </w:rPr>
          <w:instrText xml:space="preserve"> PAGEREF _Toc140827602 \h </w:instrText>
        </w:r>
        <w:r w:rsidR="00D37F38">
          <w:rPr>
            <w:webHidden/>
          </w:rPr>
        </w:r>
        <w:r w:rsidR="00D37F38">
          <w:rPr>
            <w:webHidden/>
          </w:rPr>
          <w:fldChar w:fldCharType="separate"/>
        </w:r>
        <w:r w:rsidR="00850AA4">
          <w:rPr>
            <w:webHidden/>
          </w:rPr>
          <w:t>47</w:t>
        </w:r>
        <w:r w:rsidR="00D37F38">
          <w:rPr>
            <w:webHidden/>
          </w:rPr>
          <w:fldChar w:fldCharType="end"/>
        </w:r>
      </w:hyperlink>
    </w:p>
    <w:p w14:paraId="020EBB79" w14:textId="6E555293" w:rsidR="00D37F38" w:rsidRDefault="00000000">
      <w:pPr>
        <w:pStyle w:val="TOC1"/>
        <w:rPr>
          <w:rFonts w:asciiTheme="minorHAnsi" w:eastAsiaTheme="minorEastAsia" w:hAnsiTheme="minorHAnsi" w:cstheme="minorBidi"/>
          <w:sz w:val="22"/>
          <w:szCs w:val="22"/>
        </w:rPr>
      </w:pPr>
      <w:hyperlink w:anchor="_Toc140827603" w:history="1">
        <w:r w:rsidR="00D37F38" w:rsidRPr="00EB0B73">
          <w:rPr>
            <w:rStyle w:val="Hyperlink"/>
          </w:rPr>
          <w:t>Figure 1.6: Incidence of female breast cancer in Victoria per 100,000 standardised to the 2001 Australian population, by year of diagnosis, 2014, 2017 and 2021</w:t>
        </w:r>
        <w:r w:rsidR="00D37F38">
          <w:rPr>
            <w:webHidden/>
          </w:rPr>
          <w:tab/>
        </w:r>
        <w:r w:rsidR="00D37F38">
          <w:rPr>
            <w:webHidden/>
          </w:rPr>
          <w:fldChar w:fldCharType="begin"/>
        </w:r>
        <w:r w:rsidR="00D37F38">
          <w:rPr>
            <w:webHidden/>
          </w:rPr>
          <w:instrText xml:space="preserve"> PAGEREF _Toc140827603 \h </w:instrText>
        </w:r>
        <w:r w:rsidR="00D37F38">
          <w:rPr>
            <w:webHidden/>
          </w:rPr>
        </w:r>
        <w:r w:rsidR="00D37F38">
          <w:rPr>
            <w:webHidden/>
          </w:rPr>
          <w:fldChar w:fldCharType="separate"/>
        </w:r>
        <w:r w:rsidR="00850AA4">
          <w:rPr>
            <w:webHidden/>
          </w:rPr>
          <w:t>48</w:t>
        </w:r>
        <w:r w:rsidR="00D37F38">
          <w:rPr>
            <w:webHidden/>
          </w:rPr>
          <w:fldChar w:fldCharType="end"/>
        </w:r>
      </w:hyperlink>
    </w:p>
    <w:p w14:paraId="0A3AC243" w14:textId="19293906" w:rsidR="00D37F38" w:rsidRDefault="00000000">
      <w:pPr>
        <w:pStyle w:val="TOC1"/>
        <w:rPr>
          <w:rFonts w:asciiTheme="minorHAnsi" w:eastAsiaTheme="minorEastAsia" w:hAnsiTheme="minorHAnsi" w:cstheme="minorBidi"/>
          <w:sz w:val="22"/>
          <w:szCs w:val="22"/>
        </w:rPr>
      </w:pPr>
      <w:hyperlink w:anchor="_Toc140827604" w:history="1">
        <w:r w:rsidR="00D37F38" w:rsidRPr="00EB0B73">
          <w:rPr>
            <w:rStyle w:val="Hyperlink"/>
          </w:rPr>
          <w:t>Figure 1.6.1: Incidence of female breast cancer in Victoria per 100,000 standardised to the 2001 Australian population, by ICS and year, 2014, 2017 and 2021</w:t>
        </w:r>
        <w:r w:rsidR="00D37F38">
          <w:rPr>
            <w:webHidden/>
          </w:rPr>
          <w:tab/>
        </w:r>
        <w:r w:rsidR="00D37F38">
          <w:rPr>
            <w:webHidden/>
          </w:rPr>
          <w:fldChar w:fldCharType="begin"/>
        </w:r>
        <w:r w:rsidR="00D37F38">
          <w:rPr>
            <w:webHidden/>
          </w:rPr>
          <w:instrText xml:space="preserve"> PAGEREF _Toc140827604 \h </w:instrText>
        </w:r>
        <w:r w:rsidR="00D37F38">
          <w:rPr>
            <w:webHidden/>
          </w:rPr>
        </w:r>
        <w:r w:rsidR="00D37F38">
          <w:rPr>
            <w:webHidden/>
          </w:rPr>
          <w:fldChar w:fldCharType="separate"/>
        </w:r>
        <w:r w:rsidR="00850AA4">
          <w:rPr>
            <w:webHidden/>
          </w:rPr>
          <w:t>49</w:t>
        </w:r>
        <w:r w:rsidR="00D37F38">
          <w:rPr>
            <w:webHidden/>
          </w:rPr>
          <w:fldChar w:fldCharType="end"/>
        </w:r>
      </w:hyperlink>
    </w:p>
    <w:p w14:paraId="0B3B4BC1" w14:textId="7C2456B9" w:rsidR="00D37F38" w:rsidRDefault="00000000">
      <w:pPr>
        <w:pStyle w:val="TOC1"/>
        <w:rPr>
          <w:rFonts w:asciiTheme="minorHAnsi" w:eastAsiaTheme="minorEastAsia" w:hAnsiTheme="minorHAnsi" w:cstheme="minorBidi"/>
          <w:sz w:val="22"/>
          <w:szCs w:val="22"/>
        </w:rPr>
      </w:pPr>
      <w:hyperlink w:anchor="_Toc140827605" w:history="1">
        <w:r w:rsidR="00D37F38" w:rsidRPr="00EB0B73">
          <w:rPr>
            <w:rStyle w:val="Hyperlink"/>
          </w:rPr>
          <w:t>Figure 1.6.2: Incidence of female breast cancer in Victoria per 100,000 standardised to the 2001 Australian population, by Victorian LGA, 2014, 2017 and 2021</w:t>
        </w:r>
        <w:r w:rsidR="00D37F38">
          <w:rPr>
            <w:webHidden/>
          </w:rPr>
          <w:tab/>
        </w:r>
        <w:r w:rsidR="00D37F38">
          <w:rPr>
            <w:webHidden/>
          </w:rPr>
          <w:fldChar w:fldCharType="begin"/>
        </w:r>
        <w:r w:rsidR="00D37F38">
          <w:rPr>
            <w:webHidden/>
          </w:rPr>
          <w:instrText xml:space="preserve"> PAGEREF _Toc140827605 \h </w:instrText>
        </w:r>
        <w:r w:rsidR="00D37F38">
          <w:rPr>
            <w:webHidden/>
          </w:rPr>
        </w:r>
        <w:r w:rsidR="00D37F38">
          <w:rPr>
            <w:webHidden/>
          </w:rPr>
          <w:fldChar w:fldCharType="separate"/>
        </w:r>
        <w:r w:rsidR="00850AA4">
          <w:rPr>
            <w:webHidden/>
          </w:rPr>
          <w:t>50</w:t>
        </w:r>
        <w:r w:rsidR="00D37F38">
          <w:rPr>
            <w:webHidden/>
          </w:rPr>
          <w:fldChar w:fldCharType="end"/>
        </w:r>
      </w:hyperlink>
    </w:p>
    <w:p w14:paraId="7CD5D330" w14:textId="4632A5F4" w:rsidR="00D37F38" w:rsidRDefault="00000000">
      <w:pPr>
        <w:pStyle w:val="TOC1"/>
        <w:rPr>
          <w:rFonts w:asciiTheme="minorHAnsi" w:eastAsiaTheme="minorEastAsia" w:hAnsiTheme="minorHAnsi" w:cstheme="minorBidi"/>
          <w:sz w:val="22"/>
          <w:szCs w:val="22"/>
        </w:rPr>
      </w:pPr>
      <w:hyperlink w:anchor="_Toc140827606" w:history="1">
        <w:r w:rsidR="00D37F38" w:rsidRPr="00EB0B73">
          <w:rPr>
            <w:rStyle w:val="Hyperlink"/>
          </w:rPr>
          <w:t>Figure 1.7: Incidence of cancer of the cervix in Victoria per 100,000 standardised to the 2001 Australian population, by year of diagnosis, 2014, 2017 and 2021</w:t>
        </w:r>
        <w:r w:rsidR="00D37F38">
          <w:rPr>
            <w:webHidden/>
          </w:rPr>
          <w:tab/>
        </w:r>
        <w:r w:rsidR="00D37F38">
          <w:rPr>
            <w:webHidden/>
          </w:rPr>
          <w:fldChar w:fldCharType="begin"/>
        </w:r>
        <w:r w:rsidR="00D37F38">
          <w:rPr>
            <w:webHidden/>
          </w:rPr>
          <w:instrText xml:space="preserve"> PAGEREF _Toc140827606 \h </w:instrText>
        </w:r>
        <w:r w:rsidR="00D37F38">
          <w:rPr>
            <w:webHidden/>
          </w:rPr>
        </w:r>
        <w:r w:rsidR="00D37F38">
          <w:rPr>
            <w:webHidden/>
          </w:rPr>
          <w:fldChar w:fldCharType="separate"/>
        </w:r>
        <w:r w:rsidR="00850AA4">
          <w:rPr>
            <w:webHidden/>
          </w:rPr>
          <w:t>51</w:t>
        </w:r>
        <w:r w:rsidR="00D37F38">
          <w:rPr>
            <w:webHidden/>
          </w:rPr>
          <w:fldChar w:fldCharType="end"/>
        </w:r>
      </w:hyperlink>
    </w:p>
    <w:p w14:paraId="3213D034" w14:textId="71014B62" w:rsidR="00D37F38" w:rsidRDefault="00000000">
      <w:pPr>
        <w:pStyle w:val="TOC1"/>
        <w:rPr>
          <w:rFonts w:asciiTheme="minorHAnsi" w:eastAsiaTheme="minorEastAsia" w:hAnsiTheme="minorHAnsi" w:cstheme="minorBidi"/>
          <w:sz w:val="22"/>
          <w:szCs w:val="22"/>
        </w:rPr>
      </w:pPr>
      <w:hyperlink w:anchor="_Toc140827607" w:history="1">
        <w:r w:rsidR="00D37F38" w:rsidRPr="00EB0B73">
          <w:rPr>
            <w:rStyle w:val="Hyperlink"/>
          </w:rPr>
          <w:t>Figure 1.7.1: Incidence of cancer of the cervix in Victoria per 100,000 standardised to the 2001 Australian population, by ICS and year, 2014, 2017 and 2021</w:t>
        </w:r>
        <w:r w:rsidR="00D37F38">
          <w:rPr>
            <w:webHidden/>
          </w:rPr>
          <w:tab/>
        </w:r>
        <w:r w:rsidR="00D37F38">
          <w:rPr>
            <w:webHidden/>
          </w:rPr>
          <w:fldChar w:fldCharType="begin"/>
        </w:r>
        <w:r w:rsidR="00D37F38">
          <w:rPr>
            <w:webHidden/>
          </w:rPr>
          <w:instrText xml:space="preserve"> PAGEREF _Toc140827607 \h </w:instrText>
        </w:r>
        <w:r w:rsidR="00D37F38">
          <w:rPr>
            <w:webHidden/>
          </w:rPr>
        </w:r>
        <w:r w:rsidR="00D37F38">
          <w:rPr>
            <w:webHidden/>
          </w:rPr>
          <w:fldChar w:fldCharType="separate"/>
        </w:r>
        <w:r w:rsidR="00850AA4">
          <w:rPr>
            <w:webHidden/>
          </w:rPr>
          <w:t>52</w:t>
        </w:r>
        <w:r w:rsidR="00D37F38">
          <w:rPr>
            <w:webHidden/>
          </w:rPr>
          <w:fldChar w:fldCharType="end"/>
        </w:r>
      </w:hyperlink>
    </w:p>
    <w:p w14:paraId="3D271FE6" w14:textId="68D1DB01" w:rsidR="00D37F38" w:rsidRDefault="00000000">
      <w:pPr>
        <w:pStyle w:val="TOC1"/>
        <w:rPr>
          <w:rFonts w:asciiTheme="minorHAnsi" w:eastAsiaTheme="minorEastAsia" w:hAnsiTheme="minorHAnsi" w:cstheme="minorBidi"/>
          <w:sz w:val="22"/>
          <w:szCs w:val="22"/>
        </w:rPr>
      </w:pPr>
      <w:hyperlink w:anchor="_Toc140827608" w:history="1">
        <w:r w:rsidR="00D37F38" w:rsidRPr="00EB0B73">
          <w:rPr>
            <w:rStyle w:val="Hyperlink"/>
          </w:rPr>
          <w:t>Figure 1.7.2: Incidence of cancer of the cervix in Victoria per 100,000 standardised to the 2001 Australian population, by Victorian LGA, 2014, 2017 and 2021</w:t>
        </w:r>
        <w:r w:rsidR="00D37F38">
          <w:rPr>
            <w:webHidden/>
          </w:rPr>
          <w:tab/>
        </w:r>
        <w:r w:rsidR="00D37F38">
          <w:rPr>
            <w:webHidden/>
          </w:rPr>
          <w:fldChar w:fldCharType="begin"/>
        </w:r>
        <w:r w:rsidR="00D37F38">
          <w:rPr>
            <w:webHidden/>
          </w:rPr>
          <w:instrText xml:space="preserve"> PAGEREF _Toc140827608 \h </w:instrText>
        </w:r>
        <w:r w:rsidR="00D37F38">
          <w:rPr>
            <w:webHidden/>
          </w:rPr>
        </w:r>
        <w:r w:rsidR="00D37F38">
          <w:rPr>
            <w:webHidden/>
          </w:rPr>
          <w:fldChar w:fldCharType="separate"/>
        </w:r>
        <w:r w:rsidR="00850AA4">
          <w:rPr>
            <w:webHidden/>
          </w:rPr>
          <w:t>53</w:t>
        </w:r>
        <w:r w:rsidR="00D37F38">
          <w:rPr>
            <w:webHidden/>
          </w:rPr>
          <w:fldChar w:fldCharType="end"/>
        </w:r>
      </w:hyperlink>
    </w:p>
    <w:p w14:paraId="20FF9F8F" w14:textId="3562DE56" w:rsidR="00D37F38" w:rsidRDefault="00000000">
      <w:pPr>
        <w:pStyle w:val="TOC1"/>
        <w:rPr>
          <w:rFonts w:asciiTheme="minorHAnsi" w:eastAsiaTheme="minorEastAsia" w:hAnsiTheme="minorHAnsi" w:cstheme="minorBidi"/>
          <w:sz w:val="22"/>
          <w:szCs w:val="22"/>
        </w:rPr>
      </w:pPr>
      <w:hyperlink w:anchor="_Toc140827609" w:history="1">
        <w:r w:rsidR="00D37F38" w:rsidRPr="00EB0B73">
          <w:rPr>
            <w:rStyle w:val="Hyperlink"/>
          </w:rPr>
          <w:t>Figure 1.8: Incidence of liver cancer (primary) in Victoria per 100,000 standardised to the 2001 Australian population, by year of diagnosis, 2014, 2017 and 2021</w:t>
        </w:r>
        <w:r w:rsidR="00D37F38">
          <w:rPr>
            <w:webHidden/>
          </w:rPr>
          <w:tab/>
        </w:r>
        <w:r w:rsidR="00D37F38">
          <w:rPr>
            <w:webHidden/>
          </w:rPr>
          <w:fldChar w:fldCharType="begin"/>
        </w:r>
        <w:r w:rsidR="00D37F38">
          <w:rPr>
            <w:webHidden/>
          </w:rPr>
          <w:instrText xml:space="preserve"> PAGEREF _Toc140827609 \h </w:instrText>
        </w:r>
        <w:r w:rsidR="00D37F38">
          <w:rPr>
            <w:webHidden/>
          </w:rPr>
        </w:r>
        <w:r w:rsidR="00D37F38">
          <w:rPr>
            <w:webHidden/>
          </w:rPr>
          <w:fldChar w:fldCharType="separate"/>
        </w:r>
        <w:r w:rsidR="00850AA4">
          <w:rPr>
            <w:webHidden/>
          </w:rPr>
          <w:t>55</w:t>
        </w:r>
        <w:r w:rsidR="00D37F38">
          <w:rPr>
            <w:webHidden/>
          </w:rPr>
          <w:fldChar w:fldCharType="end"/>
        </w:r>
      </w:hyperlink>
    </w:p>
    <w:p w14:paraId="09990519" w14:textId="42B40A51" w:rsidR="00D37F38" w:rsidRDefault="00000000">
      <w:pPr>
        <w:pStyle w:val="TOC1"/>
        <w:rPr>
          <w:rFonts w:asciiTheme="minorHAnsi" w:eastAsiaTheme="minorEastAsia" w:hAnsiTheme="minorHAnsi" w:cstheme="minorBidi"/>
          <w:sz w:val="22"/>
          <w:szCs w:val="22"/>
        </w:rPr>
      </w:pPr>
      <w:hyperlink w:anchor="_Toc140827610" w:history="1">
        <w:r w:rsidR="00D37F38" w:rsidRPr="00EB0B73">
          <w:rPr>
            <w:rStyle w:val="Hyperlink"/>
          </w:rPr>
          <w:t>Figure 1.8.1: Incidence of liver cancer (primary) in Victoria per 100,000 standardised to the 2001 Australian population, by ICS and year, 2014, 2017 and 2021</w:t>
        </w:r>
        <w:r w:rsidR="00D37F38">
          <w:rPr>
            <w:webHidden/>
          </w:rPr>
          <w:tab/>
        </w:r>
        <w:r w:rsidR="00D37F38">
          <w:rPr>
            <w:webHidden/>
          </w:rPr>
          <w:fldChar w:fldCharType="begin"/>
        </w:r>
        <w:r w:rsidR="00D37F38">
          <w:rPr>
            <w:webHidden/>
          </w:rPr>
          <w:instrText xml:space="preserve"> PAGEREF _Toc140827610 \h </w:instrText>
        </w:r>
        <w:r w:rsidR="00D37F38">
          <w:rPr>
            <w:webHidden/>
          </w:rPr>
        </w:r>
        <w:r w:rsidR="00D37F38">
          <w:rPr>
            <w:webHidden/>
          </w:rPr>
          <w:fldChar w:fldCharType="separate"/>
        </w:r>
        <w:r w:rsidR="00850AA4">
          <w:rPr>
            <w:webHidden/>
          </w:rPr>
          <w:t>56</w:t>
        </w:r>
        <w:r w:rsidR="00D37F38">
          <w:rPr>
            <w:webHidden/>
          </w:rPr>
          <w:fldChar w:fldCharType="end"/>
        </w:r>
      </w:hyperlink>
    </w:p>
    <w:p w14:paraId="4E6542E2" w14:textId="7E54C511" w:rsidR="00D37F38" w:rsidRDefault="00000000">
      <w:pPr>
        <w:pStyle w:val="TOC1"/>
        <w:rPr>
          <w:rFonts w:asciiTheme="minorHAnsi" w:eastAsiaTheme="minorEastAsia" w:hAnsiTheme="minorHAnsi" w:cstheme="minorBidi"/>
          <w:sz w:val="22"/>
          <w:szCs w:val="22"/>
        </w:rPr>
      </w:pPr>
      <w:hyperlink w:anchor="_Toc140827611" w:history="1">
        <w:r w:rsidR="00D37F38" w:rsidRPr="00EB0B73">
          <w:rPr>
            <w:rStyle w:val="Hyperlink"/>
          </w:rPr>
          <w:t>Figure 1.8.2: Incidence of liver cancer (primary) in Victoria per 100,000 standardised to the 2001 Australian population, by Victorian LGA, 2014, 2017 and 2021</w:t>
        </w:r>
        <w:r w:rsidR="00D37F38">
          <w:rPr>
            <w:webHidden/>
          </w:rPr>
          <w:tab/>
        </w:r>
        <w:r w:rsidR="00D37F38">
          <w:rPr>
            <w:webHidden/>
          </w:rPr>
          <w:fldChar w:fldCharType="begin"/>
        </w:r>
        <w:r w:rsidR="00D37F38">
          <w:rPr>
            <w:webHidden/>
          </w:rPr>
          <w:instrText xml:space="preserve"> PAGEREF _Toc140827611 \h </w:instrText>
        </w:r>
        <w:r w:rsidR="00D37F38">
          <w:rPr>
            <w:webHidden/>
          </w:rPr>
        </w:r>
        <w:r w:rsidR="00D37F38">
          <w:rPr>
            <w:webHidden/>
          </w:rPr>
          <w:fldChar w:fldCharType="separate"/>
        </w:r>
        <w:r w:rsidR="00850AA4">
          <w:rPr>
            <w:webHidden/>
          </w:rPr>
          <w:t>57</w:t>
        </w:r>
        <w:r w:rsidR="00D37F38">
          <w:rPr>
            <w:webHidden/>
          </w:rPr>
          <w:fldChar w:fldCharType="end"/>
        </w:r>
      </w:hyperlink>
    </w:p>
    <w:p w14:paraId="1DC3B7CA" w14:textId="1C8344D7" w:rsidR="00D37F38" w:rsidRDefault="00000000">
      <w:pPr>
        <w:pStyle w:val="TOC1"/>
        <w:rPr>
          <w:rFonts w:asciiTheme="minorHAnsi" w:eastAsiaTheme="minorEastAsia" w:hAnsiTheme="minorHAnsi" w:cstheme="minorBidi"/>
          <w:sz w:val="22"/>
          <w:szCs w:val="22"/>
        </w:rPr>
      </w:pPr>
      <w:hyperlink w:anchor="_Toc140827612" w:history="1">
        <w:r w:rsidR="00D37F38" w:rsidRPr="00EB0B73">
          <w:rPr>
            <w:rStyle w:val="Hyperlink"/>
            <w:lang w:val="en"/>
          </w:rPr>
          <w:t>Figure 2.1: Global cancer death rate from all cancers combined per 100,000 population for both sexes, 2019</w:t>
        </w:r>
        <w:r w:rsidR="00D37F38">
          <w:rPr>
            <w:webHidden/>
          </w:rPr>
          <w:tab/>
        </w:r>
        <w:r w:rsidR="00D37F38">
          <w:rPr>
            <w:webHidden/>
          </w:rPr>
          <w:fldChar w:fldCharType="begin"/>
        </w:r>
        <w:r w:rsidR="00D37F38">
          <w:rPr>
            <w:webHidden/>
          </w:rPr>
          <w:instrText xml:space="preserve"> PAGEREF _Toc140827612 \h </w:instrText>
        </w:r>
        <w:r w:rsidR="00D37F38">
          <w:rPr>
            <w:webHidden/>
          </w:rPr>
        </w:r>
        <w:r w:rsidR="00D37F38">
          <w:rPr>
            <w:webHidden/>
          </w:rPr>
          <w:fldChar w:fldCharType="separate"/>
        </w:r>
        <w:r w:rsidR="00850AA4">
          <w:rPr>
            <w:webHidden/>
          </w:rPr>
          <w:t>59</w:t>
        </w:r>
        <w:r w:rsidR="00D37F38">
          <w:rPr>
            <w:webHidden/>
          </w:rPr>
          <w:fldChar w:fldCharType="end"/>
        </w:r>
      </w:hyperlink>
    </w:p>
    <w:p w14:paraId="786E7222" w14:textId="71C83272" w:rsidR="00D37F38" w:rsidRDefault="00000000">
      <w:pPr>
        <w:pStyle w:val="TOC1"/>
        <w:rPr>
          <w:rFonts w:asciiTheme="minorHAnsi" w:eastAsiaTheme="minorEastAsia" w:hAnsiTheme="minorHAnsi" w:cstheme="minorBidi"/>
          <w:sz w:val="22"/>
          <w:szCs w:val="22"/>
        </w:rPr>
      </w:pPr>
      <w:hyperlink w:anchor="_Toc140827613" w:history="1">
        <w:r w:rsidR="00D37F38" w:rsidRPr="00EB0B73">
          <w:rPr>
            <w:rStyle w:val="Hyperlink"/>
          </w:rPr>
          <w:t>Figure 2.1.1: Victorian death rate for all cancers combined, by sex and year, 2010–2021</w:t>
        </w:r>
        <w:r w:rsidR="00D37F38">
          <w:rPr>
            <w:webHidden/>
          </w:rPr>
          <w:tab/>
        </w:r>
        <w:r w:rsidR="00D37F38">
          <w:rPr>
            <w:webHidden/>
          </w:rPr>
          <w:fldChar w:fldCharType="begin"/>
        </w:r>
        <w:r w:rsidR="00D37F38">
          <w:rPr>
            <w:webHidden/>
          </w:rPr>
          <w:instrText xml:space="preserve"> PAGEREF _Toc140827613 \h </w:instrText>
        </w:r>
        <w:r w:rsidR="00D37F38">
          <w:rPr>
            <w:webHidden/>
          </w:rPr>
        </w:r>
        <w:r w:rsidR="00D37F38">
          <w:rPr>
            <w:webHidden/>
          </w:rPr>
          <w:fldChar w:fldCharType="separate"/>
        </w:r>
        <w:r w:rsidR="00850AA4">
          <w:rPr>
            <w:webHidden/>
          </w:rPr>
          <w:t>59</w:t>
        </w:r>
        <w:r w:rsidR="00D37F38">
          <w:rPr>
            <w:webHidden/>
          </w:rPr>
          <w:fldChar w:fldCharType="end"/>
        </w:r>
      </w:hyperlink>
    </w:p>
    <w:p w14:paraId="401D7392" w14:textId="20507278" w:rsidR="00D37F38" w:rsidRDefault="00000000">
      <w:pPr>
        <w:pStyle w:val="TOC1"/>
        <w:rPr>
          <w:rFonts w:asciiTheme="minorHAnsi" w:eastAsiaTheme="minorEastAsia" w:hAnsiTheme="minorHAnsi" w:cstheme="minorBidi"/>
          <w:sz w:val="22"/>
          <w:szCs w:val="22"/>
        </w:rPr>
      </w:pPr>
      <w:hyperlink w:anchor="_Toc140827614" w:history="1">
        <w:r w:rsidR="00D37F38" w:rsidRPr="00EB0B73">
          <w:rPr>
            <w:rStyle w:val="Hyperlink"/>
          </w:rPr>
          <w:t>Figure 2.1.2: Forest plots comparing the age-adjusted mortality (death) rates (and 95% confidence intervals) for deaths by all cancers in the baseline year (2010) and the most recent year where mortality data is available (2021), standardised to the 2001 Australian population</w:t>
        </w:r>
        <w:r w:rsidR="00D37F38">
          <w:rPr>
            <w:webHidden/>
          </w:rPr>
          <w:tab/>
        </w:r>
        <w:r w:rsidR="00D37F38">
          <w:rPr>
            <w:webHidden/>
          </w:rPr>
          <w:fldChar w:fldCharType="begin"/>
        </w:r>
        <w:r w:rsidR="00D37F38">
          <w:rPr>
            <w:webHidden/>
          </w:rPr>
          <w:instrText xml:space="preserve"> PAGEREF _Toc140827614 \h </w:instrText>
        </w:r>
        <w:r w:rsidR="00D37F38">
          <w:rPr>
            <w:webHidden/>
          </w:rPr>
        </w:r>
        <w:r w:rsidR="00D37F38">
          <w:rPr>
            <w:webHidden/>
          </w:rPr>
          <w:fldChar w:fldCharType="separate"/>
        </w:r>
        <w:r w:rsidR="00850AA4">
          <w:rPr>
            <w:webHidden/>
          </w:rPr>
          <w:t>60</w:t>
        </w:r>
        <w:r w:rsidR="00D37F38">
          <w:rPr>
            <w:webHidden/>
          </w:rPr>
          <w:fldChar w:fldCharType="end"/>
        </w:r>
      </w:hyperlink>
    </w:p>
    <w:p w14:paraId="44E76D33" w14:textId="484D70FD" w:rsidR="00D37F38" w:rsidRDefault="00000000">
      <w:pPr>
        <w:pStyle w:val="TOC1"/>
        <w:rPr>
          <w:rFonts w:asciiTheme="minorHAnsi" w:eastAsiaTheme="minorEastAsia" w:hAnsiTheme="minorHAnsi" w:cstheme="minorBidi"/>
          <w:sz w:val="22"/>
          <w:szCs w:val="22"/>
        </w:rPr>
      </w:pPr>
      <w:hyperlink w:anchor="_Toc140827615" w:history="1">
        <w:r w:rsidR="00D37F38" w:rsidRPr="00EB0B73">
          <w:rPr>
            <w:rStyle w:val="Hyperlink"/>
          </w:rPr>
          <w:t>Figure 2.1.3: Victorian death rate for all cancers combined, by LGA, 2010, 2017 and 2021</w:t>
        </w:r>
        <w:r w:rsidR="00D37F38">
          <w:rPr>
            <w:webHidden/>
          </w:rPr>
          <w:tab/>
        </w:r>
        <w:r w:rsidR="00D37F38">
          <w:rPr>
            <w:webHidden/>
          </w:rPr>
          <w:fldChar w:fldCharType="begin"/>
        </w:r>
        <w:r w:rsidR="00D37F38">
          <w:rPr>
            <w:webHidden/>
          </w:rPr>
          <w:instrText xml:space="preserve"> PAGEREF _Toc140827615 \h </w:instrText>
        </w:r>
        <w:r w:rsidR="00D37F38">
          <w:rPr>
            <w:webHidden/>
          </w:rPr>
        </w:r>
        <w:r w:rsidR="00D37F38">
          <w:rPr>
            <w:webHidden/>
          </w:rPr>
          <w:fldChar w:fldCharType="separate"/>
        </w:r>
        <w:r w:rsidR="00850AA4">
          <w:rPr>
            <w:webHidden/>
          </w:rPr>
          <w:t>61</w:t>
        </w:r>
        <w:r w:rsidR="00D37F38">
          <w:rPr>
            <w:webHidden/>
          </w:rPr>
          <w:fldChar w:fldCharType="end"/>
        </w:r>
      </w:hyperlink>
    </w:p>
    <w:p w14:paraId="7D550A1A" w14:textId="38AF506A" w:rsidR="00D37F38" w:rsidRDefault="00000000">
      <w:pPr>
        <w:pStyle w:val="TOC1"/>
        <w:rPr>
          <w:rFonts w:asciiTheme="minorHAnsi" w:eastAsiaTheme="minorEastAsia" w:hAnsiTheme="minorHAnsi" w:cstheme="minorBidi"/>
          <w:sz w:val="22"/>
          <w:szCs w:val="22"/>
        </w:rPr>
      </w:pPr>
      <w:hyperlink w:anchor="_Toc140827616" w:history="1">
        <w:r w:rsidR="00D37F38" w:rsidRPr="00EB0B73">
          <w:rPr>
            <w:rStyle w:val="Hyperlink"/>
          </w:rPr>
          <w:t>Figure 2.1.4: Victorian death rate for all cancers combined, by ICS by year, 2010–2021</w:t>
        </w:r>
        <w:r w:rsidR="00D37F38">
          <w:rPr>
            <w:webHidden/>
          </w:rPr>
          <w:tab/>
        </w:r>
        <w:r w:rsidR="00D37F38">
          <w:rPr>
            <w:webHidden/>
          </w:rPr>
          <w:fldChar w:fldCharType="begin"/>
        </w:r>
        <w:r w:rsidR="00D37F38">
          <w:rPr>
            <w:webHidden/>
          </w:rPr>
          <w:instrText xml:space="preserve"> PAGEREF _Toc140827616 \h </w:instrText>
        </w:r>
        <w:r w:rsidR="00D37F38">
          <w:rPr>
            <w:webHidden/>
          </w:rPr>
        </w:r>
        <w:r w:rsidR="00D37F38">
          <w:rPr>
            <w:webHidden/>
          </w:rPr>
          <w:fldChar w:fldCharType="separate"/>
        </w:r>
        <w:r w:rsidR="00850AA4">
          <w:rPr>
            <w:webHidden/>
          </w:rPr>
          <w:t>62</w:t>
        </w:r>
        <w:r w:rsidR="00D37F38">
          <w:rPr>
            <w:webHidden/>
          </w:rPr>
          <w:fldChar w:fldCharType="end"/>
        </w:r>
      </w:hyperlink>
    </w:p>
    <w:p w14:paraId="427179B6" w14:textId="19DECFB1" w:rsidR="00D37F38" w:rsidRDefault="00000000">
      <w:pPr>
        <w:pStyle w:val="TOC1"/>
        <w:rPr>
          <w:rFonts w:asciiTheme="minorHAnsi" w:eastAsiaTheme="minorEastAsia" w:hAnsiTheme="minorHAnsi" w:cstheme="minorBidi"/>
          <w:sz w:val="22"/>
          <w:szCs w:val="22"/>
        </w:rPr>
      </w:pPr>
      <w:hyperlink w:anchor="_Toc140827617" w:history="1">
        <w:r w:rsidR="00D37F38" w:rsidRPr="00EB0B73">
          <w:rPr>
            <w:rStyle w:val="Hyperlink"/>
          </w:rPr>
          <w:t>Figure 2.2: Global map presenting national ranking of all cancers (combined) as a cause of premature death (below 70 years) in 2019</w:t>
        </w:r>
        <w:r w:rsidR="00D37F38">
          <w:rPr>
            <w:webHidden/>
          </w:rPr>
          <w:tab/>
        </w:r>
        <w:r w:rsidR="00D37F38">
          <w:rPr>
            <w:webHidden/>
          </w:rPr>
          <w:fldChar w:fldCharType="begin"/>
        </w:r>
        <w:r w:rsidR="00D37F38">
          <w:rPr>
            <w:webHidden/>
          </w:rPr>
          <w:instrText xml:space="preserve"> PAGEREF _Toc140827617 \h </w:instrText>
        </w:r>
        <w:r w:rsidR="00D37F38">
          <w:rPr>
            <w:webHidden/>
          </w:rPr>
        </w:r>
        <w:r w:rsidR="00D37F38">
          <w:rPr>
            <w:webHidden/>
          </w:rPr>
          <w:fldChar w:fldCharType="separate"/>
        </w:r>
        <w:r w:rsidR="00850AA4">
          <w:rPr>
            <w:webHidden/>
          </w:rPr>
          <w:t>64</w:t>
        </w:r>
        <w:r w:rsidR="00D37F38">
          <w:rPr>
            <w:webHidden/>
          </w:rPr>
          <w:fldChar w:fldCharType="end"/>
        </w:r>
      </w:hyperlink>
    </w:p>
    <w:p w14:paraId="1657151C" w14:textId="0A8316C5" w:rsidR="00D37F38" w:rsidRDefault="00000000">
      <w:pPr>
        <w:pStyle w:val="TOC1"/>
        <w:rPr>
          <w:rFonts w:asciiTheme="minorHAnsi" w:eastAsiaTheme="minorEastAsia" w:hAnsiTheme="minorHAnsi" w:cstheme="minorBidi"/>
          <w:sz w:val="22"/>
          <w:szCs w:val="22"/>
        </w:rPr>
      </w:pPr>
      <w:hyperlink w:anchor="_Toc140827618" w:history="1">
        <w:r w:rsidR="00D37F38" w:rsidRPr="00EB0B73">
          <w:rPr>
            <w:rStyle w:val="Hyperlink"/>
          </w:rPr>
          <w:t>Figure 2.2.1: Victorian premature death rate for all cancers combined, by sex and year, 2010–2021</w:t>
        </w:r>
        <w:r w:rsidR="00D37F38">
          <w:rPr>
            <w:webHidden/>
          </w:rPr>
          <w:tab/>
        </w:r>
        <w:r w:rsidR="00D37F38">
          <w:rPr>
            <w:webHidden/>
          </w:rPr>
          <w:fldChar w:fldCharType="begin"/>
        </w:r>
        <w:r w:rsidR="00D37F38">
          <w:rPr>
            <w:webHidden/>
          </w:rPr>
          <w:instrText xml:space="preserve"> PAGEREF _Toc140827618 \h </w:instrText>
        </w:r>
        <w:r w:rsidR="00D37F38">
          <w:rPr>
            <w:webHidden/>
          </w:rPr>
        </w:r>
        <w:r w:rsidR="00D37F38">
          <w:rPr>
            <w:webHidden/>
          </w:rPr>
          <w:fldChar w:fldCharType="separate"/>
        </w:r>
        <w:r w:rsidR="00850AA4">
          <w:rPr>
            <w:webHidden/>
          </w:rPr>
          <w:t>64</w:t>
        </w:r>
        <w:r w:rsidR="00D37F38">
          <w:rPr>
            <w:webHidden/>
          </w:rPr>
          <w:fldChar w:fldCharType="end"/>
        </w:r>
      </w:hyperlink>
    </w:p>
    <w:p w14:paraId="25D18C6B" w14:textId="44030FAD" w:rsidR="00D37F38" w:rsidRDefault="00000000">
      <w:pPr>
        <w:pStyle w:val="TOC1"/>
        <w:rPr>
          <w:rFonts w:asciiTheme="minorHAnsi" w:eastAsiaTheme="minorEastAsia" w:hAnsiTheme="minorHAnsi" w:cstheme="minorBidi"/>
          <w:sz w:val="22"/>
          <w:szCs w:val="22"/>
        </w:rPr>
      </w:pPr>
      <w:hyperlink w:anchor="_Toc140827619" w:history="1">
        <w:r w:rsidR="00D37F38" w:rsidRPr="00EB0B73">
          <w:rPr>
            <w:rStyle w:val="Hyperlink"/>
          </w:rPr>
          <w:t>Figure 2.2.2: Forest plots comparing the age-adjusted mortality (death) rates (and 95% confidence intervals) for Victorian premature deaths by all cancers in the baseline year (2010) and the most recent year where mortality data is available (2021), in those younger than 75 years of age at death, standardised to the 2001 Australian population</w:t>
        </w:r>
        <w:r w:rsidR="00D37F38">
          <w:rPr>
            <w:webHidden/>
          </w:rPr>
          <w:tab/>
        </w:r>
        <w:r w:rsidR="00D37F38">
          <w:rPr>
            <w:webHidden/>
          </w:rPr>
          <w:fldChar w:fldCharType="begin"/>
        </w:r>
        <w:r w:rsidR="00D37F38">
          <w:rPr>
            <w:webHidden/>
          </w:rPr>
          <w:instrText xml:space="preserve"> PAGEREF _Toc140827619 \h </w:instrText>
        </w:r>
        <w:r w:rsidR="00D37F38">
          <w:rPr>
            <w:webHidden/>
          </w:rPr>
        </w:r>
        <w:r w:rsidR="00D37F38">
          <w:rPr>
            <w:webHidden/>
          </w:rPr>
          <w:fldChar w:fldCharType="separate"/>
        </w:r>
        <w:r w:rsidR="00850AA4">
          <w:rPr>
            <w:webHidden/>
          </w:rPr>
          <w:t>65</w:t>
        </w:r>
        <w:r w:rsidR="00D37F38">
          <w:rPr>
            <w:webHidden/>
          </w:rPr>
          <w:fldChar w:fldCharType="end"/>
        </w:r>
      </w:hyperlink>
    </w:p>
    <w:p w14:paraId="7304B604" w14:textId="3392F7CB" w:rsidR="00D37F38" w:rsidRDefault="00000000">
      <w:pPr>
        <w:pStyle w:val="TOC1"/>
        <w:rPr>
          <w:rFonts w:asciiTheme="minorHAnsi" w:eastAsiaTheme="minorEastAsia" w:hAnsiTheme="minorHAnsi" w:cstheme="minorBidi"/>
          <w:sz w:val="22"/>
          <w:szCs w:val="22"/>
        </w:rPr>
      </w:pPr>
      <w:hyperlink w:anchor="_Toc140827620" w:history="1">
        <w:r w:rsidR="00D37F38" w:rsidRPr="00EB0B73">
          <w:rPr>
            <w:rStyle w:val="Hyperlink"/>
          </w:rPr>
          <w:t>Figure 2.2.3: Victorian premature death rate for all cancers combined, by LGA, 2010, 2017 and 2021</w:t>
        </w:r>
        <w:r w:rsidR="00D37F38">
          <w:rPr>
            <w:webHidden/>
          </w:rPr>
          <w:tab/>
        </w:r>
        <w:r w:rsidR="00D37F38">
          <w:rPr>
            <w:webHidden/>
          </w:rPr>
          <w:fldChar w:fldCharType="begin"/>
        </w:r>
        <w:r w:rsidR="00D37F38">
          <w:rPr>
            <w:webHidden/>
          </w:rPr>
          <w:instrText xml:space="preserve"> PAGEREF _Toc140827620 \h </w:instrText>
        </w:r>
        <w:r w:rsidR="00D37F38">
          <w:rPr>
            <w:webHidden/>
          </w:rPr>
        </w:r>
        <w:r w:rsidR="00D37F38">
          <w:rPr>
            <w:webHidden/>
          </w:rPr>
          <w:fldChar w:fldCharType="separate"/>
        </w:r>
        <w:r w:rsidR="00850AA4">
          <w:rPr>
            <w:webHidden/>
          </w:rPr>
          <w:t>66</w:t>
        </w:r>
        <w:r w:rsidR="00D37F38">
          <w:rPr>
            <w:webHidden/>
          </w:rPr>
          <w:fldChar w:fldCharType="end"/>
        </w:r>
      </w:hyperlink>
    </w:p>
    <w:p w14:paraId="16C7ACCB" w14:textId="75BA5A44" w:rsidR="00D37F38" w:rsidRDefault="00000000">
      <w:pPr>
        <w:pStyle w:val="TOC1"/>
        <w:rPr>
          <w:rFonts w:asciiTheme="minorHAnsi" w:eastAsiaTheme="minorEastAsia" w:hAnsiTheme="minorHAnsi" w:cstheme="minorBidi"/>
          <w:sz w:val="22"/>
          <w:szCs w:val="22"/>
        </w:rPr>
      </w:pPr>
      <w:hyperlink w:anchor="_Toc140827621" w:history="1">
        <w:r w:rsidR="00D37F38" w:rsidRPr="00EB0B73">
          <w:rPr>
            <w:rStyle w:val="Hyperlink"/>
          </w:rPr>
          <w:t>Figure 2.2.4: Victorian death rate for all cancers combined, by ICS by year, 2010–2021</w:t>
        </w:r>
        <w:r w:rsidR="00D37F38">
          <w:rPr>
            <w:webHidden/>
          </w:rPr>
          <w:tab/>
        </w:r>
        <w:r w:rsidR="00D37F38">
          <w:rPr>
            <w:webHidden/>
          </w:rPr>
          <w:fldChar w:fldCharType="begin"/>
        </w:r>
        <w:r w:rsidR="00D37F38">
          <w:rPr>
            <w:webHidden/>
          </w:rPr>
          <w:instrText xml:space="preserve"> PAGEREF _Toc140827621 \h </w:instrText>
        </w:r>
        <w:r w:rsidR="00D37F38">
          <w:rPr>
            <w:webHidden/>
          </w:rPr>
        </w:r>
        <w:r w:rsidR="00D37F38">
          <w:rPr>
            <w:webHidden/>
          </w:rPr>
          <w:fldChar w:fldCharType="separate"/>
        </w:r>
        <w:r w:rsidR="00850AA4">
          <w:rPr>
            <w:webHidden/>
          </w:rPr>
          <w:t>67</w:t>
        </w:r>
        <w:r w:rsidR="00D37F38">
          <w:rPr>
            <w:webHidden/>
          </w:rPr>
          <w:fldChar w:fldCharType="end"/>
        </w:r>
      </w:hyperlink>
    </w:p>
    <w:p w14:paraId="053CAC9C" w14:textId="0F5CA81C" w:rsidR="00D37F38" w:rsidRDefault="00000000">
      <w:pPr>
        <w:pStyle w:val="TOC1"/>
        <w:rPr>
          <w:rFonts w:asciiTheme="minorHAnsi" w:eastAsiaTheme="minorEastAsia" w:hAnsiTheme="minorHAnsi" w:cstheme="minorBidi"/>
          <w:sz w:val="22"/>
          <w:szCs w:val="22"/>
        </w:rPr>
      </w:pPr>
      <w:hyperlink w:anchor="_Toc140827622" w:history="1">
        <w:r w:rsidR="00D37F38" w:rsidRPr="00EB0B73">
          <w:rPr>
            <w:rStyle w:val="Hyperlink"/>
          </w:rPr>
          <w:t>Figure 2.3: Number of deaths averted in Victoria based on expected number of deaths, by year, 2015–2021</w:t>
        </w:r>
        <w:r w:rsidR="00D37F38">
          <w:rPr>
            <w:webHidden/>
          </w:rPr>
          <w:tab/>
        </w:r>
        <w:r w:rsidR="00D37F38">
          <w:rPr>
            <w:webHidden/>
          </w:rPr>
          <w:fldChar w:fldCharType="begin"/>
        </w:r>
        <w:r w:rsidR="00D37F38">
          <w:rPr>
            <w:webHidden/>
          </w:rPr>
          <w:instrText xml:space="preserve"> PAGEREF _Toc140827622 \h </w:instrText>
        </w:r>
        <w:r w:rsidR="00D37F38">
          <w:rPr>
            <w:webHidden/>
          </w:rPr>
        </w:r>
        <w:r w:rsidR="00D37F38">
          <w:rPr>
            <w:webHidden/>
          </w:rPr>
          <w:fldChar w:fldCharType="separate"/>
        </w:r>
        <w:r w:rsidR="00850AA4">
          <w:rPr>
            <w:webHidden/>
          </w:rPr>
          <w:t>69</w:t>
        </w:r>
        <w:r w:rsidR="00D37F38">
          <w:rPr>
            <w:webHidden/>
          </w:rPr>
          <w:fldChar w:fldCharType="end"/>
        </w:r>
      </w:hyperlink>
    </w:p>
    <w:p w14:paraId="03B68D61" w14:textId="5099B48D" w:rsidR="00D37F38" w:rsidRDefault="00000000">
      <w:pPr>
        <w:pStyle w:val="TOC1"/>
        <w:rPr>
          <w:rFonts w:asciiTheme="minorHAnsi" w:eastAsiaTheme="minorEastAsia" w:hAnsiTheme="minorHAnsi" w:cstheme="minorBidi"/>
          <w:sz w:val="22"/>
          <w:szCs w:val="22"/>
        </w:rPr>
      </w:pPr>
      <w:hyperlink w:anchor="_Toc140827623" w:history="1">
        <w:r w:rsidR="00D37F38" w:rsidRPr="00EB0B73">
          <w:rPr>
            <w:rStyle w:val="Hyperlink"/>
          </w:rPr>
          <w:t>Figure 3.1: Proportion of adults who reported how they felt post active therapy, 2019 and 2022</w:t>
        </w:r>
        <w:r w:rsidR="00D37F38">
          <w:rPr>
            <w:webHidden/>
          </w:rPr>
          <w:tab/>
        </w:r>
        <w:r w:rsidR="00D37F38">
          <w:rPr>
            <w:webHidden/>
          </w:rPr>
          <w:fldChar w:fldCharType="begin"/>
        </w:r>
        <w:r w:rsidR="00D37F38">
          <w:rPr>
            <w:webHidden/>
          </w:rPr>
          <w:instrText xml:space="preserve"> PAGEREF _Toc140827623 \h </w:instrText>
        </w:r>
        <w:r w:rsidR="00D37F38">
          <w:rPr>
            <w:webHidden/>
          </w:rPr>
        </w:r>
        <w:r w:rsidR="00D37F38">
          <w:rPr>
            <w:webHidden/>
          </w:rPr>
          <w:fldChar w:fldCharType="separate"/>
        </w:r>
        <w:r w:rsidR="00850AA4">
          <w:rPr>
            <w:webHidden/>
          </w:rPr>
          <w:t>70</w:t>
        </w:r>
        <w:r w:rsidR="00D37F38">
          <w:rPr>
            <w:webHidden/>
          </w:rPr>
          <w:fldChar w:fldCharType="end"/>
        </w:r>
      </w:hyperlink>
    </w:p>
    <w:p w14:paraId="0D5A7844" w14:textId="3ADBB71D" w:rsidR="00D37F38" w:rsidRDefault="00000000">
      <w:pPr>
        <w:pStyle w:val="TOC1"/>
        <w:rPr>
          <w:rFonts w:asciiTheme="minorHAnsi" w:eastAsiaTheme="minorEastAsia" w:hAnsiTheme="minorHAnsi" w:cstheme="minorBidi"/>
          <w:sz w:val="22"/>
          <w:szCs w:val="22"/>
        </w:rPr>
      </w:pPr>
      <w:hyperlink w:anchor="_Toc140827624" w:history="1">
        <w:r w:rsidR="00D37F38" w:rsidRPr="00EB0B73">
          <w:rPr>
            <w:rStyle w:val="Hyperlink"/>
          </w:rPr>
          <w:t>Figure 4.1: Rate ratio of preventable cancer incidence in ICS of residence compared with the ICS of residence with the lowest adjusted incidence rate, grouped by year of diagnosis, 2014–2021</w:t>
        </w:r>
        <w:r w:rsidR="00D37F38">
          <w:rPr>
            <w:webHidden/>
          </w:rPr>
          <w:tab/>
        </w:r>
        <w:r w:rsidR="00D37F38">
          <w:rPr>
            <w:webHidden/>
          </w:rPr>
          <w:fldChar w:fldCharType="begin"/>
        </w:r>
        <w:r w:rsidR="00D37F38">
          <w:rPr>
            <w:webHidden/>
          </w:rPr>
          <w:instrText xml:space="preserve"> PAGEREF _Toc140827624 \h </w:instrText>
        </w:r>
        <w:r w:rsidR="00D37F38">
          <w:rPr>
            <w:webHidden/>
          </w:rPr>
        </w:r>
        <w:r w:rsidR="00D37F38">
          <w:rPr>
            <w:webHidden/>
          </w:rPr>
          <w:fldChar w:fldCharType="separate"/>
        </w:r>
        <w:r w:rsidR="00850AA4">
          <w:rPr>
            <w:webHidden/>
          </w:rPr>
          <w:t>71</w:t>
        </w:r>
        <w:r w:rsidR="00D37F38">
          <w:rPr>
            <w:webHidden/>
          </w:rPr>
          <w:fldChar w:fldCharType="end"/>
        </w:r>
      </w:hyperlink>
    </w:p>
    <w:p w14:paraId="62C47AC1" w14:textId="5D17398C" w:rsidR="00D37F38" w:rsidRDefault="00000000">
      <w:pPr>
        <w:pStyle w:val="TOC1"/>
        <w:rPr>
          <w:rFonts w:asciiTheme="minorHAnsi" w:eastAsiaTheme="minorEastAsia" w:hAnsiTheme="minorHAnsi" w:cstheme="minorBidi"/>
          <w:sz w:val="22"/>
          <w:szCs w:val="22"/>
        </w:rPr>
      </w:pPr>
      <w:hyperlink w:anchor="_Toc140827625" w:history="1">
        <w:r w:rsidR="00D37F38" w:rsidRPr="00EB0B73">
          <w:rPr>
            <w:rStyle w:val="Hyperlink"/>
            <w:rFonts w:cs="Arial"/>
          </w:rPr>
          <w:t>Figure 4.2</w:t>
        </w:r>
        <w:r w:rsidR="00D37F38" w:rsidRPr="00EB0B73">
          <w:rPr>
            <w:rStyle w:val="Hyperlink"/>
          </w:rPr>
          <w:t>:</w:t>
        </w:r>
        <w:r w:rsidR="00D37F38" w:rsidRPr="00EB0B73">
          <w:rPr>
            <w:rStyle w:val="Hyperlink"/>
            <w:rFonts w:cs="Arial"/>
          </w:rPr>
          <w:t xml:space="preserve"> </w:t>
        </w:r>
        <w:r w:rsidR="00D37F38" w:rsidRPr="00EB0B73">
          <w:rPr>
            <w:rStyle w:val="Hyperlink"/>
          </w:rPr>
          <w:t>Rate ratio of preventable cancer incidence (with confidence intervals) for Victoria in SES quintiles 1–4 (where SES 1 is most disadvantaged) compared with the least disadvantaged quintile (SES 5), grouped by year of diagnosis, 2014–2021</w:t>
        </w:r>
        <w:r w:rsidR="00D37F38">
          <w:rPr>
            <w:webHidden/>
          </w:rPr>
          <w:tab/>
        </w:r>
        <w:r w:rsidR="00D37F38">
          <w:rPr>
            <w:webHidden/>
          </w:rPr>
          <w:fldChar w:fldCharType="begin"/>
        </w:r>
        <w:r w:rsidR="00D37F38">
          <w:rPr>
            <w:webHidden/>
          </w:rPr>
          <w:instrText xml:space="preserve"> PAGEREF _Toc140827625 \h </w:instrText>
        </w:r>
        <w:r w:rsidR="00D37F38">
          <w:rPr>
            <w:webHidden/>
          </w:rPr>
        </w:r>
        <w:r w:rsidR="00D37F38">
          <w:rPr>
            <w:webHidden/>
          </w:rPr>
          <w:fldChar w:fldCharType="separate"/>
        </w:r>
        <w:r w:rsidR="00850AA4">
          <w:rPr>
            <w:webHidden/>
          </w:rPr>
          <w:t>73</w:t>
        </w:r>
        <w:r w:rsidR="00D37F38">
          <w:rPr>
            <w:webHidden/>
          </w:rPr>
          <w:fldChar w:fldCharType="end"/>
        </w:r>
      </w:hyperlink>
    </w:p>
    <w:p w14:paraId="26A624D8" w14:textId="0B529BD6" w:rsidR="00D37F38" w:rsidRDefault="00000000">
      <w:pPr>
        <w:pStyle w:val="TOC1"/>
        <w:rPr>
          <w:rFonts w:asciiTheme="minorHAnsi" w:eastAsiaTheme="minorEastAsia" w:hAnsiTheme="minorHAnsi" w:cstheme="minorBidi"/>
          <w:sz w:val="22"/>
          <w:szCs w:val="22"/>
        </w:rPr>
      </w:pPr>
      <w:hyperlink w:anchor="_Toc140827626" w:history="1">
        <w:r w:rsidR="00D37F38" w:rsidRPr="00EB0B73">
          <w:rPr>
            <w:rStyle w:val="Hyperlink"/>
          </w:rPr>
          <w:t>Figure 4.3: Rate ratio of preventable cancer incidence (with confidence intervals) for Aboriginal Victorians relative to non-Aboriginal Victorians, by year of diagnosis, 2014–2021</w:t>
        </w:r>
        <w:r w:rsidR="00D37F38">
          <w:rPr>
            <w:webHidden/>
          </w:rPr>
          <w:tab/>
        </w:r>
        <w:r w:rsidR="00D37F38">
          <w:rPr>
            <w:webHidden/>
          </w:rPr>
          <w:fldChar w:fldCharType="begin"/>
        </w:r>
        <w:r w:rsidR="00D37F38">
          <w:rPr>
            <w:webHidden/>
          </w:rPr>
          <w:instrText xml:space="preserve"> PAGEREF _Toc140827626 \h </w:instrText>
        </w:r>
        <w:r w:rsidR="00D37F38">
          <w:rPr>
            <w:webHidden/>
          </w:rPr>
        </w:r>
        <w:r w:rsidR="00D37F38">
          <w:rPr>
            <w:webHidden/>
          </w:rPr>
          <w:fldChar w:fldCharType="separate"/>
        </w:r>
        <w:r w:rsidR="00850AA4">
          <w:rPr>
            <w:webHidden/>
          </w:rPr>
          <w:t>75</w:t>
        </w:r>
        <w:r w:rsidR="00D37F38">
          <w:rPr>
            <w:webHidden/>
          </w:rPr>
          <w:fldChar w:fldCharType="end"/>
        </w:r>
      </w:hyperlink>
    </w:p>
    <w:p w14:paraId="4EE02711" w14:textId="18990BE7" w:rsidR="00D37F38" w:rsidRDefault="00000000">
      <w:pPr>
        <w:pStyle w:val="TOC1"/>
        <w:rPr>
          <w:rFonts w:asciiTheme="minorHAnsi" w:eastAsiaTheme="minorEastAsia" w:hAnsiTheme="minorHAnsi" w:cstheme="minorBidi"/>
          <w:sz w:val="22"/>
          <w:szCs w:val="22"/>
        </w:rPr>
      </w:pPr>
      <w:hyperlink w:anchor="_Toc140827627" w:history="1">
        <w:r w:rsidR="00D37F38" w:rsidRPr="00EB0B73">
          <w:rPr>
            <w:rStyle w:val="Hyperlink"/>
          </w:rPr>
          <w:t xml:space="preserve">Figure 5.1: </w:t>
        </w:r>
        <w:r w:rsidR="00D37F38" w:rsidRPr="00EB0B73">
          <w:rPr>
            <w:rStyle w:val="Hyperlink"/>
            <w:rFonts w:eastAsiaTheme="majorEastAsia"/>
          </w:rPr>
          <w:t>Rate ratio of premature death (with confidence intervals) due to cancer in ICS of residence compared with the ICS of residence with the lowest premature death rate, grouped by year of diagnosis, 2014–2021</w:t>
        </w:r>
        <w:r w:rsidR="00D37F38">
          <w:rPr>
            <w:webHidden/>
          </w:rPr>
          <w:tab/>
        </w:r>
        <w:r w:rsidR="00D37F38">
          <w:rPr>
            <w:webHidden/>
          </w:rPr>
          <w:fldChar w:fldCharType="begin"/>
        </w:r>
        <w:r w:rsidR="00D37F38">
          <w:rPr>
            <w:webHidden/>
          </w:rPr>
          <w:instrText xml:space="preserve"> PAGEREF _Toc140827627 \h </w:instrText>
        </w:r>
        <w:r w:rsidR="00D37F38">
          <w:rPr>
            <w:webHidden/>
          </w:rPr>
        </w:r>
        <w:r w:rsidR="00D37F38">
          <w:rPr>
            <w:webHidden/>
          </w:rPr>
          <w:fldChar w:fldCharType="separate"/>
        </w:r>
        <w:r w:rsidR="00850AA4">
          <w:rPr>
            <w:webHidden/>
          </w:rPr>
          <w:t>77</w:t>
        </w:r>
        <w:r w:rsidR="00D37F38">
          <w:rPr>
            <w:webHidden/>
          </w:rPr>
          <w:fldChar w:fldCharType="end"/>
        </w:r>
      </w:hyperlink>
    </w:p>
    <w:p w14:paraId="0847A4A6" w14:textId="6268C2E4" w:rsidR="00D37F38" w:rsidRDefault="00000000">
      <w:pPr>
        <w:pStyle w:val="TOC1"/>
        <w:rPr>
          <w:rFonts w:asciiTheme="minorHAnsi" w:eastAsiaTheme="minorEastAsia" w:hAnsiTheme="minorHAnsi" w:cstheme="minorBidi"/>
          <w:sz w:val="22"/>
          <w:szCs w:val="22"/>
        </w:rPr>
      </w:pPr>
      <w:hyperlink w:anchor="_Toc140827628" w:history="1">
        <w:r w:rsidR="00D37F38" w:rsidRPr="00EB0B73">
          <w:rPr>
            <w:rStyle w:val="Hyperlink"/>
            <w:rFonts w:eastAsiaTheme="majorEastAsia"/>
          </w:rPr>
          <w:t>Figure 5.2</w:t>
        </w:r>
        <w:r w:rsidR="00D37F38" w:rsidRPr="00EB0B73">
          <w:rPr>
            <w:rStyle w:val="Hyperlink"/>
          </w:rPr>
          <w:t>:</w:t>
        </w:r>
        <w:r w:rsidR="00D37F38" w:rsidRPr="00EB0B73">
          <w:rPr>
            <w:rStyle w:val="Hyperlink"/>
            <w:rFonts w:eastAsiaTheme="majorEastAsia"/>
          </w:rPr>
          <w:t xml:space="preserve"> Rate ratio of premature death (with confidence intervals) due to cancer in SES quintiles 1–4 (where SES 1 is most disadvantaged) compared with the least disadvantaged quintile, grouped by year of diagnosis, 2014–2021</w:t>
        </w:r>
        <w:r w:rsidR="00D37F38">
          <w:rPr>
            <w:webHidden/>
          </w:rPr>
          <w:tab/>
        </w:r>
        <w:r w:rsidR="00D37F38">
          <w:rPr>
            <w:webHidden/>
          </w:rPr>
          <w:fldChar w:fldCharType="begin"/>
        </w:r>
        <w:r w:rsidR="00D37F38">
          <w:rPr>
            <w:webHidden/>
          </w:rPr>
          <w:instrText xml:space="preserve"> PAGEREF _Toc140827628 \h </w:instrText>
        </w:r>
        <w:r w:rsidR="00D37F38">
          <w:rPr>
            <w:webHidden/>
          </w:rPr>
        </w:r>
        <w:r w:rsidR="00D37F38">
          <w:rPr>
            <w:webHidden/>
          </w:rPr>
          <w:fldChar w:fldCharType="separate"/>
        </w:r>
        <w:r w:rsidR="00850AA4">
          <w:rPr>
            <w:webHidden/>
          </w:rPr>
          <w:t>79</w:t>
        </w:r>
        <w:r w:rsidR="00D37F38">
          <w:rPr>
            <w:webHidden/>
          </w:rPr>
          <w:fldChar w:fldCharType="end"/>
        </w:r>
      </w:hyperlink>
    </w:p>
    <w:p w14:paraId="3F84363E" w14:textId="4040679E" w:rsidR="00D37F38" w:rsidRDefault="00000000">
      <w:pPr>
        <w:pStyle w:val="TOC1"/>
        <w:rPr>
          <w:rFonts w:asciiTheme="minorHAnsi" w:eastAsiaTheme="minorEastAsia" w:hAnsiTheme="minorHAnsi" w:cstheme="minorBidi"/>
          <w:sz w:val="22"/>
          <w:szCs w:val="22"/>
        </w:rPr>
      </w:pPr>
      <w:hyperlink w:anchor="_Toc140827629" w:history="1">
        <w:r w:rsidR="00D37F38" w:rsidRPr="00EB0B73">
          <w:rPr>
            <w:rStyle w:val="Hyperlink"/>
          </w:rPr>
          <w:t>Figure 5.3: Rate ratio of premature death (with confidence intervals) between Aboriginal and non-Aboriginal Victorians, by year, 2014–2021</w:t>
        </w:r>
        <w:r w:rsidR="00D37F38">
          <w:rPr>
            <w:webHidden/>
          </w:rPr>
          <w:tab/>
        </w:r>
        <w:r w:rsidR="00D37F38">
          <w:rPr>
            <w:webHidden/>
          </w:rPr>
          <w:fldChar w:fldCharType="begin"/>
        </w:r>
        <w:r w:rsidR="00D37F38">
          <w:rPr>
            <w:webHidden/>
          </w:rPr>
          <w:instrText xml:space="preserve"> PAGEREF _Toc140827629 \h </w:instrText>
        </w:r>
        <w:r w:rsidR="00D37F38">
          <w:rPr>
            <w:webHidden/>
          </w:rPr>
        </w:r>
        <w:r w:rsidR="00D37F38">
          <w:rPr>
            <w:webHidden/>
          </w:rPr>
          <w:fldChar w:fldCharType="separate"/>
        </w:r>
        <w:r w:rsidR="00850AA4">
          <w:rPr>
            <w:webHidden/>
          </w:rPr>
          <w:t>81</w:t>
        </w:r>
        <w:r w:rsidR="00D37F38">
          <w:rPr>
            <w:webHidden/>
          </w:rPr>
          <w:fldChar w:fldCharType="end"/>
        </w:r>
      </w:hyperlink>
    </w:p>
    <w:p w14:paraId="4E21BC5E" w14:textId="1FD11812" w:rsidR="00D37F38" w:rsidRDefault="00000000">
      <w:pPr>
        <w:pStyle w:val="TOC1"/>
        <w:rPr>
          <w:rFonts w:asciiTheme="minorHAnsi" w:eastAsiaTheme="minorEastAsia" w:hAnsiTheme="minorHAnsi" w:cstheme="minorBidi"/>
          <w:sz w:val="22"/>
          <w:szCs w:val="22"/>
        </w:rPr>
      </w:pPr>
      <w:hyperlink w:anchor="_Toc140827630" w:history="1">
        <w:r w:rsidR="00D37F38" w:rsidRPr="00EB0B73">
          <w:rPr>
            <w:rStyle w:val="Hyperlink"/>
          </w:rPr>
          <w:t>Figure 6.1: OECD adult population smoking daily, by gender, 2019 (or nearest year)</w:t>
        </w:r>
        <w:r w:rsidR="00D37F38">
          <w:rPr>
            <w:webHidden/>
          </w:rPr>
          <w:tab/>
        </w:r>
        <w:r w:rsidR="00D37F38">
          <w:rPr>
            <w:webHidden/>
          </w:rPr>
          <w:fldChar w:fldCharType="begin"/>
        </w:r>
        <w:r w:rsidR="00D37F38">
          <w:rPr>
            <w:webHidden/>
          </w:rPr>
          <w:instrText xml:space="preserve"> PAGEREF _Toc140827630 \h </w:instrText>
        </w:r>
        <w:r w:rsidR="00D37F38">
          <w:rPr>
            <w:webHidden/>
          </w:rPr>
        </w:r>
        <w:r w:rsidR="00D37F38">
          <w:rPr>
            <w:webHidden/>
          </w:rPr>
          <w:fldChar w:fldCharType="separate"/>
        </w:r>
        <w:r w:rsidR="00850AA4">
          <w:rPr>
            <w:webHidden/>
          </w:rPr>
          <w:t>83</w:t>
        </w:r>
        <w:r w:rsidR="00D37F38">
          <w:rPr>
            <w:webHidden/>
          </w:rPr>
          <w:fldChar w:fldCharType="end"/>
        </w:r>
      </w:hyperlink>
    </w:p>
    <w:p w14:paraId="7F4445CD" w14:textId="24FB82E1" w:rsidR="00D37F38" w:rsidRDefault="00000000">
      <w:pPr>
        <w:pStyle w:val="TOC1"/>
        <w:rPr>
          <w:rFonts w:asciiTheme="minorHAnsi" w:eastAsiaTheme="minorEastAsia" w:hAnsiTheme="minorHAnsi" w:cstheme="minorBidi"/>
          <w:sz w:val="22"/>
          <w:szCs w:val="22"/>
        </w:rPr>
      </w:pPr>
      <w:hyperlink w:anchor="_Toc140827631" w:history="1">
        <w:r w:rsidR="00D37F38" w:rsidRPr="00EB0B73">
          <w:rPr>
            <w:rStyle w:val="Hyperlink"/>
          </w:rPr>
          <w:t>Figure 6.1.1: Proportion of Australian adults (aged 18 years or older) who smoke daily, by state/territory, 2014–15 and 2017–18</w:t>
        </w:r>
        <w:r w:rsidR="00D37F38">
          <w:rPr>
            <w:webHidden/>
          </w:rPr>
          <w:tab/>
        </w:r>
        <w:r w:rsidR="00D37F38">
          <w:rPr>
            <w:webHidden/>
          </w:rPr>
          <w:fldChar w:fldCharType="begin"/>
        </w:r>
        <w:r w:rsidR="00D37F38">
          <w:rPr>
            <w:webHidden/>
          </w:rPr>
          <w:instrText xml:space="preserve"> PAGEREF _Toc140827631 \h </w:instrText>
        </w:r>
        <w:r w:rsidR="00D37F38">
          <w:rPr>
            <w:webHidden/>
          </w:rPr>
        </w:r>
        <w:r w:rsidR="00D37F38">
          <w:rPr>
            <w:webHidden/>
          </w:rPr>
          <w:fldChar w:fldCharType="separate"/>
        </w:r>
        <w:r w:rsidR="00850AA4">
          <w:rPr>
            <w:webHidden/>
          </w:rPr>
          <w:t>84</w:t>
        </w:r>
        <w:r w:rsidR="00D37F38">
          <w:rPr>
            <w:webHidden/>
          </w:rPr>
          <w:fldChar w:fldCharType="end"/>
        </w:r>
      </w:hyperlink>
    </w:p>
    <w:p w14:paraId="7936B9A3" w14:textId="55F1F74F" w:rsidR="00D37F38" w:rsidRDefault="00000000">
      <w:pPr>
        <w:pStyle w:val="TOC1"/>
        <w:rPr>
          <w:rFonts w:asciiTheme="minorHAnsi" w:eastAsiaTheme="minorEastAsia" w:hAnsiTheme="minorHAnsi" w:cstheme="minorBidi"/>
          <w:sz w:val="22"/>
          <w:szCs w:val="22"/>
        </w:rPr>
      </w:pPr>
      <w:hyperlink w:anchor="_Toc140827632" w:history="1">
        <w:r w:rsidR="00D37F38" w:rsidRPr="00EB0B73">
          <w:rPr>
            <w:rStyle w:val="Hyperlink"/>
          </w:rPr>
          <w:t>Figure 6.1.2: Proportion of Victorian adults (aged 18 years or older) who smoke daily, by year, 2015–2020 and 2022</w:t>
        </w:r>
        <w:r w:rsidR="00D37F38">
          <w:rPr>
            <w:webHidden/>
          </w:rPr>
          <w:tab/>
        </w:r>
        <w:r w:rsidR="00D37F38">
          <w:rPr>
            <w:webHidden/>
          </w:rPr>
          <w:fldChar w:fldCharType="begin"/>
        </w:r>
        <w:r w:rsidR="00D37F38">
          <w:rPr>
            <w:webHidden/>
          </w:rPr>
          <w:instrText xml:space="preserve"> PAGEREF _Toc140827632 \h </w:instrText>
        </w:r>
        <w:r w:rsidR="00D37F38">
          <w:rPr>
            <w:webHidden/>
          </w:rPr>
        </w:r>
        <w:r w:rsidR="00D37F38">
          <w:rPr>
            <w:webHidden/>
          </w:rPr>
          <w:fldChar w:fldCharType="separate"/>
        </w:r>
        <w:r w:rsidR="00850AA4">
          <w:rPr>
            <w:webHidden/>
          </w:rPr>
          <w:t>84</w:t>
        </w:r>
        <w:r w:rsidR="00D37F38">
          <w:rPr>
            <w:webHidden/>
          </w:rPr>
          <w:fldChar w:fldCharType="end"/>
        </w:r>
      </w:hyperlink>
    </w:p>
    <w:p w14:paraId="437C9F45" w14:textId="14983571" w:rsidR="00D37F38" w:rsidRDefault="00000000">
      <w:pPr>
        <w:pStyle w:val="TOC1"/>
        <w:rPr>
          <w:rFonts w:asciiTheme="minorHAnsi" w:eastAsiaTheme="minorEastAsia" w:hAnsiTheme="minorHAnsi" w:cstheme="minorBidi"/>
          <w:sz w:val="22"/>
          <w:szCs w:val="22"/>
        </w:rPr>
      </w:pPr>
      <w:hyperlink w:anchor="_Toc140827633" w:history="1">
        <w:r w:rsidR="00D37F38" w:rsidRPr="00EB0B73">
          <w:rPr>
            <w:rStyle w:val="Hyperlink"/>
          </w:rPr>
          <w:t>Figure 6.3: Proportion of Victorian adults (</w:t>
        </w:r>
        <w:r w:rsidR="00D37F38" w:rsidRPr="00EB0B73">
          <w:rPr>
            <w:rStyle w:val="Hyperlink"/>
            <w:rFonts w:cs="Arial"/>
            <w:bCs/>
          </w:rPr>
          <w:t>aged 18 years or older)</w:t>
        </w:r>
        <w:r w:rsidR="00D37F38" w:rsidRPr="00EB0B73">
          <w:rPr>
            <w:rStyle w:val="Hyperlink"/>
          </w:rPr>
          <w:t xml:space="preserve"> who consume alcohol at lifetime risk of harm, by year, 2015–2019</w:t>
        </w:r>
        <w:r w:rsidR="00D37F38">
          <w:rPr>
            <w:webHidden/>
          </w:rPr>
          <w:tab/>
        </w:r>
        <w:r w:rsidR="00D37F38">
          <w:rPr>
            <w:webHidden/>
          </w:rPr>
          <w:fldChar w:fldCharType="begin"/>
        </w:r>
        <w:r w:rsidR="00D37F38">
          <w:rPr>
            <w:webHidden/>
          </w:rPr>
          <w:instrText xml:space="preserve"> PAGEREF _Toc140827633 \h </w:instrText>
        </w:r>
        <w:r w:rsidR="00D37F38">
          <w:rPr>
            <w:webHidden/>
          </w:rPr>
        </w:r>
        <w:r w:rsidR="00D37F38">
          <w:rPr>
            <w:webHidden/>
          </w:rPr>
          <w:fldChar w:fldCharType="separate"/>
        </w:r>
        <w:r w:rsidR="00850AA4">
          <w:rPr>
            <w:webHidden/>
          </w:rPr>
          <w:t>88</w:t>
        </w:r>
        <w:r w:rsidR="00D37F38">
          <w:rPr>
            <w:webHidden/>
          </w:rPr>
          <w:fldChar w:fldCharType="end"/>
        </w:r>
      </w:hyperlink>
    </w:p>
    <w:p w14:paraId="1EF6FA0D" w14:textId="36D7E3D7" w:rsidR="00D37F38" w:rsidRDefault="00000000">
      <w:pPr>
        <w:pStyle w:val="TOC1"/>
        <w:rPr>
          <w:rFonts w:asciiTheme="minorHAnsi" w:eastAsiaTheme="minorEastAsia" w:hAnsiTheme="minorHAnsi" w:cstheme="minorBidi"/>
          <w:sz w:val="22"/>
          <w:szCs w:val="22"/>
        </w:rPr>
      </w:pPr>
      <w:hyperlink w:anchor="_Toc140827634" w:history="1">
        <w:r w:rsidR="00D37F38" w:rsidRPr="00EB0B73">
          <w:rPr>
            <w:rStyle w:val="Hyperlink"/>
          </w:rPr>
          <w:t>Figure 6.4: Proportion of Victorian adolescents aged 12–17 years (boys and girls) who consume alcohol at least monthly, by year, 2014, 2016 and 2018</w:t>
        </w:r>
        <w:r w:rsidR="00D37F38">
          <w:rPr>
            <w:webHidden/>
          </w:rPr>
          <w:tab/>
        </w:r>
        <w:r w:rsidR="00D37F38">
          <w:rPr>
            <w:webHidden/>
          </w:rPr>
          <w:fldChar w:fldCharType="begin"/>
        </w:r>
        <w:r w:rsidR="00D37F38">
          <w:rPr>
            <w:webHidden/>
          </w:rPr>
          <w:instrText xml:space="preserve"> PAGEREF _Toc140827634 \h </w:instrText>
        </w:r>
        <w:r w:rsidR="00D37F38">
          <w:rPr>
            <w:webHidden/>
          </w:rPr>
        </w:r>
        <w:r w:rsidR="00D37F38">
          <w:rPr>
            <w:webHidden/>
          </w:rPr>
          <w:fldChar w:fldCharType="separate"/>
        </w:r>
        <w:r w:rsidR="00850AA4">
          <w:rPr>
            <w:webHidden/>
          </w:rPr>
          <w:t>90</w:t>
        </w:r>
        <w:r w:rsidR="00D37F38">
          <w:rPr>
            <w:webHidden/>
          </w:rPr>
          <w:fldChar w:fldCharType="end"/>
        </w:r>
      </w:hyperlink>
    </w:p>
    <w:p w14:paraId="03E3925A" w14:textId="217C2C93" w:rsidR="00D37F38" w:rsidRDefault="00000000">
      <w:pPr>
        <w:pStyle w:val="TOC1"/>
        <w:rPr>
          <w:rFonts w:asciiTheme="minorHAnsi" w:eastAsiaTheme="minorEastAsia" w:hAnsiTheme="minorHAnsi" w:cstheme="minorBidi"/>
          <w:sz w:val="22"/>
          <w:szCs w:val="22"/>
        </w:rPr>
      </w:pPr>
      <w:hyperlink w:anchor="_Toc140827635" w:history="1">
        <w:r w:rsidR="00D37F38" w:rsidRPr="00EB0B73">
          <w:rPr>
            <w:rStyle w:val="Hyperlink"/>
          </w:rPr>
          <w:t>Figure 7.1: Daily fruit consumption among OECD adults, 2017 (or nearest year)</w:t>
        </w:r>
        <w:r w:rsidR="00D37F38">
          <w:rPr>
            <w:webHidden/>
          </w:rPr>
          <w:tab/>
        </w:r>
        <w:r w:rsidR="00D37F38">
          <w:rPr>
            <w:webHidden/>
          </w:rPr>
          <w:fldChar w:fldCharType="begin"/>
        </w:r>
        <w:r w:rsidR="00D37F38">
          <w:rPr>
            <w:webHidden/>
          </w:rPr>
          <w:instrText xml:space="preserve"> PAGEREF _Toc140827635 \h </w:instrText>
        </w:r>
        <w:r w:rsidR="00D37F38">
          <w:rPr>
            <w:webHidden/>
          </w:rPr>
        </w:r>
        <w:r w:rsidR="00D37F38">
          <w:rPr>
            <w:webHidden/>
          </w:rPr>
          <w:fldChar w:fldCharType="separate"/>
        </w:r>
        <w:r w:rsidR="00850AA4">
          <w:rPr>
            <w:webHidden/>
          </w:rPr>
          <w:t>91</w:t>
        </w:r>
        <w:r w:rsidR="00D37F38">
          <w:rPr>
            <w:webHidden/>
          </w:rPr>
          <w:fldChar w:fldCharType="end"/>
        </w:r>
      </w:hyperlink>
    </w:p>
    <w:p w14:paraId="4C724110" w14:textId="62E6BBD2" w:rsidR="00D37F38" w:rsidRDefault="00000000">
      <w:pPr>
        <w:pStyle w:val="TOC1"/>
        <w:rPr>
          <w:rFonts w:asciiTheme="minorHAnsi" w:eastAsiaTheme="minorEastAsia" w:hAnsiTheme="minorHAnsi" w:cstheme="minorBidi"/>
          <w:sz w:val="22"/>
          <w:szCs w:val="22"/>
        </w:rPr>
      </w:pPr>
      <w:hyperlink w:anchor="_Toc140827636" w:history="1">
        <w:r w:rsidR="00D37F38" w:rsidRPr="00EB0B73">
          <w:rPr>
            <w:rStyle w:val="Hyperlink"/>
          </w:rPr>
          <w:t>Figure 7.1.1: Australian average daily fruit intake for adults aged 18 years or older, 2014–15 and 2017–18</w:t>
        </w:r>
        <w:r w:rsidR="00D37F38">
          <w:rPr>
            <w:webHidden/>
          </w:rPr>
          <w:tab/>
        </w:r>
        <w:r w:rsidR="00D37F38">
          <w:rPr>
            <w:webHidden/>
          </w:rPr>
          <w:fldChar w:fldCharType="begin"/>
        </w:r>
        <w:r w:rsidR="00D37F38">
          <w:rPr>
            <w:webHidden/>
          </w:rPr>
          <w:instrText xml:space="preserve"> PAGEREF _Toc140827636 \h </w:instrText>
        </w:r>
        <w:r w:rsidR="00D37F38">
          <w:rPr>
            <w:webHidden/>
          </w:rPr>
        </w:r>
        <w:r w:rsidR="00D37F38">
          <w:rPr>
            <w:webHidden/>
          </w:rPr>
          <w:fldChar w:fldCharType="separate"/>
        </w:r>
        <w:r w:rsidR="00850AA4">
          <w:rPr>
            <w:webHidden/>
          </w:rPr>
          <w:t>91</w:t>
        </w:r>
        <w:r w:rsidR="00D37F38">
          <w:rPr>
            <w:webHidden/>
          </w:rPr>
          <w:fldChar w:fldCharType="end"/>
        </w:r>
      </w:hyperlink>
    </w:p>
    <w:p w14:paraId="5636EFC2" w14:textId="011BFA0E" w:rsidR="00D37F38" w:rsidRDefault="00000000">
      <w:pPr>
        <w:pStyle w:val="TOC1"/>
        <w:rPr>
          <w:rFonts w:asciiTheme="minorHAnsi" w:eastAsiaTheme="minorEastAsia" w:hAnsiTheme="minorHAnsi" w:cstheme="minorBidi"/>
          <w:sz w:val="22"/>
          <w:szCs w:val="22"/>
        </w:rPr>
      </w:pPr>
      <w:hyperlink w:anchor="_Toc140827637" w:history="1">
        <w:r w:rsidR="00D37F38" w:rsidRPr="00EB0B73">
          <w:rPr>
            <w:rStyle w:val="Hyperlink"/>
          </w:rPr>
          <w:t>Figure 7.1.2: Mean daily serves of fruit in Victorian adults (</w:t>
        </w:r>
        <w:r w:rsidR="00D37F38" w:rsidRPr="00EB0B73">
          <w:rPr>
            <w:rStyle w:val="Hyperlink"/>
            <w:bCs/>
          </w:rPr>
          <w:t>aged 18 years or older),</w:t>
        </w:r>
        <w:r w:rsidR="00D37F38" w:rsidRPr="00EB0B73">
          <w:rPr>
            <w:rStyle w:val="Hyperlink"/>
          </w:rPr>
          <w:t xml:space="preserve"> by year, 2011–2019</w:t>
        </w:r>
        <w:r w:rsidR="00D37F38">
          <w:rPr>
            <w:webHidden/>
          </w:rPr>
          <w:tab/>
        </w:r>
        <w:r w:rsidR="00D37F38">
          <w:rPr>
            <w:webHidden/>
          </w:rPr>
          <w:fldChar w:fldCharType="begin"/>
        </w:r>
        <w:r w:rsidR="00D37F38">
          <w:rPr>
            <w:webHidden/>
          </w:rPr>
          <w:instrText xml:space="preserve"> PAGEREF _Toc140827637 \h </w:instrText>
        </w:r>
        <w:r w:rsidR="00D37F38">
          <w:rPr>
            <w:webHidden/>
          </w:rPr>
        </w:r>
        <w:r w:rsidR="00D37F38">
          <w:rPr>
            <w:webHidden/>
          </w:rPr>
          <w:fldChar w:fldCharType="separate"/>
        </w:r>
        <w:r w:rsidR="00850AA4">
          <w:rPr>
            <w:webHidden/>
          </w:rPr>
          <w:t>92</w:t>
        </w:r>
        <w:r w:rsidR="00D37F38">
          <w:rPr>
            <w:webHidden/>
          </w:rPr>
          <w:fldChar w:fldCharType="end"/>
        </w:r>
      </w:hyperlink>
    </w:p>
    <w:p w14:paraId="1498C35D" w14:textId="45F3CCA5" w:rsidR="00D37F38" w:rsidRDefault="00000000">
      <w:pPr>
        <w:pStyle w:val="TOC1"/>
        <w:rPr>
          <w:rFonts w:asciiTheme="minorHAnsi" w:eastAsiaTheme="minorEastAsia" w:hAnsiTheme="minorHAnsi" w:cstheme="minorBidi"/>
          <w:sz w:val="22"/>
          <w:szCs w:val="22"/>
        </w:rPr>
      </w:pPr>
      <w:hyperlink w:anchor="_Toc140827638" w:history="1">
        <w:r w:rsidR="00D37F38" w:rsidRPr="00EB0B73">
          <w:rPr>
            <w:rStyle w:val="Hyperlink"/>
          </w:rPr>
          <w:t>Figure 7.2: Proportion of Victorian adolescents aged 10–17 years (boys and girls) who eat the daily recommended serves of fruit, by year, 2014, 2016 and 2018</w:t>
        </w:r>
        <w:r w:rsidR="00D37F38">
          <w:rPr>
            <w:webHidden/>
          </w:rPr>
          <w:tab/>
        </w:r>
        <w:r w:rsidR="00D37F38">
          <w:rPr>
            <w:webHidden/>
          </w:rPr>
          <w:fldChar w:fldCharType="begin"/>
        </w:r>
        <w:r w:rsidR="00D37F38">
          <w:rPr>
            <w:webHidden/>
          </w:rPr>
          <w:instrText xml:space="preserve"> PAGEREF _Toc140827638 \h </w:instrText>
        </w:r>
        <w:r w:rsidR="00D37F38">
          <w:rPr>
            <w:webHidden/>
          </w:rPr>
        </w:r>
        <w:r w:rsidR="00D37F38">
          <w:rPr>
            <w:webHidden/>
          </w:rPr>
          <w:fldChar w:fldCharType="separate"/>
        </w:r>
        <w:r w:rsidR="00850AA4">
          <w:rPr>
            <w:webHidden/>
          </w:rPr>
          <w:t>94</w:t>
        </w:r>
        <w:r w:rsidR="00D37F38">
          <w:rPr>
            <w:webHidden/>
          </w:rPr>
          <w:fldChar w:fldCharType="end"/>
        </w:r>
      </w:hyperlink>
    </w:p>
    <w:p w14:paraId="438B911D" w14:textId="6C049B6E" w:rsidR="00D37F38" w:rsidRDefault="00000000">
      <w:pPr>
        <w:pStyle w:val="TOC1"/>
        <w:rPr>
          <w:rFonts w:asciiTheme="minorHAnsi" w:eastAsiaTheme="minorEastAsia" w:hAnsiTheme="minorHAnsi" w:cstheme="minorBidi"/>
          <w:sz w:val="22"/>
          <w:szCs w:val="22"/>
        </w:rPr>
      </w:pPr>
      <w:hyperlink w:anchor="_Toc140827639" w:history="1">
        <w:r w:rsidR="00D37F38" w:rsidRPr="00EB0B73">
          <w:rPr>
            <w:rStyle w:val="Hyperlink"/>
          </w:rPr>
          <w:t>Figure 7.2.1: Proportion of Victorian adolescents aged 10–17 years (boys and girls) who eat the daily recommended serves of fruit, by remoteness area and gender, 2014, 2016 and 2018</w:t>
        </w:r>
        <w:r w:rsidR="00D37F38">
          <w:rPr>
            <w:webHidden/>
          </w:rPr>
          <w:tab/>
        </w:r>
        <w:r w:rsidR="00D37F38">
          <w:rPr>
            <w:webHidden/>
          </w:rPr>
          <w:fldChar w:fldCharType="begin"/>
        </w:r>
        <w:r w:rsidR="00D37F38">
          <w:rPr>
            <w:webHidden/>
          </w:rPr>
          <w:instrText xml:space="preserve"> PAGEREF _Toc140827639 \h </w:instrText>
        </w:r>
        <w:r w:rsidR="00D37F38">
          <w:rPr>
            <w:webHidden/>
          </w:rPr>
        </w:r>
        <w:r w:rsidR="00D37F38">
          <w:rPr>
            <w:webHidden/>
          </w:rPr>
          <w:fldChar w:fldCharType="separate"/>
        </w:r>
        <w:r w:rsidR="00850AA4">
          <w:rPr>
            <w:webHidden/>
          </w:rPr>
          <w:t>95</w:t>
        </w:r>
        <w:r w:rsidR="00D37F38">
          <w:rPr>
            <w:webHidden/>
          </w:rPr>
          <w:fldChar w:fldCharType="end"/>
        </w:r>
      </w:hyperlink>
    </w:p>
    <w:p w14:paraId="5C4AE691" w14:textId="54D2A6BA" w:rsidR="00D37F38" w:rsidRDefault="00000000">
      <w:pPr>
        <w:pStyle w:val="TOC1"/>
        <w:rPr>
          <w:rFonts w:asciiTheme="minorHAnsi" w:eastAsiaTheme="minorEastAsia" w:hAnsiTheme="minorHAnsi" w:cstheme="minorBidi"/>
          <w:sz w:val="22"/>
          <w:szCs w:val="22"/>
        </w:rPr>
      </w:pPr>
      <w:hyperlink w:anchor="_Toc140827640" w:history="1">
        <w:r w:rsidR="00D37F38" w:rsidRPr="00EB0B73">
          <w:rPr>
            <w:rStyle w:val="Hyperlink"/>
          </w:rPr>
          <w:t>Figure 7.3: Proportion of children aged 4–12 years who eat the daily recommended serves of fruit, by year, 2013, 2017, 2019 and 2021</w:t>
        </w:r>
        <w:r w:rsidR="00D37F38">
          <w:rPr>
            <w:webHidden/>
          </w:rPr>
          <w:tab/>
        </w:r>
        <w:r w:rsidR="00D37F38">
          <w:rPr>
            <w:webHidden/>
          </w:rPr>
          <w:fldChar w:fldCharType="begin"/>
        </w:r>
        <w:r w:rsidR="00D37F38">
          <w:rPr>
            <w:webHidden/>
          </w:rPr>
          <w:instrText xml:space="preserve"> PAGEREF _Toc140827640 \h </w:instrText>
        </w:r>
        <w:r w:rsidR="00D37F38">
          <w:rPr>
            <w:webHidden/>
          </w:rPr>
        </w:r>
        <w:r w:rsidR="00D37F38">
          <w:rPr>
            <w:webHidden/>
          </w:rPr>
          <w:fldChar w:fldCharType="separate"/>
        </w:r>
        <w:r w:rsidR="00850AA4">
          <w:rPr>
            <w:webHidden/>
          </w:rPr>
          <w:t>96</w:t>
        </w:r>
        <w:r w:rsidR="00D37F38">
          <w:rPr>
            <w:webHidden/>
          </w:rPr>
          <w:fldChar w:fldCharType="end"/>
        </w:r>
      </w:hyperlink>
    </w:p>
    <w:p w14:paraId="407C2B22" w14:textId="2DC7C9B9" w:rsidR="00D37F38" w:rsidRDefault="00000000">
      <w:pPr>
        <w:pStyle w:val="TOC1"/>
        <w:rPr>
          <w:rFonts w:asciiTheme="minorHAnsi" w:eastAsiaTheme="minorEastAsia" w:hAnsiTheme="minorHAnsi" w:cstheme="minorBidi"/>
          <w:sz w:val="22"/>
          <w:szCs w:val="22"/>
        </w:rPr>
      </w:pPr>
      <w:hyperlink w:anchor="_Toc140827641" w:history="1">
        <w:r w:rsidR="00D37F38" w:rsidRPr="00EB0B73">
          <w:rPr>
            <w:rStyle w:val="Hyperlink"/>
          </w:rPr>
          <w:t>Figure 7.3.1: Proportion of children aged 4–12 years who eat the daily recommended serves of fruit, by gender, age, remoteness areas and SES, 2013, 2017, 2019 and 2021</w:t>
        </w:r>
        <w:r w:rsidR="00D37F38">
          <w:rPr>
            <w:webHidden/>
          </w:rPr>
          <w:tab/>
        </w:r>
        <w:r w:rsidR="00D37F38">
          <w:rPr>
            <w:webHidden/>
          </w:rPr>
          <w:fldChar w:fldCharType="begin"/>
        </w:r>
        <w:r w:rsidR="00D37F38">
          <w:rPr>
            <w:webHidden/>
          </w:rPr>
          <w:instrText xml:space="preserve"> PAGEREF _Toc140827641 \h </w:instrText>
        </w:r>
        <w:r w:rsidR="00D37F38">
          <w:rPr>
            <w:webHidden/>
          </w:rPr>
        </w:r>
        <w:r w:rsidR="00D37F38">
          <w:rPr>
            <w:webHidden/>
          </w:rPr>
          <w:fldChar w:fldCharType="separate"/>
        </w:r>
        <w:r w:rsidR="00850AA4">
          <w:rPr>
            <w:webHidden/>
          </w:rPr>
          <w:t>97</w:t>
        </w:r>
        <w:r w:rsidR="00D37F38">
          <w:rPr>
            <w:webHidden/>
          </w:rPr>
          <w:fldChar w:fldCharType="end"/>
        </w:r>
      </w:hyperlink>
    </w:p>
    <w:p w14:paraId="768F84C0" w14:textId="7B859728" w:rsidR="00D37F38" w:rsidRDefault="00000000">
      <w:pPr>
        <w:pStyle w:val="TOC1"/>
        <w:rPr>
          <w:rFonts w:asciiTheme="minorHAnsi" w:eastAsiaTheme="minorEastAsia" w:hAnsiTheme="minorHAnsi" w:cstheme="minorBidi"/>
          <w:sz w:val="22"/>
          <w:szCs w:val="22"/>
        </w:rPr>
      </w:pPr>
      <w:hyperlink w:anchor="_Toc140827642" w:history="1">
        <w:r w:rsidR="00D37F38" w:rsidRPr="00EB0B73">
          <w:rPr>
            <w:rStyle w:val="Hyperlink"/>
          </w:rPr>
          <w:t>Figure 7.4: Daily vegetable consumption among OECD adults, 2017 (or nearest year)</w:t>
        </w:r>
        <w:r w:rsidR="00D37F38">
          <w:rPr>
            <w:webHidden/>
          </w:rPr>
          <w:tab/>
        </w:r>
        <w:r w:rsidR="00D37F38">
          <w:rPr>
            <w:webHidden/>
          </w:rPr>
          <w:fldChar w:fldCharType="begin"/>
        </w:r>
        <w:r w:rsidR="00D37F38">
          <w:rPr>
            <w:webHidden/>
          </w:rPr>
          <w:instrText xml:space="preserve"> PAGEREF _Toc140827642 \h </w:instrText>
        </w:r>
        <w:r w:rsidR="00D37F38">
          <w:rPr>
            <w:webHidden/>
          </w:rPr>
        </w:r>
        <w:r w:rsidR="00D37F38">
          <w:rPr>
            <w:webHidden/>
          </w:rPr>
          <w:fldChar w:fldCharType="separate"/>
        </w:r>
        <w:r w:rsidR="00850AA4">
          <w:rPr>
            <w:webHidden/>
          </w:rPr>
          <w:t>98</w:t>
        </w:r>
        <w:r w:rsidR="00D37F38">
          <w:rPr>
            <w:webHidden/>
          </w:rPr>
          <w:fldChar w:fldCharType="end"/>
        </w:r>
      </w:hyperlink>
    </w:p>
    <w:p w14:paraId="7AE4ABF0" w14:textId="5B6E88D0" w:rsidR="00D37F38" w:rsidRDefault="00000000">
      <w:pPr>
        <w:pStyle w:val="TOC1"/>
        <w:rPr>
          <w:rFonts w:asciiTheme="minorHAnsi" w:eastAsiaTheme="minorEastAsia" w:hAnsiTheme="minorHAnsi" w:cstheme="minorBidi"/>
          <w:sz w:val="22"/>
          <w:szCs w:val="22"/>
        </w:rPr>
      </w:pPr>
      <w:hyperlink w:anchor="_Toc140827643" w:history="1">
        <w:r w:rsidR="00D37F38" w:rsidRPr="00EB0B73">
          <w:rPr>
            <w:rStyle w:val="Hyperlink"/>
          </w:rPr>
          <w:t>Figure 7.4.1: Average daily vegetable intake for adults aged 18 years or older, 2014–15 and 2017–18</w:t>
        </w:r>
        <w:r w:rsidR="00D37F38">
          <w:rPr>
            <w:webHidden/>
          </w:rPr>
          <w:tab/>
        </w:r>
        <w:r w:rsidR="00D37F38">
          <w:rPr>
            <w:webHidden/>
          </w:rPr>
          <w:fldChar w:fldCharType="begin"/>
        </w:r>
        <w:r w:rsidR="00D37F38">
          <w:rPr>
            <w:webHidden/>
          </w:rPr>
          <w:instrText xml:space="preserve"> PAGEREF _Toc140827643 \h </w:instrText>
        </w:r>
        <w:r w:rsidR="00D37F38">
          <w:rPr>
            <w:webHidden/>
          </w:rPr>
        </w:r>
        <w:r w:rsidR="00D37F38">
          <w:rPr>
            <w:webHidden/>
          </w:rPr>
          <w:fldChar w:fldCharType="separate"/>
        </w:r>
        <w:r w:rsidR="00850AA4">
          <w:rPr>
            <w:webHidden/>
          </w:rPr>
          <w:t>98</w:t>
        </w:r>
        <w:r w:rsidR="00D37F38">
          <w:rPr>
            <w:webHidden/>
          </w:rPr>
          <w:fldChar w:fldCharType="end"/>
        </w:r>
      </w:hyperlink>
    </w:p>
    <w:p w14:paraId="31A50F7F" w14:textId="0EE58959" w:rsidR="00D37F38" w:rsidRDefault="00000000">
      <w:pPr>
        <w:pStyle w:val="TOC1"/>
        <w:rPr>
          <w:rFonts w:asciiTheme="minorHAnsi" w:eastAsiaTheme="minorEastAsia" w:hAnsiTheme="minorHAnsi" w:cstheme="minorBidi"/>
          <w:sz w:val="22"/>
          <w:szCs w:val="22"/>
        </w:rPr>
      </w:pPr>
      <w:hyperlink w:anchor="_Toc140827644" w:history="1">
        <w:r w:rsidR="00D37F38" w:rsidRPr="00EB0B73">
          <w:rPr>
            <w:rStyle w:val="Hyperlink"/>
          </w:rPr>
          <w:t>Figure 7.4.2: Mean daily serves of vegetables in Victorian adults (</w:t>
        </w:r>
        <w:r w:rsidR="00D37F38" w:rsidRPr="00EB0B73">
          <w:rPr>
            <w:rStyle w:val="Hyperlink"/>
            <w:bCs/>
          </w:rPr>
          <w:t>aged 18 years or older)</w:t>
        </w:r>
        <w:r w:rsidR="00D37F38" w:rsidRPr="00EB0B73">
          <w:rPr>
            <w:rStyle w:val="Hyperlink"/>
          </w:rPr>
          <w:t>, by year, 2011–2019</w:t>
        </w:r>
        <w:r w:rsidR="00D37F38">
          <w:rPr>
            <w:webHidden/>
          </w:rPr>
          <w:tab/>
        </w:r>
        <w:r w:rsidR="00D37F38">
          <w:rPr>
            <w:webHidden/>
          </w:rPr>
          <w:fldChar w:fldCharType="begin"/>
        </w:r>
        <w:r w:rsidR="00D37F38">
          <w:rPr>
            <w:webHidden/>
          </w:rPr>
          <w:instrText xml:space="preserve"> PAGEREF _Toc140827644 \h </w:instrText>
        </w:r>
        <w:r w:rsidR="00D37F38">
          <w:rPr>
            <w:webHidden/>
          </w:rPr>
        </w:r>
        <w:r w:rsidR="00D37F38">
          <w:rPr>
            <w:webHidden/>
          </w:rPr>
          <w:fldChar w:fldCharType="separate"/>
        </w:r>
        <w:r w:rsidR="00850AA4">
          <w:rPr>
            <w:webHidden/>
          </w:rPr>
          <w:t>99</w:t>
        </w:r>
        <w:r w:rsidR="00D37F38">
          <w:rPr>
            <w:webHidden/>
          </w:rPr>
          <w:fldChar w:fldCharType="end"/>
        </w:r>
      </w:hyperlink>
    </w:p>
    <w:p w14:paraId="245057FA" w14:textId="7C4D1553" w:rsidR="00D37F38" w:rsidRDefault="00000000">
      <w:pPr>
        <w:pStyle w:val="TOC1"/>
        <w:rPr>
          <w:rFonts w:asciiTheme="minorHAnsi" w:eastAsiaTheme="minorEastAsia" w:hAnsiTheme="minorHAnsi" w:cstheme="minorBidi"/>
          <w:sz w:val="22"/>
          <w:szCs w:val="22"/>
        </w:rPr>
      </w:pPr>
      <w:hyperlink w:anchor="_Toc140827645" w:history="1">
        <w:r w:rsidR="00D37F38" w:rsidRPr="00EB0B73">
          <w:rPr>
            <w:rStyle w:val="Hyperlink"/>
          </w:rPr>
          <w:t>Figure 7.5: Proportion of adolescents aged 10–17 years who eat the daily recommended serves of vegetables, 2014, 2016 and 2018</w:t>
        </w:r>
        <w:r w:rsidR="00D37F38">
          <w:rPr>
            <w:webHidden/>
          </w:rPr>
          <w:tab/>
        </w:r>
        <w:r w:rsidR="00D37F38">
          <w:rPr>
            <w:webHidden/>
          </w:rPr>
          <w:fldChar w:fldCharType="begin"/>
        </w:r>
        <w:r w:rsidR="00D37F38">
          <w:rPr>
            <w:webHidden/>
          </w:rPr>
          <w:instrText xml:space="preserve"> PAGEREF _Toc140827645 \h </w:instrText>
        </w:r>
        <w:r w:rsidR="00D37F38">
          <w:rPr>
            <w:webHidden/>
          </w:rPr>
        </w:r>
        <w:r w:rsidR="00D37F38">
          <w:rPr>
            <w:webHidden/>
          </w:rPr>
          <w:fldChar w:fldCharType="separate"/>
        </w:r>
        <w:r w:rsidR="00850AA4">
          <w:rPr>
            <w:webHidden/>
          </w:rPr>
          <w:t>101</w:t>
        </w:r>
        <w:r w:rsidR="00D37F38">
          <w:rPr>
            <w:webHidden/>
          </w:rPr>
          <w:fldChar w:fldCharType="end"/>
        </w:r>
      </w:hyperlink>
    </w:p>
    <w:p w14:paraId="394BC752" w14:textId="6741FFBF" w:rsidR="00D37F38" w:rsidRDefault="00000000">
      <w:pPr>
        <w:pStyle w:val="TOC1"/>
        <w:rPr>
          <w:rFonts w:asciiTheme="minorHAnsi" w:eastAsiaTheme="minorEastAsia" w:hAnsiTheme="minorHAnsi" w:cstheme="minorBidi"/>
          <w:sz w:val="22"/>
          <w:szCs w:val="22"/>
        </w:rPr>
      </w:pPr>
      <w:hyperlink w:anchor="_Toc140827646" w:history="1">
        <w:r w:rsidR="00D37F38" w:rsidRPr="00EB0B73">
          <w:rPr>
            <w:rStyle w:val="Hyperlink"/>
          </w:rPr>
          <w:t>Figure 7.5.1: Proportion of adolescents aged 10–17 years who eat the daily recommended serves of vegetables, by remoteness area and gender, 2014, 2016 and 2018</w:t>
        </w:r>
        <w:r w:rsidR="00D37F38">
          <w:rPr>
            <w:webHidden/>
          </w:rPr>
          <w:tab/>
        </w:r>
        <w:r w:rsidR="00D37F38">
          <w:rPr>
            <w:webHidden/>
          </w:rPr>
          <w:fldChar w:fldCharType="begin"/>
        </w:r>
        <w:r w:rsidR="00D37F38">
          <w:rPr>
            <w:webHidden/>
          </w:rPr>
          <w:instrText xml:space="preserve"> PAGEREF _Toc140827646 \h </w:instrText>
        </w:r>
        <w:r w:rsidR="00D37F38">
          <w:rPr>
            <w:webHidden/>
          </w:rPr>
        </w:r>
        <w:r w:rsidR="00D37F38">
          <w:rPr>
            <w:webHidden/>
          </w:rPr>
          <w:fldChar w:fldCharType="separate"/>
        </w:r>
        <w:r w:rsidR="00850AA4">
          <w:rPr>
            <w:webHidden/>
          </w:rPr>
          <w:t>101</w:t>
        </w:r>
        <w:r w:rsidR="00D37F38">
          <w:rPr>
            <w:webHidden/>
          </w:rPr>
          <w:fldChar w:fldCharType="end"/>
        </w:r>
      </w:hyperlink>
    </w:p>
    <w:p w14:paraId="2B2A62CA" w14:textId="0AD3D533" w:rsidR="00D37F38" w:rsidRDefault="00000000">
      <w:pPr>
        <w:pStyle w:val="TOC1"/>
        <w:rPr>
          <w:rFonts w:asciiTheme="minorHAnsi" w:eastAsiaTheme="minorEastAsia" w:hAnsiTheme="minorHAnsi" w:cstheme="minorBidi"/>
          <w:sz w:val="22"/>
          <w:szCs w:val="22"/>
        </w:rPr>
      </w:pPr>
      <w:hyperlink w:anchor="_Toc140827647" w:history="1">
        <w:r w:rsidR="00D37F38" w:rsidRPr="00EB0B73">
          <w:rPr>
            <w:rStyle w:val="Hyperlink"/>
          </w:rPr>
          <w:t>Figure 7.6: Proportion of children aged 4–12 years who eat the daily recommended serves of vegetables, by year, 2013, 2017, 2019 and 2021</w:t>
        </w:r>
        <w:r w:rsidR="00D37F38">
          <w:rPr>
            <w:webHidden/>
          </w:rPr>
          <w:tab/>
        </w:r>
        <w:r w:rsidR="00D37F38">
          <w:rPr>
            <w:webHidden/>
          </w:rPr>
          <w:fldChar w:fldCharType="begin"/>
        </w:r>
        <w:r w:rsidR="00D37F38">
          <w:rPr>
            <w:webHidden/>
          </w:rPr>
          <w:instrText xml:space="preserve"> PAGEREF _Toc140827647 \h </w:instrText>
        </w:r>
        <w:r w:rsidR="00D37F38">
          <w:rPr>
            <w:webHidden/>
          </w:rPr>
        </w:r>
        <w:r w:rsidR="00D37F38">
          <w:rPr>
            <w:webHidden/>
          </w:rPr>
          <w:fldChar w:fldCharType="separate"/>
        </w:r>
        <w:r w:rsidR="00850AA4">
          <w:rPr>
            <w:webHidden/>
          </w:rPr>
          <w:t>103</w:t>
        </w:r>
        <w:r w:rsidR="00D37F38">
          <w:rPr>
            <w:webHidden/>
          </w:rPr>
          <w:fldChar w:fldCharType="end"/>
        </w:r>
      </w:hyperlink>
    </w:p>
    <w:p w14:paraId="141CBC99" w14:textId="7132EE99" w:rsidR="00D37F38" w:rsidRDefault="00000000">
      <w:pPr>
        <w:pStyle w:val="TOC1"/>
        <w:rPr>
          <w:rFonts w:asciiTheme="minorHAnsi" w:eastAsiaTheme="minorEastAsia" w:hAnsiTheme="minorHAnsi" w:cstheme="minorBidi"/>
          <w:sz w:val="22"/>
          <w:szCs w:val="22"/>
        </w:rPr>
      </w:pPr>
      <w:hyperlink w:anchor="_Toc140827648" w:history="1">
        <w:r w:rsidR="00D37F38" w:rsidRPr="00EB0B73">
          <w:rPr>
            <w:rStyle w:val="Hyperlink"/>
          </w:rPr>
          <w:t>Figure 7.6.1: Proportion of children aged 4–12 years who eat the daily recommended serves of vegetables, by gender, age, remoteness area, SES and year, 2013, 2017, 2019 and 2021</w:t>
        </w:r>
        <w:r w:rsidR="00D37F38">
          <w:rPr>
            <w:webHidden/>
          </w:rPr>
          <w:tab/>
        </w:r>
        <w:r w:rsidR="00D37F38">
          <w:rPr>
            <w:webHidden/>
          </w:rPr>
          <w:fldChar w:fldCharType="begin"/>
        </w:r>
        <w:r w:rsidR="00D37F38">
          <w:rPr>
            <w:webHidden/>
          </w:rPr>
          <w:instrText xml:space="preserve"> PAGEREF _Toc140827648 \h </w:instrText>
        </w:r>
        <w:r w:rsidR="00D37F38">
          <w:rPr>
            <w:webHidden/>
          </w:rPr>
        </w:r>
        <w:r w:rsidR="00D37F38">
          <w:rPr>
            <w:webHidden/>
          </w:rPr>
          <w:fldChar w:fldCharType="separate"/>
        </w:r>
        <w:r w:rsidR="00850AA4">
          <w:rPr>
            <w:webHidden/>
          </w:rPr>
          <w:t>104</w:t>
        </w:r>
        <w:r w:rsidR="00D37F38">
          <w:rPr>
            <w:webHidden/>
          </w:rPr>
          <w:fldChar w:fldCharType="end"/>
        </w:r>
      </w:hyperlink>
    </w:p>
    <w:p w14:paraId="2D7BEB90" w14:textId="477403C3" w:rsidR="00D37F38" w:rsidRDefault="00000000">
      <w:pPr>
        <w:pStyle w:val="TOC1"/>
        <w:rPr>
          <w:rFonts w:asciiTheme="minorHAnsi" w:eastAsiaTheme="minorEastAsia" w:hAnsiTheme="minorHAnsi" w:cstheme="minorBidi"/>
          <w:sz w:val="22"/>
          <w:szCs w:val="22"/>
        </w:rPr>
      </w:pPr>
      <w:hyperlink w:anchor="_Toc140827649" w:history="1">
        <w:r w:rsidR="00D37F38" w:rsidRPr="00EB0B73">
          <w:rPr>
            <w:rStyle w:val="Hyperlink"/>
          </w:rPr>
          <w:t>Figure 7.9: Proportion of adults (18 years or older) who are sufficiently physically active, by year, 2015–2019</w:t>
        </w:r>
        <w:r w:rsidR="00D37F38">
          <w:rPr>
            <w:webHidden/>
          </w:rPr>
          <w:tab/>
        </w:r>
        <w:r w:rsidR="00D37F38">
          <w:rPr>
            <w:webHidden/>
          </w:rPr>
          <w:fldChar w:fldCharType="begin"/>
        </w:r>
        <w:r w:rsidR="00D37F38">
          <w:rPr>
            <w:webHidden/>
          </w:rPr>
          <w:instrText xml:space="preserve"> PAGEREF _Toc140827649 \h </w:instrText>
        </w:r>
        <w:r w:rsidR="00D37F38">
          <w:rPr>
            <w:webHidden/>
          </w:rPr>
        </w:r>
        <w:r w:rsidR="00D37F38">
          <w:rPr>
            <w:webHidden/>
          </w:rPr>
          <w:fldChar w:fldCharType="separate"/>
        </w:r>
        <w:r w:rsidR="00850AA4">
          <w:rPr>
            <w:webHidden/>
          </w:rPr>
          <w:t>106</w:t>
        </w:r>
        <w:r w:rsidR="00D37F38">
          <w:rPr>
            <w:webHidden/>
          </w:rPr>
          <w:fldChar w:fldCharType="end"/>
        </w:r>
      </w:hyperlink>
    </w:p>
    <w:p w14:paraId="0608ACB6" w14:textId="70ECCCD3" w:rsidR="00D37F38" w:rsidRDefault="00000000">
      <w:pPr>
        <w:pStyle w:val="TOC1"/>
        <w:rPr>
          <w:rFonts w:asciiTheme="minorHAnsi" w:eastAsiaTheme="minorEastAsia" w:hAnsiTheme="minorHAnsi" w:cstheme="minorBidi"/>
          <w:sz w:val="22"/>
          <w:szCs w:val="22"/>
        </w:rPr>
      </w:pPr>
      <w:hyperlink w:anchor="_Toc140827650" w:history="1">
        <w:r w:rsidR="00D37F38" w:rsidRPr="00EB0B73">
          <w:rPr>
            <w:rStyle w:val="Hyperlink"/>
          </w:rPr>
          <w:t>Figure 7.10: Proportion of Victorian adolescents aged 10–17 who are sufficiently physically active, 2014, 2016 and 2018</w:t>
        </w:r>
        <w:r w:rsidR="00D37F38">
          <w:rPr>
            <w:webHidden/>
          </w:rPr>
          <w:tab/>
        </w:r>
        <w:r w:rsidR="00D37F38">
          <w:rPr>
            <w:webHidden/>
          </w:rPr>
          <w:fldChar w:fldCharType="begin"/>
        </w:r>
        <w:r w:rsidR="00D37F38">
          <w:rPr>
            <w:webHidden/>
          </w:rPr>
          <w:instrText xml:space="preserve"> PAGEREF _Toc140827650 \h </w:instrText>
        </w:r>
        <w:r w:rsidR="00D37F38">
          <w:rPr>
            <w:webHidden/>
          </w:rPr>
        </w:r>
        <w:r w:rsidR="00D37F38">
          <w:rPr>
            <w:webHidden/>
          </w:rPr>
          <w:fldChar w:fldCharType="separate"/>
        </w:r>
        <w:r w:rsidR="00850AA4">
          <w:rPr>
            <w:webHidden/>
          </w:rPr>
          <w:t>107</w:t>
        </w:r>
        <w:r w:rsidR="00D37F38">
          <w:rPr>
            <w:webHidden/>
          </w:rPr>
          <w:fldChar w:fldCharType="end"/>
        </w:r>
      </w:hyperlink>
    </w:p>
    <w:p w14:paraId="15D67AD7" w14:textId="7AC8763B" w:rsidR="00D37F38" w:rsidRDefault="00000000">
      <w:pPr>
        <w:pStyle w:val="TOC1"/>
        <w:rPr>
          <w:rFonts w:asciiTheme="minorHAnsi" w:eastAsiaTheme="minorEastAsia" w:hAnsiTheme="minorHAnsi" w:cstheme="minorBidi"/>
          <w:sz w:val="22"/>
          <w:szCs w:val="22"/>
        </w:rPr>
      </w:pPr>
      <w:hyperlink w:anchor="_Toc140827651" w:history="1">
        <w:r w:rsidR="00D37F38" w:rsidRPr="00EB0B73">
          <w:rPr>
            <w:rStyle w:val="Hyperlink"/>
          </w:rPr>
          <w:t>Figure 7.11: Proportion of children aged 5–12 years who are sufficiently physically active, 2013, 2017, 2019 and 2021</w:t>
        </w:r>
        <w:r w:rsidR="00D37F38">
          <w:rPr>
            <w:webHidden/>
          </w:rPr>
          <w:tab/>
        </w:r>
        <w:r w:rsidR="00D37F38">
          <w:rPr>
            <w:webHidden/>
          </w:rPr>
          <w:fldChar w:fldCharType="begin"/>
        </w:r>
        <w:r w:rsidR="00D37F38">
          <w:rPr>
            <w:webHidden/>
          </w:rPr>
          <w:instrText xml:space="preserve"> PAGEREF _Toc140827651 \h </w:instrText>
        </w:r>
        <w:r w:rsidR="00D37F38">
          <w:rPr>
            <w:webHidden/>
          </w:rPr>
        </w:r>
        <w:r w:rsidR="00D37F38">
          <w:rPr>
            <w:webHidden/>
          </w:rPr>
          <w:fldChar w:fldCharType="separate"/>
        </w:r>
        <w:r w:rsidR="00850AA4">
          <w:rPr>
            <w:webHidden/>
          </w:rPr>
          <w:t>109</w:t>
        </w:r>
        <w:r w:rsidR="00D37F38">
          <w:rPr>
            <w:webHidden/>
          </w:rPr>
          <w:fldChar w:fldCharType="end"/>
        </w:r>
      </w:hyperlink>
    </w:p>
    <w:p w14:paraId="603350D6" w14:textId="13F46325" w:rsidR="00D37F38" w:rsidRDefault="00000000">
      <w:pPr>
        <w:pStyle w:val="TOC1"/>
        <w:rPr>
          <w:rFonts w:asciiTheme="minorHAnsi" w:eastAsiaTheme="minorEastAsia" w:hAnsiTheme="minorHAnsi" w:cstheme="minorBidi"/>
          <w:sz w:val="22"/>
          <w:szCs w:val="22"/>
        </w:rPr>
      </w:pPr>
      <w:hyperlink w:anchor="_Toc140827652" w:history="1">
        <w:r w:rsidR="00D37F38" w:rsidRPr="00EB0B73">
          <w:rPr>
            <w:rStyle w:val="Hyperlink"/>
          </w:rPr>
          <w:t>Figure 8.1: Proportion of overweight or obese among OECD adults (aged 15 or older), 2017 (or nearest year)</w:t>
        </w:r>
        <w:r w:rsidR="00D37F38">
          <w:rPr>
            <w:webHidden/>
          </w:rPr>
          <w:tab/>
        </w:r>
        <w:r w:rsidR="00D37F38">
          <w:rPr>
            <w:webHidden/>
          </w:rPr>
          <w:fldChar w:fldCharType="begin"/>
        </w:r>
        <w:r w:rsidR="00D37F38">
          <w:rPr>
            <w:webHidden/>
          </w:rPr>
          <w:instrText xml:space="preserve"> PAGEREF _Toc140827652 \h </w:instrText>
        </w:r>
        <w:r w:rsidR="00D37F38">
          <w:rPr>
            <w:webHidden/>
          </w:rPr>
        </w:r>
        <w:r w:rsidR="00D37F38">
          <w:rPr>
            <w:webHidden/>
          </w:rPr>
          <w:fldChar w:fldCharType="separate"/>
        </w:r>
        <w:r w:rsidR="00850AA4">
          <w:rPr>
            <w:webHidden/>
          </w:rPr>
          <w:t>110</w:t>
        </w:r>
        <w:r w:rsidR="00D37F38">
          <w:rPr>
            <w:webHidden/>
          </w:rPr>
          <w:fldChar w:fldCharType="end"/>
        </w:r>
      </w:hyperlink>
    </w:p>
    <w:p w14:paraId="2BB10D91" w14:textId="3CEFCFE8" w:rsidR="00D37F38" w:rsidRDefault="00000000">
      <w:pPr>
        <w:pStyle w:val="TOC1"/>
        <w:rPr>
          <w:rFonts w:asciiTheme="minorHAnsi" w:eastAsiaTheme="minorEastAsia" w:hAnsiTheme="minorHAnsi" w:cstheme="minorBidi"/>
          <w:sz w:val="22"/>
          <w:szCs w:val="22"/>
        </w:rPr>
      </w:pPr>
      <w:hyperlink w:anchor="_Toc140827653" w:history="1">
        <w:r w:rsidR="00D37F38" w:rsidRPr="00EB0B73">
          <w:rPr>
            <w:rStyle w:val="Hyperlink"/>
          </w:rPr>
          <w:t>Figure 8.1.1: Proportion of overweight/obesity (measured) in Australian adults, by state and territory, 2011–12, 2014–15 and 2017–18</w:t>
        </w:r>
        <w:r w:rsidR="00D37F38">
          <w:rPr>
            <w:webHidden/>
          </w:rPr>
          <w:tab/>
        </w:r>
        <w:r w:rsidR="00D37F38">
          <w:rPr>
            <w:webHidden/>
          </w:rPr>
          <w:fldChar w:fldCharType="begin"/>
        </w:r>
        <w:r w:rsidR="00D37F38">
          <w:rPr>
            <w:webHidden/>
          </w:rPr>
          <w:instrText xml:space="preserve"> PAGEREF _Toc140827653 \h </w:instrText>
        </w:r>
        <w:r w:rsidR="00D37F38">
          <w:rPr>
            <w:webHidden/>
          </w:rPr>
        </w:r>
        <w:r w:rsidR="00D37F38">
          <w:rPr>
            <w:webHidden/>
          </w:rPr>
          <w:fldChar w:fldCharType="separate"/>
        </w:r>
        <w:r w:rsidR="00850AA4">
          <w:rPr>
            <w:webHidden/>
          </w:rPr>
          <w:t>111</w:t>
        </w:r>
        <w:r w:rsidR="00D37F38">
          <w:rPr>
            <w:webHidden/>
          </w:rPr>
          <w:fldChar w:fldCharType="end"/>
        </w:r>
      </w:hyperlink>
    </w:p>
    <w:p w14:paraId="426235C3" w14:textId="666DE4BD" w:rsidR="00D37F38" w:rsidRDefault="00000000">
      <w:pPr>
        <w:pStyle w:val="TOC1"/>
        <w:rPr>
          <w:rFonts w:asciiTheme="minorHAnsi" w:eastAsiaTheme="minorEastAsia" w:hAnsiTheme="minorHAnsi" w:cstheme="minorBidi"/>
          <w:sz w:val="22"/>
          <w:szCs w:val="22"/>
        </w:rPr>
      </w:pPr>
      <w:hyperlink w:anchor="_Toc140827654" w:history="1">
        <w:r w:rsidR="00D37F38" w:rsidRPr="00EB0B73">
          <w:rPr>
            <w:rStyle w:val="Hyperlink"/>
          </w:rPr>
          <w:t>Figure 8.1.2: Proportion of overweight including obesity (measured) among Victorian adults (aged 18 or older), by year, 2011–12, 2014–15 and 2017–18</w:t>
        </w:r>
        <w:r w:rsidR="00D37F38">
          <w:rPr>
            <w:webHidden/>
          </w:rPr>
          <w:tab/>
        </w:r>
        <w:r w:rsidR="00D37F38">
          <w:rPr>
            <w:webHidden/>
          </w:rPr>
          <w:fldChar w:fldCharType="begin"/>
        </w:r>
        <w:r w:rsidR="00D37F38">
          <w:rPr>
            <w:webHidden/>
          </w:rPr>
          <w:instrText xml:space="preserve"> PAGEREF _Toc140827654 \h </w:instrText>
        </w:r>
        <w:r w:rsidR="00D37F38">
          <w:rPr>
            <w:webHidden/>
          </w:rPr>
        </w:r>
        <w:r w:rsidR="00D37F38">
          <w:rPr>
            <w:webHidden/>
          </w:rPr>
          <w:fldChar w:fldCharType="separate"/>
        </w:r>
        <w:r w:rsidR="00850AA4">
          <w:rPr>
            <w:webHidden/>
          </w:rPr>
          <w:t>111</w:t>
        </w:r>
        <w:r w:rsidR="00D37F38">
          <w:rPr>
            <w:webHidden/>
          </w:rPr>
          <w:fldChar w:fldCharType="end"/>
        </w:r>
      </w:hyperlink>
    </w:p>
    <w:p w14:paraId="4CB55B9F" w14:textId="068435FE" w:rsidR="00D37F38" w:rsidRDefault="00000000">
      <w:pPr>
        <w:pStyle w:val="TOC1"/>
        <w:rPr>
          <w:rFonts w:asciiTheme="minorHAnsi" w:eastAsiaTheme="minorEastAsia" w:hAnsiTheme="minorHAnsi" w:cstheme="minorBidi"/>
          <w:sz w:val="22"/>
          <w:szCs w:val="22"/>
        </w:rPr>
      </w:pPr>
      <w:hyperlink w:anchor="_Toc140827655" w:history="1">
        <w:r w:rsidR="00D37F38" w:rsidRPr="00EB0B73">
          <w:rPr>
            <w:rStyle w:val="Hyperlink"/>
          </w:rPr>
          <w:t>Figure 8.2: Proportion of Victorian adults (aged 18 years or older) who are overweight or obese (self-report), by year, 2015–2020 and 2022</w:t>
        </w:r>
        <w:r w:rsidR="00D37F38">
          <w:rPr>
            <w:webHidden/>
          </w:rPr>
          <w:tab/>
        </w:r>
        <w:r w:rsidR="00D37F38">
          <w:rPr>
            <w:webHidden/>
          </w:rPr>
          <w:fldChar w:fldCharType="begin"/>
        </w:r>
        <w:r w:rsidR="00D37F38">
          <w:rPr>
            <w:webHidden/>
          </w:rPr>
          <w:instrText xml:space="preserve"> PAGEREF _Toc140827655 \h </w:instrText>
        </w:r>
        <w:r w:rsidR="00D37F38">
          <w:rPr>
            <w:webHidden/>
          </w:rPr>
        </w:r>
        <w:r w:rsidR="00D37F38">
          <w:rPr>
            <w:webHidden/>
          </w:rPr>
          <w:fldChar w:fldCharType="separate"/>
        </w:r>
        <w:r w:rsidR="00850AA4">
          <w:rPr>
            <w:webHidden/>
          </w:rPr>
          <w:t>113</w:t>
        </w:r>
        <w:r w:rsidR="00D37F38">
          <w:rPr>
            <w:webHidden/>
          </w:rPr>
          <w:fldChar w:fldCharType="end"/>
        </w:r>
      </w:hyperlink>
    </w:p>
    <w:p w14:paraId="6488BE2C" w14:textId="33A6F9A1" w:rsidR="00D37F38" w:rsidRDefault="00000000">
      <w:pPr>
        <w:pStyle w:val="TOC1"/>
        <w:rPr>
          <w:rFonts w:asciiTheme="minorHAnsi" w:eastAsiaTheme="minorEastAsia" w:hAnsiTheme="minorHAnsi" w:cstheme="minorBidi"/>
          <w:sz w:val="22"/>
          <w:szCs w:val="22"/>
        </w:rPr>
      </w:pPr>
      <w:hyperlink w:anchor="_Toc140827656" w:history="1">
        <w:r w:rsidR="00D37F38" w:rsidRPr="00EB0B73">
          <w:rPr>
            <w:rStyle w:val="Hyperlink"/>
          </w:rPr>
          <w:t>Figure 8.3: Proportion of Australian children aged 5–17 years who are overweight or obese (measured), by year, 1995 to 2017–18</w:t>
        </w:r>
        <w:r w:rsidR="00D37F38">
          <w:rPr>
            <w:webHidden/>
          </w:rPr>
          <w:tab/>
        </w:r>
        <w:r w:rsidR="00D37F38">
          <w:rPr>
            <w:webHidden/>
          </w:rPr>
          <w:fldChar w:fldCharType="begin"/>
        </w:r>
        <w:r w:rsidR="00D37F38">
          <w:rPr>
            <w:webHidden/>
          </w:rPr>
          <w:instrText xml:space="preserve"> PAGEREF _Toc140827656 \h </w:instrText>
        </w:r>
        <w:r w:rsidR="00D37F38">
          <w:rPr>
            <w:webHidden/>
          </w:rPr>
        </w:r>
        <w:r w:rsidR="00D37F38">
          <w:rPr>
            <w:webHidden/>
          </w:rPr>
          <w:fldChar w:fldCharType="separate"/>
        </w:r>
        <w:r w:rsidR="00850AA4">
          <w:rPr>
            <w:webHidden/>
          </w:rPr>
          <w:t>114</w:t>
        </w:r>
        <w:r w:rsidR="00D37F38">
          <w:rPr>
            <w:webHidden/>
          </w:rPr>
          <w:fldChar w:fldCharType="end"/>
        </w:r>
      </w:hyperlink>
    </w:p>
    <w:p w14:paraId="6CF48EE6" w14:textId="69B6CEC7" w:rsidR="00D37F38" w:rsidRDefault="00000000">
      <w:pPr>
        <w:pStyle w:val="TOC1"/>
        <w:rPr>
          <w:rFonts w:asciiTheme="minorHAnsi" w:eastAsiaTheme="minorEastAsia" w:hAnsiTheme="minorHAnsi" w:cstheme="minorBidi"/>
          <w:sz w:val="22"/>
          <w:szCs w:val="22"/>
        </w:rPr>
      </w:pPr>
      <w:hyperlink w:anchor="_Toc140827657" w:history="1">
        <w:r w:rsidR="00D37F38" w:rsidRPr="00EB0B73">
          <w:rPr>
            <w:rStyle w:val="Hyperlink"/>
          </w:rPr>
          <w:t>Figure 8.3.1: Proportion of Victorian children aged 5–17 years who are overweight or obese (measured), by year, 2011–12, 2014–15 and 2017–18</w:t>
        </w:r>
        <w:r w:rsidR="00D37F38">
          <w:rPr>
            <w:webHidden/>
          </w:rPr>
          <w:tab/>
        </w:r>
        <w:r w:rsidR="00D37F38">
          <w:rPr>
            <w:webHidden/>
          </w:rPr>
          <w:fldChar w:fldCharType="begin"/>
        </w:r>
        <w:r w:rsidR="00D37F38">
          <w:rPr>
            <w:webHidden/>
          </w:rPr>
          <w:instrText xml:space="preserve"> PAGEREF _Toc140827657 \h </w:instrText>
        </w:r>
        <w:r w:rsidR="00D37F38">
          <w:rPr>
            <w:webHidden/>
          </w:rPr>
        </w:r>
        <w:r w:rsidR="00D37F38">
          <w:rPr>
            <w:webHidden/>
          </w:rPr>
          <w:fldChar w:fldCharType="separate"/>
        </w:r>
        <w:r w:rsidR="00850AA4">
          <w:rPr>
            <w:webHidden/>
          </w:rPr>
          <w:t>115</w:t>
        </w:r>
        <w:r w:rsidR="00D37F38">
          <w:rPr>
            <w:webHidden/>
          </w:rPr>
          <w:fldChar w:fldCharType="end"/>
        </w:r>
      </w:hyperlink>
    </w:p>
    <w:p w14:paraId="7D1B037D" w14:textId="0F5AA74D" w:rsidR="00D37F38" w:rsidRDefault="00000000">
      <w:pPr>
        <w:pStyle w:val="TOC1"/>
        <w:rPr>
          <w:rFonts w:asciiTheme="minorHAnsi" w:eastAsiaTheme="minorEastAsia" w:hAnsiTheme="minorHAnsi" w:cstheme="minorBidi"/>
          <w:sz w:val="22"/>
          <w:szCs w:val="22"/>
        </w:rPr>
      </w:pPr>
      <w:hyperlink w:anchor="_Toc140827658" w:history="1">
        <w:r w:rsidR="00D37F38" w:rsidRPr="00EB0B73">
          <w:rPr>
            <w:rStyle w:val="Hyperlink"/>
          </w:rPr>
          <w:t>Figure 9.1: Adjusted prevalence estimates for summer sunburn incidence among Victorian adults (aged 18 years and over) during the summer 2021–22</w:t>
        </w:r>
        <w:r w:rsidR="00D37F38">
          <w:rPr>
            <w:webHidden/>
          </w:rPr>
          <w:tab/>
        </w:r>
        <w:r w:rsidR="00D37F38">
          <w:rPr>
            <w:webHidden/>
          </w:rPr>
          <w:fldChar w:fldCharType="begin"/>
        </w:r>
        <w:r w:rsidR="00D37F38">
          <w:rPr>
            <w:webHidden/>
          </w:rPr>
          <w:instrText xml:space="preserve"> PAGEREF _Toc140827658 \h </w:instrText>
        </w:r>
        <w:r w:rsidR="00D37F38">
          <w:rPr>
            <w:webHidden/>
          </w:rPr>
        </w:r>
        <w:r w:rsidR="00D37F38">
          <w:rPr>
            <w:webHidden/>
          </w:rPr>
          <w:fldChar w:fldCharType="separate"/>
        </w:r>
        <w:r w:rsidR="00850AA4">
          <w:rPr>
            <w:webHidden/>
          </w:rPr>
          <w:t>116</w:t>
        </w:r>
        <w:r w:rsidR="00D37F38">
          <w:rPr>
            <w:webHidden/>
          </w:rPr>
          <w:fldChar w:fldCharType="end"/>
        </w:r>
      </w:hyperlink>
    </w:p>
    <w:p w14:paraId="1061CF05" w14:textId="1290D59B" w:rsidR="00D37F38" w:rsidRDefault="00000000">
      <w:pPr>
        <w:pStyle w:val="TOC1"/>
        <w:rPr>
          <w:rFonts w:asciiTheme="minorHAnsi" w:eastAsiaTheme="minorEastAsia" w:hAnsiTheme="minorHAnsi" w:cstheme="minorBidi"/>
          <w:sz w:val="22"/>
          <w:szCs w:val="22"/>
        </w:rPr>
      </w:pPr>
      <w:hyperlink w:anchor="_Toc140827659" w:history="1">
        <w:r w:rsidR="00D37F38" w:rsidRPr="00EB0B73">
          <w:rPr>
            <w:rStyle w:val="Hyperlink"/>
          </w:rPr>
          <w:t>Figure 9.2: Adjusted prevalence estimates of two or more sun protective behaviours among Victorian adults (aged 18 years and over) during the summer 2021–2022</w:t>
        </w:r>
        <w:r w:rsidR="00D37F38">
          <w:rPr>
            <w:webHidden/>
          </w:rPr>
          <w:tab/>
        </w:r>
        <w:r w:rsidR="00D37F38">
          <w:rPr>
            <w:webHidden/>
          </w:rPr>
          <w:fldChar w:fldCharType="begin"/>
        </w:r>
        <w:r w:rsidR="00D37F38">
          <w:rPr>
            <w:webHidden/>
          </w:rPr>
          <w:instrText xml:space="preserve"> PAGEREF _Toc140827659 \h </w:instrText>
        </w:r>
        <w:r w:rsidR="00D37F38">
          <w:rPr>
            <w:webHidden/>
          </w:rPr>
        </w:r>
        <w:r w:rsidR="00D37F38">
          <w:rPr>
            <w:webHidden/>
          </w:rPr>
          <w:fldChar w:fldCharType="separate"/>
        </w:r>
        <w:r w:rsidR="00850AA4">
          <w:rPr>
            <w:webHidden/>
          </w:rPr>
          <w:t>118</w:t>
        </w:r>
        <w:r w:rsidR="00D37F38">
          <w:rPr>
            <w:webHidden/>
          </w:rPr>
          <w:fldChar w:fldCharType="end"/>
        </w:r>
      </w:hyperlink>
    </w:p>
    <w:p w14:paraId="134FA8FE" w14:textId="6677D5D4" w:rsidR="00D37F38" w:rsidRDefault="00000000">
      <w:pPr>
        <w:pStyle w:val="TOC1"/>
        <w:rPr>
          <w:rFonts w:asciiTheme="minorHAnsi" w:eastAsiaTheme="minorEastAsia" w:hAnsiTheme="minorHAnsi" w:cstheme="minorBidi"/>
          <w:sz w:val="22"/>
          <w:szCs w:val="22"/>
        </w:rPr>
      </w:pPr>
      <w:hyperlink w:anchor="_Toc140827660" w:history="1">
        <w:r w:rsidR="00D37F38" w:rsidRPr="00EB0B73">
          <w:rPr>
            <w:rStyle w:val="Hyperlink"/>
          </w:rPr>
          <w:t>Figure 10.1: HPV dose vaccination coverage for all females turning 15 years of age, by state/territory and year, 2013, 2017 and 2022</w:t>
        </w:r>
        <w:r w:rsidR="00D37F38">
          <w:rPr>
            <w:webHidden/>
          </w:rPr>
          <w:tab/>
        </w:r>
        <w:r w:rsidR="00D37F38">
          <w:rPr>
            <w:webHidden/>
          </w:rPr>
          <w:fldChar w:fldCharType="begin"/>
        </w:r>
        <w:r w:rsidR="00D37F38">
          <w:rPr>
            <w:webHidden/>
          </w:rPr>
          <w:instrText xml:space="preserve"> PAGEREF _Toc140827660 \h </w:instrText>
        </w:r>
        <w:r w:rsidR="00D37F38">
          <w:rPr>
            <w:webHidden/>
          </w:rPr>
        </w:r>
        <w:r w:rsidR="00D37F38">
          <w:rPr>
            <w:webHidden/>
          </w:rPr>
          <w:fldChar w:fldCharType="separate"/>
        </w:r>
        <w:r w:rsidR="00850AA4">
          <w:rPr>
            <w:webHidden/>
          </w:rPr>
          <w:t>120</w:t>
        </w:r>
        <w:r w:rsidR="00D37F38">
          <w:rPr>
            <w:webHidden/>
          </w:rPr>
          <w:fldChar w:fldCharType="end"/>
        </w:r>
      </w:hyperlink>
    </w:p>
    <w:p w14:paraId="7212D842" w14:textId="7CDBF27E" w:rsidR="00D37F38" w:rsidRDefault="00000000">
      <w:pPr>
        <w:pStyle w:val="TOC1"/>
        <w:rPr>
          <w:rFonts w:asciiTheme="minorHAnsi" w:eastAsiaTheme="minorEastAsia" w:hAnsiTheme="minorHAnsi" w:cstheme="minorBidi"/>
          <w:sz w:val="22"/>
          <w:szCs w:val="22"/>
        </w:rPr>
      </w:pPr>
      <w:hyperlink w:anchor="_Toc140827661" w:history="1">
        <w:r w:rsidR="00D37F38" w:rsidRPr="00EB0B73">
          <w:rPr>
            <w:rStyle w:val="Hyperlink"/>
            <w:lang w:val="en"/>
          </w:rPr>
          <w:t>Figure 10.1.1</w:t>
        </w:r>
        <w:r w:rsidR="00D37F38" w:rsidRPr="00EB0B73">
          <w:rPr>
            <w:rStyle w:val="Hyperlink"/>
          </w:rPr>
          <w:t>:</w:t>
        </w:r>
        <w:r w:rsidR="00D37F38" w:rsidRPr="00EB0B73">
          <w:rPr>
            <w:rStyle w:val="Hyperlink"/>
            <w:lang w:val="en"/>
          </w:rPr>
          <w:t xml:space="preserve"> HPV dose vaccination coverage for all males turning 15 years of age, by state/territory and year, 2013, 2017 and 2022</w:t>
        </w:r>
        <w:r w:rsidR="00D37F38">
          <w:rPr>
            <w:webHidden/>
          </w:rPr>
          <w:tab/>
        </w:r>
        <w:r w:rsidR="00D37F38">
          <w:rPr>
            <w:webHidden/>
          </w:rPr>
          <w:fldChar w:fldCharType="begin"/>
        </w:r>
        <w:r w:rsidR="00D37F38">
          <w:rPr>
            <w:webHidden/>
          </w:rPr>
          <w:instrText xml:space="preserve"> PAGEREF _Toc140827661 \h </w:instrText>
        </w:r>
        <w:r w:rsidR="00D37F38">
          <w:rPr>
            <w:webHidden/>
          </w:rPr>
        </w:r>
        <w:r w:rsidR="00D37F38">
          <w:rPr>
            <w:webHidden/>
          </w:rPr>
          <w:fldChar w:fldCharType="separate"/>
        </w:r>
        <w:r w:rsidR="00850AA4">
          <w:rPr>
            <w:webHidden/>
          </w:rPr>
          <w:t>120</w:t>
        </w:r>
        <w:r w:rsidR="00D37F38">
          <w:rPr>
            <w:webHidden/>
          </w:rPr>
          <w:fldChar w:fldCharType="end"/>
        </w:r>
      </w:hyperlink>
    </w:p>
    <w:p w14:paraId="57FF60D3" w14:textId="54CA7528" w:rsidR="00D37F38" w:rsidRDefault="00000000">
      <w:pPr>
        <w:pStyle w:val="TOC1"/>
        <w:rPr>
          <w:rFonts w:asciiTheme="minorHAnsi" w:eastAsiaTheme="minorEastAsia" w:hAnsiTheme="minorHAnsi" w:cstheme="minorBidi"/>
          <w:sz w:val="22"/>
          <w:szCs w:val="22"/>
        </w:rPr>
      </w:pPr>
      <w:hyperlink w:anchor="_Toc140827662" w:history="1">
        <w:r w:rsidR="00D37F38" w:rsidRPr="00EB0B73">
          <w:rPr>
            <w:rStyle w:val="Hyperlink"/>
          </w:rPr>
          <w:t>Figure 10.2: Notification rate per 100,000 population of unspecified HBV, by state/territory and year, 2014–2021</w:t>
        </w:r>
        <w:r w:rsidR="00D37F38">
          <w:rPr>
            <w:webHidden/>
          </w:rPr>
          <w:tab/>
        </w:r>
        <w:r w:rsidR="00D37F38">
          <w:rPr>
            <w:webHidden/>
          </w:rPr>
          <w:fldChar w:fldCharType="begin"/>
        </w:r>
        <w:r w:rsidR="00D37F38">
          <w:rPr>
            <w:webHidden/>
          </w:rPr>
          <w:instrText xml:space="preserve"> PAGEREF _Toc140827662 \h </w:instrText>
        </w:r>
        <w:r w:rsidR="00D37F38">
          <w:rPr>
            <w:webHidden/>
          </w:rPr>
        </w:r>
        <w:r w:rsidR="00D37F38">
          <w:rPr>
            <w:webHidden/>
          </w:rPr>
          <w:fldChar w:fldCharType="separate"/>
        </w:r>
        <w:r w:rsidR="00850AA4">
          <w:rPr>
            <w:webHidden/>
          </w:rPr>
          <w:t>122</w:t>
        </w:r>
        <w:r w:rsidR="00D37F38">
          <w:rPr>
            <w:webHidden/>
          </w:rPr>
          <w:fldChar w:fldCharType="end"/>
        </w:r>
      </w:hyperlink>
    </w:p>
    <w:p w14:paraId="7B325A70" w14:textId="5FAD5212" w:rsidR="00D37F38" w:rsidRDefault="00000000">
      <w:pPr>
        <w:pStyle w:val="TOC1"/>
        <w:rPr>
          <w:rFonts w:asciiTheme="minorHAnsi" w:eastAsiaTheme="minorEastAsia" w:hAnsiTheme="minorHAnsi" w:cstheme="minorBidi"/>
          <w:sz w:val="22"/>
          <w:szCs w:val="22"/>
        </w:rPr>
      </w:pPr>
      <w:hyperlink w:anchor="_Toc140827663" w:history="1">
        <w:r w:rsidR="00D37F38" w:rsidRPr="00EB0B73">
          <w:rPr>
            <w:rStyle w:val="Hyperlink"/>
          </w:rPr>
          <w:t>Figure 10.2.1: Notification rate per 100,000 population of unspecified HBV, by sex and year, Victoria, 2014–2021</w:t>
        </w:r>
        <w:r w:rsidR="00D37F38">
          <w:rPr>
            <w:webHidden/>
          </w:rPr>
          <w:tab/>
        </w:r>
        <w:r w:rsidR="00D37F38">
          <w:rPr>
            <w:webHidden/>
          </w:rPr>
          <w:fldChar w:fldCharType="begin"/>
        </w:r>
        <w:r w:rsidR="00D37F38">
          <w:rPr>
            <w:webHidden/>
          </w:rPr>
          <w:instrText xml:space="preserve"> PAGEREF _Toc140827663 \h </w:instrText>
        </w:r>
        <w:r w:rsidR="00D37F38">
          <w:rPr>
            <w:webHidden/>
          </w:rPr>
        </w:r>
        <w:r w:rsidR="00D37F38">
          <w:rPr>
            <w:webHidden/>
          </w:rPr>
          <w:fldChar w:fldCharType="separate"/>
        </w:r>
        <w:r w:rsidR="00850AA4">
          <w:rPr>
            <w:webHidden/>
          </w:rPr>
          <w:t>122</w:t>
        </w:r>
        <w:r w:rsidR="00D37F38">
          <w:rPr>
            <w:webHidden/>
          </w:rPr>
          <w:fldChar w:fldCharType="end"/>
        </w:r>
      </w:hyperlink>
    </w:p>
    <w:p w14:paraId="55C46815" w14:textId="3CB8D7F5" w:rsidR="00D37F38" w:rsidRDefault="00000000">
      <w:pPr>
        <w:pStyle w:val="TOC1"/>
        <w:rPr>
          <w:rFonts w:asciiTheme="minorHAnsi" w:eastAsiaTheme="minorEastAsia" w:hAnsiTheme="minorHAnsi" w:cstheme="minorBidi"/>
          <w:sz w:val="22"/>
          <w:szCs w:val="22"/>
        </w:rPr>
      </w:pPr>
      <w:hyperlink w:anchor="_Toc140827664" w:history="1">
        <w:r w:rsidR="00D37F38" w:rsidRPr="00EB0B73">
          <w:rPr>
            <w:rStyle w:val="Hyperlink"/>
          </w:rPr>
          <w:t>Figure 10.2.2: Notification rate per 100,000 population of unspecified HBV, by age group and year, Victoria, 2014–2021</w:t>
        </w:r>
        <w:r w:rsidR="00D37F38">
          <w:rPr>
            <w:webHidden/>
          </w:rPr>
          <w:tab/>
        </w:r>
        <w:r w:rsidR="00D37F38">
          <w:rPr>
            <w:webHidden/>
          </w:rPr>
          <w:fldChar w:fldCharType="begin"/>
        </w:r>
        <w:r w:rsidR="00D37F38">
          <w:rPr>
            <w:webHidden/>
          </w:rPr>
          <w:instrText xml:space="preserve"> PAGEREF _Toc140827664 \h </w:instrText>
        </w:r>
        <w:r w:rsidR="00D37F38">
          <w:rPr>
            <w:webHidden/>
          </w:rPr>
        </w:r>
        <w:r w:rsidR="00D37F38">
          <w:rPr>
            <w:webHidden/>
          </w:rPr>
          <w:fldChar w:fldCharType="separate"/>
        </w:r>
        <w:r w:rsidR="00850AA4">
          <w:rPr>
            <w:webHidden/>
          </w:rPr>
          <w:t>123</w:t>
        </w:r>
        <w:r w:rsidR="00D37F38">
          <w:rPr>
            <w:webHidden/>
          </w:rPr>
          <w:fldChar w:fldCharType="end"/>
        </w:r>
      </w:hyperlink>
    </w:p>
    <w:p w14:paraId="6AD9CEF5" w14:textId="06A1EC3F" w:rsidR="00D37F38" w:rsidRDefault="00000000">
      <w:pPr>
        <w:pStyle w:val="TOC1"/>
        <w:rPr>
          <w:rFonts w:asciiTheme="minorHAnsi" w:eastAsiaTheme="minorEastAsia" w:hAnsiTheme="minorHAnsi" w:cstheme="minorBidi"/>
          <w:sz w:val="22"/>
          <w:szCs w:val="22"/>
        </w:rPr>
      </w:pPr>
      <w:hyperlink w:anchor="_Toc140827665" w:history="1">
        <w:r w:rsidR="00D37F38" w:rsidRPr="00EB0B73">
          <w:rPr>
            <w:rStyle w:val="Hyperlink"/>
          </w:rPr>
          <w:t>Figure 10.2.3: Notification rate per 100,000 population of unspecified HBV, by ICS and year, Victoria, 2014–2021</w:t>
        </w:r>
        <w:r w:rsidR="00D37F38">
          <w:rPr>
            <w:webHidden/>
          </w:rPr>
          <w:tab/>
        </w:r>
        <w:r w:rsidR="00D37F38">
          <w:rPr>
            <w:webHidden/>
          </w:rPr>
          <w:fldChar w:fldCharType="begin"/>
        </w:r>
        <w:r w:rsidR="00D37F38">
          <w:rPr>
            <w:webHidden/>
          </w:rPr>
          <w:instrText xml:space="preserve"> PAGEREF _Toc140827665 \h </w:instrText>
        </w:r>
        <w:r w:rsidR="00D37F38">
          <w:rPr>
            <w:webHidden/>
          </w:rPr>
        </w:r>
        <w:r w:rsidR="00D37F38">
          <w:rPr>
            <w:webHidden/>
          </w:rPr>
          <w:fldChar w:fldCharType="separate"/>
        </w:r>
        <w:r w:rsidR="00850AA4">
          <w:rPr>
            <w:webHidden/>
          </w:rPr>
          <w:t>124</w:t>
        </w:r>
        <w:r w:rsidR="00D37F38">
          <w:rPr>
            <w:webHidden/>
          </w:rPr>
          <w:fldChar w:fldCharType="end"/>
        </w:r>
      </w:hyperlink>
    </w:p>
    <w:p w14:paraId="40E58B55" w14:textId="0953B50C" w:rsidR="00D37F38" w:rsidRDefault="00000000">
      <w:pPr>
        <w:pStyle w:val="TOC1"/>
        <w:rPr>
          <w:rFonts w:asciiTheme="minorHAnsi" w:eastAsiaTheme="minorEastAsia" w:hAnsiTheme="minorHAnsi" w:cstheme="minorBidi"/>
          <w:sz w:val="22"/>
          <w:szCs w:val="22"/>
        </w:rPr>
      </w:pPr>
      <w:hyperlink w:anchor="_Toc140827666" w:history="1">
        <w:r w:rsidR="00D37F38" w:rsidRPr="00EB0B73">
          <w:rPr>
            <w:rStyle w:val="Hyperlink"/>
          </w:rPr>
          <w:t>Figure 10.3: Notification rate per 100,000 population of unspecified hepatitis C, by state/territory and year, 2014–2021</w:t>
        </w:r>
        <w:r w:rsidR="00D37F38">
          <w:rPr>
            <w:webHidden/>
          </w:rPr>
          <w:tab/>
        </w:r>
        <w:r w:rsidR="00D37F38">
          <w:rPr>
            <w:webHidden/>
          </w:rPr>
          <w:fldChar w:fldCharType="begin"/>
        </w:r>
        <w:r w:rsidR="00D37F38">
          <w:rPr>
            <w:webHidden/>
          </w:rPr>
          <w:instrText xml:space="preserve"> PAGEREF _Toc140827666 \h </w:instrText>
        </w:r>
        <w:r w:rsidR="00D37F38">
          <w:rPr>
            <w:webHidden/>
          </w:rPr>
        </w:r>
        <w:r w:rsidR="00D37F38">
          <w:rPr>
            <w:webHidden/>
          </w:rPr>
          <w:fldChar w:fldCharType="separate"/>
        </w:r>
        <w:r w:rsidR="00850AA4">
          <w:rPr>
            <w:webHidden/>
          </w:rPr>
          <w:t>126</w:t>
        </w:r>
        <w:r w:rsidR="00D37F38">
          <w:rPr>
            <w:webHidden/>
          </w:rPr>
          <w:fldChar w:fldCharType="end"/>
        </w:r>
      </w:hyperlink>
    </w:p>
    <w:p w14:paraId="411F1F4F" w14:textId="670694B5" w:rsidR="00D37F38" w:rsidRDefault="00000000">
      <w:pPr>
        <w:pStyle w:val="TOC1"/>
        <w:rPr>
          <w:rFonts w:asciiTheme="minorHAnsi" w:eastAsiaTheme="minorEastAsia" w:hAnsiTheme="minorHAnsi" w:cstheme="minorBidi"/>
          <w:sz w:val="22"/>
          <w:szCs w:val="22"/>
        </w:rPr>
      </w:pPr>
      <w:hyperlink w:anchor="_Toc140827667" w:history="1">
        <w:r w:rsidR="00D37F38" w:rsidRPr="00EB0B73">
          <w:rPr>
            <w:rStyle w:val="Hyperlink"/>
          </w:rPr>
          <w:t>Figure 10.3.1: Notification rate per 100,000 population of unspecified hepatitis C, by sex and year, Victoria, 2014–2021</w:t>
        </w:r>
        <w:r w:rsidR="00D37F38">
          <w:rPr>
            <w:webHidden/>
          </w:rPr>
          <w:tab/>
        </w:r>
        <w:r w:rsidR="00D37F38">
          <w:rPr>
            <w:webHidden/>
          </w:rPr>
          <w:fldChar w:fldCharType="begin"/>
        </w:r>
        <w:r w:rsidR="00D37F38">
          <w:rPr>
            <w:webHidden/>
          </w:rPr>
          <w:instrText xml:space="preserve"> PAGEREF _Toc140827667 \h </w:instrText>
        </w:r>
        <w:r w:rsidR="00D37F38">
          <w:rPr>
            <w:webHidden/>
          </w:rPr>
        </w:r>
        <w:r w:rsidR="00D37F38">
          <w:rPr>
            <w:webHidden/>
          </w:rPr>
          <w:fldChar w:fldCharType="separate"/>
        </w:r>
        <w:r w:rsidR="00850AA4">
          <w:rPr>
            <w:webHidden/>
          </w:rPr>
          <w:t>127</w:t>
        </w:r>
        <w:r w:rsidR="00D37F38">
          <w:rPr>
            <w:webHidden/>
          </w:rPr>
          <w:fldChar w:fldCharType="end"/>
        </w:r>
      </w:hyperlink>
    </w:p>
    <w:p w14:paraId="6200F4F6" w14:textId="493AA4AE" w:rsidR="00D37F38" w:rsidRDefault="00000000">
      <w:pPr>
        <w:pStyle w:val="TOC1"/>
        <w:rPr>
          <w:rFonts w:asciiTheme="minorHAnsi" w:eastAsiaTheme="minorEastAsia" w:hAnsiTheme="minorHAnsi" w:cstheme="minorBidi"/>
          <w:sz w:val="22"/>
          <w:szCs w:val="22"/>
        </w:rPr>
      </w:pPr>
      <w:hyperlink w:anchor="_Toc140827668" w:history="1">
        <w:r w:rsidR="00D37F38" w:rsidRPr="00EB0B73">
          <w:rPr>
            <w:rStyle w:val="Hyperlink"/>
          </w:rPr>
          <w:t>Figure 10.3.2: Notification rate per 100,000 population of unspecified hepatitis C, by age group and year, Victoria, 2014–2021</w:t>
        </w:r>
        <w:r w:rsidR="00D37F38">
          <w:rPr>
            <w:webHidden/>
          </w:rPr>
          <w:tab/>
        </w:r>
        <w:r w:rsidR="00D37F38">
          <w:rPr>
            <w:webHidden/>
          </w:rPr>
          <w:fldChar w:fldCharType="begin"/>
        </w:r>
        <w:r w:rsidR="00D37F38">
          <w:rPr>
            <w:webHidden/>
          </w:rPr>
          <w:instrText xml:space="preserve"> PAGEREF _Toc140827668 \h </w:instrText>
        </w:r>
        <w:r w:rsidR="00D37F38">
          <w:rPr>
            <w:webHidden/>
          </w:rPr>
        </w:r>
        <w:r w:rsidR="00D37F38">
          <w:rPr>
            <w:webHidden/>
          </w:rPr>
          <w:fldChar w:fldCharType="separate"/>
        </w:r>
        <w:r w:rsidR="00850AA4">
          <w:rPr>
            <w:webHidden/>
          </w:rPr>
          <w:t>127</w:t>
        </w:r>
        <w:r w:rsidR="00D37F38">
          <w:rPr>
            <w:webHidden/>
          </w:rPr>
          <w:fldChar w:fldCharType="end"/>
        </w:r>
      </w:hyperlink>
    </w:p>
    <w:p w14:paraId="59C26459" w14:textId="416FD9B7" w:rsidR="00D37F38" w:rsidRDefault="00000000">
      <w:pPr>
        <w:pStyle w:val="TOC1"/>
        <w:rPr>
          <w:rFonts w:asciiTheme="minorHAnsi" w:eastAsiaTheme="minorEastAsia" w:hAnsiTheme="minorHAnsi" w:cstheme="minorBidi"/>
          <w:sz w:val="22"/>
          <w:szCs w:val="22"/>
        </w:rPr>
      </w:pPr>
      <w:hyperlink w:anchor="_Toc140827669" w:history="1">
        <w:r w:rsidR="00D37F38" w:rsidRPr="00EB0B73">
          <w:rPr>
            <w:rStyle w:val="Hyperlink"/>
          </w:rPr>
          <w:t>Figure 10.3.3: Notification rate of unspecified hepatitis C, by ICS and year, Victoria, 2014–2021</w:t>
        </w:r>
        <w:r w:rsidR="00D37F38">
          <w:rPr>
            <w:webHidden/>
          </w:rPr>
          <w:tab/>
        </w:r>
        <w:r w:rsidR="00D37F38">
          <w:rPr>
            <w:webHidden/>
          </w:rPr>
          <w:fldChar w:fldCharType="begin"/>
        </w:r>
        <w:r w:rsidR="00D37F38">
          <w:rPr>
            <w:webHidden/>
          </w:rPr>
          <w:instrText xml:space="preserve"> PAGEREF _Toc140827669 \h </w:instrText>
        </w:r>
        <w:r w:rsidR="00D37F38">
          <w:rPr>
            <w:webHidden/>
          </w:rPr>
        </w:r>
        <w:r w:rsidR="00D37F38">
          <w:rPr>
            <w:webHidden/>
          </w:rPr>
          <w:fldChar w:fldCharType="separate"/>
        </w:r>
        <w:r w:rsidR="00850AA4">
          <w:rPr>
            <w:webHidden/>
          </w:rPr>
          <w:t>128</w:t>
        </w:r>
        <w:r w:rsidR="00D37F38">
          <w:rPr>
            <w:webHidden/>
          </w:rPr>
          <w:fldChar w:fldCharType="end"/>
        </w:r>
      </w:hyperlink>
    </w:p>
    <w:p w14:paraId="11908227" w14:textId="779AE067" w:rsidR="00D37F38" w:rsidRDefault="00000000">
      <w:pPr>
        <w:pStyle w:val="TOC1"/>
        <w:rPr>
          <w:rFonts w:asciiTheme="minorHAnsi" w:eastAsiaTheme="minorEastAsia" w:hAnsiTheme="minorHAnsi" w:cstheme="minorBidi"/>
          <w:sz w:val="22"/>
          <w:szCs w:val="22"/>
        </w:rPr>
      </w:pPr>
      <w:hyperlink w:anchor="_Toc140827670" w:history="1">
        <w:r w:rsidR="00D37F38" w:rsidRPr="00EB0B73">
          <w:rPr>
            <w:rStyle w:val="Hyperlink"/>
          </w:rPr>
          <w:t>Figure 11.2: Proportion of female breast cancers diagnosed at stages 1 and 2, by age, Indigenous status and language spoken at home, 2014, 2016 and 2021</w:t>
        </w:r>
        <w:r w:rsidR="00D37F38">
          <w:rPr>
            <w:webHidden/>
          </w:rPr>
          <w:tab/>
        </w:r>
        <w:r w:rsidR="00D37F38">
          <w:rPr>
            <w:webHidden/>
          </w:rPr>
          <w:fldChar w:fldCharType="begin"/>
        </w:r>
        <w:r w:rsidR="00D37F38">
          <w:rPr>
            <w:webHidden/>
          </w:rPr>
          <w:instrText xml:space="preserve"> PAGEREF _Toc140827670 \h </w:instrText>
        </w:r>
        <w:r w:rsidR="00D37F38">
          <w:rPr>
            <w:webHidden/>
          </w:rPr>
        </w:r>
        <w:r w:rsidR="00D37F38">
          <w:rPr>
            <w:webHidden/>
          </w:rPr>
          <w:fldChar w:fldCharType="separate"/>
        </w:r>
        <w:r w:rsidR="00850AA4">
          <w:rPr>
            <w:webHidden/>
          </w:rPr>
          <w:t>132</w:t>
        </w:r>
        <w:r w:rsidR="00D37F38">
          <w:rPr>
            <w:webHidden/>
          </w:rPr>
          <w:fldChar w:fldCharType="end"/>
        </w:r>
      </w:hyperlink>
    </w:p>
    <w:p w14:paraId="6FDDC125" w14:textId="41F7D531" w:rsidR="00D37F38" w:rsidRDefault="00000000">
      <w:pPr>
        <w:pStyle w:val="TOC1"/>
        <w:rPr>
          <w:rFonts w:asciiTheme="minorHAnsi" w:eastAsiaTheme="minorEastAsia" w:hAnsiTheme="minorHAnsi" w:cstheme="minorBidi"/>
          <w:sz w:val="22"/>
          <w:szCs w:val="22"/>
        </w:rPr>
      </w:pPr>
      <w:hyperlink w:anchor="_Toc140827671" w:history="1">
        <w:r w:rsidR="00D37F38" w:rsidRPr="00EB0B73">
          <w:rPr>
            <w:rStyle w:val="Hyperlink"/>
          </w:rPr>
          <w:t>Figure 11.2.1: Proportion of female breast cancers diagnosed at stages 1 and 2, by remoteness area, ICS and SES, 2014, 2016 and 2021</w:t>
        </w:r>
        <w:r w:rsidR="00D37F38">
          <w:rPr>
            <w:webHidden/>
          </w:rPr>
          <w:tab/>
        </w:r>
        <w:r w:rsidR="00D37F38">
          <w:rPr>
            <w:webHidden/>
          </w:rPr>
          <w:fldChar w:fldCharType="begin"/>
        </w:r>
        <w:r w:rsidR="00D37F38">
          <w:rPr>
            <w:webHidden/>
          </w:rPr>
          <w:instrText xml:space="preserve"> PAGEREF _Toc140827671 \h </w:instrText>
        </w:r>
        <w:r w:rsidR="00D37F38">
          <w:rPr>
            <w:webHidden/>
          </w:rPr>
        </w:r>
        <w:r w:rsidR="00D37F38">
          <w:rPr>
            <w:webHidden/>
          </w:rPr>
          <w:fldChar w:fldCharType="separate"/>
        </w:r>
        <w:r w:rsidR="00850AA4">
          <w:rPr>
            <w:webHidden/>
          </w:rPr>
          <w:t>133</w:t>
        </w:r>
        <w:r w:rsidR="00D37F38">
          <w:rPr>
            <w:webHidden/>
          </w:rPr>
          <w:fldChar w:fldCharType="end"/>
        </w:r>
      </w:hyperlink>
    </w:p>
    <w:p w14:paraId="2947A460" w14:textId="0EAFCF4C" w:rsidR="00D37F38" w:rsidRDefault="00000000">
      <w:pPr>
        <w:pStyle w:val="TOC1"/>
        <w:rPr>
          <w:rFonts w:asciiTheme="minorHAnsi" w:eastAsiaTheme="minorEastAsia" w:hAnsiTheme="minorHAnsi" w:cstheme="minorBidi"/>
          <w:sz w:val="22"/>
          <w:szCs w:val="22"/>
        </w:rPr>
      </w:pPr>
      <w:hyperlink w:anchor="_Toc140827672" w:history="1">
        <w:r w:rsidR="00D37F38" w:rsidRPr="00EB0B73">
          <w:rPr>
            <w:rStyle w:val="Hyperlink"/>
          </w:rPr>
          <w:t>Figure 11.3: Proportion of colorectal cancers diagnosed at stages 1 and 2, by age, sex, Indigenous status and language spoken at home, 2014, 2016 and 2021</w:t>
        </w:r>
        <w:r w:rsidR="00D37F38">
          <w:rPr>
            <w:webHidden/>
          </w:rPr>
          <w:tab/>
        </w:r>
        <w:r w:rsidR="00D37F38">
          <w:rPr>
            <w:webHidden/>
          </w:rPr>
          <w:fldChar w:fldCharType="begin"/>
        </w:r>
        <w:r w:rsidR="00D37F38">
          <w:rPr>
            <w:webHidden/>
          </w:rPr>
          <w:instrText xml:space="preserve"> PAGEREF _Toc140827672 \h </w:instrText>
        </w:r>
        <w:r w:rsidR="00D37F38">
          <w:rPr>
            <w:webHidden/>
          </w:rPr>
        </w:r>
        <w:r w:rsidR="00D37F38">
          <w:rPr>
            <w:webHidden/>
          </w:rPr>
          <w:fldChar w:fldCharType="separate"/>
        </w:r>
        <w:r w:rsidR="00850AA4">
          <w:rPr>
            <w:webHidden/>
          </w:rPr>
          <w:t>135</w:t>
        </w:r>
        <w:r w:rsidR="00D37F38">
          <w:rPr>
            <w:webHidden/>
          </w:rPr>
          <w:fldChar w:fldCharType="end"/>
        </w:r>
      </w:hyperlink>
    </w:p>
    <w:p w14:paraId="3C79BB23" w14:textId="5047DB62" w:rsidR="00D37F38" w:rsidRDefault="00000000">
      <w:pPr>
        <w:pStyle w:val="TOC1"/>
        <w:rPr>
          <w:rFonts w:asciiTheme="minorHAnsi" w:eastAsiaTheme="minorEastAsia" w:hAnsiTheme="minorHAnsi" w:cstheme="minorBidi"/>
          <w:sz w:val="22"/>
          <w:szCs w:val="22"/>
        </w:rPr>
      </w:pPr>
      <w:hyperlink w:anchor="_Toc140827673" w:history="1">
        <w:r w:rsidR="00D37F38" w:rsidRPr="00EB0B73">
          <w:rPr>
            <w:rStyle w:val="Hyperlink"/>
          </w:rPr>
          <w:t>Figure 11.3.1: Proportion of colorectal cancers diagnosed at stages 1 and 2, by remoteness area, ICS and SES, 2014, 2016 and 2021</w:t>
        </w:r>
        <w:r w:rsidR="00D37F38">
          <w:rPr>
            <w:webHidden/>
          </w:rPr>
          <w:tab/>
        </w:r>
        <w:r w:rsidR="00D37F38">
          <w:rPr>
            <w:webHidden/>
          </w:rPr>
          <w:fldChar w:fldCharType="begin"/>
        </w:r>
        <w:r w:rsidR="00D37F38">
          <w:rPr>
            <w:webHidden/>
          </w:rPr>
          <w:instrText xml:space="preserve"> PAGEREF _Toc140827673 \h </w:instrText>
        </w:r>
        <w:r w:rsidR="00D37F38">
          <w:rPr>
            <w:webHidden/>
          </w:rPr>
        </w:r>
        <w:r w:rsidR="00D37F38">
          <w:rPr>
            <w:webHidden/>
          </w:rPr>
          <w:fldChar w:fldCharType="separate"/>
        </w:r>
        <w:r w:rsidR="00850AA4">
          <w:rPr>
            <w:webHidden/>
          </w:rPr>
          <w:t>136</w:t>
        </w:r>
        <w:r w:rsidR="00D37F38">
          <w:rPr>
            <w:webHidden/>
          </w:rPr>
          <w:fldChar w:fldCharType="end"/>
        </w:r>
      </w:hyperlink>
    </w:p>
    <w:p w14:paraId="250CF366" w14:textId="37B887DE" w:rsidR="00D37F38" w:rsidRDefault="00000000">
      <w:pPr>
        <w:pStyle w:val="TOC1"/>
        <w:rPr>
          <w:rFonts w:asciiTheme="minorHAnsi" w:eastAsiaTheme="minorEastAsia" w:hAnsiTheme="minorHAnsi" w:cstheme="minorBidi"/>
          <w:sz w:val="22"/>
          <w:szCs w:val="22"/>
        </w:rPr>
      </w:pPr>
      <w:hyperlink w:anchor="_Toc140827674" w:history="1">
        <w:r w:rsidR="00D37F38" w:rsidRPr="00EB0B73">
          <w:rPr>
            <w:rStyle w:val="Hyperlink"/>
          </w:rPr>
          <w:t>Figure 11.6: Proportion of all solid tumours diagnosed at the metastatic stage, by age, sex, Indigenous status and language spoken at home, 2014, 2016 and 2021</w:t>
        </w:r>
        <w:r w:rsidR="00D37F38">
          <w:rPr>
            <w:webHidden/>
          </w:rPr>
          <w:tab/>
        </w:r>
        <w:r w:rsidR="00D37F38">
          <w:rPr>
            <w:webHidden/>
          </w:rPr>
          <w:fldChar w:fldCharType="begin"/>
        </w:r>
        <w:r w:rsidR="00D37F38">
          <w:rPr>
            <w:webHidden/>
          </w:rPr>
          <w:instrText xml:space="preserve"> PAGEREF _Toc140827674 \h </w:instrText>
        </w:r>
        <w:r w:rsidR="00D37F38">
          <w:rPr>
            <w:webHidden/>
          </w:rPr>
        </w:r>
        <w:r w:rsidR="00D37F38">
          <w:rPr>
            <w:webHidden/>
          </w:rPr>
          <w:fldChar w:fldCharType="separate"/>
        </w:r>
        <w:r w:rsidR="00850AA4">
          <w:rPr>
            <w:webHidden/>
          </w:rPr>
          <w:t>139</w:t>
        </w:r>
        <w:r w:rsidR="00D37F38">
          <w:rPr>
            <w:webHidden/>
          </w:rPr>
          <w:fldChar w:fldCharType="end"/>
        </w:r>
      </w:hyperlink>
    </w:p>
    <w:p w14:paraId="7CE2670B" w14:textId="64A74D8C" w:rsidR="00D37F38" w:rsidRDefault="00000000">
      <w:pPr>
        <w:pStyle w:val="TOC1"/>
        <w:rPr>
          <w:rFonts w:asciiTheme="minorHAnsi" w:eastAsiaTheme="minorEastAsia" w:hAnsiTheme="minorHAnsi" w:cstheme="minorBidi"/>
          <w:sz w:val="22"/>
          <w:szCs w:val="22"/>
        </w:rPr>
      </w:pPr>
      <w:hyperlink w:anchor="_Toc140827675" w:history="1">
        <w:r w:rsidR="00D37F38" w:rsidRPr="00EB0B73">
          <w:rPr>
            <w:rStyle w:val="Hyperlink"/>
          </w:rPr>
          <w:t>Figure 11.6.1: Proportion of all solid tumours diagnosed at the metastatic stage, by remoteness area, ICS and SES, 2014, 2016 and 2021</w:t>
        </w:r>
        <w:r w:rsidR="00D37F38">
          <w:rPr>
            <w:webHidden/>
          </w:rPr>
          <w:tab/>
        </w:r>
        <w:r w:rsidR="00D37F38">
          <w:rPr>
            <w:webHidden/>
          </w:rPr>
          <w:fldChar w:fldCharType="begin"/>
        </w:r>
        <w:r w:rsidR="00D37F38">
          <w:rPr>
            <w:webHidden/>
          </w:rPr>
          <w:instrText xml:space="preserve"> PAGEREF _Toc140827675 \h </w:instrText>
        </w:r>
        <w:r w:rsidR="00D37F38">
          <w:rPr>
            <w:webHidden/>
          </w:rPr>
        </w:r>
        <w:r w:rsidR="00D37F38">
          <w:rPr>
            <w:webHidden/>
          </w:rPr>
          <w:fldChar w:fldCharType="separate"/>
        </w:r>
        <w:r w:rsidR="00850AA4">
          <w:rPr>
            <w:webHidden/>
          </w:rPr>
          <w:t>140</w:t>
        </w:r>
        <w:r w:rsidR="00D37F38">
          <w:rPr>
            <w:webHidden/>
          </w:rPr>
          <w:fldChar w:fldCharType="end"/>
        </w:r>
      </w:hyperlink>
    </w:p>
    <w:p w14:paraId="14980CC8" w14:textId="313A8A58" w:rsidR="00D37F38" w:rsidRDefault="00000000">
      <w:pPr>
        <w:pStyle w:val="TOC1"/>
        <w:rPr>
          <w:rFonts w:asciiTheme="minorHAnsi" w:eastAsiaTheme="minorEastAsia" w:hAnsiTheme="minorHAnsi" w:cstheme="minorBidi"/>
          <w:sz w:val="22"/>
          <w:szCs w:val="22"/>
        </w:rPr>
      </w:pPr>
      <w:hyperlink w:anchor="_Toc140827676" w:history="1">
        <w:r w:rsidR="00D37F38" w:rsidRPr="00EB0B73">
          <w:rPr>
            <w:rStyle w:val="Hyperlink"/>
          </w:rPr>
          <w:t>Figure 12.1: Median days (and interquartile range) from diagnosis to start of primary curative treatment (overall), by year, 2014, 2016 and 2021</w:t>
        </w:r>
        <w:r w:rsidR="00D37F38">
          <w:rPr>
            <w:webHidden/>
          </w:rPr>
          <w:tab/>
        </w:r>
        <w:r w:rsidR="00D37F38">
          <w:rPr>
            <w:webHidden/>
          </w:rPr>
          <w:fldChar w:fldCharType="begin"/>
        </w:r>
        <w:r w:rsidR="00D37F38">
          <w:rPr>
            <w:webHidden/>
          </w:rPr>
          <w:instrText xml:space="preserve"> PAGEREF _Toc140827676 \h </w:instrText>
        </w:r>
        <w:r w:rsidR="00D37F38">
          <w:rPr>
            <w:webHidden/>
          </w:rPr>
        </w:r>
        <w:r w:rsidR="00D37F38">
          <w:rPr>
            <w:webHidden/>
          </w:rPr>
          <w:fldChar w:fldCharType="separate"/>
        </w:r>
        <w:r w:rsidR="00850AA4">
          <w:rPr>
            <w:webHidden/>
          </w:rPr>
          <w:t>143</w:t>
        </w:r>
        <w:r w:rsidR="00D37F38">
          <w:rPr>
            <w:webHidden/>
          </w:rPr>
          <w:fldChar w:fldCharType="end"/>
        </w:r>
      </w:hyperlink>
    </w:p>
    <w:p w14:paraId="282F0AD5" w14:textId="6BF53C1D" w:rsidR="00D37F38" w:rsidRDefault="00000000">
      <w:pPr>
        <w:pStyle w:val="TOC1"/>
        <w:rPr>
          <w:rFonts w:asciiTheme="minorHAnsi" w:eastAsiaTheme="minorEastAsia" w:hAnsiTheme="minorHAnsi" w:cstheme="minorBidi"/>
          <w:sz w:val="22"/>
          <w:szCs w:val="22"/>
        </w:rPr>
      </w:pPr>
      <w:hyperlink w:anchor="_Toc140827677" w:history="1">
        <w:r w:rsidR="00D37F38" w:rsidRPr="00EB0B73">
          <w:rPr>
            <w:rStyle w:val="Hyperlink"/>
          </w:rPr>
          <w:t>Figure 12.1.1: Median days from diagnosis to start of primary curative treatment (breast), by year, 2014, 2016 and 2021</w:t>
        </w:r>
        <w:r w:rsidR="00D37F38">
          <w:rPr>
            <w:webHidden/>
          </w:rPr>
          <w:tab/>
        </w:r>
        <w:r w:rsidR="00D37F38">
          <w:rPr>
            <w:webHidden/>
          </w:rPr>
          <w:fldChar w:fldCharType="begin"/>
        </w:r>
        <w:r w:rsidR="00D37F38">
          <w:rPr>
            <w:webHidden/>
          </w:rPr>
          <w:instrText xml:space="preserve"> PAGEREF _Toc140827677 \h </w:instrText>
        </w:r>
        <w:r w:rsidR="00D37F38">
          <w:rPr>
            <w:webHidden/>
          </w:rPr>
        </w:r>
        <w:r w:rsidR="00D37F38">
          <w:rPr>
            <w:webHidden/>
          </w:rPr>
          <w:fldChar w:fldCharType="separate"/>
        </w:r>
        <w:r w:rsidR="00850AA4">
          <w:rPr>
            <w:webHidden/>
          </w:rPr>
          <w:t>145</w:t>
        </w:r>
        <w:r w:rsidR="00D37F38">
          <w:rPr>
            <w:webHidden/>
          </w:rPr>
          <w:fldChar w:fldCharType="end"/>
        </w:r>
      </w:hyperlink>
    </w:p>
    <w:p w14:paraId="2FBF4D5E" w14:textId="2714AA8E" w:rsidR="00D37F38" w:rsidRDefault="00000000">
      <w:pPr>
        <w:pStyle w:val="TOC1"/>
        <w:rPr>
          <w:rFonts w:asciiTheme="minorHAnsi" w:eastAsiaTheme="minorEastAsia" w:hAnsiTheme="minorHAnsi" w:cstheme="minorBidi"/>
          <w:sz w:val="22"/>
          <w:szCs w:val="22"/>
        </w:rPr>
      </w:pPr>
      <w:hyperlink w:anchor="_Toc140827678" w:history="1">
        <w:r w:rsidR="00D37F38" w:rsidRPr="00EB0B73">
          <w:rPr>
            <w:rStyle w:val="Hyperlink"/>
          </w:rPr>
          <w:t>Figure 12.1.2: Median days from diagnosis to start of primary curative treatment (colorectal), by year, 2014, 2016 and 2021</w:t>
        </w:r>
        <w:r w:rsidR="00D37F38">
          <w:rPr>
            <w:webHidden/>
          </w:rPr>
          <w:tab/>
        </w:r>
        <w:r w:rsidR="00D37F38">
          <w:rPr>
            <w:webHidden/>
          </w:rPr>
          <w:fldChar w:fldCharType="begin"/>
        </w:r>
        <w:r w:rsidR="00D37F38">
          <w:rPr>
            <w:webHidden/>
          </w:rPr>
          <w:instrText xml:space="preserve"> PAGEREF _Toc140827678 \h </w:instrText>
        </w:r>
        <w:r w:rsidR="00D37F38">
          <w:rPr>
            <w:webHidden/>
          </w:rPr>
        </w:r>
        <w:r w:rsidR="00D37F38">
          <w:rPr>
            <w:webHidden/>
          </w:rPr>
          <w:fldChar w:fldCharType="separate"/>
        </w:r>
        <w:r w:rsidR="00850AA4">
          <w:rPr>
            <w:webHidden/>
          </w:rPr>
          <w:t>146</w:t>
        </w:r>
        <w:r w:rsidR="00D37F38">
          <w:rPr>
            <w:webHidden/>
          </w:rPr>
          <w:fldChar w:fldCharType="end"/>
        </w:r>
      </w:hyperlink>
    </w:p>
    <w:p w14:paraId="5907EDA2" w14:textId="5EDFB028" w:rsidR="00D37F38" w:rsidRDefault="00000000">
      <w:pPr>
        <w:pStyle w:val="TOC1"/>
        <w:rPr>
          <w:rFonts w:asciiTheme="minorHAnsi" w:eastAsiaTheme="minorEastAsia" w:hAnsiTheme="minorHAnsi" w:cstheme="minorBidi"/>
          <w:sz w:val="22"/>
          <w:szCs w:val="22"/>
        </w:rPr>
      </w:pPr>
      <w:hyperlink w:anchor="_Toc140827679" w:history="1">
        <w:r w:rsidR="00D37F38" w:rsidRPr="00EB0B73">
          <w:rPr>
            <w:rStyle w:val="Hyperlink"/>
          </w:rPr>
          <w:t>Figure 12.1.3: Median days from diagnosis to start of primary curative treatment (genitourinary), by year, 2014, 2016 and 2021</w:t>
        </w:r>
        <w:r w:rsidR="00D37F38">
          <w:rPr>
            <w:webHidden/>
          </w:rPr>
          <w:tab/>
        </w:r>
        <w:r w:rsidR="00D37F38">
          <w:rPr>
            <w:webHidden/>
          </w:rPr>
          <w:fldChar w:fldCharType="begin"/>
        </w:r>
        <w:r w:rsidR="00D37F38">
          <w:rPr>
            <w:webHidden/>
          </w:rPr>
          <w:instrText xml:space="preserve"> PAGEREF _Toc140827679 \h </w:instrText>
        </w:r>
        <w:r w:rsidR="00D37F38">
          <w:rPr>
            <w:webHidden/>
          </w:rPr>
        </w:r>
        <w:r w:rsidR="00D37F38">
          <w:rPr>
            <w:webHidden/>
          </w:rPr>
          <w:fldChar w:fldCharType="separate"/>
        </w:r>
        <w:r w:rsidR="00850AA4">
          <w:rPr>
            <w:webHidden/>
          </w:rPr>
          <w:t>147</w:t>
        </w:r>
        <w:r w:rsidR="00D37F38">
          <w:rPr>
            <w:webHidden/>
          </w:rPr>
          <w:fldChar w:fldCharType="end"/>
        </w:r>
      </w:hyperlink>
    </w:p>
    <w:p w14:paraId="20343B91" w14:textId="27C24E06" w:rsidR="00D37F38" w:rsidRDefault="00000000">
      <w:pPr>
        <w:pStyle w:val="TOC1"/>
        <w:rPr>
          <w:rFonts w:asciiTheme="minorHAnsi" w:eastAsiaTheme="minorEastAsia" w:hAnsiTheme="minorHAnsi" w:cstheme="minorBidi"/>
          <w:sz w:val="22"/>
          <w:szCs w:val="22"/>
        </w:rPr>
      </w:pPr>
      <w:hyperlink w:anchor="_Toc140827680" w:history="1">
        <w:r w:rsidR="00D37F38" w:rsidRPr="00EB0B73">
          <w:rPr>
            <w:rStyle w:val="Hyperlink"/>
          </w:rPr>
          <w:t>Figure 12.1.4: Median days from diagnosis to start of primary curative treatment (haematological), by year, 2014, 2016 and 2021</w:t>
        </w:r>
        <w:r w:rsidR="00D37F38">
          <w:rPr>
            <w:webHidden/>
          </w:rPr>
          <w:tab/>
        </w:r>
        <w:r w:rsidR="00D37F38">
          <w:rPr>
            <w:webHidden/>
          </w:rPr>
          <w:fldChar w:fldCharType="begin"/>
        </w:r>
        <w:r w:rsidR="00D37F38">
          <w:rPr>
            <w:webHidden/>
          </w:rPr>
          <w:instrText xml:space="preserve"> PAGEREF _Toc140827680 \h </w:instrText>
        </w:r>
        <w:r w:rsidR="00D37F38">
          <w:rPr>
            <w:webHidden/>
          </w:rPr>
        </w:r>
        <w:r w:rsidR="00D37F38">
          <w:rPr>
            <w:webHidden/>
          </w:rPr>
          <w:fldChar w:fldCharType="separate"/>
        </w:r>
        <w:r w:rsidR="00850AA4">
          <w:rPr>
            <w:webHidden/>
          </w:rPr>
          <w:t>148</w:t>
        </w:r>
        <w:r w:rsidR="00D37F38">
          <w:rPr>
            <w:webHidden/>
          </w:rPr>
          <w:fldChar w:fldCharType="end"/>
        </w:r>
      </w:hyperlink>
    </w:p>
    <w:p w14:paraId="0EDDE9BE" w14:textId="7CF28C7B" w:rsidR="00D37F38" w:rsidRDefault="00000000">
      <w:pPr>
        <w:pStyle w:val="TOC1"/>
        <w:rPr>
          <w:rFonts w:asciiTheme="minorHAnsi" w:eastAsiaTheme="minorEastAsia" w:hAnsiTheme="minorHAnsi" w:cstheme="minorBidi"/>
          <w:sz w:val="22"/>
          <w:szCs w:val="22"/>
        </w:rPr>
      </w:pPr>
      <w:hyperlink w:anchor="_Toc140827681" w:history="1">
        <w:r w:rsidR="00D37F38" w:rsidRPr="00EB0B73">
          <w:rPr>
            <w:rStyle w:val="Hyperlink"/>
          </w:rPr>
          <w:t>Figure 12.4: Proportion of patients with non-metastatic lung cancer receiving radical radiotherapy as part of their primary treatment, by age, sex, Indigenous status, language spoken at home, remoteness area, SES and ICS, 2014, 2016 and 2020</w:t>
        </w:r>
        <w:r w:rsidR="00D37F38">
          <w:rPr>
            <w:webHidden/>
          </w:rPr>
          <w:tab/>
        </w:r>
        <w:r w:rsidR="00D37F38">
          <w:rPr>
            <w:webHidden/>
          </w:rPr>
          <w:fldChar w:fldCharType="begin"/>
        </w:r>
        <w:r w:rsidR="00D37F38">
          <w:rPr>
            <w:webHidden/>
          </w:rPr>
          <w:instrText xml:space="preserve"> PAGEREF _Toc140827681 \h </w:instrText>
        </w:r>
        <w:r w:rsidR="00D37F38">
          <w:rPr>
            <w:webHidden/>
          </w:rPr>
        </w:r>
        <w:r w:rsidR="00D37F38">
          <w:rPr>
            <w:webHidden/>
          </w:rPr>
          <w:fldChar w:fldCharType="separate"/>
        </w:r>
        <w:r w:rsidR="00850AA4">
          <w:rPr>
            <w:webHidden/>
          </w:rPr>
          <w:t>151</w:t>
        </w:r>
        <w:r w:rsidR="00D37F38">
          <w:rPr>
            <w:webHidden/>
          </w:rPr>
          <w:fldChar w:fldCharType="end"/>
        </w:r>
      </w:hyperlink>
    </w:p>
    <w:p w14:paraId="725CDD1C" w14:textId="4383B27D" w:rsidR="00D37F38" w:rsidRDefault="00000000">
      <w:pPr>
        <w:pStyle w:val="TOC1"/>
        <w:rPr>
          <w:rFonts w:asciiTheme="minorHAnsi" w:eastAsiaTheme="minorEastAsia" w:hAnsiTheme="minorHAnsi" w:cstheme="minorBidi"/>
          <w:sz w:val="22"/>
          <w:szCs w:val="22"/>
        </w:rPr>
      </w:pPr>
      <w:hyperlink w:anchor="_Toc140827682" w:history="1">
        <w:r w:rsidR="00D37F38" w:rsidRPr="00EB0B73">
          <w:rPr>
            <w:rStyle w:val="Hyperlink"/>
          </w:rPr>
          <w:t>Figure 12.4.1: Proportion of patients with non-metastatic breast cancer receiving radical radiotherapy as part of their primary treatment, by age, sex, Indigenous status, language spoken at home, remoteness area, SES and ICS, 2014, 2016 and 2020</w:t>
        </w:r>
        <w:r w:rsidR="00D37F38">
          <w:rPr>
            <w:webHidden/>
          </w:rPr>
          <w:tab/>
        </w:r>
        <w:r w:rsidR="00D37F38">
          <w:rPr>
            <w:webHidden/>
          </w:rPr>
          <w:fldChar w:fldCharType="begin"/>
        </w:r>
        <w:r w:rsidR="00D37F38">
          <w:rPr>
            <w:webHidden/>
          </w:rPr>
          <w:instrText xml:space="preserve"> PAGEREF _Toc140827682 \h </w:instrText>
        </w:r>
        <w:r w:rsidR="00D37F38">
          <w:rPr>
            <w:webHidden/>
          </w:rPr>
        </w:r>
        <w:r w:rsidR="00D37F38">
          <w:rPr>
            <w:webHidden/>
          </w:rPr>
          <w:fldChar w:fldCharType="separate"/>
        </w:r>
        <w:r w:rsidR="00850AA4">
          <w:rPr>
            <w:webHidden/>
          </w:rPr>
          <w:t>152</w:t>
        </w:r>
        <w:r w:rsidR="00D37F38">
          <w:rPr>
            <w:webHidden/>
          </w:rPr>
          <w:fldChar w:fldCharType="end"/>
        </w:r>
      </w:hyperlink>
    </w:p>
    <w:p w14:paraId="6F9B7920" w14:textId="316C3ACB" w:rsidR="00D37F38" w:rsidRDefault="00000000">
      <w:pPr>
        <w:pStyle w:val="TOC1"/>
        <w:rPr>
          <w:rFonts w:asciiTheme="minorHAnsi" w:eastAsiaTheme="minorEastAsia" w:hAnsiTheme="minorHAnsi" w:cstheme="minorBidi"/>
          <w:sz w:val="22"/>
          <w:szCs w:val="22"/>
        </w:rPr>
      </w:pPr>
      <w:hyperlink w:anchor="_Toc140827683" w:history="1">
        <w:r w:rsidR="00D37F38" w:rsidRPr="00EB0B73">
          <w:rPr>
            <w:rStyle w:val="Hyperlink"/>
          </w:rPr>
          <w:t>Figure 12.4.2: Proportion of patients with non-metastatic colorectal cancer receiving radical radiotherapy as part of their primary treatment, by age, sex, Indigenous status, language spoken at home, remoteness area, SES and ICS, 2014, 2016 and 2020</w:t>
        </w:r>
        <w:r w:rsidR="00D37F38">
          <w:rPr>
            <w:webHidden/>
          </w:rPr>
          <w:tab/>
        </w:r>
        <w:r w:rsidR="00D37F38">
          <w:rPr>
            <w:webHidden/>
          </w:rPr>
          <w:fldChar w:fldCharType="begin"/>
        </w:r>
        <w:r w:rsidR="00D37F38">
          <w:rPr>
            <w:webHidden/>
          </w:rPr>
          <w:instrText xml:space="preserve"> PAGEREF _Toc140827683 \h </w:instrText>
        </w:r>
        <w:r w:rsidR="00D37F38">
          <w:rPr>
            <w:webHidden/>
          </w:rPr>
        </w:r>
        <w:r w:rsidR="00D37F38">
          <w:rPr>
            <w:webHidden/>
          </w:rPr>
          <w:fldChar w:fldCharType="separate"/>
        </w:r>
        <w:r w:rsidR="00850AA4">
          <w:rPr>
            <w:webHidden/>
          </w:rPr>
          <w:t>153</w:t>
        </w:r>
        <w:r w:rsidR="00D37F38">
          <w:rPr>
            <w:webHidden/>
          </w:rPr>
          <w:fldChar w:fldCharType="end"/>
        </w:r>
      </w:hyperlink>
    </w:p>
    <w:p w14:paraId="3A82A781" w14:textId="2ED291F7" w:rsidR="00D37F38" w:rsidRDefault="00000000">
      <w:pPr>
        <w:pStyle w:val="TOC1"/>
        <w:rPr>
          <w:rFonts w:asciiTheme="minorHAnsi" w:eastAsiaTheme="minorEastAsia" w:hAnsiTheme="minorHAnsi" w:cstheme="minorBidi"/>
          <w:sz w:val="22"/>
          <w:szCs w:val="22"/>
        </w:rPr>
      </w:pPr>
      <w:hyperlink w:anchor="_Toc140827684" w:history="1">
        <w:r w:rsidR="00D37F38" w:rsidRPr="00EB0B73">
          <w:rPr>
            <w:rStyle w:val="Hyperlink"/>
          </w:rPr>
          <w:t>Figure 12.4.3: Proportion of patients with non-metastatic oesophageal cancer receiving radical radiotherapy as part of their primary treatment, by age, sex, Indigenous status, language spoken at home, remoteness area, SES and ICS, 2014, 2016 and 2020</w:t>
        </w:r>
        <w:r w:rsidR="00D37F38">
          <w:rPr>
            <w:webHidden/>
          </w:rPr>
          <w:tab/>
        </w:r>
        <w:r w:rsidR="00D37F38">
          <w:rPr>
            <w:webHidden/>
          </w:rPr>
          <w:fldChar w:fldCharType="begin"/>
        </w:r>
        <w:r w:rsidR="00D37F38">
          <w:rPr>
            <w:webHidden/>
          </w:rPr>
          <w:instrText xml:space="preserve"> PAGEREF _Toc140827684 \h </w:instrText>
        </w:r>
        <w:r w:rsidR="00D37F38">
          <w:rPr>
            <w:webHidden/>
          </w:rPr>
        </w:r>
        <w:r w:rsidR="00D37F38">
          <w:rPr>
            <w:webHidden/>
          </w:rPr>
          <w:fldChar w:fldCharType="separate"/>
        </w:r>
        <w:r w:rsidR="00850AA4">
          <w:rPr>
            <w:webHidden/>
          </w:rPr>
          <w:t>154</w:t>
        </w:r>
        <w:r w:rsidR="00D37F38">
          <w:rPr>
            <w:webHidden/>
          </w:rPr>
          <w:fldChar w:fldCharType="end"/>
        </w:r>
      </w:hyperlink>
    </w:p>
    <w:p w14:paraId="4160C27A" w14:textId="46F0CA02" w:rsidR="00D37F38" w:rsidRDefault="00000000">
      <w:pPr>
        <w:pStyle w:val="TOC1"/>
        <w:rPr>
          <w:rFonts w:asciiTheme="minorHAnsi" w:eastAsiaTheme="minorEastAsia" w:hAnsiTheme="minorHAnsi" w:cstheme="minorBidi"/>
          <w:sz w:val="22"/>
          <w:szCs w:val="22"/>
        </w:rPr>
      </w:pPr>
      <w:hyperlink w:anchor="_Toc140827685" w:history="1">
        <w:r w:rsidR="00D37F38" w:rsidRPr="00EB0B73">
          <w:rPr>
            <w:rStyle w:val="Hyperlink"/>
          </w:rPr>
          <w:t>Figure 12.5: Proportion of patients (overall) receiving systemic anti-cancer therapy within recommended timelines, by age (A), sex (B), Indigenous status (C), language spoken at home (D), remoteness area (E), SES (F) and ICS (G), Victoria, 2014–2021</w:t>
        </w:r>
        <w:r w:rsidR="00D37F38">
          <w:rPr>
            <w:webHidden/>
          </w:rPr>
          <w:tab/>
        </w:r>
        <w:r w:rsidR="00D37F38">
          <w:rPr>
            <w:webHidden/>
          </w:rPr>
          <w:fldChar w:fldCharType="begin"/>
        </w:r>
        <w:r w:rsidR="00D37F38">
          <w:rPr>
            <w:webHidden/>
          </w:rPr>
          <w:instrText xml:space="preserve"> PAGEREF _Toc140827685 \h </w:instrText>
        </w:r>
        <w:r w:rsidR="00D37F38">
          <w:rPr>
            <w:webHidden/>
          </w:rPr>
        </w:r>
        <w:r w:rsidR="00D37F38">
          <w:rPr>
            <w:webHidden/>
          </w:rPr>
          <w:fldChar w:fldCharType="separate"/>
        </w:r>
        <w:r w:rsidR="00850AA4">
          <w:rPr>
            <w:webHidden/>
          </w:rPr>
          <w:t>156</w:t>
        </w:r>
        <w:r w:rsidR="00D37F38">
          <w:rPr>
            <w:webHidden/>
          </w:rPr>
          <w:fldChar w:fldCharType="end"/>
        </w:r>
      </w:hyperlink>
    </w:p>
    <w:p w14:paraId="38118827" w14:textId="37451740" w:rsidR="00D37F38" w:rsidRDefault="00000000">
      <w:pPr>
        <w:pStyle w:val="TOC1"/>
        <w:rPr>
          <w:rFonts w:asciiTheme="minorHAnsi" w:eastAsiaTheme="minorEastAsia" w:hAnsiTheme="minorHAnsi" w:cstheme="minorBidi"/>
          <w:sz w:val="22"/>
          <w:szCs w:val="22"/>
        </w:rPr>
      </w:pPr>
      <w:hyperlink w:anchor="_Toc140827686" w:history="1">
        <w:r w:rsidR="00D37F38" w:rsidRPr="00EB0B73">
          <w:rPr>
            <w:rStyle w:val="Hyperlink"/>
          </w:rPr>
          <w:t>Figure 12.5.1: Proportion of lung cancer patients receiving systemic anti-cancer therapy within recommended timelines, by age (A), sex (B), Indigenous status (C), language spoken at home (D), remoteness area (E), SES (F) and ICS (G), Victoria, 2014–2021</w:t>
        </w:r>
        <w:r w:rsidR="00D37F38">
          <w:rPr>
            <w:webHidden/>
          </w:rPr>
          <w:tab/>
        </w:r>
        <w:r w:rsidR="00D37F38">
          <w:rPr>
            <w:webHidden/>
          </w:rPr>
          <w:fldChar w:fldCharType="begin"/>
        </w:r>
        <w:r w:rsidR="00D37F38">
          <w:rPr>
            <w:webHidden/>
          </w:rPr>
          <w:instrText xml:space="preserve"> PAGEREF _Toc140827686 \h </w:instrText>
        </w:r>
        <w:r w:rsidR="00D37F38">
          <w:rPr>
            <w:webHidden/>
          </w:rPr>
        </w:r>
        <w:r w:rsidR="00D37F38">
          <w:rPr>
            <w:webHidden/>
          </w:rPr>
          <w:fldChar w:fldCharType="separate"/>
        </w:r>
        <w:r w:rsidR="00850AA4">
          <w:rPr>
            <w:webHidden/>
          </w:rPr>
          <w:t>158</w:t>
        </w:r>
        <w:r w:rsidR="00D37F38">
          <w:rPr>
            <w:webHidden/>
          </w:rPr>
          <w:fldChar w:fldCharType="end"/>
        </w:r>
      </w:hyperlink>
    </w:p>
    <w:p w14:paraId="13A12519" w14:textId="7353C29A" w:rsidR="00D37F38" w:rsidRDefault="00000000">
      <w:pPr>
        <w:pStyle w:val="TOC1"/>
        <w:rPr>
          <w:rFonts w:asciiTheme="minorHAnsi" w:eastAsiaTheme="minorEastAsia" w:hAnsiTheme="minorHAnsi" w:cstheme="minorBidi"/>
          <w:sz w:val="22"/>
          <w:szCs w:val="22"/>
        </w:rPr>
      </w:pPr>
      <w:hyperlink w:anchor="_Toc140827687" w:history="1">
        <w:r w:rsidR="00D37F38" w:rsidRPr="00EB0B73">
          <w:rPr>
            <w:rStyle w:val="Hyperlink"/>
          </w:rPr>
          <w:t>Figure 12.5.2: Proportion of breast cancer patients receiving systemic anti-cancer therapy within recommended timelines, by age (A), sex (B), Indigenous status (C), language spoken at home (D), remoteness area (E), SES (F) and ICS (G), Victoria, 2014–2021</w:t>
        </w:r>
        <w:r w:rsidR="00D37F38">
          <w:rPr>
            <w:webHidden/>
          </w:rPr>
          <w:tab/>
        </w:r>
        <w:r w:rsidR="00D37F38">
          <w:rPr>
            <w:webHidden/>
          </w:rPr>
          <w:fldChar w:fldCharType="begin"/>
        </w:r>
        <w:r w:rsidR="00D37F38">
          <w:rPr>
            <w:webHidden/>
          </w:rPr>
          <w:instrText xml:space="preserve"> PAGEREF _Toc140827687 \h </w:instrText>
        </w:r>
        <w:r w:rsidR="00D37F38">
          <w:rPr>
            <w:webHidden/>
          </w:rPr>
        </w:r>
        <w:r w:rsidR="00D37F38">
          <w:rPr>
            <w:webHidden/>
          </w:rPr>
          <w:fldChar w:fldCharType="separate"/>
        </w:r>
        <w:r w:rsidR="00850AA4">
          <w:rPr>
            <w:webHidden/>
          </w:rPr>
          <w:t>159</w:t>
        </w:r>
        <w:r w:rsidR="00D37F38">
          <w:rPr>
            <w:webHidden/>
          </w:rPr>
          <w:fldChar w:fldCharType="end"/>
        </w:r>
      </w:hyperlink>
    </w:p>
    <w:p w14:paraId="2818FD43" w14:textId="4A8AD89A" w:rsidR="00D37F38" w:rsidRDefault="00000000">
      <w:pPr>
        <w:pStyle w:val="TOC1"/>
        <w:rPr>
          <w:rFonts w:asciiTheme="minorHAnsi" w:eastAsiaTheme="minorEastAsia" w:hAnsiTheme="minorHAnsi" w:cstheme="minorBidi"/>
          <w:sz w:val="22"/>
          <w:szCs w:val="22"/>
        </w:rPr>
      </w:pPr>
      <w:hyperlink w:anchor="_Toc140827688" w:history="1">
        <w:r w:rsidR="00D37F38" w:rsidRPr="00EB0B73">
          <w:rPr>
            <w:rStyle w:val="Hyperlink"/>
          </w:rPr>
          <w:t>Figure 12.5.3: Proportion of colorectal cancer patients receiving systemic anti-cancer therapy within recommended timelines, by age (A), sex (B), Indigenous status (C), language spoken at home (D), remoteness area (E), SES (F) and ICS (G), Victoria, 2014–2021</w:t>
        </w:r>
        <w:r w:rsidR="00D37F38">
          <w:rPr>
            <w:webHidden/>
          </w:rPr>
          <w:tab/>
        </w:r>
        <w:r w:rsidR="00D37F38">
          <w:rPr>
            <w:webHidden/>
          </w:rPr>
          <w:fldChar w:fldCharType="begin"/>
        </w:r>
        <w:r w:rsidR="00D37F38">
          <w:rPr>
            <w:webHidden/>
          </w:rPr>
          <w:instrText xml:space="preserve"> PAGEREF _Toc140827688 \h </w:instrText>
        </w:r>
        <w:r w:rsidR="00D37F38">
          <w:rPr>
            <w:webHidden/>
          </w:rPr>
        </w:r>
        <w:r w:rsidR="00D37F38">
          <w:rPr>
            <w:webHidden/>
          </w:rPr>
          <w:fldChar w:fldCharType="separate"/>
        </w:r>
        <w:r w:rsidR="00850AA4">
          <w:rPr>
            <w:webHidden/>
          </w:rPr>
          <w:t>161</w:t>
        </w:r>
        <w:r w:rsidR="00D37F38">
          <w:rPr>
            <w:webHidden/>
          </w:rPr>
          <w:fldChar w:fldCharType="end"/>
        </w:r>
      </w:hyperlink>
    </w:p>
    <w:p w14:paraId="61B8AA43" w14:textId="14852282" w:rsidR="00D37F38" w:rsidRDefault="00000000">
      <w:pPr>
        <w:pStyle w:val="TOC1"/>
        <w:rPr>
          <w:rFonts w:asciiTheme="minorHAnsi" w:eastAsiaTheme="minorEastAsia" w:hAnsiTheme="minorHAnsi" w:cstheme="minorBidi"/>
          <w:sz w:val="22"/>
          <w:szCs w:val="22"/>
        </w:rPr>
      </w:pPr>
      <w:hyperlink w:anchor="_Toc140827689" w:history="1">
        <w:r w:rsidR="00D37F38" w:rsidRPr="00EB0B73">
          <w:rPr>
            <w:rStyle w:val="Hyperlink"/>
          </w:rPr>
          <w:t>Figure 12.5.4: Proportion of ovarian cancer patients receiving systemic anti-cancer therapy within recommended timelines, by age (A), sex (B), Indigenous status (C), language spoken at home (D), remoteness area (E), SES (F) and ICS (G), Victoria, 2014–2021</w:t>
        </w:r>
        <w:r w:rsidR="00D37F38">
          <w:rPr>
            <w:webHidden/>
          </w:rPr>
          <w:tab/>
        </w:r>
        <w:r w:rsidR="00D37F38">
          <w:rPr>
            <w:webHidden/>
          </w:rPr>
          <w:fldChar w:fldCharType="begin"/>
        </w:r>
        <w:r w:rsidR="00D37F38">
          <w:rPr>
            <w:webHidden/>
          </w:rPr>
          <w:instrText xml:space="preserve"> PAGEREF _Toc140827689 \h </w:instrText>
        </w:r>
        <w:r w:rsidR="00D37F38">
          <w:rPr>
            <w:webHidden/>
          </w:rPr>
        </w:r>
        <w:r w:rsidR="00D37F38">
          <w:rPr>
            <w:webHidden/>
          </w:rPr>
          <w:fldChar w:fldCharType="separate"/>
        </w:r>
        <w:r w:rsidR="00850AA4">
          <w:rPr>
            <w:webHidden/>
          </w:rPr>
          <w:t>162</w:t>
        </w:r>
        <w:r w:rsidR="00D37F38">
          <w:rPr>
            <w:webHidden/>
          </w:rPr>
          <w:fldChar w:fldCharType="end"/>
        </w:r>
      </w:hyperlink>
    </w:p>
    <w:p w14:paraId="0468ABA7" w14:textId="6D2F701B" w:rsidR="00D37F38" w:rsidRDefault="00000000">
      <w:pPr>
        <w:pStyle w:val="TOC1"/>
        <w:rPr>
          <w:rFonts w:asciiTheme="minorHAnsi" w:eastAsiaTheme="minorEastAsia" w:hAnsiTheme="minorHAnsi" w:cstheme="minorBidi"/>
          <w:sz w:val="22"/>
          <w:szCs w:val="22"/>
        </w:rPr>
      </w:pPr>
      <w:hyperlink w:anchor="_Toc140827690" w:history="1">
        <w:r w:rsidR="00D37F38" w:rsidRPr="00EB0B73">
          <w:rPr>
            <w:rStyle w:val="Hyperlink"/>
          </w:rPr>
          <w:t>Figure 12.6: Proportion and number of cancer-related oesophagectomies and pancreatectomies taking place at appropriate volume (facilities), by year, 2013–14 to 2021–22</w:t>
        </w:r>
        <w:r w:rsidR="00D37F38">
          <w:rPr>
            <w:webHidden/>
          </w:rPr>
          <w:tab/>
        </w:r>
        <w:r w:rsidR="00D37F38">
          <w:rPr>
            <w:webHidden/>
          </w:rPr>
          <w:fldChar w:fldCharType="begin"/>
        </w:r>
        <w:r w:rsidR="00D37F38">
          <w:rPr>
            <w:webHidden/>
          </w:rPr>
          <w:instrText xml:space="preserve"> PAGEREF _Toc140827690 \h </w:instrText>
        </w:r>
        <w:r w:rsidR="00D37F38">
          <w:rPr>
            <w:webHidden/>
          </w:rPr>
        </w:r>
        <w:r w:rsidR="00D37F38">
          <w:rPr>
            <w:webHidden/>
          </w:rPr>
          <w:fldChar w:fldCharType="separate"/>
        </w:r>
        <w:r w:rsidR="00850AA4">
          <w:rPr>
            <w:webHidden/>
          </w:rPr>
          <w:t>165</w:t>
        </w:r>
        <w:r w:rsidR="00D37F38">
          <w:rPr>
            <w:webHidden/>
          </w:rPr>
          <w:fldChar w:fldCharType="end"/>
        </w:r>
      </w:hyperlink>
    </w:p>
    <w:p w14:paraId="3E8DDAF1" w14:textId="219442C9" w:rsidR="00D37F38" w:rsidRDefault="00000000">
      <w:pPr>
        <w:pStyle w:val="TOC1"/>
        <w:rPr>
          <w:rFonts w:asciiTheme="minorHAnsi" w:eastAsiaTheme="minorEastAsia" w:hAnsiTheme="minorHAnsi" w:cstheme="minorBidi"/>
          <w:sz w:val="22"/>
          <w:szCs w:val="22"/>
        </w:rPr>
      </w:pPr>
      <w:hyperlink w:anchor="_Toc140827691" w:history="1">
        <w:r w:rsidR="00D37F38" w:rsidRPr="00EB0B73">
          <w:rPr>
            <w:rStyle w:val="Hyperlink"/>
          </w:rPr>
          <w:t>Figure 12.8: Proportion of admitted cancer separations with a LOS &gt; 1 day who have been coded as having malnutrition, by year, 2012–2022</w:t>
        </w:r>
        <w:r w:rsidR="00D37F38">
          <w:rPr>
            <w:webHidden/>
          </w:rPr>
          <w:tab/>
        </w:r>
        <w:r w:rsidR="00D37F38">
          <w:rPr>
            <w:webHidden/>
          </w:rPr>
          <w:fldChar w:fldCharType="begin"/>
        </w:r>
        <w:r w:rsidR="00D37F38">
          <w:rPr>
            <w:webHidden/>
          </w:rPr>
          <w:instrText xml:space="preserve"> PAGEREF _Toc140827691 \h </w:instrText>
        </w:r>
        <w:r w:rsidR="00D37F38">
          <w:rPr>
            <w:webHidden/>
          </w:rPr>
        </w:r>
        <w:r w:rsidR="00D37F38">
          <w:rPr>
            <w:webHidden/>
          </w:rPr>
          <w:fldChar w:fldCharType="separate"/>
        </w:r>
        <w:r w:rsidR="00850AA4">
          <w:rPr>
            <w:webHidden/>
          </w:rPr>
          <w:t>169</w:t>
        </w:r>
        <w:r w:rsidR="00D37F38">
          <w:rPr>
            <w:webHidden/>
          </w:rPr>
          <w:fldChar w:fldCharType="end"/>
        </w:r>
      </w:hyperlink>
    </w:p>
    <w:p w14:paraId="63152F02" w14:textId="0D9EB360" w:rsidR="00D37F38" w:rsidRDefault="00000000">
      <w:pPr>
        <w:pStyle w:val="TOC1"/>
        <w:rPr>
          <w:rFonts w:asciiTheme="minorHAnsi" w:eastAsiaTheme="minorEastAsia" w:hAnsiTheme="minorHAnsi" w:cstheme="minorBidi"/>
          <w:sz w:val="22"/>
          <w:szCs w:val="22"/>
        </w:rPr>
      </w:pPr>
      <w:hyperlink w:anchor="_Toc140827692" w:history="1">
        <w:r w:rsidR="00D37F38" w:rsidRPr="00EB0B73">
          <w:rPr>
            <w:rStyle w:val="Hyperlink"/>
          </w:rPr>
          <w:t>Figure 12.9: Proportion of cancer patients who reported being involved in decisions about their care and treatment as much as they wanted to, 2018 and 2022</w:t>
        </w:r>
        <w:r w:rsidR="00D37F38">
          <w:rPr>
            <w:webHidden/>
          </w:rPr>
          <w:tab/>
        </w:r>
        <w:r w:rsidR="00D37F38">
          <w:rPr>
            <w:webHidden/>
          </w:rPr>
          <w:fldChar w:fldCharType="begin"/>
        </w:r>
        <w:r w:rsidR="00D37F38">
          <w:rPr>
            <w:webHidden/>
          </w:rPr>
          <w:instrText xml:space="preserve"> PAGEREF _Toc140827692 \h </w:instrText>
        </w:r>
        <w:r w:rsidR="00D37F38">
          <w:rPr>
            <w:webHidden/>
          </w:rPr>
        </w:r>
        <w:r w:rsidR="00D37F38">
          <w:rPr>
            <w:webHidden/>
          </w:rPr>
          <w:fldChar w:fldCharType="separate"/>
        </w:r>
        <w:r w:rsidR="00850AA4">
          <w:rPr>
            <w:webHidden/>
          </w:rPr>
          <w:t>171</w:t>
        </w:r>
        <w:r w:rsidR="00D37F38">
          <w:rPr>
            <w:webHidden/>
          </w:rPr>
          <w:fldChar w:fldCharType="end"/>
        </w:r>
      </w:hyperlink>
    </w:p>
    <w:p w14:paraId="3EB9494D" w14:textId="5FCF1064" w:rsidR="00D37F38" w:rsidRDefault="00000000">
      <w:pPr>
        <w:pStyle w:val="TOC1"/>
        <w:rPr>
          <w:rFonts w:asciiTheme="minorHAnsi" w:eastAsiaTheme="minorEastAsia" w:hAnsiTheme="minorHAnsi" w:cstheme="minorBidi"/>
          <w:sz w:val="22"/>
          <w:szCs w:val="22"/>
        </w:rPr>
      </w:pPr>
      <w:hyperlink w:anchor="_Toc140827693" w:history="1">
        <w:r w:rsidR="00D37F38" w:rsidRPr="00EB0B73">
          <w:rPr>
            <w:rStyle w:val="Hyperlink"/>
          </w:rPr>
          <w:t>Figure 12.10: Proportion of documented evidence of multidisciplinary team recommendations, 2014 to 2021</w:t>
        </w:r>
        <w:r w:rsidR="00D37F38">
          <w:rPr>
            <w:webHidden/>
          </w:rPr>
          <w:tab/>
        </w:r>
        <w:r w:rsidR="00D37F38">
          <w:rPr>
            <w:webHidden/>
          </w:rPr>
          <w:fldChar w:fldCharType="begin"/>
        </w:r>
        <w:r w:rsidR="00D37F38">
          <w:rPr>
            <w:webHidden/>
          </w:rPr>
          <w:instrText xml:space="preserve"> PAGEREF _Toc140827693 \h </w:instrText>
        </w:r>
        <w:r w:rsidR="00D37F38">
          <w:rPr>
            <w:webHidden/>
          </w:rPr>
        </w:r>
        <w:r w:rsidR="00D37F38">
          <w:rPr>
            <w:webHidden/>
          </w:rPr>
          <w:fldChar w:fldCharType="separate"/>
        </w:r>
        <w:r w:rsidR="00850AA4">
          <w:rPr>
            <w:webHidden/>
          </w:rPr>
          <w:t>173</w:t>
        </w:r>
        <w:r w:rsidR="00D37F38">
          <w:rPr>
            <w:webHidden/>
          </w:rPr>
          <w:fldChar w:fldCharType="end"/>
        </w:r>
      </w:hyperlink>
    </w:p>
    <w:p w14:paraId="653DE630" w14:textId="280953E5" w:rsidR="00D37F38" w:rsidRDefault="00000000">
      <w:pPr>
        <w:pStyle w:val="TOC1"/>
        <w:rPr>
          <w:rFonts w:asciiTheme="minorHAnsi" w:eastAsiaTheme="minorEastAsia" w:hAnsiTheme="minorHAnsi" w:cstheme="minorBidi"/>
          <w:sz w:val="22"/>
          <w:szCs w:val="22"/>
        </w:rPr>
      </w:pPr>
      <w:hyperlink w:anchor="_Toc140827694" w:history="1">
        <w:r w:rsidR="00D37F38" w:rsidRPr="00EB0B73">
          <w:rPr>
            <w:rStyle w:val="Hyperlink"/>
          </w:rPr>
          <w:t>Figure 12.10.1: Percentage of patients audited in 2014, 2017 and 2021 with documented evidence of multidisciplinary team recommendations presented by ICS (all tumours streams combined)</w:t>
        </w:r>
        <w:r w:rsidR="00D37F38">
          <w:rPr>
            <w:webHidden/>
          </w:rPr>
          <w:tab/>
        </w:r>
        <w:r w:rsidR="00D37F38">
          <w:rPr>
            <w:webHidden/>
          </w:rPr>
          <w:fldChar w:fldCharType="begin"/>
        </w:r>
        <w:r w:rsidR="00D37F38">
          <w:rPr>
            <w:webHidden/>
          </w:rPr>
          <w:instrText xml:space="preserve"> PAGEREF _Toc140827694 \h </w:instrText>
        </w:r>
        <w:r w:rsidR="00D37F38">
          <w:rPr>
            <w:webHidden/>
          </w:rPr>
        </w:r>
        <w:r w:rsidR="00D37F38">
          <w:rPr>
            <w:webHidden/>
          </w:rPr>
          <w:fldChar w:fldCharType="separate"/>
        </w:r>
        <w:r w:rsidR="00850AA4">
          <w:rPr>
            <w:webHidden/>
          </w:rPr>
          <w:t>173</w:t>
        </w:r>
        <w:r w:rsidR="00D37F38">
          <w:rPr>
            <w:webHidden/>
          </w:rPr>
          <w:fldChar w:fldCharType="end"/>
        </w:r>
      </w:hyperlink>
    </w:p>
    <w:p w14:paraId="12B4A9C4" w14:textId="05610158" w:rsidR="00D37F38" w:rsidRDefault="00000000">
      <w:pPr>
        <w:pStyle w:val="TOC1"/>
        <w:rPr>
          <w:rFonts w:asciiTheme="minorHAnsi" w:eastAsiaTheme="minorEastAsia" w:hAnsiTheme="minorHAnsi" w:cstheme="minorBidi"/>
          <w:sz w:val="22"/>
          <w:szCs w:val="22"/>
        </w:rPr>
      </w:pPr>
      <w:hyperlink w:anchor="_Toc140827695" w:history="1">
        <w:r w:rsidR="00D37F38" w:rsidRPr="00EB0B73">
          <w:rPr>
            <w:rStyle w:val="Hyperlink"/>
          </w:rPr>
          <w:t>Figure 12.10.2: Number (and percentage) of audited patients who had documented evidence of multidisciplinary team recommendations presented by tumour stream (all ICSs combined) of Victorians diagnosed in 2014, 2017 and 2021</w:t>
        </w:r>
        <w:r w:rsidR="00D37F38">
          <w:rPr>
            <w:webHidden/>
          </w:rPr>
          <w:tab/>
        </w:r>
        <w:r w:rsidR="00D37F38">
          <w:rPr>
            <w:webHidden/>
          </w:rPr>
          <w:fldChar w:fldCharType="begin"/>
        </w:r>
        <w:r w:rsidR="00D37F38">
          <w:rPr>
            <w:webHidden/>
          </w:rPr>
          <w:instrText xml:space="preserve"> PAGEREF _Toc140827695 \h </w:instrText>
        </w:r>
        <w:r w:rsidR="00D37F38">
          <w:rPr>
            <w:webHidden/>
          </w:rPr>
        </w:r>
        <w:r w:rsidR="00D37F38">
          <w:rPr>
            <w:webHidden/>
          </w:rPr>
          <w:fldChar w:fldCharType="separate"/>
        </w:r>
        <w:r w:rsidR="00850AA4">
          <w:rPr>
            <w:webHidden/>
          </w:rPr>
          <w:t>174</w:t>
        </w:r>
        <w:r w:rsidR="00D37F38">
          <w:rPr>
            <w:webHidden/>
          </w:rPr>
          <w:fldChar w:fldCharType="end"/>
        </w:r>
      </w:hyperlink>
    </w:p>
    <w:p w14:paraId="37E16E04" w14:textId="3F0FD05B" w:rsidR="00D37F38" w:rsidRDefault="00000000">
      <w:pPr>
        <w:pStyle w:val="TOC1"/>
        <w:rPr>
          <w:rFonts w:asciiTheme="minorHAnsi" w:eastAsiaTheme="minorEastAsia" w:hAnsiTheme="minorHAnsi" w:cstheme="minorBidi"/>
          <w:sz w:val="22"/>
          <w:szCs w:val="22"/>
        </w:rPr>
      </w:pPr>
      <w:hyperlink w:anchor="_Toc140827696" w:history="1">
        <w:r w:rsidR="00D37F38" w:rsidRPr="00EB0B73">
          <w:rPr>
            <w:rStyle w:val="Hyperlink"/>
          </w:rPr>
          <w:t>Figure 12.12: Proportion of patients receiving specialist palliative care within 12 months prior to death, by ICS, 2014–2021</w:t>
        </w:r>
        <w:r w:rsidR="00D37F38">
          <w:rPr>
            <w:webHidden/>
          </w:rPr>
          <w:tab/>
        </w:r>
        <w:r w:rsidR="00D37F38">
          <w:rPr>
            <w:webHidden/>
          </w:rPr>
          <w:fldChar w:fldCharType="begin"/>
        </w:r>
        <w:r w:rsidR="00D37F38">
          <w:rPr>
            <w:webHidden/>
          </w:rPr>
          <w:instrText xml:space="preserve"> PAGEREF _Toc140827696 \h </w:instrText>
        </w:r>
        <w:r w:rsidR="00D37F38">
          <w:rPr>
            <w:webHidden/>
          </w:rPr>
        </w:r>
        <w:r w:rsidR="00D37F38">
          <w:rPr>
            <w:webHidden/>
          </w:rPr>
          <w:fldChar w:fldCharType="separate"/>
        </w:r>
        <w:r w:rsidR="00850AA4">
          <w:rPr>
            <w:webHidden/>
          </w:rPr>
          <w:t>177</w:t>
        </w:r>
        <w:r w:rsidR="00D37F38">
          <w:rPr>
            <w:webHidden/>
          </w:rPr>
          <w:fldChar w:fldCharType="end"/>
        </w:r>
      </w:hyperlink>
    </w:p>
    <w:p w14:paraId="5E465090" w14:textId="79111640" w:rsidR="00D37F38" w:rsidRDefault="00000000">
      <w:pPr>
        <w:pStyle w:val="TOC1"/>
        <w:rPr>
          <w:rFonts w:asciiTheme="minorHAnsi" w:eastAsiaTheme="minorEastAsia" w:hAnsiTheme="minorHAnsi" w:cstheme="minorBidi"/>
          <w:sz w:val="22"/>
          <w:szCs w:val="22"/>
        </w:rPr>
      </w:pPr>
      <w:hyperlink w:anchor="_Toc140827697" w:history="1">
        <w:r w:rsidR="00D37F38" w:rsidRPr="00EB0B73">
          <w:rPr>
            <w:rStyle w:val="Hyperlink"/>
          </w:rPr>
          <w:t>Figure 12.13: Proportion of patients receiving aggressive interventions (SACT, radical radiation, ICU) within 30 days prior to death, by year, 2014–2021</w:t>
        </w:r>
        <w:r w:rsidR="00D37F38">
          <w:rPr>
            <w:webHidden/>
          </w:rPr>
          <w:tab/>
        </w:r>
        <w:r w:rsidR="00D37F38">
          <w:rPr>
            <w:webHidden/>
          </w:rPr>
          <w:fldChar w:fldCharType="begin"/>
        </w:r>
        <w:r w:rsidR="00D37F38">
          <w:rPr>
            <w:webHidden/>
          </w:rPr>
          <w:instrText xml:space="preserve"> PAGEREF _Toc140827697 \h </w:instrText>
        </w:r>
        <w:r w:rsidR="00D37F38">
          <w:rPr>
            <w:webHidden/>
          </w:rPr>
        </w:r>
        <w:r w:rsidR="00D37F38">
          <w:rPr>
            <w:webHidden/>
          </w:rPr>
          <w:fldChar w:fldCharType="separate"/>
        </w:r>
        <w:r w:rsidR="00850AA4">
          <w:rPr>
            <w:webHidden/>
          </w:rPr>
          <w:t>179</w:t>
        </w:r>
        <w:r w:rsidR="00D37F38">
          <w:rPr>
            <w:webHidden/>
          </w:rPr>
          <w:fldChar w:fldCharType="end"/>
        </w:r>
      </w:hyperlink>
    </w:p>
    <w:p w14:paraId="4A8D9E98" w14:textId="2DC019C1" w:rsidR="00D37F38" w:rsidRDefault="00000000">
      <w:pPr>
        <w:pStyle w:val="TOC1"/>
        <w:rPr>
          <w:rFonts w:asciiTheme="minorHAnsi" w:eastAsiaTheme="minorEastAsia" w:hAnsiTheme="minorHAnsi" w:cstheme="minorBidi"/>
          <w:sz w:val="22"/>
          <w:szCs w:val="22"/>
        </w:rPr>
      </w:pPr>
      <w:hyperlink w:anchor="_Toc140827698" w:history="1">
        <w:r w:rsidR="00D37F38" w:rsidRPr="00EB0B73">
          <w:rPr>
            <w:rStyle w:val="Hyperlink"/>
          </w:rPr>
          <w:t>Figure 12.14: Proportion of deaths due to cancer that occur in hospitals, by ICS and state, 2014–2021</w:t>
        </w:r>
        <w:r w:rsidR="00D37F38">
          <w:rPr>
            <w:webHidden/>
          </w:rPr>
          <w:tab/>
        </w:r>
        <w:r w:rsidR="00D37F38">
          <w:rPr>
            <w:webHidden/>
          </w:rPr>
          <w:fldChar w:fldCharType="begin"/>
        </w:r>
        <w:r w:rsidR="00D37F38">
          <w:rPr>
            <w:webHidden/>
          </w:rPr>
          <w:instrText xml:space="preserve"> PAGEREF _Toc140827698 \h </w:instrText>
        </w:r>
        <w:r w:rsidR="00D37F38">
          <w:rPr>
            <w:webHidden/>
          </w:rPr>
        </w:r>
        <w:r w:rsidR="00D37F38">
          <w:rPr>
            <w:webHidden/>
          </w:rPr>
          <w:fldChar w:fldCharType="separate"/>
        </w:r>
        <w:r w:rsidR="00850AA4">
          <w:rPr>
            <w:webHidden/>
          </w:rPr>
          <w:t>181</w:t>
        </w:r>
        <w:r w:rsidR="00D37F38">
          <w:rPr>
            <w:webHidden/>
          </w:rPr>
          <w:fldChar w:fldCharType="end"/>
        </w:r>
      </w:hyperlink>
    </w:p>
    <w:p w14:paraId="360A17D8" w14:textId="1B6FC219" w:rsidR="00D37F38" w:rsidRDefault="00000000">
      <w:pPr>
        <w:pStyle w:val="TOC1"/>
        <w:rPr>
          <w:rFonts w:asciiTheme="minorHAnsi" w:eastAsiaTheme="minorEastAsia" w:hAnsiTheme="minorHAnsi" w:cstheme="minorBidi"/>
          <w:sz w:val="22"/>
          <w:szCs w:val="22"/>
        </w:rPr>
      </w:pPr>
      <w:hyperlink w:anchor="_Toc140827699" w:history="1">
        <w:r w:rsidR="00D37F38" w:rsidRPr="00EB0B73">
          <w:rPr>
            <w:rStyle w:val="Hyperlink"/>
          </w:rPr>
          <w:t>Figure 13.1: Trends in one-year relative survival from all cancers (combined) overall (A) and by sex (B), age (C), remoteness (D) and ICS (E), Victoria, by year, 2010–2021</w:t>
        </w:r>
        <w:r w:rsidR="00D37F38">
          <w:rPr>
            <w:webHidden/>
          </w:rPr>
          <w:tab/>
        </w:r>
        <w:r w:rsidR="00D37F38">
          <w:rPr>
            <w:webHidden/>
          </w:rPr>
          <w:fldChar w:fldCharType="begin"/>
        </w:r>
        <w:r w:rsidR="00D37F38">
          <w:rPr>
            <w:webHidden/>
          </w:rPr>
          <w:instrText xml:space="preserve"> PAGEREF _Toc140827699 \h </w:instrText>
        </w:r>
        <w:r w:rsidR="00D37F38">
          <w:rPr>
            <w:webHidden/>
          </w:rPr>
        </w:r>
        <w:r w:rsidR="00D37F38">
          <w:rPr>
            <w:webHidden/>
          </w:rPr>
          <w:fldChar w:fldCharType="separate"/>
        </w:r>
        <w:r w:rsidR="00850AA4">
          <w:rPr>
            <w:webHidden/>
          </w:rPr>
          <w:t>184</w:t>
        </w:r>
        <w:r w:rsidR="00D37F38">
          <w:rPr>
            <w:webHidden/>
          </w:rPr>
          <w:fldChar w:fldCharType="end"/>
        </w:r>
      </w:hyperlink>
    </w:p>
    <w:p w14:paraId="3C417F27" w14:textId="0718A566" w:rsidR="00D37F38" w:rsidRDefault="00000000">
      <w:pPr>
        <w:pStyle w:val="TOC1"/>
        <w:rPr>
          <w:rFonts w:asciiTheme="minorHAnsi" w:eastAsiaTheme="minorEastAsia" w:hAnsiTheme="minorHAnsi" w:cstheme="minorBidi"/>
          <w:sz w:val="22"/>
          <w:szCs w:val="22"/>
        </w:rPr>
      </w:pPr>
      <w:hyperlink w:anchor="_Toc140827700" w:history="1">
        <w:r w:rsidR="00D37F38" w:rsidRPr="00EB0B73">
          <w:rPr>
            <w:rStyle w:val="Hyperlink"/>
          </w:rPr>
          <w:t>Figure 13.2: Trends in one-year relative survival from lung cancer overall (A) and by sex (B), age (C), remoteness (D) and ICS (E), Victoria, by year, 2010–2021</w:t>
        </w:r>
        <w:r w:rsidR="00D37F38">
          <w:rPr>
            <w:webHidden/>
          </w:rPr>
          <w:tab/>
        </w:r>
        <w:r w:rsidR="00D37F38">
          <w:rPr>
            <w:webHidden/>
          </w:rPr>
          <w:fldChar w:fldCharType="begin"/>
        </w:r>
        <w:r w:rsidR="00D37F38">
          <w:rPr>
            <w:webHidden/>
          </w:rPr>
          <w:instrText xml:space="preserve"> PAGEREF _Toc140827700 \h </w:instrText>
        </w:r>
        <w:r w:rsidR="00D37F38">
          <w:rPr>
            <w:webHidden/>
          </w:rPr>
        </w:r>
        <w:r w:rsidR="00D37F38">
          <w:rPr>
            <w:webHidden/>
          </w:rPr>
          <w:fldChar w:fldCharType="separate"/>
        </w:r>
        <w:r w:rsidR="00850AA4">
          <w:rPr>
            <w:webHidden/>
          </w:rPr>
          <w:t>186</w:t>
        </w:r>
        <w:r w:rsidR="00D37F38">
          <w:rPr>
            <w:webHidden/>
          </w:rPr>
          <w:fldChar w:fldCharType="end"/>
        </w:r>
      </w:hyperlink>
    </w:p>
    <w:p w14:paraId="37B7D229" w14:textId="5281B5C9" w:rsidR="00D37F38" w:rsidRDefault="00000000">
      <w:pPr>
        <w:pStyle w:val="TOC1"/>
        <w:rPr>
          <w:rFonts w:asciiTheme="minorHAnsi" w:eastAsiaTheme="minorEastAsia" w:hAnsiTheme="minorHAnsi" w:cstheme="minorBidi"/>
          <w:sz w:val="22"/>
          <w:szCs w:val="22"/>
        </w:rPr>
      </w:pPr>
      <w:hyperlink w:anchor="_Toc140827701" w:history="1">
        <w:r w:rsidR="00D37F38" w:rsidRPr="00EB0B73">
          <w:rPr>
            <w:rStyle w:val="Hyperlink"/>
          </w:rPr>
          <w:t>Figure 13.3: Trends in one-year relative survival from pancreatic cancer overall (A) and by sex (B), age (C), remoteness (D) and ICS (E), Victoria, by year, 2010–2021</w:t>
        </w:r>
        <w:r w:rsidR="00D37F38">
          <w:rPr>
            <w:webHidden/>
          </w:rPr>
          <w:tab/>
        </w:r>
        <w:r w:rsidR="00D37F38">
          <w:rPr>
            <w:webHidden/>
          </w:rPr>
          <w:fldChar w:fldCharType="begin"/>
        </w:r>
        <w:r w:rsidR="00D37F38">
          <w:rPr>
            <w:webHidden/>
          </w:rPr>
          <w:instrText xml:space="preserve"> PAGEREF _Toc140827701 \h </w:instrText>
        </w:r>
        <w:r w:rsidR="00D37F38">
          <w:rPr>
            <w:webHidden/>
          </w:rPr>
        </w:r>
        <w:r w:rsidR="00D37F38">
          <w:rPr>
            <w:webHidden/>
          </w:rPr>
          <w:fldChar w:fldCharType="separate"/>
        </w:r>
        <w:r w:rsidR="00850AA4">
          <w:rPr>
            <w:webHidden/>
          </w:rPr>
          <w:t>188</w:t>
        </w:r>
        <w:r w:rsidR="00D37F38">
          <w:rPr>
            <w:webHidden/>
          </w:rPr>
          <w:fldChar w:fldCharType="end"/>
        </w:r>
      </w:hyperlink>
    </w:p>
    <w:p w14:paraId="22064451" w14:textId="053AB115" w:rsidR="00D37F38" w:rsidRDefault="00000000">
      <w:pPr>
        <w:pStyle w:val="TOC1"/>
        <w:rPr>
          <w:rFonts w:asciiTheme="minorHAnsi" w:eastAsiaTheme="minorEastAsia" w:hAnsiTheme="minorHAnsi" w:cstheme="minorBidi"/>
          <w:sz w:val="22"/>
          <w:szCs w:val="22"/>
        </w:rPr>
      </w:pPr>
      <w:hyperlink w:anchor="_Toc140827702" w:history="1">
        <w:r w:rsidR="00D37F38" w:rsidRPr="00EB0B73">
          <w:rPr>
            <w:rStyle w:val="Hyperlink"/>
          </w:rPr>
          <w:t>Figure 13.4: Trends in one-year relative survival from ovarian cancer overall (A) and by age (B), remoteness (C) and ICS (D), Victoria, by year, 2010–2021</w:t>
        </w:r>
        <w:r w:rsidR="00D37F38">
          <w:rPr>
            <w:webHidden/>
          </w:rPr>
          <w:tab/>
        </w:r>
        <w:r w:rsidR="00D37F38">
          <w:rPr>
            <w:webHidden/>
          </w:rPr>
          <w:fldChar w:fldCharType="begin"/>
        </w:r>
        <w:r w:rsidR="00D37F38">
          <w:rPr>
            <w:webHidden/>
          </w:rPr>
          <w:instrText xml:space="preserve"> PAGEREF _Toc140827702 \h </w:instrText>
        </w:r>
        <w:r w:rsidR="00D37F38">
          <w:rPr>
            <w:webHidden/>
          </w:rPr>
        </w:r>
        <w:r w:rsidR="00D37F38">
          <w:rPr>
            <w:webHidden/>
          </w:rPr>
          <w:fldChar w:fldCharType="separate"/>
        </w:r>
        <w:r w:rsidR="00850AA4">
          <w:rPr>
            <w:webHidden/>
          </w:rPr>
          <w:t>190</w:t>
        </w:r>
        <w:r w:rsidR="00D37F38">
          <w:rPr>
            <w:webHidden/>
          </w:rPr>
          <w:fldChar w:fldCharType="end"/>
        </w:r>
      </w:hyperlink>
    </w:p>
    <w:p w14:paraId="65778D99" w14:textId="7306A841" w:rsidR="00D37F38" w:rsidRDefault="00000000">
      <w:pPr>
        <w:pStyle w:val="TOC1"/>
        <w:rPr>
          <w:rFonts w:asciiTheme="minorHAnsi" w:eastAsiaTheme="minorEastAsia" w:hAnsiTheme="minorHAnsi" w:cstheme="minorBidi"/>
          <w:sz w:val="22"/>
          <w:szCs w:val="22"/>
        </w:rPr>
      </w:pPr>
      <w:hyperlink w:anchor="_Toc140827703" w:history="1">
        <w:r w:rsidR="00D37F38" w:rsidRPr="00EB0B73">
          <w:rPr>
            <w:rStyle w:val="Hyperlink"/>
          </w:rPr>
          <w:t>Figure 13.5: Trends in one-year relative survival from colorectal cancer overall (A) and by sex (B), age (C), remoteness (D) and ICS (E), Victoria, by year, 2010–2021</w:t>
        </w:r>
        <w:r w:rsidR="00D37F38">
          <w:rPr>
            <w:webHidden/>
          </w:rPr>
          <w:tab/>
        </w:r>
        <w:r w:rsidR="00D37F38">
          <w:rPr>
            <w:webHidden/>
          </w:rPr>
          <w:fldChar w:fldCharType="begin"/>
        </w:r>
        <w:r w:rsidR="00D37F38">
          <w:rPr>
            <w:webHidden/>
          </w:rPr>
          <w:instrText xml:space="preserve"> PAGEREF _Toc140827703 \h </w:instrText>
        </w:r>
        <w:r w:rsidR="00D37F38">
          <w:rPr>
            <w:webHidden/>
          </w:rPr>
        </w:r>
        <w:r w:rsidR="00D37F38">
          <w:rPr>
            <w:webHidden/>
          </w:rPr>
          <w:fldChar w:fldCharType="separate"/>
        </w:r>
        <w:r w:rsidR="00850AA4">
          <w:rPr>
            <w:webHidden/>
          </w:rPr>
          <w:t>192</w:t>
        </w:r>
        <w:r w:rsidR="00D37F38">
          <w:rPr>
            <w:webHidden/>
          </w:rPr>
          <w:fldChar w:fldCharType="end"/>
        </w:r>
      </w:hyperlink>
    </w:p>
    <w:p w14:paraId="36800CEF" w14:textId="5FCF1BDC" w:rsidR="00D37F38" w:rsidRDefault="00000000">
      <w:pPr>
        <w:pStyle w:val="TOC1"/>
        <w:rPr>
          <w:rFonts w:asciiTheme="minorHAnsi" w:eastAsiaTheme="minorEastAsia" w:hAnsiTheme="minorHAnsi" w:cstheme="minorBidi"/>
          <w:sz w:val="22"/>
          <w:szCs w:val="22"/>
        </w:rPr>
      </w:pPr>
      <w:hyperlink w:anchor="_Toc140827704" w:history="1">
        <w:r w:rsidR="00D37F38" w:rsidRPr="00EB0B73">
          <w:rPr>
            <w:rStyle w:val="Hyperlink"/>
          </w:rPr>
          <w:t>Figure 13.6: Trends in one-year relative survival from brain cancer overall (A) and by sex (B), age (C), remoteness (D) and ICS (E), Victoria, by year, 2010–2021</w:t>
        </w:r>
        <w:r w:rsidR="00D37F38">
          <w:rPr>
            <w:webHidden/>
          </w:rPr>
          <w:tab/>
        </w:r>
        <w:r w:rsidR="00D37F38">
          <w:rPr>
            <w:webHidden/>
          </w:rPr>
          <w:fldChar w:fldCharType="begin"/>
        </w:r>
        <w:r w:rsidR="00D37F38">
          <w:rPr>
            <w:webHidden/>
          </w:rPr>
          <w:instrText xml:space="preserve"> PAGEREF _Toc140827704 \h </w:instrText>
        </w:r>
        <w:r w:rsidR="00D37F38">
          <w:rPr>
            <w:webHidden/>
          </w:rPr>
        </w:r>
        <w:r w:rsidR="00D37F38">
          <w:rPr>
            <w:webHidden/>
          </w:rPr>
          <w:fldChar w:fldCharType="separate"/>
        </w:r>
        <w:r w:rsidR="00850AA4">
          <w:rPr>
            <w:webHidden/>
          </w:rPr>
          <w:t>194</w:t>
        </w:r>
        <w:r w:rsidR="00D37F38">
          <w:rPr>
            <w:webHidden/>
          </w:rPr>
          <w:fldChar w:fldCharType="end"/>
        </w:r>
      </w:hyperlink>
    </w:p>
    <w:p w14:paraId="697D0B4E" w14:textId="54D91C63" w:rsidR="00D37F38" w:rsidRDefault="00000000">
      <w:pPr>
        <w:pStyle w:val="TOC1"/>
        <w:rPr>
          <w:rFonts w:asciiTheme="minorHAnsi" w:eastAsiaTheme="minorEastAsia" w:hAnsiTheme="minorHAnsi" w:cstheme="minorBidi"/>
          <w:sz w:val="22"/>
          <w:szCs w:val="22"/>
        </w:rPr>
      </w:pPr>
      <w:hyperlink w:anchor="_Toc140827705" w:history="1">
        <w:r w:rsidR="00D37F38" w:rsidRPr="00EB0B73">
          <w:rPr>
            <w:rStyle w:val="Hyperlink"/>
          </w:rPr>
          <w:t>Figure 13.7: Trends in one-year relative survival from oesophageal cancer overall (A) and by sex (B), age (C), remoteness (D) and ICS (E), Victoria, by year, 2010–2021</w:t>
        </w:r>
        <w:r w:rsidR="00D37F38">
          <w:rPr>
            <w:webHidden/>
          </w:rPr>
          <w:tab/>
        </w:r>
        <w:r w:rsidR="00D37F38">
          <w:rPr>
            <w:webHidden/>
          </w:rPr>
          <w:fldChar w:fldCharType="begin"/>
        </w:r>
        <w:r w:rsidR="00D37F38">
          <w:rPr>
            <w:webHidden/>
          </w:rPr>
          <w:instrText xml:space="preserve"> PAGEREF _Toc140827705 \h </w:instrText>
        </w:r>
        <w:r w:rsidR="00D37F38">
          <w:rPr>
            <w:webHidden/>
          </w:rPr>
        </w:r>
        <w:r w:rsidR="00D37F38">
          <w:rPr>
            <w:webHidden/>
          </w:rPr>
          <w:fldChar w:fldCharType="separate"/>
        </w:r>
        <w:r w:rsidR="00850AA4">
          <w:rPr>
            <w:webHidden/>
          </w:rPr>
          <w:t>196</w:t>
        </w:r>
        <w:r w:rsidR="00D37F38">
          <w:rPr>
            <w:webHidden/>
          </w:rPr>
          <w:fldChar w:fldCharType="end"/>
        </w:r>
      </w:hyperlink>
    </w:p>
    <w:p w14:paraId="7D27B168" w14:textId="4B4CF79A" w:rsidR="00D37F38" w:rsidRDefault="00000000">
      <w:pPr>
        <w:pStyle w:val="TOC1"/>
        <w:rPr>
          <w:rFonts w:asciiTheme="minorHAnsi" w:eastAsiaTheme="minorEastAsia" w:hAnsiTheme="minorHAnsi" w:cstheme="minorBidi"/>
          <w:sz w:val="22"/>
          <w:szCs w:val="22"/>
        </w:rPr>
      </w:pPr>
      <w:hyperlink w:anchor="_Toc140827706" w:history="1">
        <w:r w:rsidR="00D37F38" w:rsidRPr="00EB0B73">
          <w:rPr>
            <w:rStyle w:val="Hyperlink"/>
          </w:rPr>
          <w:t>Figure 13.8: Trends in one-year relative survival from acute myeloid leukaemia overall (A) and by sex (B), age (C), remoteness (D) and ICS (E), Victoria, by year, 2010–2021</w:t>
        </w:r>
        <w:r w:rsidR="00D37F38">
          <w:rPr>
            <w:webHidden/>
          </w:rPr>
          <w:tab/>
        </w:r>
        <w:r w:rsidR="00D37F38">
          <w:rPr>
            <w:webHidden/>
          </w:rPr>
          <w:fldChar w:fldCharType="begin"/>
        </w:r>
        <w:r w:rsidR="00D37F38">
          <w:rPr>
            <w:webHidden/>
          </w:rPr>
          <w:instrText xml:space="preserve"> PAGEREF _Toc140827706 \h </w:instrText>
        </w:r>
        <w:r w:rsidR="00D37F38">
          <w:rPr>
            <w:webHidden/>
          </w:rPr>
        </w:r>
        <w:r w:rsidR="00D37F38">
          <w:rPr>
            <w:webHidden/>
          </w:rPr>
          <w:fldChar w:fldCharType="separate"/>
        </w:r>
        <w:r w:rsidR="00850AA4">
          <w:rPr>
            <w:webHidden/>
          </w:rPr>
          <w:t>198</w:t>
        </w:r>
        <w:r w:rsidR="00D37F38">
          <w:rPr>
            <w:webHidden/>
          </w:rPr>
          <w:fldChar w:fldCharType="end"/>
        </w:r>
      </w:hyperlink>
    </w:p>
    <w:p w14:paraId="76CDEF92" w14:textId="61091A91" w:rsidR="00D37F38" w:rsidRDefault="00000000">
      <w:pPr>
        <w:pStyle w:val="TOC1"/>
        <w:rPr>
          <w:rFonts w:asciiTheme="minorHAnsi" w:eastAsiaTheme="minorEastAsia" w:hAnsiTheme="minorHAnsi" w:cstheme="minorBidi"/>
          <w:sz w:val="22"/>
          <w:szCs w:val="22"/>
        </w:rPr>
      </w:pPr>
      <w:hyperlink w:anchor="_Toc140827707" w:history="1">
        <w:r w:rsidR="00D37F38" w:rsidRPr="00EB0B73">
          <w:rPr>
            <w:rStyle w:val="Hyperlink"/>
          </w:rPr>
          <w:t>Figure 13.9: Five-year relative survival from all cancers combined, by age (A), remoteness (B), SES (C) and ICS (D), Victoria, 2010–2014 and 2015–2019</w:t>
        </w:r>
        <w:r w:rsidR="00D37F38">
          <w:rPr>
            <w:webHidden/>
          </w:rPr>
          <w:tab/>
        </w:r>
        <w:r w:rsidR="00D37F38">
          <w:rPr>
            <w:webHidden/>
          </w:rPr>
          <w:fldChar w:fldCharType="begin"/>
        </w:r>
        <w:r w:rsidR="00D37F38">
          <w:rPr>
            <w:webHidden/>
          </w:rPr>
          <w:instrText xml:space="preserve"> PAGEREF _Toc140827707 \h </w:instrText>
        </w:r>
        <w:r w:rsidR="00D37F38">
          <w:rPr>
            <w:webHidden/>
          </w:rPr>
        </w:r>
        <w:r w:rsidR="00D37F38">
          <w:rPr>
            <w:webHidden/>
          </w:rPr>
          <w:fldChar w:fldCharType="separate"/>
        </w:r>
        <w:r w:rsidR="00850AA4">
          <w:rPr>
            <w:webHidden/>
          </w:rPr>
          <w:t>200</w:t>
        </w:r>
        <w:r w:rsidR="00D37F38">
          <w:rPr>
            <w:webHidden/>
          </w:rPr>
          <w:fldChar w:fldCharType="end"/>
        </w:r>
      </w:hyperlink>
    </w:p>
    <w:p w14:paraId="556C9991" w14:textId="2E002FDC" w:rsidR="00D37F38" w:rsidRDefault="00000000">
      <w:pPr>
        <w:pStyle w:val="TOC1"/>
        <w:rPr>
          <w:rFonts w:asciiTheme="minorHAnsi" w:eastAsiaTheme="minorEastAsia" w:hAnsiTheme="minorHAnsi" w:cstheme="minorBidi"/>
          <w:sz w:val="22"/>
          <w:szCs w:val="22"/>
        </w:rPr>
      </w:pPr>
      <w:hyperlink w:anchor="_Toc140827708" w:history="1">
        <w:r w:rsidR="00D37F38" w:rsidRPr="00EB0B73">
          <w:rPr>
            <w:rStyle w:val="Hyperlink"/>
          </w:rPr>
          <w:t>Figure 13.10: Five-year relative survival from lung cancer, by age (A), remoteness (B), SES (C) and ICS (D), Victoria, 2010–2014 and 2015–2019</w:t>
        </w:r>
        <w:r w:rsidR="00D37F38">
          <w:rPr>
            <w:webHidden/>
          </w:rPr>
          <w:tab/>
        </w:r>
        <w:r w:rsidR="00D37F38">
          <w:rPr>
            <w:webHidden/>
          </w:rPr>
          <w:fldChar w:fldCharType="begin"/>
        </w:r>
        <w:r w:rsidR="00D37F38">
          <w:rPr>
            <w:webHidden/>
          </w:rPr>
          <w:instrText xml:space="preserve"> PAGEREF _Toc140827708 \h </w:instrText>
        </w:r>
        <w:r w:rsidR="00D37F38">
          <w:rPr>
            <w:webHidden/>
          </w:rPr>
        </w:r>
        <w:r w:rsidR="00D37F38">
          <w:rPr>
            <w:webHidden/>
          </w:rPr>
          <w:fldChar w:fldCharType="separate"/>
        </w:r>
        <w:r w:rsidR="00850AA4">
          <w:rPr>
            <w:webHidden/>
          </w:rPr>
          <w:t>202</w:t>
        </w:r>
        <w:r w:rsidR="00D37F38">
          <w:rPr>
            <w:webHidden/>
          </w:rPr>
          <w:fldChar w:fldCharType="end"/>
        </w:r>
      </w:hyperlink>
    </w:p>
    <w:p w14:paraId="424C2E4F" w14:textId="6E7B0E5A" w:rsidR="00D37F38" w:rsidRDefault="00000000">
      <w:pPr>
        <w:pStyle w:val="TOC1"/>
        <w:rPr>
          <w:rFonts w:asciiTheme="minorHAnsi" w:eastAsiaTheme="minorEastAsia" w:hAnsiTheme="minorHAnsi" w:cstheme="minorBidi"/>
          <w:sz w:val="22"/>
          <w:szCs w:val="22"/>
        </w:rPr>
      </w:pPr>
      <w:hyperlink w:anchor="_Toc140827709" w:history="1">
        <w:r w:rsidR="00D37F38" w:rsidRPr="00EB0B73">
          <w:rPr>
            <w:rStyle w:val="Hyperlink"/>
          </w:rPr>
          <w:t>Figure 13.11: Five-year relative survival from pancreatic cancer, by age (A), remoteness (B), SES (C) and ICS (D), Victoria, 2010–2014 and 2015–2019</w:t>
        </w:r>
        <w:r w:rsidR="00D37F38">
          <w:rPr>
            <w:webHidden/>
          </w:rPr>
          <w:tab/>
        </w:r>
        <w:r w:rsidR="00D37F38">
          <w:rPr>
            <w:webHidden/>
          </w:rPr>
          <w:fldChar w:fldCharType="begin"/>
        </w:r>
        <w:r w:rsidR="00D37F38">
          <w:rPr>
            <w:webHidden/>
          </w:rPr>
          <w:instrText xml:space="preserve"> PAGEREF _Toc140827709 \h </w:instrText>
        </w:r>
        <w:r w:rsidR="00D37F38">
          <w:rPr>
            <w:webHidden/>
          </w:rPr>
        </w:r>
        <w:r w:rsidR="00D37F38">
          <w:rPr>
            <w:webHidden/>
          </w:rPr>
          <w:fldChar w:fldCharType="separate"/>
        </w:r>
        <w:r w:rsidR="00850AA4">
          <w:rPr>
            <w:webHidden/>
          </w:rPr>
          <w:t>204</w:t>
        </w:r>
        <w:r w:rsidR="00D37F38">
          <w:rPr>
            <w:webHidden/>
          </w:rPr>
          <w:fldChar w:fldCharType="end"/>
        </w:r>
      </w:hyperlink>
    </w:p>
    <w:p w14:paraId="7F997658" w14:textId="1B27374B" w:rsidR="00D37F38" w:rsidRDefault="00000000">
      <w:pPr>
        <w:pStyle w:val="TOC1"/>
        <w:rPr>
          <w:rFonts w:asciiTheme="minorHAnsi" w:eastAsiaTheme="minorEastAsia" w:hAnsiTheme="minorHAnsi" w:cstheme="minorBidi"/>
          <w:sz w:val="22"/>
          <w:szCs w:val="22"/>
        </w:rPr>
      </w:pPr>
      <w:hyperlink w:anchor="_Toc140827710" w:history="1">
        <w:r w:rsidR="00D37F38" w:rsidRPr="00EB0B73">
          <w:rPr>
            <w:rStyle w:val="Hyperlink"/>
          </w:rPr>
          <w:t>Figure 13.12: Five-year relative survival from ovarian cancer, by age (A), remoteness (B), SES (C) and ICS (D), Victoria, 2010–2014 and 2015–2019</w:t>
        </w:r>
        <w:r w:rsidR="00D37F38">
          <w:rPr>
            <w:webHidden/>
          </w:rPr>
          <w:tab/>
        </w:r>
        <w:r w:rsidR="00D37F38">
          <w:rPr>
            <w:webHidden/>
          </w:rPr>
          <w:fldChar w:fldCharType="begin"/>
        </w:r>
        <w:r w:rsidR="00D37F38">
          <w:rPr>
            <w:webHidden/>
          </w:rPr>
          <w:instrText xml:space="preserve"> PAGEREF _Toc140827710 \h </w:instrText>
        </w:r>
        <w:r w:rsidR="00D37F38">
          <w:rPr>
            <w:webHidden/>
          </w:rPr>
        </w:r>
        <w:r w:rsidR="00D37F38">
          <w:rPr>
            <w:webHidden/>
          </w:rPr>
          <w:fldChar w:fldCharType="separate"/>
        </w:r>
        <w:r w:rsidR="00850AA4">
          <w:rPr>
            <w:webHidden/>
          </w:rPr>
          <w:t>206</w:t>
        </w:r>
        <w:r w:rsidR="00D37F38">
          <w:rPr>
            <w:webHidden/>
          </w:rPr>
          <w:fldChar w:fldCharType="end"/>
        </w:r>
      </w:hyperlink>
    </w:p>
    <w:p w14:paraId="3D5E1284" w14:textId="050F1C89" w:rsidR="00D37F38" w:rsidRDefault="00000000">
      <w:pPr>
        <w:pStyle w:val="TOC1"/>
        <w:rPr>
          <w:rFonts w:asciiTheme="minorHAnsi" w:eastAsiaTheme="minorEastAsia" w:hAnsiTheme="minorHAnsi" w:cstheme="minorBidi"/>
          <w:sz w:val="22"/>
          <w:szCs w:val="22"/>
        </w:rPr>
      </w:pPr>
      <w:hyperlink w:anchor="_Toc140827711" w:history="1">
        <w:r w:rsidR="00D37F38" w:rsidRPr="00EB0B73">
          <w:rPr>
            <w:rStyle w:val="Hyperlink"/>
          </w:rPr>
          <w:t>Figure 13.13: Five-year relative survival from colorectal cancer, by age (A), remoteness (B), SES (C) and ICS (D), Victoria, 2010–2014 and 2015–2019</w:t>
        </w:r>
        <w:r w:rsidR="00D37F38">
          <w:rPr>
            <w:webHidden/>
          </w:rPr>
          <w:tab/>
        </w:r>
        <w:r w:rsidR="00D37F38">
          <w:rPr>
            <w:webHidden/>
          </w:rPr>
          <w:fldChar w:fldCharType="begin"/>
        </w:r>
        <w:r w:rsidR="00D37F38">
          <w:rPr>
            <w:webHidden/>
          </w:rPr>
          <w:instrText xml:space="preserve"> PAGEREF _Toc140827711 \h </w:instrText>
        </w:r>
        <w:r w:rsidR="00D37F38">
          <w:rPr>
            <w:webHidden/>
          </w:rPr>
        </w:r>
        <w:r w:rsidR="00D37F38">
          <w:rPr>
            <w:webHidden/>
          </w:rPr>
          <w:fldChar w:fldCharType="separate"/>
        </w:r>
        <w:r w:rsidR="00850AA4">
          <w:rPr>
            <w:webHidden/>
          </w:rPr>
          <w:t>208</w:t>
        </w:r>
        <w:r w:rsidR="00D37F38">
          <w:rPr>
            <w:webHidden/>
          </w:rPr>
          <w:fldChar w:fldCharType="end"/>
        </w:r>
      </w:hyperlink>
    </w:p>
    <w:p w14:paraId="5CF9383B" w14:textId="7BC64B54" w:rsidR="00D37F38" w:rsidRDefault="00000000">
      <w:pPr>
        <w:pStyle w:val="TOC1"/>
        <w:rPr>
          <w:rFonts w:asciiTheme="minorHAnsi" w:eastAsiaTheme="minorEastAsia" w:hAnsiTheme="minorHAnsi" w:cstheme="minorBidi"/>
          <w:sz w:val="22"/>
          <w:szCs w:val="22"/>
        </w:rPr>
      </w:pPr>
      <w:hyperlink w:anchor="_Toc140827712" w:history="1">
        <w:r w:rsidR="00D37F38" w:rsidRPr="00EB0B73">
          <w:rPr>
            <w:rStyle w:val="Hyperlink"/>
          </w:rPr>
          <w:t>Figure 13.14: Five-year relative survival from brain cancer, by age (A), remoteness (B), SES (C) and ICS (D), Victoria, 2010–2014 and 2015–2019</w:t>
        </w:r>
        <w:r w:rsidR="00D37F38">
          <w:rPr>
            <w:webHidden/>
          </w:rPr>
          <w:tab/>
        </w:r>
        <w:r w:rsidR="00D37F38">
          <w:rPr>
            <w:webHidden/>
          </w:rPr>
          <w:fldChar w:fldCharType="begin"/>
        </w:r>
        <w:r w:rsidR="00D37F38">
          <w:rPr>
            <w:webHidden/>
          </w:rPr>
          <w:instrText xml:space="preserve"> PAGEREF _Toc140827712 \h </w:instrText>
        </w:r>
        <w:r w:rsidR="00D37F38">
          <w:rPr>
            <w:webHidden/>
          </w:rPr>
        </w:r>
        <w:r w:rsidR="00D37F38">
          <w:rPr>
            <w:webHidden/>
          </w:rPr>
          <w:fldChar w:fldCharType="separate"/>
        </w:r>
        <w:r w:rsidR="00850AA4">
          <w:rPr>
            <w:webHidden/>
          </w:rPr>
          <w:t>210</w:t>
        </w:r>
        <w:r w:rsidR="00D37F38">
          <w:rPr>
            <w:webHidden/>
          </w:rPr>
          <w:fldChar w:fldCharType="end"/>
        </w:r>
      </w:hyperlink>
    </w:p>
    <w:p w14:paraId="5FEF06F3" w14:textId="525B3C17" w:rsidR="00D37F38" w:rsidRDefault="00000000">
      <w:pPr>
        <w:pStyle w:val="TOC1"/>
        <w:rPr>
          <w:rFonts w:asciiTheme="minorHAnsi" w:eastAsiaTheme="minorEastAsia" w:hAnsiTheme="minorHAnsi" w:cstheme="minorBidi"/>
          <w:sz w:val="22"/>
          <w:szCs w:val="22"/>
        </w:rPr>
      </w:pPr>
      <w:hyperlink w:anchor="_Toc140827713" w:history="1">
        <w:r w:rsidR="00D37F38" w:rsidRPr="00EB0B73">
          <w:rPr>
            <w:rStyle w:val="Hyperlink"/>
          </w:rPr>
          <w:t>Figure 13.15: Five-year relative survival from oesophageal cancer, by age (A), remoteness (B), SES (C) and ICS (D), Victoria, 2010–2014 and 2015–2019</w:t>
        </w:r>
        <w:r w:rsidR="00D37F38">
          <w:rPr>
            <w:webHidden/>
          </w:rPr>
          <w:tab/>
        </w:r>
        <w:r w:rsidR="00D37F38">
          <w:rPr>
            <w:webHidden/>
          </w:rPr>
          <w:fldChar w:fldCharType="begin"/>
        </w:r>
        <w:r w:rsidR="00D37F38">
          <w:rPr>
            <w:webHidden/>
          </w:rPr>
          <w:instrText xml:space="preserve"> PAGEREF _Toc140827713 \h </w:instrText>
        </w:r>
        <w:r w:rsidR="00D37F38">
          <w:rPr>
            <w:webHidden/>
          </w:rPr>
        </w:r>
        <w:r w:rsidR="00D37F38">
          <w:rPr>
            <w:webHidden/>
          </w:rPr>
          <w:fldChar w:fldCharType="separate"/>
        </w:r>
        <w:r w:rsidR="00850AA4">
          <w:rPr>
            <w:webHidden/>
          </w:rPr>
          <w:t>212</w:t>
        </w:r>
        <w:r w:rsidR="00D37F38">
          <w:rPr>
            <w:webHidden/>
          </w:rPr>
          <w:fldChar w:fldCharType="end"/>
        </w:r>
      </w:hyperlink>
    </w:p>
    <w:p w14:paraId="6FEA781C" w14:textId="572DB3C0" w:rsidR="00D37F38" w:rsidRDefault="00000000">
      <w:pPr>
        <w:pStyle w:val="TOC1"/>
        <w:rPr>
          <w:rFonts w:asciiTheme="minorHAnsi" w:eastAsiaTheme="minorEastAsia" w:hAnsiTheme="minorHAnsi" w:cstheme="minorBidi"/>
          <w:sz w:val="22"/>
          <w:szCs w:val="22"/>
        </w:rPr>
      </w:pPr>
      <w:hyperlink w:anchor="_Toc140827714" w:history="1">
        <w:r w:rsidR="00D37F38" w:rsidRPr="00EB0B73">
          <w:rPr>
            <w:rStyle w:val="Hyperlink"/>
          </w:rPr>
          <w:t>Figure 13.16: Five-year relative survival from acute myeloid leukaemia, by age (A), remoteness (B), SES (C) and ICS (D), Victoria, 2010–2014 and 2015–2019</w:t>
        </w:r>
        <w:r w:rsidR="00D37F38">
          <w:rPr>
            <w:webHidden/>
          </w:rPr>
          <w:tab/>
        </w:r>
        <w:r w:rsidR="00D37F38">
          <w:rPr>
            <w:webHidden/>
          </w:rPr>
          <w:fldChar w:fldCharType="begin"/>
        </w:r>
        <w:r w:rsidR="00D37F38">
          <w:rPr>
            <w:webHidden/>
          </w:rPr>
          <w:instrText xml:space="preserve"> PAGEREF _Toc140827714 \h </w:instrText>
        </w:r>
        <w:r w:rsidR="00D37F38">
          <w:rPr>
            <w:webHidden/>
          </w:rPr>
        </w:r>
        <w:r w:rsidR="00D37F38">
          <w:rPr>
            <w:webHidden/>
          </w:rPr>
          <w:fldChar w:fldCharType="separate"/>
        </w:r>
        <w:r w:rsidR="00850AA4">
          <w:rPr>
            <w:webHidden/>
          </w:rPr>
          <w:t>214</w:t>
        </w:r>
        <w:r w:rsidR="00D37F38">
          <w:rPr>
            <w:webHidden/>
          </w:rPr>
          <w:fldChar w:fldCharType="end"/>
        </w:r>
      </w:hyperlink>
    </w:p>
    <w:p w14:paraId="110EB03A" w14:textId="48205B6E" w:rsidR="00D37F38" w:rsidRDefault="00000000">
      <w:pPr>
        <w:pStyle w:val="TOC1"/>
        <w:rPr>
          <w:rFonts w:asciiTheme="minorHAnsi" w:eastAsiaTheme="minorEastAsia" w:hAnsiTheme="minorHAnsi" w:cstheme="minorBidi"/>
          <w:sz w:val="22"/>
          <w:szCs w:val="22"/>
        </w:rPr>
      </w:pPr>
      <w:hyperlink w:anchor="_Toc140827715" w:history="1">
        <w:r w:rsidR="00D37F38" w:rsidRPr="00EB0B73">
          <w:rPr>
            <w:rStyle w:val="Hyperlink"/>
          </w:rPr>
          <w:t>Figure 13.17.1: Five-year relative survival from breast cancer diagnosed at stages 1 and 2, by age (A), remoteness (B), SES (C) and ICS (D), Victoria, 2010–2014 and 2015–2019</w:t>
        </w:r>
        <w:r w:rsidR="00D37F38">
          <w:rPr>
            <w:webHidden/>
          </w:rPr>
          <w:tab/>
        </w:r>
        <w:r w:rsidR="00D37F38">
          <w:rPr>
            <w:webHidden/>
          </w:rPr>
          <w:fldChar w:fldCharType="begin"/>
        </w:r>
        <w:r w:rsidR="00D37F38">
          <w:rPr>
            <w:webHidden/>
          </w:rPr>
          <w:instrText xml:space="preserve"> PAGEREF _Toc140827715 \h </w:instrText>
        </w:r>
        <w:r w:rsidR="00D37F38">
          <w:rPr>
            <w:webHidden/>
          </w:rPr>
        </w:r>
        <w:r w:rsidR="00D37F38">
          <w:rPr>
            <w:webHidden/>
          </w:rPr>
          <w:fldChar w:fldCharType="separate"/>
        </w:r>
        <w:r w:rsidR="00850AA4">
          <w:rPr>
            <w:webHidden/>
          </w:rPr>
          <w:t>216</w:t>
        </w:r>
        <w:r w:rsidR="00D37F38">
          <w:rPr>
            <w:webHidden/>
          </w:rPr>
          <w:fldChar w:fldCharType="end"/>
        </w:r>
      </w:hyperlink>
    </w:p>
    <w:p w14:paraId="7B8B63D4" w14:textId="6E0F58C8" w:rsidR="00D37F38" w:rsidRDefault="00000000">
      <w:pPr>
        <w:pStyle w:val="TOC1"/>
        <w:rPr>
          <w:rFonts w:asciiTheme="minorHAnsi" w:eastAsiaTheme="minorEastAsia" w:hAnsiTheme="minorHAnsi" w:cstheme="minorBidi"/>
          <w:sz w:val="22"/>
          <w:szCs w:val="22"/>
        </w:rPr>
      </w:pPr>
      <w:hyperlink w:anchor="_Toc140827716" w:history="1">
        <w:r w:rsidR="00D37F38" w:rsidRPr="00EB0B73">
          <w:rPr>
            <w:rStyle w:val="Hyperlink"/>
          </w:rPr>
          <w:t>Figure 13.17.2: Five-year relative survival from colorectal cancer diagnosed at stages 1 and 2, by age (A), remoteness (B), SES (C) and ICS (D), Victoria, 2010–2014 and 2015–2019</w:t>
        </w:r>
        <w:r w:rsidR="00D37F38">
          <w:rPr>
            <w:webHidden/>
          </w:rPr>
          <w:tab/>
        </w:r>
        <w:r w:rsidR="00D37F38">
          <w:rPr>
            <w:webHidden/>
          </w:rPr>
          <w:fldChar w:fldCharType="begin"/>
        </w:r>
        <w:r w:rsidR="00D37F38">
          <w:rPr>
            <w:webHidden/>
          </w:rPr>
          <w:instrText xml:space="preserve"> PAGEREF _Toc140827716 \h </w:instrText>
        </w:r>
        <w:r w:rsidR="00D37F38">
          <w:rPr>
            <w:webHidden/>
          </w:rPr>
        </w:r>
        <w:r w:rsidR="00D37F38">
          <w:rPr>
            <w:webHidden/>
          </w:rPr>
          <w:fldChar w:fldCharType="separate"/>
        </w:r>
        <w:r w:rsidR="00850AA4">
          <w:rPr>
            <w:webHidden/>
          </w:rPr>
          <w:t>217</w:t>
        </w:r>
        <w:r w:rsidR="00D37F38">
          <w:rPr>
            <w:webHidden/>
          </w:rPr>
          <w:fldChar w:fldCharType="end"/>
        </w:r>
      </w:hyperlink>
    </w:p>
    <w:p w14:paraId="2D81B626" w14:textId="73C05E32" w:rsidR="00D37F38" w:rsidRDefault="00000000">
      <w:pPr>
        <w:pStyle w:val="TOC1"/>
        <w:rPr>
          <w:rFonts w:asciiTheme="minorHAnsi" w:eastAsiaTheme="minorEastAsia" w:hAnsiTheme="minorHAnsi" w:cstheme="minorBidi"/>
          <w:sz w:val="22"/>
          <w:szCs w:val="22"/>
        </w:rPr>
      </w:pPr>
      <w:hyperlink w:anchor="_Toc140827717" w:history="1">
        <w:r w:rsidR="00D37F38" w:rsidRPr="00EB0B73">
          <w:rPr>
            <w:rStyle w:val="Hyperlink"/>
          </w:rPr>
          <w:t>Figure 13.17.3: Five-year relative survival from prostate cancer diagnosed at stages 1 and 2, by age (A), remoteness (B), SES (C) and ICS (D), Victoria, 2010–2014 and 2015–2019</w:t>
        </w:r>
        <w:r w:rsidR="00D37F38">
          <w:rPr>
            <w:webHidden/>
          </w:rPr>
          <w:tab/>
        </w:r>
        <w:r w:rsidR="00D37F38">
          <w:rPr>
            <w:webHidden/>
          </w:rPr>
          <w:fldChar w:fldCharType="begin"/>
        </w:r>
        <w:r w:rsidR="00D37F38">
          <w:rPr>
            <w:webHidden/>
          </w:rPr>
          <w:instrText xml:space="preserve"> PAGEREF _Toc140827717 \h </w:instrText>
        </w:r>
        <w:r w:rsidR="00D37F38">
          <w:rPr>
            <w:webHidden/>
          </w:rPr>
        </w:r>
        <w:r w:rsidR="00D37F38">
          <w:rPr>
            <w:webHidden/>
          </w:rPr>
          <w:fldChar w:fldCharType="separate"/>
        </w:r>
        <w:r w:rsidR="00850AA4">
          <w:rPr>
            <w:webHidden/>
          </w:rPr>
          <w:t>218</w:t>
        </w:r>
        <w:r w:rsidR="00D37F38">
          <w:rPr>
            <w:webHidden/>
          </w:rPr>
          <w:fldChar w:fldCharType="end"/>
        </w:r>
      </w:hyperlink>
    </w:p>
    <w:p w14:paraId="6435ACA4" w14:textId="060D0F1D" w:rsidR="00D37F38" w:rsidRDefault="00000000">
      <w:pPr>
        <w:pStyle w:val="TOC1"/>
        <w:rPr>
          <w:rFonts w:asciiTheme="minorHAnsi" w:eastAsiaTheme="minorEastAsia" w:hAnsiTheme="minorHAnsi" w:cstheme="minorBidi"/>
          <w:sz w:val="22"/>
          <w:szCs w:val="22"/>
        </w:rPr>
      </w:pPr>
      <w:hyperlink w:anchor="_Toc140827718" w:history="1">
        <w:r w:rsidR="00D37F38" w:rsidRPr="00EB0B73">
          <w:rPr>
            <w:rStyle w:val="Hyperlink"/>
          </w:rPr>
          <w:t>Figure 13.18.1: Five-year relative survival from breast cancer diagnosed at stages 3 and 4, by age (A), remoteness (B), SES (C) and ICS (D), Victoria, 2010–2014 and 2015–2019</w:t>
        </w:r>
        <w:r w:rsidR="00D37F38">
          <w:rPr>
            <w:webHidden/>
          </w:rPr>
          <w:tab/>
        </w:r>
        <w:r w:rsidR="00D37F38">
          <w:rPr>
            <w:webHidden/>
          </w:rPr>
          <w:fldChar w:fldCharType="begin"/>
        </w:r>
        <w:r w:rsidR="00D37F38">
          <w:rPr>
            <w:webHidden/>
          </w:rPr>
          <w:instrText xml:space="preserve"> PAGEREF _Toc140827718 \h </w:instrText>
        </w:r>
        <w:r w:rsidR="00D37F38">
          <w:rPr>
            <w:webHidden/>
          </w:rPr>
        </w:r>
        <w:r w:rsidR="00D37F38">
          <w:rPr>
            <w:webHidden/>
          </w:rPr>
          <w:fldChar w:fldCharType="separate"/>
        </w:r>
        <w:r w:rsidR="00850AA4">
          <w:rPr>
            <w:webHidden/>
          </w:rPr>
          <w:t>220</w:t>
        </w:r>
        <w:r w:rsidR="00D37F38">
          <w:rPr>
            <w:webHidden/>
          </w:rPr>
          <w:fldChar w:fldCharType="end"/>
        </w:r>
      </w:hyperlink>
    </w:p>
    <w:p w14:paraId="7A2CEB70" w14:textId="3CD85103" w:rsidR="00D37F38" w:rsidRDefault="00000000">
      <w:pPr>
        <w:pStyle w:val="TOC1"/>
        <w:rPr>
          <w:rFonts w:asciiTheme="minorHAnsi" w:eastAsiaTheme="minorEastAsia" w:hAnsiTheme="minorHAnsi" w:cstheme="minorBidi"/>
          <w:sz w:val="22"/>
          <w:szCs w:val="22"/>
        </w:rPr>
      </w:pPr>
      <w:hyperlink w:anchor="_Toc140827719" w:history="1">
        <w:r w:rsidR="00D37F38" w:rsidRPr="00EB0B73">
          <w:rPr>
            <w:rStyle w:val="Hyperlink"/>
          </w:rPr>
          <w:t>Figure 13.18.2: Five-year relative survival from colorectal cancer diagnosed at stages 3 and 4, by age (A), remoteness (B), SES (C) and ICS (D), Victoria, 2010–2014 and 2015–2019</w:t>
        </w:r>
        <w:r w:rsidR="00D37F38">
          <w:rPr>
            <w:webHidden/>
          </w:rPr>
          <w:tab/>
        </w:r>
        <w:r w:rsidR="00D37F38">
          <w:rPr>
            <w:webHidden/>
          </w:rPr>
          <w:fldChar w:fldCharType="begin"/>
        </w:r>
        <w:r w:rsidR="00D37F38">
          <w:rPr>
            <w:webHidden/>
          </w:rPr>
          <w:instrText xml:space="preserve"> PAGEREF _Toc140827719 \h </w:instrText>
        </w:r>
        <w:r w:rsidR="00D37F38">
          <w:rPr>
            <w:webHidden/>
          </w:rPr>
        </w:r>
        <w:r w:rsidR="00D37F38">
          <w:rPr>
            <w:webHidden/>
          </w:rPr>
          <w:fldChar w:fldCharType="separate"/>
        </w:r>
        <w:r w:rsidR="00850AA4">
          <w:rPr>
            <w:webHidden/>
          </w:rPr>
          <w:t>221</w:t>
        </w:r>
        <w:r w:rsidR="00D37F38">
          <w:rPr>
            <w:webHidden/>
          </w:rPr>
          <w:fldChar w:fldCharType="end"/>
        </w:r>
      </w:hyperlink>
    </w:p>
    <w:p w14:paraId="28511C0E" w14:textId="6D434498" w:rsidR="00D37F38" w:rsidRDefault="00000000">
      <w:pPr>
        <w:pStyle w:val="TOC1"/>
        <w:rPr>
          <w:rFonts w:asciiTheme="minorHAnsi" w:eastAsiaTheme="minorEastAsia" w:hAnsiTheme="minorHAnsi" w:cstheme="minorBidi"/>
          <w:sz w:val="22"/>
          <w:szCs w:val="22"/>
        </w:rPr>
      </w:pPr>
      <w:hyperlink w:anchor="_Toc140827720" w:history="1">
        <w:r w:rsidR="00D37F38" w:rsidRPr="00EB0B73">
          <w:rPr>
            <w:rStyle w:val="Hyperlink"/>
          </w:rPr>
          <w:t>Figure 13.18.3: Five-year relative survival from prostate cancer diagnosed at stages 3 and 4, by age (A), remoteness (B), SES (C) and ICS (D), Victoria, 2010–2014 and 2015–2019</w:t>
        </w:r>
        <w:r w:rsidR="00D37F38">
          <w:rPr>
            <w:webHidden/>
          </w:rPr>
          <w:tab/>
        </w:r>
        <w:r w:rsidR="00D37F38">
          <w:rPr>
            <w:webHidden/>
          </w:rPr>
          <w:fldChar w:fldCharType="begin"/>
        </w:r>
        <w:r w:rsidR="00D37F38">
          <w:rPr>
            <w:webHidden/>
          </w:rPr>
          <w:instrText xml:space="preserve"> PAGEREF _Toc140827720 \h </w:instrText>
        </w:r>
        <w:r w:rsidR="00D37F38">
          <w:rPr>
            <w:webHidden/>
          </w:rPr>
        </w:r>
        <w:r w:rsidR="00D37F38">
          <w:rPr>
            <w:webHidden/>
          </w:rPr>
          <w:fldChar w:fldCharType="separate"/>
        </w:r>
        <w:r w:rsidR="00850AA4">
          <w:rPr>
            <w:webHidden/>
          </w:rPr>
          <w:t>222</w:t>
        </w:r>
        <w:r w:rsidR="00D37F38">
          <w:rPr>
            <w:webHidden/>
          </w:rPr>
          <w:fldChar w:fldCharType="end"/>
        </w:r>
      </w:hyperlink>
    </w:p>
    <w:p w14:paraId="4AADFC02" w14:textId="2AF5D8C7" w:rsidR="00D37F38" w:rsidRDefault="00000000">
      <w:pPr>
        <w:pStyle w:val="TOC1"/>
        <w:rPr>
          <w:rFonts w:asciiTheme="minorHAnsi" w:eastAsiaTheme="minorEastAsia" w:hAnsiTheme="minorHAnsi" w:cstheme="minorBidi"/>
          <w:sz w:val="22"/>
          <w:szCs w:val="22"/>
        </w:rPr>
      </w:pPr>
      <w:hyperlink w:anchor="_Toc140827721" w:history="1">
        <w:r w:rsidR="00D37F38" w:rsidRPr="00EB0B73">
          <w:rPr>
            <w:rStyle w:val="Hyperlink"/>
          </w:rPr>
          <w:t>Figure 15.1: Proportion of adults admitted to public hospitals due to cancer who reported being satisfied with the care received from all health professionals involved in their care in 2018, 2019 and 2022</w:t>
        </w:r>
        <w:r w:rsidR="00D37F38">
          <w:rPr>
            <w:webHidden/>
          </w:rPr>
          <w:tab/>
        </w:r>
        <w:r w:rsidR="00D37F38">
          <w:rPr>
            <w:webHidden/>
          </w:rPr>
          <w:fldChar w:fldCharType="begin"/>
        </w:r>
        <w:r w:rsidR="00D37F38">
          <w:rPr>
            <w:webHidden/>
          </w:rPr>
          <w:instrText xml:space="preserve"> PAGEREF _Toc140827721 \h </w:instrText>
        </w:r>
        <w:r w:rsidR="00D37F38">
          <w:rPr>
            <w:webHidden/>
          </w:rPr>
        </w:r>
        <w:r w:rsidR="00D37F38">
          <w:rPr>
            <w:webHidden/>
          </w:rPr>
          <w:fldChar w:fldCharType="separate"/>
        </w:r>
        <w:r w:rsidR="00850AA4">
          <w:rPr>
            <w:webHidden/>
          </w:rPr>
          <w:t>226</w:t>
        </w:r>
        <w:r w:rsidR="00D37F38">
          <w:rPr>
            <w:webHidden/>
          </w:rPr>
          <w:fldChar w:fldCharType="end"/>
        </w:r>
      </w:hyperlink>
    </w:p>
    <w:p w14:paraId="0FA9B80A" w14:textId="32560592" w:rsidR="00D37F38" w:rsidRDefault="00000000">
      <w:pPr>
        <w:pStyle w:val="TOC1"/>
        <w:rPr>
          <w:rFonts w:asciiTheme="minorHAnsi" w:eastAsiaTheme="minorEastAsia" w:hAnsiTheme="minorHAnsi" w:cstheme="minorBidi"/>
          <w:sz w:val="22"/>
          <w:szCs w:val="22"/>
        </w:rPr>
      </w:pPr>
      <w:hyperlink w:anchor="_Toc140827722" w:history="1">
        <w:r w:rsidR="00D37F38" w:rsidRPr="00EB0B73">
          <w:rPr>
            <w:rStyle w:val="Hyperlink"/>
          </w:rPr>
          <w:t>Figure 15.2: Proportion of children and adolescents admitted to hospital due to cancer who report a positive healthcare experience, 2021</w:t>
        </w:r>
        <w:r w:rsidR="00D37F38">
          <w:rPr>
            <w:webHidden/>
          </w:rPr>
          <w:tab/>
        </w:r>
        <w:r w:rsidR="00D37F38">
          <w:rPr>
            <w:webHidden/>
          </w:rPr>
          <w:fldChar w:fldCharType="begin"/>
        </w:r>
        <w:r w:rsidR="00D37F38">
          <w:rPr>
            <w:webHidden/>
          </w:rPr>
          <w:instrText xml:space="preserve"> PAGEREF _Toc140827722 \h </w:instrText>
        </w:r>
        <w:r w:rsidR="00D37F38">
          <w:rPr>
            <w:webHidden/>
          </w:rPr>
        </w:r>
        <w:r w:rsidR="00D37F38">
          <w:rPr>
            <w:webHidden/>
          </w:rPr>
          <w:fldChar w:fldCharType="separate"/>
        </w:r>
        <w:r w:rsidR="00850AA4">
          <w:rPr>
            <w:webHidden/>
          </w:rPr>
          <w:t>228</w:t>
        </w:r>
        <w:r w:rsidR="00D37F38">
          <w:rPr>
            <w:webHidden/>
          </w:rPr>
          <w:fldChar w:fldCharType="end"/>
        </w:r>
      </w:hyperlink>
    </w:p>
    <w:p w14:paraId="7D060CE7" w14:textId="24E4607C" w:rsidR="00D37F38" w:rsidRDefault="00000000">
      <w:pPr>
        <w:pStyle w:val="TOC1"/>
        <w:rPr>
          <w:rFonts w:asciiTheme="minorHAnsi" w:eastAsiaTheme="minorEastAsia" w:hAnsiTheme="minorHAnsi" w:cstheme="minorBidi"/>
          <w:sz w:val="22"/>
          <w:szCs w:val="22"/>
        </w:rPr>
      </w:pPr>
      <w:hyperlink w:anchor="_Toc140827723" w:history="1">
        <w:r w:rsidR="00D37F38" w:rsidRPr="00EB0B73">
          <w:rPr>
            <w:rStyle w:val="Hyperlink"/>
          </w:rPr>
          <w:t>Figure 15.4: Proportion of adults attending emergency departments due to cancer who report a positive healthcare experience, 2019 and 2022</w:t>
        </w:r>
        <w:r w:rsidR="00D37F38">
          <w:rPr>
            <w:webHidden/>
          </w:rPr>
          <w:tab/>
        </w:r>
        <w:r w:rsidR="00D37F38">
          <w:rPr>
            <w:webHidden/>
          </w:rPr>
          <w:fldChar w:fldCharType="begin"/>
        </w:r>
        <w:r w:rsidR="00D37F38">
          <w:rPr>
            <w:webHidden/>
          </w:rPr>
          <w:instrText xml:space="preserve"> PAGEREF _Toc140827723 \h </w:instrText>
        </w:r>
        <w:r w:rsidR="00D37F38">
          <w:rPr>
            <w:webHidden/>
          </w:rPr>
        </w:r>
        <w:r w:rsidR="00D37F38">
          <w:rPr>
            <w:webHidden/>
          </w:rPr>
          <w:fldChar w:fldCharType="separate"/>
        </w:r>
        <w:r w:rsidR="00850AA4">
          <w:rPr>
            <w:webHidden/>
          </w:rPr>
          <w:t>231</w:t>
        </w:r>
        <w:r w:rsidR="00D37F38">
          <w:rPr>
            <w:webHidden/>
          </w:rPr>
          <w:fldChar w:fldCharType="end"/>
        </w:r>
      </w:hyperlink>
    </w:p>
    <w:p w14:paraId="6C29FFBD" w14:textId="353A2DCF" w:rsidR="00D37F38" w:rsidRDefault="00000000">
      <w:pPr>
        <w:pStyle w:val="TOC1"/>
        <w:rPr>
          <w:rFonts w:asciiTheme="minorHAnsi" w:eastAsiaTheme="minorEastAsia" w:hAnsiTheme="minorHAnsi" w:cstheme="minorBidi"/>
          <w:sz w:val="22"/>
          <w:szCs w:val="22"/>
        </w:rPr>
      </w:pPr>
      <w:hyperlink w:anchor="_Toc140827724" w:history="1">
        <w:r w:rsidR="00D37F38" w:rsidRPr="00EB0B73">
          <w:rPr>
            <w:rStyle w:val="Hyperlink"/>
          </w:rPr>
          <w:t>Figure 16.1: Overall satisfaction with the breast screening process, 2014–2022</w:t>
        </w:r>
        <w:r w:rsidR="00D37F38">
          <w:rPr>
            <w:webHidden/>
          </w:rPr>
          <w:tab/>
        </w:r>
        <w:r w:rsidR="00D37F38">
          <w:rPr>
            <w:webHidden/>
          </w:rPr>
          <w:fldChar w:fldCharType="begin"/>
        </w:r>
        <w:r w:rsidR="00D37F38">
          <w:rPr>
            <w:webHidden/>
          </w:rPr>
          <w:instrText xml:space="preserve"> PAGEREF _Toc140827724 \h </w:instrText>
        </w:r>
        <w:r w:rsidR="00D37F38">
          <w:rPr>
            <w:webHidden/>
          </w:rPr>
        </w:r>
        <w:r w:rsidR="00D37F38">
          <w:rPr>
            <w:webHidden/>
          </w:rPr>
          <w:fldChar w:fldCharType="separate"/>
        </w:r>
        <w:r w:rsidR="00850AA4">
          <w:rPr>
            <w:webHidden/>
          </w:rPr>
          <w:t>233</w:t>
        </w:r>
        <w:r w:rsidR="00D37F38">
          <w:rPr>
            <w:webHidden/>
          </w:rPr>
          <w:fldChar w:fldCharType="end"/>
        </w:r>
      </w:hyperlink>
    </w:p>
    <w:p w14:paraId="2244DF63" w14:textId="61827243" w:rsidR="00D37F38" w:rsidRDefault="00000000">
      <w:pPr>
        <w:pStyle w:val="TOC1"/>
        <w:rPr>
          <w:rFonts w:asciiTheme="minorHAnsi" w:eastAsiaTheme="minorEastAsia" w:hAnsiTheme="minorHAnsi" w:cstheme="minorBidi"/>
          <w:sz w:val="22"/>
          <w:szCs w:val="22"/>
        </w:rPr>
      </w:pPr>
      <w:hyperlink w:anchor="_Toc140827725" w:history="1">
        <w:r w:rsidR="00D37F38" w:rsidRPr="00EB0B73">
          <w:rPr>
            <w:rStyle w:val="Hyperlink"/>
          </w:rPr>
          <w:t>Figure 16.2: Age-adjusted proportion of women screened during 2014 and 2018 who rescreened within 27 months, first screening round, by state and territory, women aged 50–72 years</w:t>
        </w:r>
        <w:r w:rsidR="00D37F38">
          <w:rPr>
            <w:webHidden/>
          </w:rPr>
          <w:tab/>
        </w:r>
        <w:r w:rsidR="00D37F38">
          <w:rPr>
            <w:webHidden/>
          </w:rPr>
          <w:fldChar w:fldCharType="begin"/>
        </w:r>
        <w:r w:rsidR="00D37F38">
          <w:rPr>
            <w:webHidden/>
          </w:rPr>
          <w:instrText xml:space="preserve"> PAGEREF _Toc140827725 \h </w:instrText>
        </w:r>
        <w:r w:rsidR="00D37F38">
          <w:rPr>
            <w:webHidden/>
          </w:rPr>
        </w:r>
        <w:r w:rsidR="00D37F38">
          <w:rPr>
            <w:webHidden/>
          </w:rPr>
          <w:fldChar w:fldCharType="separate"/>
        </w:r>
        <w:r w:rsidR="00850AA4">
          <w:rPr>
            <w:webHidden/>
          </w:rPr>
          <w:t>235</w:t>
        </w:r>
        <w:r w:rsidR="00D37F38">
          <w:rPr>
            <w:webHidden/>
          </w:rPr>
          <w:fldChar w:fldCharType="end"/>
        </w:r>
      </w:hyperlink>
    </w:p>
    <w:p w14:paraId="473A97D4" w14:textId="011DB1B3" w:rsidR="00D37F38" w:rsidRDefault="00000000">
      <w:pPr>
        <w:pStyle w:val="TOC1"/>
        <w:rPr>
          <w:rFonts w:asciiTheme="minorHAnsi" w:eastAsiaTheme="minorEastAsia" w:hAnsiTheme="minorHAnsi" w:cstheme="minorBidi"/>
          <w:sz w:val="22"/>
          <w:szCs w:val="22"/>
        </w:rPr>
      </w:pPr>
      <w:hyperlink w:anchor="_Toc140827726" w:history="1">
        <w:r w:rsidR="00D37F38" w:rsidRPr="00EB0B73">
          <w:rPr>
            <w:rStyle w:val="Hyperlink"/>
          </w:rPr>
          <w:t>Figure 16.4: Proportion of adults aged 50–74 who are rescreened (in subsequent rounds) by the National Bowel Cancer Screening Program, Victoria and Australia, 2014–2015 to 2020–2021</w:t>
        </w:r>
        <w:r w:rsidR="00D37F38">
          <w:rPr>
            <w:webHidden/>
          </w:rPr>
          <w:tab/>
        </w:r>
        <w:r w:rsidR="00D37F38">
          <w:rPr>
            <w:webHidden/>
          </w:rPr>
          <w:fldChar w:fldCharType="begin"/>
        </w:r>
        <w:r w:rsidR="00D37F38">
          <w:rPr>
            <w:webHidden/>
          </w:rPr>
          <w:instrText xml:space="preserve"> PAGEREF _Toc140827726 \h </w:instrText>
        </w:r>
        <w:r w:rsidR="00D37F38">
          <w:rPr>
            <w:webHidden/>
          </w:rPr>
        </w:r>
        <w:r w:rsidR="00D37F38">
          <w:rPr>
            <w:webHidden/>
          </w:rPr>
          <w:fldChar w:fldCharType="separate"/>
        </w:r>
        <w:r w:rsidR="00850AA4">
          <w:rPr>
            <w:webHidden/>
          </w:rPr>
          <w:t>238</w:t>
        </w:r>
        <w:r w:rsidR="00D37F38">
          <w:rPr>
            <w:webHidden/>
          </w:rPr>
          <w:fldChar w:fldCharType="end"/>
        </w:r>
      </w:hyperlink>
    </w:p>
    <w:p w14:paraId="2DDF8911" w14:textId="40EFA828" w:rsidR="00D37F38" w:rsidRDefault="00000000">
      <w:pPr>
        <w:pStyle w:val="TOC1"/>
        <w:rPr>
          <w:rFonts w:asciiTheme="minorHAnsi" w:eastAsiaTheme="minorEastAsia" w:hAnsiTheme="minorHAnsi" w:cstheme="minorBidi"/>
          <w:sz w:val="22"/>
          <w:szCs w:val="22"/>
        </w:rPr>
      </w:pPr>
      <w:hyperlink w:anchor="_Toc140827727" w:history="1">
        <w:r w:rsidR="00D37F38" w:rsidRPr="00EB0B73">
          <w:rPr>
            <w:rStyle w:val="Hyperlink"/>
          </w:rPr>
          <w:t>Figure 17.1: Number of new enrolments in cancer intervention clinical trials in Victoria, by year, 2016–2021</w:t>
        </w:r>
        <w:r w:rsidR="00D37F38">
          <w:rPr>
            <w:webHidden/>
          </w:rPr>
          <w:tab/>
        </w:r>
        <w:r w:rsidR="00D37F38">
          <w:rPr>
            <w:webHidden/>
          </w:rPr>
          <w:fldChar w:fldCharType="begin"/>
        </w:r>
        <w:r w:rsidR="00D37F38">
          <w:rPr>
            <w:webHidden/>
          </w:rPr>
          <w:instrText xml:space="preserve"> PAGEREF _Toc140827727 \h </w:instrText>
        </w:r>
        <w:r w:rsidR="00D37F38">
          <w:rPr>
            <w:webHidden/>
          </w:rPr>
        </w:r>
        <w:r w:rsidR="00D37F38">
          <w:rPr>
            <w:webHidden/>
          </w:rPr>
          <w:fldChar w:fldCharType="separate"/>
        </w:r>
        <w:r w:rsidR="00850AA4">
          <w:rPr>
            <w:webHidden/>
          </w:rPr>
          <w:t>240</w:t>
        </w:r>
        <w:r w:rsidR="00D37F38">
          <w:rPr>
            <w:webHidden/>
          </w:rPr>
          <w:fldChar w:fldCharType="end"/>
        </w:r>
      </w:hyperlink>
    </w:p>
    <w:p w14:paraId="739A1DF9" w14:textId="533EC6B9" w:rsidR="00D37F38" w:rsidRDefault="00000000">
      <w:pPr>
        <w:pStyle w:val="TOC1"/>
        <w:rPr>
          <w:rFonts w:asciiTheme="minorHAnsi" w:eastAsiaTheme="minorEastAsia" w:hAnsiTheme="minorHAnsi" w:cstheme="minorBidi"/>
          <w:sz w:val="22"/>
          <w:szCs w:val="22"/>
        </w:rPr>
      </w:pPr>
      <w:hyperlink w:anchor="_Toc140827728" w:history="1">
        <w:r w:rsidR="00D37F38" w:rsidRPr="00EB0B73">
          <w:rPr>
            <w:rStyle w:val="Hyperlink"/>
          </w:rPr>
          <w:t>Figure 17.1.2: Proportion of new enrolments in cancer intervention clinical trials in Victoria stratified by tumour stream, by year, 2016–2021</w:t>
        </w:r>
        <w:r w:rsidR="00D37F38">
          <w:rPr>
            <w:webHidden/>
          </w:rPr>
          <w:tab/>
        </w:r>
        <w:r w:rsidR="00D37F38">
          <w:rPr>
            <w:webHidden/>
          </w:rPr>
          <w:fldChar w:fldCharType="begin"/>
        </w:r>
        <w:r w:rsidR="00D37F38">
          <w:rPr>
            <w:webHidden/>
          </w:rPr>
          <w:instrText xml:space="preserve"> PAGEREF _Toc140827728 \h </w:instrText>
        </w:r>
        <w:r w:rsidR="00D37F38">
          <w:rPr>
            <w:webHidden/>
          </w:rPr>
        </w:r>
        <w:r w:rsidR="00D37F38">
          <w:rPr>
            <w:webHidden/>
          </w:rPr>
          <w:fldChar w:fldCharType="separate"/>
        </w:r>
        <w:r w:rsidR="00850AA4">
          <w:rPr>
            <w:webHidden/>
          </w:rPr>
          <w:t>241</w:t>
        </w:r>
        <w:r w:rsidR="00D37F38">
          <w:rPr>
            <w:webHidden/>
          </w:rPr>
          <w:fldChar w:fldCharType="end"/>
        </w:r>
      </w:hyperlink>
    </w:p>
    <w:p w14:paraId="7A7CE0A0" w14:textId="6E049F5B" w:rsidR="00D37F38" w:rsidRDefault="00000000">
      <w:pPr>
        <w:pStyle w:val="TOC1"/>
        <w:rPr>
          <w:rFonts w:asciiTheme="minorHAnsi" w:eastAsiaTheme="minorEastAsia" w:hAnsiTheme="minorHAnsi" w:cstheme="minorBidi"/>
          <w:sz w:val="22"/>
          <w:szCs w:val="22"/>
        </w:rPr>
      </w:pPr>
      <w:hyperlink w:anchor="_Toc140827729" w:history="1">
        <w:r w:rsidR="00D37F38" w:rsidRPr="00EB0B73">
          <w:rPr>
            <w:rStyle w:val="Hyperlink"/>
          </w:rPr>
          <w:t>Figure 17.2: Number of recruiting cancer intervention clinical trials in Victoria, by year,  2016–2021</w:t>
        </w:r>
        <w:r w:rsidR="00D37F38">
          <w:rPr>
            <w:webHidden/>
          </w:rPr>
          <w:tab/>
        </w:r>
        <w:r w:rsidR="00D37F38">
          <w:rPr>
            <w:webHidden/>
          </w:rPr>
          <w:fldChar w:fldCharType="begin"/>
        </w:r>
        <w:r w:rsidR="00D37F38">
          <w:rPr>
            <w:webHidden/>
          </w:rPr>
          <w:instrText xml:space="preserve"> PAGEREF _Toc140827729 \h </w:instrText>
        </w:r>
        <w:r w:rsidR="00D37F38">
          <w:rPr>
            <w:webHidden/>
          </w:rPr>
        </w:r>
        <w:r w:rsidR="00D37F38">
          <w:rPr>
            <w:webHidden/>
          </w:rPr>
          <w:fldChar w:fldCharType="separate"/>
        </w:r>
        <w:r w:rsidR="00850AA4">
          <w:rPr>
            <w:webHidden/>
          </w:rPr>
          <w:t>243</w:t>
        </w:r>
        <w:r w:rsidR="00D37F38">
          <w:rPr>
            <w:webHidden/>
          </w:rPr>
          <w:fldChar w:fldCharType="end"/>
        </w:r>
      </w:hyperlink>
    </w:p>
    <w:p w14:paraId="23C24E0B" w14:textId="68BCEF81" w:rsidR="00D37F38" w:rsidRDefault="00000000">
      <w:pPr>
        <w:pStyle w:val="TOC1"/>
        <w:rPr>
          <w:rFonts w:asciiTheme="minorHAnsi" w:eastAsiaTheme="minorEastAsia" w:hAnsiTheme="minorHAnsi" w:cstheme="minorBidi"/>
          <w:sz w:val="22"/>
          <w:szCs w:val="22"/>
        </w:rPr>
      </w:pPr>
      <w:hyperlink w:anchor="_Toc140827730" w:history="1">
        <w:r w:rsidR="00D37F38" w:rsidRPr="00EB0B73">
          <w:rPr>
            <w:rStyle w:val="Hyperlink"/>
          </w:rPr>
          <w:t>Figure 17.2.1: Proportion of recruiting cancer intervention clinical trials in Victoria, stratified by tumour stream, by year, 2016–2021</w:t>
        </w:r>
        <w:r w:rsidR="00D37F38">
          <w:rPr>
            <w:webHidden/>
          </w:rPr>
          <w:tab/>
        </w:r>
        <w:r w:rsidR="00D37F38">
          <w:rPr>
            <w:webHidden/>
          </w:rPr>
          <w:fldChar w:fldCharType="begin"/>
        </w:r>
        <w:r w:rsidR="00D37F38">
          <w:rPr>
            <w:webHidden/>
          </w:rPr>
          <w:instrText xml:space="preserve"> PAGEREF _Toc140827730 \h </w:instrText>
        </w:r>
        <w:r w:rsidR="00D37F38">
          <w:rPr>
            <w:webHidden/>
          </w:rPr>
        </w:r>
        <w:r w:rsidR="00D37F38">
          <w:rPr>
            <w:webHidden/>
          </w:rPr>
          <w:fldChar w:fldCharType="separate"/>
        </w:r>
        <w:r w:rsidR="00850AA4">
          <w:rPr>
            <w:webHidden/>
          </w:rPr>
          <w:t>243</w:t>
        </w:r>
        <w:r w:rsidR="00D37F38">
          <w:rPr>
            <w:webHidden/>
          </w:rPr>
          <w:fldChar w:fldCharType="end"/>
        </w:r>
      </w:hyperlink>
    </w:p>
    <w:p w14:paraId="7038AF78" w14:textId="7B1B77F7" w:rsidR="00D37F38" w:rsidRDefault="00000000">
      <w:pPr>
        <w:pStyle w:val="TOC1"/>
        <w:rPr>
          <w:rFonts w:asciiTheme="minorHAnsi" w:eastAsiaTheme="minorEastAsia" w:hAnsiTheme="minorHAnsi" w:cstheme="minorBidi"/>
          <w:sz w:val="22"/>
          <w:szCs w:val="22"/>
        </w:rPr>
      </w:pPr>
      <w:hyperlink w:anchor="_Toc140827731" w:history="1">
        <w:r w:rsidR="00D37F38" w:rsidRPr="00EB0B73">
          <w:rPr>
            <w:rStyle w:val="Hyperlink"/>
          </w:rPr>
          <w:t>Figure 17.3: Number of human research ethics committee approved cancer-related studies, by year, 2014–2022</w:t>
        </w:r>
        <w:r w:rsidR="00D37F38">
          <w:rPr>
            <w:webHidden/>
          </w:rPr>
          <w:tab/>
        </w:r>
        <w:r w:rsidR="00D37F38">
          <w:rPr>
            <w:webHidden/>
          </w:rPr>
          <w:fldChar w:fldCharType="begin"/>
        </w:r>
        <w:r w:rsidR="00D37F38">
          <w:rPr>
            <w:webHidden/>
          </w:rPr>
          <w:instrText xml:space="preserve"> PAGEREF _Toc140827731 \h </w:instrText>
        </w:r>
        <w:r w:rsidR="00D37F38">
          <w:rPr>
            <w:webHidden/>
          </w:rPr>
        </w:r>
        <w:r w:rsidR="00D37F38">
          <w:rPr>
            <w:webHidden/>
          </w:rPr>
          <w:fldChar w:fldCharType="separate"/>
        </w:r>
        <w:r w:rsidR="00850AA4">
          <w:rPr>
            <w:webHidden/>
          </w:rPr>
          <w:t>245</w:t>
        </w:r>
        <w:r w:rsidR="00D37F38">
          <w:rPr>
            <w:webHidden/>
          </w:rPr>
          <w:fldChar w:fldCharType="end"/>
        </w:r>
      </w:hyperlink>
    </w:p>
    <w:p w14:paraId="49B086A1" w14:textId="22FFA03B" w:rsidR="00D37F38" w:rsidRDefault="00000000">
      <w:pPr>
        <w:pStyle w:val="TOC1"/>
        <w:rPr>
          <w:rFonts w:asciiTheme="minorHAnsi" w:eastAsiaTheme="minorEastAsia" w:hAnsiTheme="minorHAnsi" w:cstheme="minorBidi"/>
          <w:sz w:val="22"/>
          <w:szCs w:val="22"/>
        </w:rPr>
      </w:pPr>
      <w:hyperlink w:anchor="_Toc140827732" w:history="1">
        <w:r w:rsidR="00D37F38" w:rsidRPr="00EB0B73">
          <w:rPr>
            <w:rStyle w:val="Hyperlink"/>
          </w:rPr>
          <w:t>Figure 17.5: Quit ratio of people who have ever smoked, by year, 2015–2022</w:t>
        </w:r>
        <w:r w:rsidR="00D37F38">
          <w:rPr>
            <w:webHidden/>
          </w:rPr>
          <w:tab/>
        </w:r>
        <w:r w:rsidR="00D37F38">
          <w:rPr>
            <w:webHidden/>
          </w:rPr>
          <w:fldChar w:fldCharType="begin"/>
        </w:r>
        <w:r w:rsidR="00D37F38">
          <w:rPr>
            <w:webHidden/>
          </w:rPr>
          <w:instrText xml:space="preserve"> PAGEREF _Toc140827732 \h </w:instrText>
        </w:r>
        <w:r w:rsidR="00D37F38">
          <w:rPr>
            <w:webHidden/>
          </w:rPr>
        </w:r>
        <w:r w:rsidR="00D37F38">
          <w:rPr>
            <w:webHidden/>
          </w:rPr>
          <w:fldChar w:fldCharType="separate"/>
        </w:r>
        <w:r w:rsidR="00850AA4">
          <w:rPr>
            <w:webHidden/>
          </w:rPr>
          <w:t>247</w:t>
        </w:r>
        <w:r w:rsidR="00D37F38">
          <w:rPr>
            <w:webHidden/>
          </w:rPr>
          <w:fldChar w:fldCharType="end"/>
        </w:r>
      </w:hyperlink>
    </w:p>
    <w:p w14:paraId="1429A808" w14:textId="21307F4B" w:rsidR="00D37F38" w:rsidRDefault="00000000">
      <w:pPr>
        <w:pStyle w:val="TOC1"/>
        <w:rPr>
          <w:rFonts w:asciiTheme="minorHAnsi" w:eastAsiaTheme="minorEastAsia" w:hAnsiTheme="minorHAnsi" w:cstheme="minorBidi"/>
          <w:sz w:val="22"/>
          <w:szCs w:val="22"/>
        </w:rPr>
      </w:pPr>
      <w:hyperlink w:anchor="_Toc140827733" w:history="1">
        <w:r w:rsidR="00D37F38" w:rsidRPr="00EB0B73">
          <w:rPr>
            <w:rStyle w:val="Hyperlink"/>
          </w:rPr>
          <w:t>Figure G5: Number of new clinical trial enrolments in rural and regional/rural areas in Victoria, 2016–2021</w:t>
        </w:r>
        <w:r w:rsidR="00D37F38">
          <w:rPr>
            <w:webHidden/>
          </w:rPr>
          <w:tab/>
        </w:r>
        <w:r w:rsidR="00D37F38">
          <w:rPr>
            <w:webHidden/>
          </w:rPr>
          <w:fldChar w:fldCharType="begin"/>
        </w:r>
        <w:r w:rsidR="00D37F38">
          <w:rPr>
            <w:webHidden/>
          </w:rPr>
          <w:instrText xml:space="preserve"> PAGEREF _Toc140827733 \h </w:instrText>
        </w:r>
        <w:r w:rsidR="00D37F38">
          <w:rPr>
            <w:webHidden/>
          </w:rPr>
        </w:r>
        <w:r w:rsidR="00D37F38">
          <w:rPr>
            <w:webHidden/>
          </w:rPr>
          <w:fldChar w:fldCharType="separate"/>
        </w:r>
        <w:r w:rsidR="00850AA4">
          <w:rPr>
            <w:webHidden/>
          </w:rPr>
          <w:t>253</w:t>
        </w:r>
        <w:r w:rsidR="00D37F38">
          <w:rPr>
            <w:webHidden/>
          </w:rPr>
          <w:fldChar w:fldCharType="end"/>
        </w:r>
      </w:hyperlink>
    </w:p>
    <w:p w14:paraId="1D1FF0B5" w14:textId="3B5E676D" w:rsidR="00D37F38" w:rsidRDefault="00000000">
      <w:pPr>
        <w:pStyle w:val="TOC1"/>
        <w:rPr>
          <w:rFonts w:asciiTheme="minorHAnsi" w:eastAsiaTheme="minorEastAsia" w:hAnsiTheme="minorHAnsi" w:cstheme="minorBidi"/>
          <w:sz w:val="22"/>
          <w:szCs w:val="22"/>
        </w:rPr>
      </w:pPr>
      <w:hyperlink w:anchor="_Toc140827734" w:history="1">
        <w:r w:rsidR="00D37F38" w:rsidRPr="00EB0B73">
          <w:rPr>
            <w:rStyle w:val="Hyperlink"/>
          </w:rPr>
          <w:t>Figure G7: Number of newly acquired infections of hepatitis B and C in Victoria, by year, 2014–2022</w:t>
        </w:r>
        <w:r w:rsidR="00D37F38">
          <w:rPr>
            <w:webHidden/>
          </w:rPr>
          <w:tab/>
        </w:r>
        <w:r w:rsidR="00D37F38">
          <w:rPr>
            <w:webHidden/>
          </w:rPr>
          <w:fldChar w:fldCharType="begin"/>
        </w:r>
        <w:r w:rsidR="00D37F38">
          <w:rPr>
            <w:webHidden/>
          </w:rPr>
          <w:instrText xml:space="preserve"> PAGEREF _Toc140827734 \h </w:instrText>
        </w:r>
        <w:r w:rsidR="00D37F38">
          <w:rPr>
            <w:webHidden/>
          </w:rPr>
        </w:r>
        <w:r w:rsidR="00D37F38">
          <w:rPr>
            <w:webHidden/>
          </w:rPr>
          <w:fldChar w:fldCharType="separate"/>
        </w:r>
        <w:r w:rsidR="00850AA4">
          <w:rPr>
            <w:webHidden/>
          </w:rPr>
          <w:t>255</w:t>
        </w:r>
        <w:r w:rsidR="00D37F38">
          <w:rPr>
            <w:webHidden/>
          </w:rPr>
          <w:fldChar w:fldCharType="end"/>
        </w:r>
      </w:hyperlink>
    </w:p>
    <w:p w14:paraId="25182F8D" w14:textId="6D621343" w:rsidR="00757D17" w:rsidRPr="00497878" w:rsidRDefault="00757D17" w:rsidP="00757D17">
      <w:pPr>
        <w:pStyle w:val="Body"/>
      </w:pPr>
      <w:r>
        <w:fldChar w:fldCharType="end"/>
      </w:r>
    </w:p>
    <w:p w14:paraId="5AD875D2" w14:textId="28372018" w:rsidR="00E928F9" w:rsidRPr="00497878" w:rsidRDefault="00E928F9" w:rsidP="00606436">
      <w:pPr>
        <w:pStyle w:val="Body"/>
      </w:pPr>
      <w:r w:rsidRPr="00497878">
        <w:br w:type="page"/>
      </w:r>
    </w:p>
    <w:p w14:paraId="43AAE310" w14:textId="73C82B67" w:rsidR="00E928F9" w:rsidRDefault="001D02F2" w:rsidP="005777BA">
      <w:pPr>
        <w:pStyle w:val="Heading1"/>
      </w:pPr>
      <w:bookmarkStart w:id="1237" w:name="_Toc140843437"/>
      <w:r>
        <w:lastRenderedPageBreak/>
        <w:t>List of t</w:t>
      </w:r>
      <w:r w:rsidR="00E928F9" w:rsidRPr="00A63984">
        <w:t>able</w:t>
      </w:r>
      <w:r w:rsidR="002614E3" w:rsidRPr="00A63984">
        <w:t>s</w:t>
      </w:r>
      <w:bookmarkEnd w:id="1237"/>
    </w:p>
    <w:p w14:paraId="6B6A5A2B" w14:textId="72880499" w:rsidR="00B35A10" w:rsidRDefault="00757D17">
      <w:pPr>
        <w:pStyle w:val="TOC1"/>
        <w:rPr>
          <w:rFonts w:asciiTheme="minorHAnsi" w:eastAsiaTheme="minorEastAsia" w:hAnsiTheme="minorHAnsi" w:cstheme="minorBidi"/>
          <w:sz w:val="22"/>
          <w:szCs w:val="22"/>
        </w:rPr>
      </w:pPr>
      <w:r>
        <w:fldChar w:fldCharType="begin"/>
      </w:r>
      <w:r>
        <w:instrText xml:space="preserve"> TOC \h \z \t "Table caption,1" </w:instrText>
      </w:r>
      <w:r>
        <w:fldChar w:fldCharType="separate"/>
      </w:r>
      <w:hyperlink w:anchor="_Toc140834907" w:history="1">
        <w:r w:rsidR="00B35A10" w:rsidRPr="00A431D2">
          <w:rPr>
            <w:rStyle w:val="Hyperlink"/>
          </w:rPr>
          <w:t>Table 2.1: Victorian death rate for all cancers combined, by sex and year, 2010–2021</w:t>
        </w:r>
        <w:r w:rsidR="00B35A10">
          <w:rPr>
            <w:webHidden/>
          </w:rPr>
          <w:tab/>
        </w:r>
        <w:r w:rsidR="00B35A10">
          <w:rPr>
            <w:webHidden/>
          </w:rPr>
          <w:fldChar w:fldCharType="begin"/>
        </w:r>
        <w:r w:rsidR="00B35A10">
          <w:rPr>
            <w:webHidden/>
          </w:rPr>
          <w:instrText xml:space="preserve"> PAGEREF _Toc140834907 \h </w:instrText>
        </w:r>
        <w:r w:rsidR="00B35A10">
          <w:rPr>
            <w:webHidden/>
          </w:rPr>
        </w:r>
        <w:r w:rsidR="00B35A10">
          <w:rPr>
            <w:webHidden/>
          </w:rPr>
          <w:fldChar w:fldCharType="separate"/>
        </w:r>
        <w:r w:rsidR="00850AA4">
          <w:rPr>
            <w:webHidden/>
          </w:rPr>
          <w:t>60</w:t>
        </w:r>
        <w:r w:rsidR="00B35A10">
          <w:rPr>
            <w:webHidden/>
          </w:rPr>
          <w:fldChar w:fldCharType="end"/>
        </w:r>
      </w:hyperlink>
    </w:p>
    <w:p w14:paraId="6A121BBB" w14:textId="1D848C08" w:rsidR="00B35A10" w:rsidRDefault="00000000">
      <w:pPr>
        <w:pStyle w:val="TOC1"/>
        <w:rPr>
          <w:rFonts w:asciiTheme="minorHAnsi" w:eastAsiaTheme="minorEastAsia" w:hAnsiTheme="minorHAnsi" w:cstheme="minorBidi"/>
          <w:sz w:val="22"/>
          <w:szCs w:val="22"/>
        </w:rPr>
      </w:pPr>
      <w:hyperlink w:anchor="_Toc140834908" w:history="1">
        <w:r w:rsidR="00B35A10" w:rsidRPr="00A431D2">
          <w:rPr>
            <w:rStyle w:val="Hyperlink"/>
          </w:rPr>
          <w:t>Table 2.2: Victorian premature death rate for all cancers combined, by sex and year, 2010–2021</w:t>
        </w:r>
        <w:r w:rsidR="00B35A10">
          <w:rPr>
            <w:webHidden/>
          </w:rPr>
          <w:tab/>
        </w:r>
        <w:r w:rsidR="00B35A10">
          <w:rPr>
            <w:webHidden/>
          </w:rPr>
          <w:fldChar w:fldCharType="begin"/>
        </w:r>
        <w:r w:rsidR="00B35A10">
          <w:rPr>
            <w:webHidden/>
          </w:rPr>
          <w:instrText xml:space="preserve"> PAGEREF _Toc140834908 \h </w:instrText>
        </w:r>
        <w:r w:rsidR="00B35A10">
          <w:rPr>
            <w:webHidden/>
          </w:rPr>
        </w:r>
        <w:r w:rsidR="00B35A10">
          <w:rPr>
            <w:webHidden/>
          </w:rPr>
          <w:fldChar w:fldCharType="separate"/>
        </w:r>
        <w:r w:rsidR="00850AA4">
          <w:rPr>
            <w:webHidden/>
          </w:rPr>
          <w:t>65</w:t>
        </w:r>
        <w:r w:rsidR="00B35A10">
          <w:rPr>
            <w:webHidden/>
          </w:rPr>
          <w:fldChar w:fldCharType="end"/>
        </w:r>
      </w:hyperlink>
    </w:p>
    <w:p w14:paraId="53BEB55E" w14:textId="7D7D46F7" w:rsidR="00B35A10" w:rsidRDefault="00000000">
      <w:pPr>
        <w:pStyle w:val="TOC1"/>
        <w:rPr>
          <w:rFonts w:asciiTheme="minorHAnsi" w:eastAsiaTheme="minorEastAsia" w:hAnsiTheme="minorHAnsi" w:cstheme="minorBidi"/>
          <w:sz w:val="22"/>
          <w:szCs w:val="22"/>
        </w:rPr>
      </w:pPr>
      <w:hyperlink w:anchor="_Toc140834909" w:history="1">
        <w:r w:rsidR="00B35A10" w:rsidRPr="00A431D2">
          <w:rPr>
            <w:rStyle w:val="Hyperlink"/>
          </w:rPr>
          <w:t>Table 4.1: Rate ratio of preventable cancer incidence in ICS of residence compared with the ICS of residence with the lowest adjusted incidence rate, grouped by year of diagnosis from 2014 to 2021</w:t>
        </w:r>
        <w:r w:rsidR="00B35A10">
          <w:rPr>
            <w:webHidden/>
          </w:rPr>
          <w:tab/>
        </w:r>
        <w:r w:rsidR="00B35A10">
          <w:rPr>
            <w:webHidden/>
          </w:rPr>
          <w:fldChar w:fldCharType="begin"/>
        </w:r>
        <w:r w:rsidR="00B35A10">
          <w:rPr>
            <w:webHidden/>
          </w:rPr>
          <w:instrText xml:space="preserve"> PAGEREF _Toc140834909 \h </w:instrText>
        </w:r>
        <w:r w:rsidR="00B35A10">
          <w:rPr>
            <w:webHidden/>
          </w:rPr>
        </w:r>
        <w:r w:rsidR="00B35A10">
          <w:rPr>
            <w:webHidden/>
          </w:rPr>
          <w:fldChar w:fldCharType="separate"/>
        </w:r>
        <w:r w:rsidR="00850AA4">
          <w:rPr>
            <w:webHidden/>
          </w:rPr>
          <w:t>72</w:t>
        </w:r>
        <w:r w:rsidR="00B35A10">
          <w:rPr>
            <w:webHidden/>
          </w:rPr>
          <w:fldChar w:fldCharType="end"/>
        </w:r>
      </w:hyperlink>
    </w:p>
    <w:p w14:paraId="5640A838" w14:textId="278CD2E4" w:rsidR="00B35A10" w:rsidRDefault="00000000">
      <w:pPr>
        <w:pStyle w:val="TOC1"/>
        <w:rPr>
          <w:rFonts w:asciiTheme="minorHAnsi" w:eastAsiaTheme="minorEastAsia" w:hAnsiTheme="minorHAnsi" w:cstheme="minorBidi"/>
          <w:sz w:val="22"/>
          <w:szCs w:val="22"/>
        </w:rPr>
      </w:pPr>
      <w:hyperlink w:anchor="_Toc140834910" w:history="1">
        <w:r w:rsidR="00B35A10" w:rsidRPr="00A431D2">
          <w:rPr>
            <w:rStyle w:val="Hyperlink"/>
          </w:rPr>
          <w:t>Table 4.2: Rate ratio of preventable cancer incidence (with confidence intervals) for Victoria in SES quintiles 1–4 (where SES 1 is most disadvantaged) compared with the least disadvantaged quintile, grouped by year of diagnosis, 2014–2021</w:t>
        </w:r>
        <w:r w:rsidR="00B35A10">
          <w:rPr>
            <w:webHidden/>
          </w:rPr>
          <w:tab/>
        </w:r>
        <w:r w:rsidR="00B35A10">
          <w:rPr>
            <w:webHidden/>
          </w:rPr>
          <w:fldChar w:fldCharType="begin"/>
        </w:r>
        <w:r w:rsidR="00B35A10">
          <w:rPr>
            <w:webHidden/>
          </w:rPr>
          <w:instrText xml:space="preserve"> PAGEREF _Toc140834910 \h </w:instrText>
        </w:r>
        <w:r w:rsidR="00B35A10">
          <w:rPr>
            <w:webHidden/>
          </w:rPr>
        </w:r>
        <w:r w:rsidR="00B35A10">
          <w:rPr>
            <w:webHidden/>
          </w:rPr>
          <w:fldChar w:fldCharType="separate"/>
        </w:r>
        <w:r w:rsidR="00850AA4">
          <w:rPr>
            <w:webHidden/>
          </w:rPr>
          <w:t>74</w:t>
        </w:r>
        <w:r w:rsidR="00B35A10">
          <w:rPr>
            <w:webHidden/>
          </w:rPr>
          <w:fldChar w:fldCharType="end"/>
        </w:r>
      </w:hyperlink>
    </w:p>
    <w:p w14:paraId="09825AB7" w14:textId="23CA9D35" w:rsidR="00B35A10" w:rsidRDefault="00000000">
      <w:pPr>
        <w:pStyle w:val="TOC1"/>
        <w:rPr>
          <w:rFonts w:asciiTheme="minorHAnsi" w:eastAsiaTheme="minorEastAsia" w:hAnsiTheme="minorHAnsi" w:cstheme="minorBidi"/>
          <w:sz w:val="22"/>
          <w:szCs w:val="22"/>
        </w:rPr>
      </w:pPr>
      <w:hyperlink w:anchor="_Toc140834911" w:history="1">
        <w:r w:rsidR="00B35A10" w:rsidRPr="00A431D2">
          <w:rPr>
            <w:rStyle w:val="Hyperlink"/>
          </w:rPr>
          <w:t>Table 4.3: Rate ratio of preventable cancer incidence (with confidence intervals) between Aboriginal and non-Aboriginal Victorians, by year of diagnosis, 2014–2021</w:t>
        </w:r>
        <w:r w:rsidR="00B35A10">
          <w:rPr>
            <w:webHidden/>
          </w:rPr>
          <w:tab/>
        </w:r>
        <w:r w:rsidR="00B35A10">
          <w:rPr>
            <w:webHidden/>
          </w:rPr>
          <w:fldChar w:fldCharType="begin"/>
        </w:r>
        <w:r w:rsidR="00B35A10">
          <w:rPr>
            <w:webHidden/>
          </w:rPr>
          <w:instrText xml:space="preserve"> PAGEREF _Toc140834911 \h </w:instrText>
        </w:r>
        <w:r w:rsidR="00B35A10">
          <w:rPr>
            <w:webHidden/>
          </w:rPr>
        </w:r>
        <w:r w:rsidR="00B35A10">
          <w:rPr>
            <w:webHidden/>
          </w:rPr>
          <w:fldChar w:fldCharType="separate"/>
        </w:r>
        <w:r w:rsidR="00850AA4">
          <w:rPr>
            <w:webHidden/>
          </w:rPr>
          <w:t>75</w:t>
        </w:r>
        <w:r w:rsidR="00B35A10">
          <w:rPr>
            <w:webHidden/>
          </w:rPr>
          <w:fldChar w:fldCharType="end"/>
        </w:r>
      </w:hyperlink>
    </w:p>
    <w:p w14:paraId="68DEE74F" w14:textId="5706F932" w:rsidR="00B35A10" w:rsidRDefault="00000000">
      <w:pPr>
        <w:pStyle w:val="TOC1"/>
        <w:rPr>
          <w:rFonts w:asciiTheme="minorHAnsi" w:eastAsiaTheme="minorEastAsia" w:hAnsiTheme="minorHAnsi" w:cstheme="minorBidi"/>
          <w:sz w:val="22"/>
          <w:szCs w:val="22"/>
        </w:rPr>
      </w:pPr>
      <w:hyperlink w:anchor="_Toc140834912" w:history="1">
        <w:r w:rsidR="00B35A10" w:rsidRPr="00A431D2">
          <w:rPr>
            <w:rStyle w:val="Hyperlink"/>
          </w:rPr>
          <w:t>Table 5.1: Rate ratio of premature death (with confidence intervals) due to cancer in ICS of residence compared with the ICS of residence with the lowest premature death rate, grouped by year of diagnosis, 2014–2021</w:t>
        </w:r>
        <w:r w:rsidR="00B35A10">
          <w:rPr>
            <w:webHidden/>
          </w:rPr>
          <w:tab/>
        </w:r>
        <w:r w:rsidR="00B35A10">
          <w:rPr>
            <w:webHidden/>
          </w:rPr>
          <w:fldChar w:fldCharType="begin"/>
        </w:r>
        <w:r w:rsidR="00B35A10">
          <w:rPr>
            <w:webHidden/>
          </w:rPr>
          <w:instrText xml:space="preserve"> PAGEREF _Toc140834912 \h </w:instrText>
        </w:r>
        <w:r w:rsidR="00B35A10">
          <w:rPr>
            <w:webHidden/>
          </w:rPr>
        </w:r>
        <w:r w:rsidR="00B35A10">
          <w:rPr>
            <w:webHidden/>
          </w:rPr>
          <w:fldChar w:fldCharType="separate"/>
        </w:r>
        <w:r w:rsidR="00850AA4">
          <w:rPr>
            <w:webHidden/>
          </w:rPr>
          <w:t>78</w:t>
        </w:r>
        <w:r w:rsidR="00B35A10">
          <w:rPr>
            <w:webHidden/>
          </w:rPr>
          <w:fldChar w:fldCharType="end"/>
        </w:r>
      </w:hyperlink>
    </w:p>
    <w:p w14:paraId="4A5CB0D1" w14:textId="3AF16CF4" w:rsidR="00B35A10" w:rsidRDefault="00000000">
      <w:pPr>
        <w:pStyle w:val="TOC1"/>
        <w:rPr>
          <w:rFonts w:asciiTheme="minorHAnsi" w:eastAsiaTheme="minorEastAsia" w:hAnsiTheme="minorHAnsi" w:cstheme="minorBidi"/>
          <w:sz w:val="22"/>
          <w:szCs w:val="22"/>
        </w:rPr>
      </w:pPr>
      <w:hyperlink w:anchor="_Toc140834913" w:history="1">
        <w:r w:rsidR="00B35A10" w:rsidRPr="00A431D2">
          <w:rPr>
            <w:rStyle w:val="Hyperlink"/>
          </w:rPr>
          <w:t>Table 5.2: Rate ratio of premature death incidence (with confidence intervals) for Victoria in SES quintiles 1–4 (where SES 1 is most disadvantaged) compared with the least disadvantaged quintile, grouped by year of diagnosis, 2014–2021</w:t>
        </w:r>
        <w:r w:rsidR="00B35A10">
          <w:rPr>
            <w:webHidden/>
          </w:rPr>
          <w:tab/>
        </w:r>
        <w:r w:rsidR="00B35A10">
          <w:rPr>
            <w:webHidden/>
          </w:rPr>
          <w:fldChar w:fldCharType="begin"/>
        </w:r>
        <w:r w:rsidR="00B35A10">
          <w:rPr>
            <w:webHidden/>
          </w:rPr>
          <w:instrText xml:space="preserve"> PAGEREF _Toc140834913 \h </w:instrText>
        </w:r>
        <w:r w:rsidR="00B35A10">
          <w:rPr>
            <w:webHidden/>
          </w:rPr>
        </w:r>
        <w:r w:rsidR="00B35A10">
          <w:rPr>
            <w:webHidden/>
          </w:rPr>
          <w:fldChar w:fldCharType="separate"/>
        </w:r>
        <w:r w:rsidR="00850AA4">
          <w:rPr>
            <w:webHidden/>
          </w:rPr>
          <w:t>80</w:t>
        </w:r>
        <w:r w:rsidR="00B35A10">
          <w:rPr>
            <w:webHidden/>
          </w:rPr>
          <w:fldChar w:fldCharType="end"/>
        </w:r>
      </w:hyperlink>
    </w:p>
    <w:p w14:paraId="60F82A13" w14:textId="6A326D30" w:rsidR="00B35A10" w:rsidRDefault="00000000">
      <w:pPr>
        <w:pStyle w:val="TOC1"/>
        <w:rPr>
          <w:rFonts w:asciiTheme="minorHAnsi" w:eastAsiaTheme="minorEastAsia" w:hAnsiTheme="minorHAnsi" w:cstheme="minorBidi"/>
          <w:sz w:val="22"/>
          <w:szCs w:val="22"/>
        </w:rPr>
      </w:pPr>
      <w:hyperlink w:anchor="_Toc140834914" w:history="1">
        <w:r w:rsidR="00B35A10" w:rsidRPr="00A431D2">
          <w:rPr>
            <w:rStyle w:val="Hyperlink"/>
          </w:rPr>
          <w:t>Table 5.3: Rate ratio of premature death (with confidence intervals) between Aboriginal and non-Aboriginal Victorians, by year, 2014–2021</w:t>
        </w:r>
        <w:r w:rsidR="00B35A10">
          <w:rPr>
            <w:webHidden/>
          </w:rPr>
          <w:tab/>
        </w:r>
        <w:r w:rsidR="00B35A10">
          <w:rPr>
            <w:webHidden/>
          </w:rPr>
          <w:fldChar w:fldCharType="begin"/>
        </w:r>
        <w:r w:rsidR="00B35A10">
          <w:rPr>
            <w:webHidden/>
          </w:rPr>
          <w:instrText xml:space="preserve"> PAGEREF _Toc140834914 \h </w:instrText>
        </w:r>
        <w:r w:rsidR="00B35A10">
          <w:rPr>
            <w:webHidden/>
          </w:rPr>
        </w:r>
        <w:r w:rsidR="00B35A10">
          <w:rPr>
            <w:webHidden/>
          </w:rPr>
          <w:fldChar w:fldCharType="separate"/>
        </w:r>
        <w:r w:rsidR="00850AA4">
          <w:rPr>
            <w:webHidden/>
          </w:rPr>
          <w:t>81</w:t>
        </w:r>
        <w:r w:rsidR="00B35A10">
          <w:rPr>
            <w:webHidden/>
          </w:rPr>
          <w:fldChar w:fldCharType="end"/>
        </w:r>
      </w:hyperlink>
    </w:p>
    <w:p w14:paraId="2B73072D" w14:textId="5FF165D3" w:rsidR="00B35A10" w:rsidRDefault="00000000">
      <w:pPr>
        <w:pStyle w:val="TOC1"/>
        <w:rPr>
          <w:rFonts w:asciiTheme="minorHAnsi" w:eastAsiaTheme="minorEastAsia" w:hAnsiTheme="minorHAnsi" w:cstheme="minorBidi"/>
          <w:sz w:val="22"/>
          <w:szCs w:val="22"/>
        </w:rPr>
      </w:pPr>
      <w:hyperlink w:anchor="_Toc140834915" w:history="1">
        <w:r w:rsidR="00B35A10" w:rsidRPr="00A431D2">
          <w:rPr>
            <w:rStyle w:val="Hyperlink"/>
          </w:rPr>
          <w:t>Table 6.1: Proportion of Victorian adults (aged 18 years or older) who smoke daily, by year, 2015–2020</w:t>
        </w:r>
        <w:r w:rsidR="00B35A10">
          <w:rPr>
            <w:webHidden/>
          </w:rPr>
          <w:tab/>
        </w:r>
        <w:r w:rsidR="00B35A10">
          <w:rPr>
            <w:webHidden/>
          </w:rPr>
          <w:fldChar w:fldCharType="begin"/>
        </w:r>
        <w:r w:rsidR="00B35A10">
          <w:rPr>
            <w:webHidden/>
          </w:rPr>
          <w:instrText xml:space="preserve"> PAGEREF _Toc140834915 \h </w:instrText>
        </w:r>
        <w:r w:rsidR="00B35A10">
          <w:rPr>
            <w:webHidden/>
          </w:rPr>
        </w:r>
        <w:r w:rsidR="00B35A10">
          <w:rPr>
            <w:webHidden/>
          </w:rPr>
          <w:fldChar w:fldCharType="separate"/>
        </w:r>
        <w:r w:rsidR="00850AA4">
          <w:rPr>
            <w:webHidden/>
          </w:rPr>
          <w:t>84</w:t>
        </w:r>
        <w:r w:rsidR="00B35A10">
          <w:rPr>
            <w:webHidden/>
          </w:rPr>
          <w:fldChar w:fldCharType="end"/>
        </w:r>
      </w:hyperlink>
    </w:p>
    <w:p w14:paraId="76E70EE1" w14:textId="7FD3C308" w:rsidR="00B35A10" w:rsidRDefault="00000000">
      <w:pPr>
        <w:pStyle w:val="TOC1"/>
        <w:rPr>
          <w:rFonts w:asciiTheme="minorHAnsi" w:eastAsiaTheme="minorEastAsia" w:hAnsiTheme="minorHAnsi" w:cstheme="minorBidi"/>
          <w:sz w:val="22"/>
          <w:szCs w:val="22"/>
        </w:rPr>
      </w:pPr>
      <w:hyperlink w:anchor="_Toc140834916" w:history="1">
        <w:r w:rsidR="00B35A10" w:rsidRPr="00A431D2">
          <w:rPr>
            <w:rStyle w:val="Hyperlink"/>
          </w:rPr>
          <w:t>Table 6.2: Proportion of Australian adolescents aged 12–17 years (boys and girls) who currently smoke, by age and sex, 2014 and 2017</w:t>
        </w:r>
        <w:r w:rsidR="00B35A10">
          <w:rPr>
            <w:webHidden/>
          </w:rPr>
          <w:tab/>
        </w:r>
        <w:r w:rsidR="00B35A10">
          <w:rPr>
            <w:webHidden/>
          </w:rPr>
          <w:fldChar w:fldCharType="begin"/>
        </w:r>
        <w:r w:rsidR="00B35A10">
          <w:rPr>
            <w:webHidden/>
          </w:rPr>
          <w:instrText xml:space="preserve"> PAGEREF _Toc140834916 \h </w:instrText>
        </w:r>
        <w:r w:rsidR="00B35A10">
          <w:rPr>
            <w:webHidden/>
          </w:rPr>
        </w:r>
        <w:r w:rsidR="00B35A10">
          <w:rPr>
            <w:webHidden/>
          </w:rPr>
          <w:fldChar w:fldCharType="separate"/>
        </w:r>
        <w:r w:rsidR="00850AA4">
          <w:rPr>
            <w:webHidden/>
          </w:rPr>
          <w:t>86</w:t>
        </w:r>
        <w:r w:rsidR="00B35A10">
          <w:rPr>
            <w:webHidden/>
          </w:rPr>
          <w:fldChar w:fldCharType="end"/>
        </w:r>
      </w:hyperlink>
    </w:p>
    <w:p w14:paraId="1932BD29" w14:textId="39DBDEF4" w:rsidR="00B35A10" w:rsidRDefault="00000000">
      <w:pPr>
        <w:pStyle w:val="TOC1"/>
        <w:rPr>
          <w:rFonts w:asciiTheme="minorHAnsi" w:eastAsiaTheme="minorEastAsia" w:hAnsiTheme="minorHAnsi" w:cstheme="minorBidi"/>
          <w:sz w:val="22"/>
          <w:szCs w:val="22"/>
        </w:rPr>
      </w:pPr>
      <w:hyperlink w:anchor="_Toc140834917" w:history="1">
        <w:r w:rsidR="00B35A10" w:rsidRPr="00A431D2">
          <w:rPr>
            <w:rStyle w:val="Hyperlink"/>
          </w:rPr>
          <w:t>Table 6.2.1: Proportion of Victorian adolescents aged 12–17 years (boys and girls) who currently smoke, by age and sex, 2014 and 2017</w:t>
        </w:r>
        <w:r w:rsidR="00B35A10">
          <w:rPr>
            <w:webHidden/>
          </w:rPr>
          <w:tab/>
        </w:r>
        <w:r w:rsidR="00B35A10">
          <w:rPr>
            <w:webHidden/>
          </w:rPr>
          <w:fldChar w:fldCharType="begin"/>
        </w:r>
        <w:r w:rsidR="00B35A10">
          <w:rPr>
            <w:webHidden/>
          </w:rPr>
          <w:instrText xml:space="preserve"> PAGEREF _Toc140834917 \h </w:instrText>
        </w:r>
        <w:r w:rsidR="00B35A10">
          <w:rPr>
            <w:webHidden/>
          </w:rPr>
        </w:r>
        <w:r w:rsidR="00B35A10">
          <w:rPr>
            <w:webHidden/>
          </w:rPr>
          <w:fldChar w:fldCharType="separate"/>
        </w:r>
        <w:r w:rsidR="00850AA4">
          <w:rPr>
            <w:webHidden/>
          </w:rPr>
          <w:t>86</w:t>
        </w:r>
        <w:r w:rsidR="00B35A10">
          <w:rPr>
            <w:webHidden/>
          </w:rPr>
          <w:fldChar w:fldCharType="end"/>
        </w:r>
      </w:hyperlink>
    </w:p>
    <w:p w14:paraId="4A8F8544" w14:textId="34D48AAB" w:rsidR="00B35A10" w:rsidRDefault="00000000">
      <w:pPr>
        <w:pStyle w:val="TOC1"/>
        <w:rPr>
          <w:rFonts w:asciiTheme="minorHAnsi" w:eastAsiaTheme="minorEastAsia" w:hAnsiTheme="minorHAnsi" w:cstheme="minorBidi"/>
          <w:sz w:val="22"/>
          <w:szCs w:val="22"/>
        </w:rPr>
      </w:pPr>
      <w:hyperlink w:anchor="_Toc140834918" w:history="1">
        <w:r w:rsidR="00B35A10" w:rsidRPr="00A431D2">
          <w:rPr>
            <w:rStyle w:val="Hyperlink"/>
          </w:rPr>
          <w:t>Table 6.3: Proportion of Victorian adults (</w:t>
        </w:r>
        <w:r w:rsidR="00B35A10" w:rsidRPr="00A431D2">
          <w:rPr>
            <w:rStyle w:val="Hyperlink"/>
            <w:rFonts w:cs="Arial"/>
            <w:bCs/>
          </w:rPr>
          <w:t>aged 18 years or older)</w:t>
        </w:r>
        <w:r w:rsidR="00B35A10" w:rsidRPr="00A431D2">
          <w:rPr>
            <w:rStyle w:val="Hyperlink"/>
          </w:rPr>
          <w:t xml:space="preserve"> who consume alcohol at lifetime risk of harm, by year, 2015–2019</w:t>
        </w:r>
        <w:r w:rsidR="00B35A10">
          <w:rPr>
            <w:webHidden/>
          </w:rPr>
          <w:tab/>
        </w:r>
        <w:r w:rsidR="00B35A10">
          <w:rPr>
            <w:webHidden/>
          </w:rPr>
          <w:fldChar w:fldCharType="begin"/>
        </w:r>
        <w:r w:rsidR="00B35A10">
          <w:rPr>
            <w:webHidden/>
          </w:rPr>
          <w:instrText xml:space="preserve"> PAGEREF _Toc140834918 \h </w:instrText>
        </w:r>
        <w:r w:rsidR="00B35A10">
          <w:rPr>
            <w:webHidden/>
          </w:rPr>
        </w:r>
        <w:r w:rsidR="00B35A10">
          <w:rPr>
            <w:webHidden/>
          </w:rPr>
          <w:fldChar w:fldCharType="separate"/>
        </w:r>
        <w:r w:rsidR="00850AA4">
          <w:rPr>
            <w:webHidden/>
          </w:rPr>
          <w:t>88</w:t>
        </w:r>
        <w:r w:rsidR="00B35A10">
          <w:rPr>
            <w:webHidden/>
          </w:rPr>
          <w:fldChar w:fldCharType="end"/>
        </w:r>
      </w:hyperlink>
    </w:p>
    <w:p w14:paraId="7EF86475" w14:textId="04A56EEE" w:rsidR="00B35A10" w:rsidRDefault="00000000">
      <w:pPr>
        <w:pStyle w:val="TOC1"/>
        <w:rPr>
          <w:rFonts w:asciiTheme="minorHAnsi" w:eastAsiaTheme="minorEastAsia" w:hAnsiTheme="minorHAnsi" w:cstheme="minorBidi"/>
          <w:sz w:val="22"/>
          <w:szCs w:val="22"/>
        </w:rPr>
      </w:pPr>
      <w:hyperlink w:anchor="_Toc140834919" w:history="1">
        <w:r w:rsidR="00B35A10" w:rsidRPr="00A431D2">
          <w:rPr>
            <w:rStyle w:val="Hyperlink"/>
          </w:rPr>
          <w:t>Table 6.4: Proportion of Victorian adolescents aged 12–17 years (boys and girls) who consume alcohol at least monthly, by year, 2014, 2016 and 2018</w:t>
        </w:r>
        <w:r w:rsidR="00B35A10">
          <w:rPr>
            <w:webHidden/>
          </w:rPr>
          <w:tab/>
        </w:r>
        <w:r w:rsidR="00B35A10">
          <w:rPr>
            <w:webHidden/>
          </w:rPr>
          <w:fldChar w:fldCharType="begin"/>
        </w:r>
        <w:r w:rsidR="00B35A10">
          <w:rPr>
            <w:webHidden/>
          </w:rPr>
          <w:instrText xml:space="preserve"> PAGEREF _Toc140834919 \h </w:instrText>
        </w:r>
        <w:r w:rsidR="00B35A10">
          <w:rPr>
            <w:webHidden/>
          </w:rPr>
        </w:r>
        <w:r w:rsidR="00B35A10">
          <w:rPr>
            <w:webHidden/>
          </w:rPr>
          <w:fldChar w:fldCharType="separate"/>
        </w:r>
        <w:r w:rsidR="00850AA4">
          <w:rPr>
            <w:webHidden/>
          </w:rPr>
          <w:t>90</w:t>
        </w:r>
        <w:r w:rsidR="00B35A10">
          <w:rPr>
            <w:webHidden/>
          </w:rPr>
          <w:fldChar w:fldCharType="end"/>
        </w:r>
      </w:hyperlink>
    </w:p>
    <w:p w14:paraId="1A32C5C8" w14:textId="01540AC3" w:rsidR="00B35A10" w:rsidRDefault="00000000">
      <w:pPr>
        <w:pStyle w:val="TOC1"/>
        <w:rPr>
          <w:rFonts w:asciiTheme="minorHAnsi" w:eastAsiaTheme="minorEastAsia" w:hAnsiTheme="minorHAnsi" w:cstheme="minorBidi"/>
          <w:sz w:val="22"/>
          <w:szCs w:val="22"/>
        </w:rPr>
      </w:pPr>
      <w:hyperlink w:anchor="_Toc140834920" w:history="1">
        <w:r w:rsidR="00B35A10" w:rsidRPr="00A431D2">
          <w:rPr>
            <w:rStyle w:val="Hyperlink"/>
          </w:rPr>
          <w:t>Table 7.1: Mean daily serves of fruit in Victorian adults (</w:t>
        </w:r>
        <w:r w:rsidR="00B35A10" w:rsidRPr="00A431D2">
          <w:rPr>
            <w:rStyle w:val="Hyperlink"/>
            <w:rFonts w:cs="Arial"/>
            <w:bCs/>
          </w:rPr>
          <w:t>aged 18 years or older</w:t>
        </w:r>
        <w:r w:rsidR="00B35A10" w:rsidRPr="00A431D2">
          <w:rPr>
            <w:rStyle w:val="Hyperlink"/>
          </w:rPr>
          <w:t>), by year, 2011–2019</w:t>
        </w:r>
        <w:r w:rsidR="00B35A10">
          <w:rPr>
            <w:webHidden/>
          </w:rPr>
          <w:tab/>
        </w:r>
        <w:r w:rsidR="00B35A10">
          <w:rPr>
            <w:webHidden/>
          </w:rPr>
          <w:fldChar w:fldCharType="begin"/>
        </w:r>
        <w:r w:rsidR="00B35A10">
          <w:rPr>
            <w:webHidden/>
          </w:rPr>
          <w:instrText xml:space="preserve"> PAGEREF _Toc140834920 \h </w:instrText>
        </w:r>
        <w:r w:rsidR="00B35A10">
          <w:rPr>
            <w:webHidden/>
          </w:rPr>
        </w:r>
        <w:r w:rsidR="00B35A10">
          <w:rPr>
            <w:webHidden/>
          </w:rPr>
          <w:fldChar w:fldCharType="separate"/>
        </w:r>
        <w:r w:rsidR="00850AA4">
          <w:rPr>
            <w:webHidden/>
          </w:rPr>
          <w:t>92</w:t>
        </w:r>
        <w:r w:rsidR="00B35A10">
          <w:rPr>
            <w:webHidden/>
          </w:rPr>
          <w:fldChar w:fldCharType="end"/>
        </w:r>
      </w:hyperlink>
    </w:p>
    <w:p w14:paraId="28DA4513" w14:textId="40A2351D" w:rsidR="00B35A10" w:rsidRDefault="00000000">
      <w:pPr>
        <w:pStyle w:val="TOC1"/>
        <w:rPr>
          <w:rFonts w:asciiTheme="minorHAnsi" w:eastAsiaTheme="minorEastAsia" w:hAnsiTheme="minorHAnsi" w:cstheme="minorBidi"/>
          <w:sz w:val="22"/>
          <w:szCs w:val="22"/>
        </w:rPr>
      </w:pPr>
      <w:hyperlink w:anchor="_Toc140834921" w:history="1">
        <w:r w:rsidR="00B35A10" w:rsidRPr="00A431D2">
          <w:rPr>
            <w:rStyle w:val="Hyperlink"/>
          </w:rPr>
          <w:t>Table 7.2: Proportion of Victorian adolescents aged 10–17 years (boys and girls) who eat the daily recommended serves of fruit, by year, 2014, 2016 and 2018</w:t>
        </w:r>
        <w:r w:rsidR="00B35A10">
          <w:rPr>
            <w:webHidden/>
          </w:rPr>
          <w:tab/>
        </w:r>
        <w:r w:rsidR="00B35A10">
          <w:rPr>
            <w:webHidden/>
          </w:rPr>
          <w:fldChar w:fldCharType="begin"/>
        </w:r>
        <w:r w:rsidR="00B35A10">
          <w:rPr>
            <w:webHidden/>
          </w:rPr>
          <w:instrText xml:space="preserve"> PAGEREF _Toc140834921 \h </w:instrText>
        </w:r>
        <w:r w:rsidR="00B35A10">
          <w:rPr>
            <w:webHidden/>
          </w:rPr>
        </w:r>
        <w:r w:rsidR="00B35A10">
          <w:rPr>
            <w:webHidden/>
          </w:rPr>
          <w:fldChar w:fldCharType="separate"/>
        </w:r>
        <w:r w:rsidR="00850AA4">
          <w:rPr>
            <w:webHidden/>
          </w:rPr>
          <w:t>94</w:t>
        </w:r>
        <w:r w:rsidR="00B35A10">
          <w:rPr>
            <w:webHidden/>
          </w:rPr>
          <w:fldChar w:fldCharType="end"/>
        </w:r>
      </w:hyperlink>
    </w:p>
    <w:p w14:paraId="5898C550" w14:textId="0969C9D8" w:rsidR="00B35A10" w:rsidRDefault="00000000">
      <w:pPr>
        <w:pStyle w:val="TOC1"/>
        <w:rPr>
          <w:rFonts w:asciiTheme="minorHAnsi" w:eastAsiaTheme="minorEastAsia" w:hAnsiTheme="minorHAnsi" w:cstheme="minorBidi"/>
          <w:sz w:val="22"/>
          <w:szCs w:val="22"/>
        </w:rPr>
      </w:pPr>
      <w:hyperlink w:anchor="_Toc140834922" w:history="1">
        <w:r w:rsidR="00B35A10" w:rsidRPr="00A431D2">
          <w:rPr>
            <w:rStyle w:val="Hyperlink"/>
          </w:rPr>
          <w:t>Table 7.3: Proportion of children aged 4–12 years who eat the daily recommended serves of fruit, by year, 2013, 2017, 2019 and 2021</w:t>
        </w:r>
        <w:r w:rsidR="00B35A10">
          <w:rPr>
            <w:webHidden/>
          </w:rPr>
          <w:tab/>
        </w:r>
        <w:r w:rsidR="00B35A10">
          <w:rPr>
            <w:webHidden/>
          </w:rPr>
          <w:fldChar w:fldCharType="begin"/>
        </w:r>
        <w:r w:rsidR="00B35A10">
          <w:rPr>
            <w:webHidden/>
          </w:rPr>
          <w:instrText xml:space="preserve"> PAGEREF _Toc140834922 \h </w:instrText>
        </w:r>
        <w:r w:rsidR="00B35A10">
          <w:rPr>
            <w:webHidden/>
          </w:rPr>
        </w:r>
        <w:r w:rsidR="00B35A10">
          <w:rPr>
            <w:webHidden/>
          </w:rPr>
          <w:fldChar w:fldCharType="separate"/>
        </w:r>
        <w:r w:rsidR="00850AA4">
          <w:rPr>
            <w:webHidden/>
          </w:rPr>
          <w:t>96</w:t>
        </w:r>
        <w:r w:rsidR="00B35A10">
          <w:rPr>
            <w:webHidden/>
          </w:rPr>
          <w:fldChar w:fldCharType="end"/>
        </w:r>
      </w:hyperlink>
    </w:p>
    <w:p w14:paraId="77D67EFA" w14:textId="1D67EC29" w:rsidR="00B35A10" w:rsidRDefault="00000000">
      <w:pPr>
        <w:pStyle w:val="TOC1"/>
        <w:rPr>
          <w:rFonts w:asciiTheme="minorHAnsi" w:eastAsiaTheme="minorEastAsia" w:hAnsiTheme="minorHAnsi" w:cstheme="minorBidi"/>
          <w:sz w:val="22"/>
          <w:szCs w:val="22"/>
        </w:rPr>
      </w:pPr>
      <w:hyperlink w:anchor="_Toc140834923" w:history="1">
        <w:r w:rsidR="00B35A10" w:rsidRPr="00A431D2">
          <w:rPr>
            <w:rStyle w:val="Hyperlink"/>
          </w:rPr>
          <w:t>Table 7.4: Mean daily serves of vegetables in Victorian adults, by year, 2011–2019</w:t>
        </w:r>
        <w:r w:rsidR="00B35A10">
          <w:rPr>
            <w:webHidden/>
          </w:rPr>
          <w:tab/>
        </w:r>
        <w:r w:rsidR="00B35A10">
          <w:rPr>
            <w:webHidden/>
          </w:rPr>
          <w:fldChar w:fldCharType="begin"/>
        </w:r>
        <w:r w:rsidR="00B35A10">
          <w:rPr>
            <w:webHidden/>
          </w:rPr>
          <w:instrText xml:space="preserve"> PAGEREF _Toc140834923 \h </w:instrText>
        </w:r>
        <w:r w:rsidR="00B35A10">
          <w:rPr>
            <w:webHidden/>
          </w:rPr>
        </w:r>
        <w:r w:rsidR="00B35A10">
          <w:rPr>
            <w:webHidden/>
          </w:rPr>
          <w:fldChar w:fldCharType="separate"/>
        </w:r>
        <w:r w:rsidR="00850AA4">
          <w:rPr>
            <w:webHidden/>
          </w:rPr>
          <w:t>99</w:t>
        </w:r>
        <w:r w:rsidR="00B35A10">
          <w:rPr>
            <w:webHidden/>
          </w:rPr>
          <w:fldChar w:fldCharType="end"/>
        </w:r>
      </w:hyperlink>
    </w:p>
    <w:p w14:paraId="7AD232C1" w14:textId="232237CE" w:rsidR="00B35A10" w:rsidRDefault="00000000">
      <w:pPr>
        <w:pStyle w:val="TOC1"/>
        <w:rPr>
          <w:rFonts w:asciiTheme="minorHAnsi" w:eastAsiaTheme="minorEastAsia" w:hAnsiTheme="minorHAnsi" w:cstheme="minorBidi"/>
          <w:sz w:val="22"/>
          <w:szCs w:val="22"/>
        </w:rPr>
      </w:pPr>
      <w:hyperlink w:anchor="_Toc140834924" w:history="1">
        <w:r w:rsidR="00B35A10" w:rsidRPr="00A431D2">
          <w:rPr>
            <w:rStyle w:val="Hyperlink"/>
            <w:rFonts w:cs="Arial"/>
          </w:rPr>
          <w:t>Table 7.5</w:t>
        </w:r>
        <w:r w:rsidR="00B35A10" w:rsidRPr="00A431D2">
          <w:rPr>
            <w:rStyle w:val="Hyperlink"/>
          </w:rPr>
          <w:t>:</w:t>
        </w:r>
        <w:r w:rsidR="00B35A10" w:rsidRPr="00A431D2">
          <w:rPr>
            <w:rStyle w:val="Hyperlink"/>
            <w:rFonts w:cs="Arial"/>
          </w:rPr>
          <w:t xml:space="preserve"> </w:t>
        </w:r>
        <w:r w:rsidR="00B35A10" w:rsidRPr="00A431D2">
          <w:rPr>
            <w:rStyle w:val="Hyperlink"/>
          </w:rPr>
          <w:t>Proportion of adolescents aged 10–17 years who eat the daily recommended serves of vegetables, 2014, 2016 and 2018</w:t>
        </w:r>
        <w:r w:rsidR="00B35A10">
          <w:rPr>
            <w:webHidden/>
          </w:rPr>
          <w:tab/>
        </w:r>
        <w:r w:rsidR="00B35A10">
          <w:rPr>
            <w:webHidden/>
          </w:rPr>
          <w:fldChar w:fldCharType="begin"/>
        </w:r>
        <w:r w:rsidR="00B35A10">
          <w:rPr>
            <w:webHidden/>
          </w:rPr>
          <w:instrText xml:space="preserve"> PAGEREF _Toc140834924 \h </w:instrText>
        </w:r>
        <w:r w:rsidR="00B35A10">
          <w:rPr>
            <w:webHidden/>
          </w:rPr>
        </w:r>
        <w:r w:rsidR="00B35A10">
          <w:rPr>
            <w:webHidden/>
          </w:rPr>
          <w:fldChar w:fldCharType="separate"/>
        </w:r>
        <w:r w:rsidR="00850AA4">
          <w:rPr>
            <w:webHidden/>
          </w:rPr>
          <w:t>101</w:t>
        </w:r>
        <w:r w:rsidR="00B35A10">
          <w:rPr>
            <w:webHidden/>
          </w:rPr>
          <w:fldChar w:fldCharType="end"/>
        </w:r>
      </w:hyperlink>
    </w:p>
    <w:p w14:paraId="6CF212B7" w14:textId="537E42D2" w:rsidR="00B35A10" w:rsidRDefault="00000000">
      <w:pPr>
        <w:pStyle w:val="TOC1"/>
        <w:rPr>
          <w:rFonts w:asciiTheme="minorHAnsi" w:eastAsiaTheme="minorEastAsia" w:hAnsiTheme="minorHAnsi" w:cstheme="minorBidi"/>
          <w:sz w:val="22"/>
          <w:szCs w:val="22"/>
        </w:rPr>
      </w:pPr>
      <w:hyperlink w:anchor="_Toc140834925" w:history="1">
        <w:r w:rsidR="00B35A10" w:rsidRPr="00A431D2">
          <w:rPr>
            <w:rStyle w:val="Hyperlink"/>
            <w:rFonts w:cs="Arial"/>
          </w:rPr>
          <w:t>Table 7.6</w:t>
        </w:r>
        <w:r w:rsidR="00B35A10" w:rsidRPr="00A431D2">
          <w:rPr>
            <w:rStyle w:val="Hyperlink"/>
          </w:rPr>
          <w:t>:</w:t>
        </w:r>
        <w:r w:rsidR="00B35A10" w:rsidRPr="00A431D2">
          <w:rPr>
            <w:rStyle w:val="Hyperlink"/>
            <w:rFonts w:cs="Arial"/>
          </w:rPr>
          <w:t xml:space="preserve"> </w:t>
        </w:r>
        <w:r w:rsidR="00B35A10" w:rsidRPr="00A431D2">
          <w:rPr>
            <w:rStyle w:val="Hyperlink"/>
          </w:rPr>
          <w:t>Proportion of children aged 4–12 years who eat the daily recommended serves of vegetables, by year, 2013, 2017, 2019 and 2021</w:t>
        </w:r>
        <w:r w:rsidR="00B35A10">
          <w:rPr>
            <w:webHidden/>
          </w:rPr>
          <w:tab/>
        </w:r>
        <w:r w:rsidR="00B35A10">
          <w:rPr>
            <w:webHidden/>
          </w:rPr>
          <w:fldChar w:fldCharType="begin"/>
        </w:r>
        <w:r w:rsidR="00B35A10">
          <w:rPr>
            <w:webHidden/>
          </w:rPr>
          <w:instrText xml:space="preserve"> PAGEREF _Toc140834925 \h </w:instrText>
        </w:r>
        <w:r w:rsidR="00B35A10">
          <w:rPr>
            <w:webHidden/>
          </w:rPr>
        </w:r>
        <w:r w:rsidR="00B35A10">
          <w:rPr>
            <w:webHidden/>
          </w:rPr>
          <w:fldChar w:fldCharType="separate"/>
        </w:r>
        <w:r w:rsidR="00850AA4">
          <w:rPr>
            <w:webHidden/>
          </w:rPr>
          <w:t>103</w:t>
        </w:r>
        <w:r w:rsidR="00B35A10">
          <w:rPr>
            <w:webHidden/>
          </w:rPr>
          <w:fldChar w:fldCharType="end"/>
        </w:r>
      </w:hyperlink>
    </w:p>
    <w:p w14:paraId="1DC4F962" w14:textId="10A965DF" w:rsidR="00B35A10" w:rsidRDefault="00000000">
      <w:pPr>
        <w:pStyle w:val="TOC1"/>
        <w:rPr>
          <w:rFonts w:asciiTheme="minorHAnsi" w:eastAsiaTheme="minorEastAsia" w:hAnsiTheme="minorHAnsi" w:cstheme="minorBidi"/>
          <w:sz w:val="22"/>
          <w:szCs w:val="22"/>
        </w:rPr>
      </w:pPr>
      <w:hyperlink w:anchor="_Toc140834926" w:history="1">
        <w:r w:rsidR="00B35A10" w:rsidRPr="00A431D2">
          <w:rPr>
            <w:rStyle w:val="Hyperlink"/>
          </w:rPr>
          <w:t>Table 7.9: Proportion of adults who are sufficiently active, by year, 2015–2019</w:t>
        </w:r>
        <w:r w:rsidR="00B35A10">
          <w:rPr>
            <w:webHidden/>
          </w:rPr>
          <w:tab/>
        </w:r>
        <w:r w:rsidR="00B35A10">
          <w:rPr>
            <w:webHidden/>
          </w:rPr>
          <w:fldChar w:fldCharType="begin"/>
        </w:r>
        <w:r w:rsidR="00B35A10">
          <w:rPr>
            <w:webHidden/>
          </w:rPr>
          <w:instrText xml:space="preserve"> PAGEREF _Toc140834926 \h </w:instrText>
        </w:r>
        <w:r w:rsidR="00B35A10">
          <w:rPr>
            <w:webHidden/>
          </w:rPr>
        </w:r>
        <w:r w:rsidR="00B35A10">
          <w:rPr>
            <w:webHidden/>
          </w:rPr>
          <w:fldChar w:fldCharType="separate"/>
        </w:r>
        <w:r w:rsidR="00850AA4">
          <w:rPr>
            <w:webHidden/>
          </w:rPr>
          <w:t>106</w:t>
        </w:r>
        <w:r w:rsidR="00B35A10">
          <w:rPr>
            <w:webHidden/>
          </w:rPr>
          <w:fldChar w:fldCharType="end"/>
        </w:r>
      </w:hyperlink>
    </w:p>
    <w:p w14:paraId="289FE4AB" w14:textId="53BA7683" w:rsidR="00B35A10" w:rsidRDefault="00000000">
      <w:pPr>
        <w:pStyle w:val="TOC1"/>
        <w:rPr>
          <w:rFonts w:asciiTheme="minorHAnsi" w:eastAsiaTheme="minorEastAsia" w:hAnsiTheme="minorHAnsi" w:cstheme="minorBidi"/>
          <w:sz w:val="22"/>
          <w:szCs w:val="22"/>
        </w:rPr>
      </w:pPr>
      <w:hyperlink w:anchor="_Toc140834927" w:history="1">
        <w:r w:rsidR="00B35A10" w:rsidRPr="00A431D2">
          <w:rPr>
            <w:rStyle w:val="Hyperlink"/>
          </w:rPr>
          <w:t>Table 7.10: Proportion of Victorian adolescents aged 10–17 who are sufficiently physically active, 2014, 2016 and 2018</w:t>
        </w:r>
        <w:r w:rsidR="00B35A10">
          <w:rPr>
            <w:webHidden/>
          </w:rPr>
          <w:tab/>
        </w:r>
        <w:r w:rsidR="00B35A10">
          <w:rPr>
            <w:webHidden/>
          </w:rPr>
          <w:fldChar w:fldCharType="begin"/>
        </w:r>
        <w:r w:rsidR="00B35A10">
          <w:rPr>
            <w:webHidden/>
          </w:rPr>
          <w:instrText xml:space="preserve"> PAGEREF _Toc140834927 \h </w:instrText>
        </w:r>
        <w:r w:rsidR="00B35A10">
          <w:rPr>
            <w:webHidden/>
          </w:rPr>
        </w:r>
        <w:r w:rsidR="00B35A10">
          <w:rPr>
            <w:webHidden/>
          </w:rPr>
          <w:fldChar w:fldCharType="separate"/>
        </w:r>
        <w:r w:rsidR="00850AA4">
          <w:rPr>
            <w:webHidden/>
          </w:rPr>
          <w:t>107</w:t>
        </w:r>
        <w:r w:rsidR="00B35A10">
          <w:rPr>
            <w:webHidden/>
          </w:rPr>
          <w:fldChar w:fldCharType="end"/>
        </w:r>
      </w:hyperlink>
    </w:p>
    <w:p w14:paraId="19143337" w14:textId="38EA200C" w:rsidR="00B35A10" w:rsidRDefault="00000000">
      <w:pPr>
        <w:pStyle w:val="TOC1"/>
        <w:rPr>
          <w:rFonts w:asciiTheme="minorHAnsi" w:eastAsiaTheme="minorEastAsia" w:hAnsiTheme="minorHAnsi" w:cstheme="minorBidi"/>
          <w:sz w:val="22"/>
          <w:szCs w:val="22"/>
        </w:rPr>
      </w:pPr>
      <w:hyperlink w:anchor="_Toc140834928" w:history="1">
        <w:r w:rsidR="00B35A10" w:rsidRPr="00A431D2">
          <w:rPr>
            <w:rStyle w:val="Hyperlink"/>
          </w:rPr>
          <w:t>Table 7.11:</w:t>
        </w:r>
        <w:r w:rsidR="00B35A10" w:rsidRPr="00A431D2">
          <w:rPr>
            <w:rStyle w:val="Hyperlink"/>
            <w:i/>
          </w:rPr>
          <w:t xml:space="preserve"> </w:t>
        </w:r>
        <w:r w:rsidR="00B35A10" w:rsidRPr="00A431D2">
          <w:rPr>
            <w:rStyle w:val="Hyperlink"/>
          </w:rPr>
          <w:t>Proportion of children aged 5–12 years who are sufficiently physically active, 2013, 2017, 2019 and 2021</w:t>
        </w:r>
        <w:r w:rsidR="00B35A10">
          <w:rPr>
            <w:webHidden/>
          </w:rPr>
          <w:tab/>
        </w:r>
        <w:r w:rsidR="00B35A10">
          <w:rPr>
            <w:webHidden/>
          </w:rPr>
          <w:fldChar w:fldCharType="begin"/>
        </w:r>
        <w:r w:rsidR="00B35A10">
          <w:rPr>
            <w:webHidden/>
          </w:rPr>
          <w:instrText xml:space="preserve"> PAGEREF _Toc140834928 \h </w:instrText>
        </w:r>
        <w:r w:rsidR="00B35A10">
          <w:rPr>
            <w:webHidden/>
          </w:rPr>
        </w:r>
        <w:r w:rsidR="00B35A10">
          <w:rPr>
            <w:webHidden/>
          </w:rPr>
          <w:fldChar w:fldCharType="separate"/>
        </w:r>
        <w:r w:rsidR="00850AA4">
          <w:rPr>
            <w:webHidden/>
          </w:rPr>
          <w:t>109</w:t>
        </w:r>
        <w:r w:rsidR="00B35A10">
          <w:rPr>
            <w:webHidden/>
          </w:rPr>
          <w:fldChar w:fldCharType="end"/>
        </w:r>
      </w:hyperlink>
    </w:p>
    <w:p w14:paraId="36FD7636" w14:textId="04922ECF" w:rsidR="00B35A10" w:rsidRDefault="00000000">
      <w:pPr>
        <w:pStyle w:val="TOC1"/>
        <w:rPr>
          <w:rFonts w:asciiTheme="minorHAnsi" w:eastAsiaTheme="minorEastAsia" w:hAnsiTheme="minorHAnsi" w:cstheme="minorBidi"/>
          <w:sz w:val="22"/>
          <w:szCs w:val="22"/>
        </w:rPr>
      </w:pPr>
      <w:hyperlink w:anchor="_Toc140834929" w:history="1">
        <w:r w:rsidR="00B35A10" w:rsidRPr="00A431D2">
          <w:rPr>
            <w:rStyle w:val="Hyperlink"/>
          </w:rPr>
          <w:t>Table 8.2: Proportion of Victorian adults (aged 18 years or older) who are overweight or obese (self-report), by year, 2015–2020 and 2022</w:t>
        </w:r>
        <w:r w:rsidR="00B35A10">
          <w:rPr>
            <w:webHidden/>
          </w:rPr>
          <w:tab/>
        </w:r>
        <w:r w:rsidR="00B35A10">
          <w:rPr>
            <w:webHidden/>
          </w:rPr>
          <w:fldChar w:fldCharType="begin"/>
        </w:r>
        <w:r w:rsidR="00B35A10">
          <w:rPr>
            <w:webHidden/>
          </w:rPr>
          <w:instrText xml:space="preserve"> PAGEREF _Toc140834929 \h </w:instrText>
        </w:r>
        <w:r w:rsidR="00B35A10">
          <w:rPr>
            <w:webHidden/>
          </w:rPr>
        </w:r>
        <w:r w:rsidR="00B35A10">
          <w:rPr>
            <w:webHidden/>
          </w:rPr>
          <w:fldChar w:fldCharType="separate"/>
        </w:r>
        <w:r w:rsidR="00850AA4">
          <w:rPr>
            <w:webHidden/>
          </w:rPr>
          <w:t>113</w:t>
        </w:r>
        <w:r w:rsidR="00B35A10">
          <w:rPr>
            <w:webHidden/>
          </w:rPr>
          <w:fldChar w:fldCharType="end"/>
        </w:r>
      </w:hyperlink>
    </w:p>
    <w:p w14:paraId="34ACB60E" w14:textId="4AE9C1F8" w:rsidR="00B35A10" w:rsidRDefault="00000000">
      <w:pPr>
        <w:pStyle w:val="TOC1"/>
        <w:rPr>
          <w:rFonts w:asciiTheme="minorHAnsi" w:eastAsiaTheme="minorEastAsia" w:hAnsiTheme="minorHAnsi" w:cstheme="minorBidi"/>
          <w:sz w:val="22"/>
          <w:szCs w:val="22"/>
        </w:rPr>
      </w:pPr>
      <w:hyperlink w:anchor="_Toc140834930" w:history="1">
        <w:r w:rsidR="00B35A10" w:rsidRPr="00A431D2">
          <w:rPr>
            <w:rStyle w:val="Hyperlink"/>
          </w:rPr>
          <w:t>Table 12.6: Proportion and number of cancer-related oesophagectomies and pancreatectomies taking place at appropriate volume facilities, by year from 2013–14 to 2021–22</w:t>
        </w:r>
        <w:r w:rsidR="00B35A10">
          <w:rPr>
            <w:webHidden/>
          </w:rPr>
          <w:tab/>
        </w:r>
        <w:r w:rsidR="00B35A10">
          <w:rPr>
            <w:webHidden/>
          </w:rPr>
          <w:fldChar w:fldCharType="begin"/>
        </w:r>
        <w:r w:rsidR="00B35A10">
          <w:rPr>
            <w:webHidden/>
          </w:rPr>
          <w:instrText xml:space="preserve"> PAGEREF _Toc140834930 \h </w:instrText>
        </w:r>
        <w:r w:rsidR="00B35A10">
          <w:rPr>
            <w:webHidden/>
          </w:rPr>
        </w:r>
        <w:r w:rsidR="00B35A10">
          <w:rPr>
            <w:webHidden/>
          </w:rPr>
          <w:fldChar w:fldCharType="separate"/>
        </w:r>
        <w:r w:rsidR="00850AA4">
          <w:rPr>
            <w:webHidden/>
          </w:rPr>
          <w:t>166</w:t>
        </w:r>
        <w:r w:rsidR="00B35A10">
          <w:rPr>
            <w:webHidden/>
          </w:rPr>
          <w:fldChar w:fldCharType="end"/>
        </w:r>
      </w:hyperlink>
    </w:p>
    <w:p w14:paraId="60D11904" w14:textId="4DC4B7A2" w:rsidR="00B35A10" w:rsidRDefault="00000000">
      <w:pPr>
        <w:pStyle w:val="TOC1"/>
        <w:rPr>
          <w:rFonts w:asciiTheme="minorHAnsi" w:eastAsiaTheme="minorEastAsia" w:hAnsiTheme="minorHAnsi" w:cstheme="minorBidi"/>
          <w:sz w:val="22"/>
          <w:szCs w:val="22"/>
        </w:rPr>
      </w:pPr>
      <w:hyperlink w:anchor="_Toc140834931" w:history="1">
        <w:r w:rsidR="00B35A10" w:rsidRPr="00A431D2">
          <w:rPr>
            <w:rStyle w:val="Hyperlink"/>
          </w:rPr>
          <w:t>Table 12.10.1: Number of documented evidence of multidisciplinary team recommendations by tumour stream (total audited), 2014, 2017 and 2021</w:t>
        </w:r>
        <w:r w:rsidR="00B35A10">
          <w:rPr>
            <w:webHidden/>
          </w:rPr>
          <w:tab/>
        </w:r>
        <w:r w:rsidR="00B35A10">
          <w:rPr>
            <w:webHidden/>
          </w:rPr>
          <w:fldChar w:fldCharType="begin"/>
        </w:r>
        <w:r w:rsidR="00B35A10">
          <w:rPr>
            <w:webHidden/>
          </w:rPr>
          <w:instrText xml:space="preserve"> PAGEREF _Toc140834931 \h </w:instrText>
        </w:r>
        <w:r w:rsidR="00B35A10">
          <w:rPr>
            <w:webHidden/>
          </w:rPr>
        </w:r>
        <w:r w:rsidR="00B35A10">
          <w:rPr>
            <w:webHidden/>
          </w:rPr>
          <w:fldChar w:fldCharType="separate"/>
        </w:r>
        <w:r w:rsidR="00850AA4">
          <w:rPr>
            <w:webHidden/>
          </w:rPr>
          <w:t>174</w:t>
        </w:r>
        <w:r w:rsidR="00B35A10">
          <w:rPr>
            <w:webHidden/>
          </w:rPr>
          <w:fldChar w:fldCharType="end"/>
        </w:r>
      </w:hyperlink>
    </w:p>
    <w:p w14:paraId="50B997CD" w14:textId="4DBEE94D" w:rsidR="00B35A10" w:rsidRDefault="00000000">
      <w:pPr>
        <w:pStyle w:val="TOC1"/>
        <w:rPr>
          <w:rFonts w:asciiTheme="minorHAnsi" w:eastAsiaTheme="minorEastAsia" w:hAnsiTheme="minorHAnsi" w:cstheme="minorBidi"/>
          <w:sz w:val="22"/>
          <w:szCs w:val="22"/>
        </w:rPr>
      </w:pPr>
      <w:hyperlink w:anchor="_Toc140834932" w:history="1">
        <w:r w:rsidR="00B35A10" w:rsidRPr="00A431D2">
          <w:rPr>
            <w:rStyle w:val="Hyperlink"/>
          </w:rPr>
          <w:t>Table 12.12: Proportion and number of patients receiving specialist palliative care with 12 months prior to death, by ICS, 2014–2021</w:t>
        </w:r>
        <w:r w:rsidR="00B35A10">
          <w:rPr>
            <w:webHidden/>
          </w:rPr>
          <w:tab/>
        </w:r>
        <w:r w:rsidR="00B35A10">
          <w:rPr>
            <w:webHidden/>
          </w:rPr>
          <w:fldChar w:fldCharType="begin"/>
        </w:r>
        <w:r w:rsidR="00B35A10">
          <w:rPr>
            <w:webHidden/>
          </w:rPr>
          <w:instrText xml:space="preserve"> PAGEREF _Toc140834932 \h </w:instrText>
        </w:r>
        <w:r w:rsidR="00B35A10">
          <w:rPr>
            <w:webHidden/>
          </w:rPr>
        </w:r>
        <w:r w:rsidR="00B35A10">
          <w:rPr>
            <w:webHidden/>
          </w:rPr>
          <w:fldChar w:fldCharType="separate"/>
        </w:r>
        <w:r w:rsidR="00850AA4">
          <w:rPr>
            <w:webHidden/>
          </w:rPr>
          <w:t>177</w:t>
        </w:r>
        <w:r w:rsidR="00B35A10">
          <w:rPr>
            <w:webHidden/>
          </w:rPr>
          <w:fldChar w:fldCharType="end"/>
        </w:r>
      </w:hyperlink>
    </w:p>
    <w:p w14:paraId="7B017C25" w14:textId="6530EA68" w:rsidR="00B35A10" w:rsidRDefault="00000000">
      <w:pPr>
        <w:pStyle w:val="TOC1"/>
        <w:rPr>
          <w:rFonts w:asciiTheme="minorHAnsi" w:eastAsiaTheme="minorEastAsia" w:hAnsiTheme="minorHAnsi" w:cstheme="minorBidi"/>
          <w:sz w:val="22"/>
          <w:szCs w:val="22"/>
        </w:rPr>
      </w:pPr>
      <w:hyperlink w:anchor="_Toc140834933" w:history="1">
        <w:r w:rsidR="00B35A10" w:rsidRPr="00A431D2">
          <w:rPr>
            <w:rStyle w:val="Hyperlink"/>
          </w:rPr>
          <w:t>Table 12.14: Proportion/number of deaths due to cancer that occur in hospitals, by ICS, 2014–2021</w:t>
        </w:r>
        <w:r w:rsidR="00B35A10">
          <w:rPr>
            <w:webHidden/>
          </w:rPr>
          <w:tab/>
        </w:r>
        <w:r w:rsidR="00B35A10">
          <w:rPr>
            <w:webHidden/>
          </w:rPr>
          <w:fldChar w:fldCharType="begin"/>
        </w:r>
        <w:r w:rsidR="00B35A10">
          <w:rPr>
            <w:webHidden/>
          </w:rPr>
          <w:instrText xml:space="preserve"> PAGEREF _Toc140834933 \h </w:instrText>
        </w:r>
        <w:r w:rsidR="00B35A10">
          <w:rPr>
            <w:webHidden/>
          </w:rPr>
        </w:r>
        <w:r w:rsidR="00B35A10">
          <w:rPr>
            <w:webHidden/>
          </w:rPr>
          <w:fldChar w:fldCharType="separate"/>
        </w:r>
        <w:r w:rsidR="00850AA4">
          <w:rPr>
            <w:webHidden/>
          </w:rPr>
          <w:t>181</w:t>
        </w:r>
        <w:r w:rsidR="00B35A10">
          <w:rPr>
            <w:webHidden/>
          </w:rPr>
          <w:fldChar w:fldCharType="end"/>
        </w:r>
      </w:hyperlink>
    </w:p>
    <w:p w14:paraId="03048E22" w14:textId="54C05F8D" w:rsidR="00B35A10" w:rsidRDefault="00000000">
      <w:pPr>
        <w:pStyle w:val="TOC1"/>
        <w:rPr>
          <w:rFonts w:asciiTheme="minorHAnsi" w:eastAsiaTheme="minorEastAsia" w:hAnsiTheme="minorHAnsi" w:cstheme="minorBidi"/>
          <w:sz w:val="22"/>
          <w:szCs w:val="22"/>
        </w:rPr>
      </w:pPr>
      <w:hyperlink w:anchor="_Toc140834934" w:history="1">
        <w:r w:rsidR="00B35A10" w:rsidRPr="00A431D2">
          <w:rPr>
            <w:rStyle w:val="Hyperlink"/>
          </w:rPr>
          <w:t>Table 16.1: Proportion of women who have a mammogram by BreastScreen Victoria who rate the service from highly satisfactory to unsure, 2014–2022</w:t>
        </w:r>
        <w:r w:rsidR="00B35A10">
          <w:rPr>
            <w:webHidden/>
          </w:rPr>
          <w:tab/>
        </w:r>
        <w:r w:rsidR="00B35A10">
          <w:rPr>
            <w:webHidden/>
          </w:rPr>
          <w:fldChar w:fldCharType="begin"/>
        </w:r>
        <w:r w:rsidR="00B35A10">
          <w:rPr>
            <w:webHidden/>
          </w:rPr>
          <w:instrText xml:space="preserve"> PAGEREF _Toc140834934 \h </w:instrText>
        </w:r>
        <w:r w:rsidR="00B35A10">
          <w:rPr>
            <w:webHidden/>
          </w:rPr>
        </w:r>
        <w:r w:rsidR="00B35A10">
          <w:rPr>
            <w:webHidden/>
          </w:rPr>
          <w:fldChar w:fldCharType="separate"/>
        </w:r>
        <w:r w:rsidR="00850AA4">
          <w:rPr>
            <w:webHidden/>
          </w:rPr>
          <w:t>233</w:t>
        </w:r>
        <w:r w:rsidR="00B35A10">
          <w:rPr>
            <w:webHidden/>
          </w:rPr>
          <w:fldChar w:fldCharType="end"/>
        </w:r>
      </w:hyperlink>
    </w:p>
    <w:p w14:paraId="60CD5709" w14:textId="7597694E" w:rsidR="00B35A10" w:rsidRDefault="00000000">
      <w:pPr>
        <w:pStyle w:val="TOC1"/>
        <w:rPr>
          <w:rFonts w:asciiTheme="minorHAnsi" w:eastAsiaTheme="minorEastAsia" w:hAnsiTheme="minorHAnsi" w:cstheme="minorBidi"/>
          <w:sz w:val="22"/>
          <w:szCs w:val="22"/>
        </w:rPr>
      </w:pPr>
      <w:hyperlink w:anchor="_Toc140834935" w:history="1">
        <w:r w:rsidR="00B35A10" w:rsidRPr="00A431D2">
          <w:rPr>
            <w:rStyle w:val="Hyperlink"/>
          </w:rPr>
          <w:t>Table 16.2: Age-adjusted proportion of women screened during 2014 to 2018 who rescreened within 27 months, first screening round, by state and territory, women aged 50–72 years</w:t>
        </w:r>
        <w:r w:rsidR="00B35A10">
          <w:rPr>
            <w:webHidden/>
          </w:rPr>
          <w:tab/>
        </w:r>
        <w:r w:rsidR="00B35A10">
          <w:rPr>
            <w:webHidden/>
          </w:rPr>
          <w:fldChar w:fldCharType="begin"/>
        </w:r>
        <w:r w:rsidR="00B35A10">
          <w:rPr>
            <w:webHidden/>
          </w:rPr>
          <w:instrText xml:space="preserve"> PAGEREF _Toc140834935 \h </w:instrText>
        </w:r>
        <w:r w:rsidR="00B35A10">
          <w:rPr>
            <w:webHidden/>
          </w:rPr>
        </w:r>
        <w:r w:rsidR="00B35A10">
          <w:rPr>
            <w:webHidden/>
          </w:rPr>
          <w:fldChar w:fldCharType="separate"/>
        </w:r>
        <w:r w:rsidR="00850AA4">
          <w:rPr>
            <w:webHidden/>
          </w:rPr>
          <w:t>235</w:t>
        </w:r>
        <w:r w:rsidR="00B35A10">
          <w:rPr>
            <w:webHidden/>
          </w:rPr>
          <w:fldChar w:fldCharType="end"/>
        </w:r>
      </w:hyperlink>
    </w:p>
    <w:p w14:paraId="4090E650" w14:textId="11F8D15D" w:rsidR="00B35A10" w:rsidRDefault="00000000">
      <w:pPr>
        <w:pStyle w:val="TOC1"/>
        <w:rPr>
          <w:rFonts w:asciiTheme="minorHAnsi" w:eastAsiaTheme="minorEastAsia" w:hAnsiTheme="minorHAnsi" w:cstheme="minorBidi"/>
          <w:sz w:val="22"/>
          <w:szCs w:val="22"/>
        </w:rPr>
      </w:pPr>
      <w:hyperlink w:anchor="_Toc140834936" w:history="1">
        <w:r w:rsidR="00B35A10" w:rsidRPr="00A431D2">
          <w:rPr>
            <w:rStyle w:val="Hyperlink"/>
          </w:rPr>
          <w:t>Table 16.3: Proportion of women sent a reminder letter to rescreen at 27 months after a negative Pap test and the number who re-screened, Victoria 2015–2017</w:t>
        </w:r>
        <w:r w:rsidR="00B35A10">
          <w:rPr>
            <w:webHidden/>
          </w:rPr>
          <w:tab/>
        </w:r>
        <w:r w:rsidR="00B35A10">
          <w:rPr>
            <w:webHidden/>
          </w:rPr>
          <w:fldChar w:fldCharType="begin"/>
        </w:r>
        <w:r w:rsidR="00B35A10">
          <w:rPr>
            <w:webHidden/>
          </w:rPr>
          <w:instrText xml:space="preserve"> PAGEREF _Toc140834936 \h </w:instrText>
        </w:r>
        <w:r w:rsidR="00B35A10">
          <w:rPr>
            <w:webHidden/>
          </w:rPr>
        </w:r>
        <w:r w:rsidR="00B35A10">
          <w:rPr>
            <w:webHidden/>
          </w:rPr>
          <w:fldChar w:fldCharType="separate"/>
        </w:r>
        <w:r w:rsidR="00850AA4">
          <w:rPr>
            <w:webHidden/>
          </w:rPr>
          <w:t>237</w:t>
        </w:r>
        <w:r w:rsidR="00B35A10">
          <w:rPr>
            <w:webHidden/>
          </w:rPr>
          <w:fldChar w:fldCharType="end"/>
        </w:r>
      </w:hyperlink>
    </w:p>
    <w:p w14:paraId="11E06714" w14:textId="273A3985" w:rsidR="00B35A10" w:rsidRDefault="00000000">
      <w:pPr>
        <w:pStyle w:val="TOC1"/>
        <w:rPr>
          <w:rFonts w:asciiTheme="minorHAnsi" w:eastAsiaTheme="minorEastAsia" w:hAnsiTheme="minorHAnsi" w:cstheme="minorBidi"/>
          <w:sz w:val="22"/>
          <w:szCs w:val="22"/>
        </w:rPr>
      </w:pPr>
      <w:hyperlink w:anchor="_Toc140834937" w:history="1">
        <w:r w:rsidR="00B35A10" w:rsidRPr="00A431D2">
          <w:rPr>
            <w:rStyle w:val="Hyperlink"/>
          </w:rPr>
          <w:t>Table 16.4: National Bowel Cancer Screening Program ages invited by year</w:t>
        </w:r>
        <w:r w:rsidR="00B35A10">
          <w:rPr>
            <w:webHidden/>
          </w:rPr>
          <w:tab/>
        </w:r>
        <w:r w:rsidR="00B35A10">
          <w:rPr>
            <w:webHidden/>
          </w:rPr>
          <w:fldChar w:fldCharType="begin"/>
        </w:r>
        <w:r w:rsidR="00B35A10">
          <w:rPr>
            <w:webHidden/>
          </w:rPr>
          <w:instrText xml:space="preserve"> PAGEREF _Toc140834937 \h </w:instrText>
        </w:r>
        <w:r w:rsidR="00B35A10">
          <w:rPr>
            <w:webHidden/>
          </w:rPr>
        </w:r>
        <w:r w:rsidR="00B35A10">
          <w:rPr>
            <w:webHidden/>
          </w:rPr>
          <w:fldChar w:fldCharType="separate"/>
        </w:r>
        <w:r w:rsidR="00850AA4">
          <w:rPr>
            <w:webHidden/>
          </w:rPr>
          <w:t>238</w:t>
        </w:r>
        <w:r w:rsidR="00B35A10">
          <w:rPr>
            <w:webHidden/>
          </w:rPr>
          <w:fldChar w:fldCharType="end"/>
        </w:r>
      </w:hyperlink>
    </w:p>
    <w:p w14:paraId="68DF1FD6" w14:textId="215231E8" w:rsidR="00B35A10" w:rsidRDefault="00000000">
      <w:pPr>
        <w:pStyle w:val="TOC1"/>
        <w:rPr>
          <w:rFonts w:asciiTheme="minorHAnsi" w:eastAsiaTheme="minorEastAsia" w:hAnsiTheme="minorHAnsi" w:cstheme="minorBidi"/>
          <w:sz w:val="22"/>
          <w:szCs w:val="22"/>
        </w:rPr>
      </w:pPr>
      <w:hyperlink w:anchor="_Toc140834938" w:history="1">
        <w:r w:rsidR="00B35A10" w:rsidRPr="00A431D2">
          <w:rPr>
            <w:rStyle w:val="Hyperlink"/>
          </w:rPr>
          <w:t>Table 17.5: Quit ratio of people who had ever smoked, by year, 2015–2022</w:t>
        </w:r>
        <w:r w:rsidR="00B35A10">
          <w:rPr>
            <w:webHidden/>
          </w:rPr>
          <w:tab/>
        </w:r>
        <w:r w:rsidR="00B35A10">
          <w:rPr>
            <w:webHidden/>
          </w:rPr>
          <w:fldChar w:fldCharType="begin"/>
        </w:r>
        <w:r w:rsidR="00B35A10">
          <w:rPr>
            <w:webHidden/>
          </w:rPr>
          <w:instrText xml:space="preserve"> PAGEREF _Toc140834938 \h </w:instrText>
        </w:r>
        <w:r w:rsidR="00B35A10">
          <w:rPr>
            <w:webHidden/>
          </w:rPr>
        </w:r>
        <w:r w:rsidR="00B35A10">
          <w:rPr>
            <w:webHidden/>
          </w:rPr>
          <w:fldChar w:fldCharType="separate"/>
        </w:r>
        <w:r w:rsidR="00850AA4">
          <w:rPr>
            <w:webHidden/>
          </w:rPr>
          <w:t>247</w:t>
        </w:r>
        <w:r w:rsidR="00B35A10">
          <w:rPr>
            <w:webHidden/>
          </w:rPr>
          <w:fldChar w:fldCharType="end"/>
        </w:r>
      </w:hyperlink>
    </w:p>
    <w:p w14:paraId="52D55013" w14:textId="70B2F685" w:rsidR="00B35A10" w:rsidRDefault="00000000">
      <w:pPr>
        <w:pStyle w:val="TOC1"/>
        <w:rPr>
          <w:rFonts w:asciiTheme="minorHAnsi" w:eastAsiaTheme="minorEastAsia" w:hAnsiTheme="minorHAnsi" w:cstheme="minorBidi"/>
          <w:sz w:val="22"/>
          <w:szCs w:val="22"/>
        </w:rPr>
      </w:pPr>
      <w:hyperlink w:anchor="_Toc140834939" w:history="1">
        <w:r w:rsidR="00B35A10" w:rsidRPr="00A431D2">
          <w:rPr>
            <w:rStyle w:val="Hyperlink"/>
            <w:lang w:val="en-US"/>
          </w:rPr>
          <w:t>Table G2: Number of self-collection tests by screening history from 2018</w:t>
        </w:r>
        <w:r w:rsidR="00B35A10">
          <w:rPr>
            <w:webHidden/>
          </w:rPr>
          <w:tab/>
        </w:r>
        <w:r w:rsidR="00B35A10">
          <w:rPr>
            <w:webHidden/>
          </w:rPr>
          <w:fldChar w:fldCharType="begin"/>
        </w:r>
        <w:r w:rsidR="00B35A10">
          <w:rPr>
            <w:webHidden/>
          </w:rPr>
          <w:instrText xml:space="preserve"> PAGEREF _Toc140834939 \h </w:instrText>
        </w:r>
        <w:r w:rsidR="00B35A10">
          <w:rPr>
            <w:webHidden/>
          </w:rPr>
        </w:r>
        <w:r w:rsidR="00B35A10">
          <w:rPr>
            <w:webHidden/>
          </w:rPr>
          <w:fldChar w:fldCharType="separate"/>
        </w:r>
        <w:r w:rsidR="00850AA4">
          <w:rPr>
            <w:webHidden/>
          </w:rPr>
          <w:t>251</w:t>
        </w:r>
        <w:r w:rsidR="00B35A10">
          <w:rPr>
            <w:webHidden/>
          </w:rPr>
          <w:fldChar w:fldCharType="end"/>
        </w:r>
      </w:hyperlink>
    </w:p>
    <w:p w14:paraId="5C6DC1FE" w14:textId="7FE2982E" w:rsidR="00B35A10" w:rsidRDefault="00000000">
      <w:pPr>
        <w:pStyle w:val="TOC1"/>
        <w:rPr>
          <w:rFonts w:asciiTheme="minorHAnsi" w:eastAsiaTheme="minorEastAsia" w:hAnsiTheme="minorHAnsi" w:cstheme="minorBidi"/>
          <w:sz w:val="22"/>
          <w:szCs w:val="22"/>
        </w:rPr>
      </w:pPr>
      <w:hyperlink w:anchor="_Toc140834940" w:history="1">
        <w:r w:rsidR="00B35A10" w:rsidRPr="00A431D2">
          <w:rPr>
            <w:rStyle w:val="Hyperlink"/>
          </w:rPr>
          <w:t>Table G4: Proportion of people with an advance care directive who have metastatic cancer, by Integrated Cancer Service of hospital (or hospital admission or treatment), by year, 2016–2022</w:t>
        </w:r>
        <w:r w:rsidR="00B35A10">
          <w:rPr>
            <w:webHidden/>
          </w:rPr>
          <w:tab/>
        </w:r>
        <w:r w:rsidR="00B35A10">
          <w:rPr>
            <w:webHidden/>
          </w:rPr>
          <w:fldChar w:fldCharType="begin"/>
        </w:r>
        <w:r w:rsidR="00B35A10">
          <w:rPr>
            <w:webHidden/>
          </w:rPr>
          <w:instrText xml:space="preserve"> PAGEREF _Toc140834940 \h </w:instrText>
        </w:r>
        <w:r w:rsidR="00B35A10">
          <w:rPr>
            <w:webHidden/>
          </w:rPr>
        </w:r>
        <w:r w:rsidR="00B35A10">
          <w:rPr>
            <w:webHidden/>
          </w:rPr>
          <w:fldChar w:fldCharType="separate"/>
        </w:r>
        <w:r w:rsidR="00850AA4">
          <w:rPr>
            <w:webHidden/>
          </w:rPr>
          <w:t>252</w:t>
        </w:r>
        <w:r w:rsidR="00B35A10">
          <w:rPr>
            <w:webHidden/>
          </w:rPr>
          <w:fldChar w:fldCharType="end"/>
        </w:r>
      </w:hyperlink>
    </w:p>
    <w:p w14:paraId="79B805FC" w14:textId="0015722D" w:rsidR="00B35A10" w:rsidRDefault="00000000">
      <w:pPr>
        <w:pStyle w:val="TOC1"/>
        <w:rPr>
          <w:rFonts w:asciiTheme="minorHAnsi" w:eastAsiaTheme="minorEastAsia" w:hAnsiTheme="minorHAnsi" w:cstheme="minorBidi"/>
          <w:sz w:val="22"/>
          <w:szCs w:val="22"/>
        </w:rPr>
      </w:pPr>
      <w:hyperlink w:anchor="_Toc140834941" w:history="1">
        <w:r w:rsidR="00B35A10" w:rsidRPr="00A431D2">
          <w:rPr>
            <w:rStyle w:val="Hyperlink"/>
          </w:rPr>
          <w:t>Key result area: Increase healthier eating and active living</w:t>
        </w:r>
        <w:r w:rsidR="00B35A10">
          <w:rPr>
            <w:webHidden/>
          </w:rPr>
          <w:tab/>
        </w:r>
        <w:r w:rsidR="00B35A10">
          <w:rPr>
            <w:webHidden/>
          </w:rPr>
          <w:fldChar w:fldCharType="begin"/>
        </w:r>
        <w:r w:rsidR="00B35A10">
          <w:rPr>
            <w:webHidden/>
          </w:rPr>
          <w:instrText xml:space="preserve"> PAGEREF _Toc140834941 \h </w:instrText>
        </w:r>
        <w:r w:rsidR="00B35A10">
          <w:rPr>
            <w:webHidden/>
          </w:rPr>
        </w:r>
        <w:r w:rsidR="00B35A10">
          <w:rPr>
            <w:webHidden/>
          </w:rPr>
          <w:fldChar w:fldCharType="separate"/>
        </w:r>
        <w:r w:rsidR="00850AA4">
          <w:rPr>
            <w:webHidden/>
          </w:rPr>
          <w:t>261</w:t>
        </w:r>
        <w:r w:rsidR="00B35A10">
          <w:rPr>
            <w:webHidden/>
          </w:rPr>
          <w:fldChar w:fldCharType="end"/>
        </w:r>
      </w:hyperlink>
    </w:p>
    <w:p w14:paraId="23CA9726" w14:textId="475F26B2" w:rsidR="00B35A10" w:rsidRDefault="00000000">
      <w:pPr>
        <w:pStyle w:val="TOC1"/>
        <w:rPr>
          <w:rFonts w:asciiTheme="minorHAnsi" w:eastAsiaTheme="minorEastAsia" w:hAnsiTheme="minorHAnsi" w:cstheme="minorBidi"/>
          <w:sz w:val="22"/>
          <w:szCs w:val="22"/>
        </w:rPr>
      </w:pPr>
      <w:hyperlink w:anchor="_Toc140834942" w:history="1">
        <w:r w:rsidR="00B35A10" w:rsidRPr="00A431D2">
          <w:rPr>
            <w:rStyle w:val="Hyperlink"/>
          </w:rPr>
          <w:t>Key result area: Increase early-stage diagnosis</w:t>
        </w:r>
        <w:r w:rsidR="00B35A10">
          <w:rPr>
            <w:webHidden/>
          </w:rPr>
          <w:tab/>
        </w:r>
        <w:r w:rsidR="00B35A10">
          <w:rPr>
            <w:webHidden/>
          </w:rPr>
          <w:fldChar w:fldCharType="begin"/>
        </w:r>
        <w:r w:rsidR="00B35A10">
          <w:rPr>
            <w:webHidden/>
          </w:rPr>
          <w:instrText xml:space="preserve"> PAGEREF _Toc140834942 \h </w:instrText>
        </w:r>
        <w:r w:rsidR="00B35A10">
          <w:rPr>
            <w:webHidden/>
          </w:rPr>
        </w:r>
        <w:r w:rsidR="00B35A10">
          <w:rPr>
            <w:webHidden/>
          </w:rPr>
          <w:fldChar w:fldCharType="separate"/>
        </w:r>
        <w:r w:rsidR="00850AA4">
          <w:rPr>
            <w:webHidden/>
          </w:rPr>
          <w:t>261</w:t>
        </w:r>
        <w:r w:rsidR="00B35A10">
          <w:rPr>
            <w:webHidden/>
          </w:rPr>
          <w:fldChar w:fldCharType="end"/>
        </w:r>
      </w:hyperlink>
    </w:p>
    <w:p w14:paraId="2E15575C" w14:textId="7BD1AB9F" w:rsidR="00B35A10" w:rsidRDefault="00000000">
      <w:pPr>
        <w:pStyle w:val="TOC1"/>
        <w:rPr>
          <w:rFonts w:asciiTheme="minorHAnsi" w:eastAsiaTheme="minorEastAsia" w:hAnsiTheme="minorHAnsi" w:cstheme="minorBidi"/>
          <w:sz w:val="22"/>
          <w:szCs w:val="22"/>
        </w:rPr>
      </w:pPr>
      <w:hyperlink w:anchor="_Toc140834943" w:history="1">
        <w:r w:rsidR="00B35A10" w:rsidRPr="00A431D2">
          <w:rPr>
            <w:rStyle w:val="Hyperlink"/>
          </w:rPr>
          <w:t>Key result area: Increase adherence to optimal care pathways</w:t>
        </w:r>
        <w:r w:rsidR="00B35A10">
          <w:rPr>
            <w:webHidden/>
          </w:rPr>
          <w:tab/>
        </w:r>
        <w:r w:rsidR="00B35A10">
          <w:rPr>
            <w:webHidden/>
          </w:rPr>
          <w:fldChar w:fldCharType="begin"/>
        </w:r>
        <w:r w:rsidR="00B35A10">
          <w:rPr>
            <w:webHidden/>
          </w:rPr>
          <w:instrText xml:space="preserve"> PAGEREF _Toc140834943 \h </w:instrText>
        </w:r>
        <w:r w:rsidR="00B35A10">
          <w:rPr>
            <w:webHidden/>
          </w:rPr>
        </w:r>
        <w:r w:rsidR="00B35A10">
          <w:rPr>
            <w:webHidden/>
          </w:rPr>
          <w:fldChar w:fldCharType="separate"/>
        </w:r>
        <w:r w:rsidR="00850AA4">
          <w:rPr>
            <w:webHidden/>
          </w:rPr>
          <w:t>262</w:t>
        </w:r>
        <w:r w:rsidR="00B35A10">
          <w:rPr>
            <w:webHidden/>
          </w:rPr>
          <w:fldChar w:fldCharType="end"/>
        </w:r>
      </w:hyperlink>
    </w:p>
    <w:p w14:paraId="03C53400" w14:textId="08918A96" w:rsidR="00B35A10" w:rsidRDefault="00000000">
      <w:pPr>
        <w:pStyle w:val="TOC1"/>
        <w:rPr>
          <w:rFonts w:asciiTheme="minorHAnsi" w:eastAsiaTheme="minorEastAsia" w:hAnsiTheme="minorHAnsi" w:cstheme="minorBidi"/>
          <w:sz w:val="22"/>
          <w:szCs w:val="22"/>
        </w:rPr>
      </w:pPr>
      <w:hyperlink w:anchor="_Toc140834944" w:history="1">
        <w:r w:rsidR="00B35A10" w:rsidRPr="00A431D2">
          <w:rPr>
            <w:rStyle w:val="Hyperlink"/>
          </w:rPr>
          <w:t>Key result area: Improve quality of life</w:t>
        </w:r>
        <w:r w:rsidR="00B35A10">
          <w:rPr>
            <w:webHidden/>
          </w:rPr>
          <w:tab/>
        </w:r>
        <w:r w:rsidR="00B35A10">
          <w:rPr>
            <w:webHidden/>
          </w:rPr>
          <w:fldChar w:fldCharType="begin"/>
        </w:r>
        <w:r w:rsidR="00B35A10">
          <w:rPr>
            <w:webHidden/>
          </w:rPr>
          <w:instrText xml:space="preserve"> PAGEREF _Toc140834944 \h </w:instrText>
        </w:r>
        <w:r w:rsidR="00B35A10">
          <w:rPr>
            <w:webHidden/>
          </w:rPr>
        </w:r>
        <w:r w:rsidR="00B35A10">
          <w:rPr>
            <w:webHidden/>
          </w:rPr>
          <w:fldChar w:fldCharType="separate"/>
        </w:r>
        <w:r w:rsidR="00850AA4">
          <w:rPr>
            <w:webHidden/>
          </w:rPr>
          <w:t>263</w:t>
        </w:r>
        <w:r w:rsidR="00B35A10">
          <w:rPr>
            <w:webHidden/>
          </w:rPr>
          <w:fldChar w:fldCharType="end"/>
        </w:r>
      </w:hyperlink>
    </w:p>
    <w:p w14:paraId="3F6893BB" w14:textId="510B6312" w:rsidR="00B35A10" w:rsidRDefault="00000000">
      <w:pPr>
        <w:pStyle w:val="TOC1"/>
        <w:rPr>
          <w:rFonts w:asciiTheme="minorHAnsi" w:eastAsiaTheme="minorEastAsia" w:hAnsiTheme="minorHAnsi" w:cstheme="minorBidi"/>
          <w:sz w:val="22"/>
          <w:szCs w:val="22"/>
        </w:rPr>
      </w:pPr>
      <w:hyperlink w:anchor="_Toc140834945" w:history="1">
        <w:r w:rsidR="00B35A10" w:rsidRPr="00A431D2">
          <w:rPr>
            <w:rStyle w:val="Hyperlink"/>
          </w:rPr>
          <w:t>Key result area: Improve patient experience of health care</w:t>
        </w:r>
        <w:r w:rsidR="00B35A10">
          <w:rPr>
            <w:webHidden/>
          </w:rPr>
          <w:tab/>
        </w:r>
        <w:r w:rsidR="00B35A10">
          <w:rPr>
            <w:webHidden/>
          </w:rPr>
          <w:fldChar w:fldCharType="begin"/>
        </w:r>
        <w:r w:rsidR="00B35A10">
          <w:rPr>
            <w:webHidden/>
          </w:rPr>
          <w:instrText xml:space="preserve"> PAGEREF _Toc140834945 \h </w:instrText>
        </w:r>
        <w:r w:rsidR="00B35A10">
          <w:rPr>
            <w:webHidden/>
          </w:rPr>
        </w:r>
        <w:r w:rsidR="00B35A10">
          <w:rPr>
            <w:webHidden/>
          </w:rPr>
          <w:fldChar w:fldCharType="separate"/>
        </w:r>
        <w:r w:rsidR="00850AA4">
          <w:rPr>
            <w:webHidden/>
          </w:rPr>
          <w:t>263</w:t>
        </w:r>
        <w:r w:rsidR="00B35A10">
          <w:rPr>
            <w:webHidden/>
          </w:rPr>
          <w:fldChar w:fldCharType="end"/>
        </w:r>
      </w:hyperlink>
    </w:p>
    <w:p w14:paraId="29F83B76" w14:textId="24B95B9D" w:rsidR="00B35A10" w:rsidRDefault="00000000">
      <w:pPr>
        <w:pStyle w:val="TOC1"/>
        <w:rPr>
          <w:rFonts w:asciiTheme="minorHAnsi" w:eastAsiaTheme="minorEastAsia" w:hAnsiTheme="minorHAnsi" w:cstheme="minorBidi"/>
          <w:sz w:val="22"/>
          <w:szCs w:val="22"/>
        </w:rPr>
      </w:pPr>
      <w:hyperlink w:anchor="_Toc140834946" w:history="1">
        <w:r w:rsidR="00B35A10" w:rsidRPr="00A431D2">
          <w:rPr>
            <w:rStyle w:val="Hyperlink"/>
          </w:rPr>
          <w:t>Key result area: Innovations and improved evidence of best practice</w:t>
        </w:r>
        <w:r w:rsidR="00B35A10">
          <w:rPr>
            <w:webHidden/>
          </w:rPr>
          <w:tab/>
        </w:r>
        <w:r w:rsidR="00B35A10">
          <w:rPr>
            <w:webHidden/>
          </w:rPr>
          <w:fldChar w:fldCharType="begin"/>
        </w:r>
        <w:r w:rsidR="00B35A10">
          <w:rPr>
            <w:webHidden/>
          </w:rPr>
          <w:instrText xml:space="preserve"> PAGEREF _Toc140834946 \h </w:instrText>
        </w:r>
        <w:r w:rsidR="00B35A10">
          <w:rPr>
            <w:webHidden/>
          </w:rPr>
        </w:r>
        <w:r w:rsidR="00B35A10">
          <w:rPr>
            <w:webHidden/>
          </w:rPr>
          <w:fldChar w:fldCharType="separate"/>
        </w:r>
        <w:r w:rsidR="00850AA4">
          <w:rPr>
            <w:webHidden/>
          </w:rPr>
          <w:t>264</w:t>
        </w:r>
        <w:r w:rsidR="00B35A10">
          <w:rPr>
            <w:webHidden/>
          </w:rPr>
          <w:fldChar w:fldCharType="end"/>
        </w:r>
      </w:hyperlink>
    </w:p>
    <w:p w14:paraId="05257696" w14:textId="330DDF21" w:rsidR="00757D17" w:rsidRDefault="00757D17" w:rsidP="00757D17">
      <w:pPr>
        <w:pStyle w:val="Body"/>
      </w:pPr>
      <w:r>
        <w:fldChar w:fldCharType="end"/>
      </w:r>
    </w:p>
    <w:sectPr w:rsidR="00757D17" w:rsidSect="009302EB">
      <w:pgSz w:w="11906" w:h="16838"/>
      <w:pgMar w:top="1411" w:right="1310" w:bottom="1138" w:left="1310" w:header="454" w:footer="51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D9A9ED" w14:textId="77777777" w:rsidR="00B14819" w:rsidRDefault="00B14819">
      <w:r>
        <w:separator/>
      </w:r>
    </w:p>
  </w:endnote>
  <w:endnote w:type="continuationSeparator" w:id="0">
    <w:p w14:paraId="479F3071" w14:textId="77777777" w:rsidR="00B14819" w:rsidRDefault="00B148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Foco CC">
    <w:altName w:val="Calibri"/>
    <w:panose1 w:val="00000000000000000000"/>
    <w:charset w:val="00"/>
    <w:family w:val="swiss"/>
    <w:notTrueType/>
    <w:pitch w:val="default"/>
    <w:sig w:usb0="00000003" w:usb1="00000000" w:usb2="00000000" w:usb3="00000000" w:csb0="00000001" w:csb1="00000000"/>
  </w:font>
  <w:font w:name="Foco CC Light">
    <w:altName w:val="Calibri"/>
    <w:panose1 w:val="00000000000000000000"/>
    <w:charset w:val="00"/>
    <w:family w:val="swiss"/>
    <w:notTrueType/>
    <w:pitch w:val="default"/>
    <w:sig w:usb0="00000003" w:usb1="00000000" w:usb2="00000000" w:usb3="00000000" w:csb0="00000001" w:csb1="00000000"/>
  </w:font>
  <w:font w:name="Open Sans Light">
    <w:charset w:val="00"/>
    <w:family w:val="swiss"/>
    <w:pitch w:val="variable"/>
    <w:sig w:usb0="E00002EF" w:usb1="4000205B" w:usb2="00000028" w:usb3="00000000" w:csb0="0000019F" w:csb1="00000000"/>
  </w:font>
  <w:font w:name="Open Sans">
    <w:charset w:val="00"/>
    <w:family w:val="swiss"/>
    <w:pitch w:val="variable"/>
    <w:sig w:usb0="E00002EF" w:usb1="4000205B" w:usb2="00000028" w:usb3="00000000" w:csb0="0000019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5B" w:usb2="00000009" w:usb3="00000000" w:csb0="000001FF" w:csb1="00000000"/>
  </w:font>
  <w:font w:name="myriad-pro">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SourceSansPro-Regular">
    <w:altName w:val="Yu Gothic"/>
    <w:panose1 w:val="00000000000000000000"/>
    <w:charset w:val="80"/>
    <w:family w:val="swiss"/>
    <w:notTrueType/>
    <w:pitch w:val="default"/>
    <w:sig w:usb0="00000001" w:usb1="08070000" w:usb2="00000010" w:usb3="00000000" w:csb0="00020000" w:csb1="00000000"/>
  </w:font>
  <w:font w:name="NotoSans">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rialMTPro-Light">
    <w:altName w:val="Yu Gothic"/>
    <w:panose1 w:val="00000000000000000000"/>
    <w:charset w:val="80"/>
    <w:family w:val="swiss"/>
    <w:notTrueType/>
    <w:pitch w:val="default"/>
    <w:sig w:usb0="00000001" w:usb1="08070000" w:usb2="00000010" w:usb3="00000000" w:csb0="00020000" w:csb1="00000000"/>
  </w:font>
  <w:font w:name="Roboto-Light">
    <w:altName w:val="Klee One"/>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FCAE3" w14:textId="06D3C874" w:rsidR="00AE57BF" w:rsidRDefault="00475A87">
    <w:pPr>
      <w:pStyle w:val="Footer"/>
    </w:pPr>
    <w:r>
      <w:rPr>
        <w:noProof/>
      </w:rPr>
      <mc:AlternateContent>
        <mc:Choice Requires="wps">
          <w:drawing>
            <wp:anchor distT="0" distB="0" distL="114300" distR="114300" simplePos="0" relativeHeight="251658240" behindDoc="0" locked="0" layoutInCell="0" allowOverlap="1" wp14:anchorId="05BDB3CE" wp14:editId="5EA3ED99">
              <wp:simplePos x="0" y="0"/>
              <wp:positionH relativeFrom="page">
                <wp:align>center</wp:align>
              </wp:positionH>
              <wp:positionV relativeFrom="page">
                <wp:align>bottom</wp:align>
              </wp:positionV>
              <wp:extent cx="7772400" cy="502285"/>
              <wp:effectExtent l="0" t="0" r="0" b="12065"/>
              <wp:wrapNone/>
              <wp:docPr id="49" name="MSIPCMde4a4f9a83339dacf3a7b8be" descr="{&quot;HashCode&quot;:904758361,&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5022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0325520" w14:textId="1C8456C1" w:rsidR="00475A87" w:rsidRPr="00521EDF" w:rsidRDefault="00521EDF" w:rsidP="00521EDF">
                          <w:pPr>
                            <w:jc w:val="center"/>
                            <w:rPr>
                              <w:rFonts w:ascii="Arial Black" w:hAnsi="Arial Black"/>
                              <w:color w:val="000000"/>
                            </w:rPr>
                          </w:pPr>
                          <w:r w:rsidRPr="00521EDF">
                            <w:rPr>
                              <w:rFonts w:ascii="Arial Black" w:hAnsi="Arial Black"/>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5BDB3CE" id="_x0000_t202" coordsize="21600,21600" o:spt="202" path="m,l,21600r21600,l21600,xe">
              <v:stroke joinstyle="miter"/>
              <v:path gradientshapeok="t" o:connecttype="rect"/>
            </v:shapetype>
            <v:shape id="MSIPCMde4a4f9a83339dacf3a7b8be" o:spid="_x0000_s1047" type="#_x0000_t202" alt="{&quot;HashCode&quot;:904758361,&quot;Height&quot;:9999999.0,&quot;Width&quot;:9999999.0,&quot;Placement&quot;:&quot;Footer&quot;,&quot;Index&quot;:&quot;OddAndEven&quot;,&quot;Section&quot;:1,&quot;Top&quot;:0.0,&quot;Left&quot;:0.0}" style="position:absolute;margin-left:0;margin-top:0;width:612pt;height:39.55pt;z-index:25165824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" o:allowincell="f" filled="f" stroked="f" strokeweight=".5pt">
              <v:textbox inset=",0,,0">
                <w:txbxContent>
                  <w:p w14:paraId="30325520" w14:textId="1C8456C1" w:rsidR="00475A87" w:rsidRPr="00521EDF" w:rsidRDefault="00521EDF" w:rsidP="00521EDF">
                    <w:pPr>
                      <w:jc w:val="center"/>
                      <w:rPr>
                        <w:rFonts w:ascii="Arial Black" w:hAnsi="Arial Black"/>
                        <w:color w:val="000000"/>
                      </w:rPr>
                    </w:pPr>
                    <w:r w:rsidRPr="00521EDF">
                      <w:rPr>
                        <w:rFonts w:ascii="Arial Black" w:hAnsi="Arial Black"/>
                        <w:color w:val="00000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E5A53" w14:textId="0FF438AE" w:rsidR="00AE57BF" w:rsidRDefault="00475A87">
    <w:pPr>
      <w:pStyle w:val="Footer"/>
    </w:pPr>
    <w:r>
      <w:rPr>
        <w:noProof/>
      </w:rPr>
      <mc:AlternateContent>
        <mc:Choice Requires="wps">
          <w:drawing>
            <wp:anchor distT="0" distB="0" distL="114300" distR="114300" simplePos="0" relativeHeight="251656192" behindDoc="0" locked="0" layoutInCell="0" allowOverlap="1" wp14:anchorId="272F19AB" wp14:editId="1E0FC922">
              <wp:simplePos x="0" y="0"/>
              <wp:positionH relativeFrom="page">
                <wp:align>center</wp:align>
              </wp:positionH>
              <wp:positionV relativeFrom="page">
                <wp:align>bottom</wp:align>
              </wp:positionV>
              <wp:extent cx="7772400" cy="502285"/>
              <wp:effectExtent l="0" t="0" r="0" b="12065"/>
              <wp:wrapNone/>
              <wp:docPr id="48" name="MSIPCM542747fe8ea7e2422503f422" descr="{&quot;HashCode&quot;:904758361,&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5022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8295774" w14:textId="4EC49AF8" w:rsidR="00475A87" w:rsidRPr="00521EDF" w:rsidRDefault="00521EDF" w:rsidP="00521EDF">
                          <w:pPr>
                            <w:jc w:val="center"/>
                            <w:rPr>
                              <w:rFonts w:ascii="Arial Black" w:hAnsi="Arial Black"/>
                              <w:color w:val="000000"/>
                            </w:rPr>
                          </w:pPr>
                          <w:r w:rsidRPr="00521EDF">
                            <w:rPr>
                              <w:rFonts w:ascii="Arial Black" w:hAnsi="Arial Black"/>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72F19AB" id="_x0000_t202" coordsize="21600,21600" o:spt="202" path="m,l,21600r21600,l21600,xe">
              <v:stroke joinstyle="miter"/>
              <v:path gradientshapeok="t" o:connecttype="rect"/>
            </v:shapetype>
            <v:shape id="MSIPCM542747fe8ea7e2422503f422" o:spid="_x0000_s1048" type="#_x0000_t202" alt="{&quot;HashCode&quot;:904758361,&quot;Height&quot;:9999999.0,&quot;Width&quot;:9999999.0,&quot;Placement&quot;:&quot;Footer&quot;,&quot;Index&quot;:&quot;Primary&quot;,&quot;Section&quot;:1,&quot;Top&quot;:0.0,&quot;Left&quot;:0.0}" style="position:absolute;margin-left:0;margin-top:0;width:612pt;height:39.55pt;z-index:25165619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" o:allowincell="f" filled="f" stroked="f" strokeweight=".5pt">
              <v:textbox inset=",0,,0">
                <w:txbxContent>
                  <w:p w14:paraId="18295774" w14:textId="4EC49AF8" w:rsidR="00475A87" w:rsidRPr="00521EDF" w:rsidRDefault="00521EDF" w:rsidP="00521EDF">
                    <w:pPr>
                      <w:jc w:val="center"/>
                      <w:rPr>
                        <w:rFonts w:ascii="Arial Black" w:hAnsi="Arial Black"/>
                        <w:color w:val="000000"/>
                      </w:rPr>
                    </w:pPr>
                    <w:r w:rsidRPr="00521EDF">
                      <w:rPr>
                        <w:rFonts w:ascii="Arial Black" w:hAnsi="Arial Black"/>
                        <w:color w:val="000000"/>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45D07" w14:textId="269628F8" w:rsidR="00764376" w:rsidRDefault="00764376">
    <w:pPr>
      <w:pStyle w:val="Footer"/>
    </w:pPr>
    <w:r>
      <w:rPr>
        <w:noProof/>
      </w:rPr>
      <mc:AlternateContent>
        <mc:Choice Requires="wps">
          <w:drawing>
            <wp:anchor distT="0" distB="0" distL="114300" distR="114300" simplePos="0" relativeHeight="251660288" behindDoc="0" locked="0" layoutInCell="0" allowOverlap="1" wp14:anchorId="69AE6C50" wp14:editId="66049CDF">
              <wp:simplePos x="0" y="0"/>
              <wp:positionH relativeFrom="page">
                <wp:align>center</wp:align>
              </wp:positionH>
              <wp:positionV relativeFrom="page">
                <wp:align>bottom</wp:align>
              </wp:positionV>
              <wp:extent cx="7772400" cy="502285"/>
              <wp:effectExtent l="0" t="0" r="0" b="12065"/>
              <wp:wrapNone/>
              <wp:docPr id="268" name="MSIPCMef764dcb9ce5262ded80ca48" descr="{&quot;HashCode&quot;:904758361,&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5022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E1979B3" w14:textId="06A02D8C" w:rsidR="00764376" w:rsidRPr="00E65402" w:rsidRDefault="00E65402" w:rsidP="00E65402">
                          <w:pPr>
                            <w:jc w:val="center"/>
                            <w:rPr>
                              <w:rFonts w:ascii="Arial Black" w:hAnsi="Arial Black"/>
                              <w:color w:val="000000"/>
                            </w:rPr>
                          </w:pPr>
                          <w:r w:rsidRPr="00E65402">
                            <w:rPr>
                              <w:rFonts w:ascii="Arial Black" w:hAnsi="Arial Black"/>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9AE6C50" id="_x0000_t202" coordsize="21600,21600" o:spt="202" path="m,l,21600r21600,l21600,xe">
              <v:stroke joinstyle="miter"/>
              <v:path gradientshapeok="t" o:connecttype="rect"/>
            </v:shapetype>
            <v:shape id="MSIPCMef764dcb9ce5262ded80ca48" o:spid="_x0000_s1049" type="#_x0000_t202" alt="{&quot;HashCode&quot;:904758361,&quot;Height&quot;:9999999.0,&quot;Width&quot;:9999999.0,&quot;Placement&quot;:&quot;Footer&quot;,&quot;Index&quot;:&quot;FirstPage&quot;,&quot;Section&quot;:1,&quot;Top&quot;:0.0,&quot;Left&quot;:0.0}" style="position:absolute;margin-left:0;margin-top:0;width:612pt;height:39.55pt;z-index:25166028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" o:allowincell="f" filled="f" stroked="f" strokeweight=".5pt">
              <v:textbox inset=",0,,0">
                <w:txbxContent>
                  <w:p w14:paraId="5E1979B3" w14:textId="06A02D8C" w:rsidR="00764376" w:rsidRPr="00E65402" w:rsidRDefault="00E65402" w:rsidP="00E65402">
                    <w:pPr>
                      <w:jc w:val="center"/>
                      <w:rPr>
                        <w:rFonts w:ascii="Arial Black" w:hAnsi="Arial Black"/>
                        <w:color w:val="000000"/>
                      </w:rPr>
                    </w:pPr>
                    <w:r w:rsidRPr="00E65402">
                      <w:rPr>
                        <w:rFonts w:ascii="Arial Black" w:hAnsi="Arial Black"/>
                        <w:color w:val="000000"/>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7BF8F" w14:textId="45BFC68A" w:rsidR="0072736E" w:rsidRPr="00A00853" w:rsidRDefault="00475A87" w:rsidP="00E969B1">
    <w:pPr>
      <w:pStyle w:val="DHHSfooter"/>
    </w:pPr>
    <w:r w:rsidRPr="00A00853">
      <w:rPr>
        <w:noProof/>
      </w:rPr>
      <mc:AlternateContent>
        <mc:Choice Requires="wps">
          <w:drawing>
            <wp:anchor distT="0" distB="0" distL="114300" distR="114300" simplePos="0" relativeHeight="252999679" behindDoc="0" locked="0" layoutInCell="0" allowOverlap="1" wp14:anchorId="250D20B1" wp14:editId="6930730C">
              <wp:simplePos x="0" y="0"/>
              <wp:positionH relativeFrom="page">
                <wp:posOffset>17780</wp:posOffset>
              </wp:positionH>
              <wp:positionV relativeFrom="page">
                <wp:posOffset>10154920</wp:posOffset>
              </wp:positionV>
              <wp:extent cx="7772400" cy="502285"/>
              <wp:effectExtent l="0" t="0" r="0" b="12065"/>
              <wp:wrapNone/>
              <wp:docPr id="54" name="MSIPCMbb8d47c19c8ed9a9026179d2" descr="{&quot;HashCode&quot;:904758361,&quot;Height&quot;:9999999.0,&quot;Width&quot;:9999999.0,&quot;Placement&quot;:&quot;Footer&quot;,&quot;Index&quot;:&quot;OddAndEven&quot;,&quot;Section&quot;:3,&quot;Top&quot;:0.0,&quot;Left&quot;:0.0}"/>
              <wp:cNvGraphicFramePr/>
              <a:graphic xmlns:a="http://schemas.openxmlformats.org/drawingml/2006/main">
                <a:graphicData uri="http://schemas.microsoft.com/office/word/2010/wordprocessingShape">
                  <wps:wsp>
                    <wps:cNvSpPr txBox="1"/>
                    <wps:spPr>
                      <a:xfrm>
                        <a:off x="0" y="0"/>
                        <a:ext cx="7772400" cy="5022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9CE81D6" w14:textId="12660EE6" w:rsidR="00475A87" w:rsidRPr="00E65402" w:rsidRDefault="00E65402" w:rsidP="00E65402">
                          <w:pPr>
                            <w:jc w:val="center"/>
                            <w:rPr>
                              <w:rFonts w:ascii="Arial Black" w:hAnsi="Arial Black"/>
                              <w:color w:val="000000"/>
                            </w:rPr>
                          </w:pPr>
                          <w:r w:rsidRPr="00E65402">
                            <w:rPr>
                              <w:rFonts w:ascii="Arial Black" w:hAnsi="Arial Black"/>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50D20B1" id="_x0000_t202" coordsize="21600,21600" o:spt="202" path="m,l,21600r21600,l21600,xe">
              <v:stroke joinstyle="miter"/>
              <v:path gradientshapeok="t" o:connecttype="rect"/>
            </v:shapetype>
            <v:shape id="MSIPCMbb8d47c19c8ed9a9026179d2" o:spid="_x0000_s1050" type="#_x0000_t202" alt="{&quot;HashCode&quot;:904758361,&quot;Height&quot;:9999999.0,&quot;Width&quot;:9999999.0,&quot;Placement&quot;:&quot;Footer&quot;,&quot;Index&quot;:&quot;OddAndEven&quot;,&quot;Section&quot;:3,&quot;Top&quot;:0.0,&quot;Left&quot;:0.0}" style="position:absolute;margin-left:1.4pt;margin-top:799.6pt;width:612pt;height:39.55pt;z-index:252999679;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" o:allowincell="f" filled="f" stroked="f" strokeweight=".5pt">
              <v:textbox inset=",0,,0">
                <w:txbxContent>
                  <w:p w14:paraId="59CE81D6" w14:textId="12660EE6" w:rsidR="00475A87" w:rsidRPr="00E65402" w:rsidRDefault="00E65402" w:rsidP="00E65402">
                    <w:pPr>
                      <w:jc w:val="center"/>
                      <w:rPr>
                        <w:rFonts w:ascii="Arial Black" w:hAnsi="Arial Black"/>
                        <w:color w:val="000000"/>
                      </w:rPr>
                    </w:pPr>
                    <w:r w:rsidRPr="00E65402">
                      <w:rPr>
                        <w:rFonts w:ascii="Arial Black" w:hAnsi="Arial Black"/>
                        <w:color w:val="000000"/>
                      </w:rPr>
                      <w:t>OFFICIAL</w:t>
                    </w:r>
                  </w:p>
                </w:txbxContent>
              </v:textbox>
              <w10:wrap anchorx="page" anchory="page"/>
            </v:shape>
          </w:pict>
        </mc:Fallback>
      </mc:AlternateContent>
    </w:r>
    <w:r w:rsidR="0072736E" w:rsidRPr="00A00853">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B6A2F" w14:textId="27E4D98F" w:rsidR="0072736E" w:rsidRPr="0031753A" w:rsidRDefault="00475A87" w:rsidP="00E969B1">
    <w:pPr>
      <w:pStyle w:val="DHHSfooter"/>
    </w:pPr>
    <w:r>
      <w:rPr>
        <w:noProof/>
        <w:color w:val="AF272F"/>
      </w:rPr>
      <mc:AlternateContent>
        <mc:Choice Requires="wps">
          <w:drawing>
            <wp:anchor distT="0" distB="0" distL="114300" distR="114300" simplePos="0" relativeHeight="252998655" behindDoc="0" locked="0" layoutInCell="0" allowOverlap="1" wp14:anchorId="3AB76B55" wp14:editId="117B1599">
              <wp:simplePos x="0" y="0"/>
              <wp:positionH relativeFrom="page">
                <wp:posOffset>8255</wp:posOffset>
              </wp:positionH>
              <wp:positionV relativeFrom="page">
                <wp:posOffset>10196830</wp:posOffset>
              </wp:positionV>
              <wp:extent cx="7772400" cy="502285"/>
              <wp:effectExtent l="0" t="0" r="0" b="12065"/>
              <wp:wrapNone/>
              <wp:docPr id="53" name="MSIPCM0c6647dcab7e4ffec06012da" descr="{&quot;HashCode&quot;:904758361,&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5022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784FB1B" w14:textId="283AD7EF" w:rsidR="00475A87" w:rsidRPr="00E65402" w:rsidRDefault="00E65402" w:rsidP="00E65402">
                          <w:pPr>
                            <w:jc w:val="center"/>
                            <w:rPr>
                              <w:rFonts w:ascii="Arial Black" w:hAnsi="Arial Black"/>
                              <w:color w:val="000000"/>
                            </w:rPr>
                          </w:pPr>
                          <w:r w:rsidRPr="00E65402">
                            <w:rPr>
                              <w:rFonts w:ascii="Arial Black" w:hAnsi="Arial Black"/>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AB76B55" id="_x0000_t202" coordsize="21600,21600" o:spt="202" path="m,l,21600r21600,l21600,xe">
              <v:stroke joinstyle="miter"/>
              <v:path gradientshapeok="t" o:connecttype="rect"/>
            </v:shapetype>
            <v:shape id="MSIPCM0c6647dcab7e4ffec06012da" o:spid="_x0000_s1051" type="#_x0000_t202" alt="{&quot;HashCode&quot;:904758361,&quot;Height&quot;:9999999.0,&quot;Width&quot;:9999999.0,&quot;Placement&quot;:&quot;Footer&quot;,&quot;Index&quot;:&quot;Primary&quot;,&quot;Section&quot;:3,&quot;Top&quot;:0.0,&quot;Left&quot;:0.0}" style="position:absolute;margin-left:.65pt;margin-top:802.9pt;width:612pt;height:39.55pt;z-index:252998655;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" o:allowincell="f" filled="f" stroked="f" strokeweight=".5pt">
              <v:textbox inset=",0,,0">
                <w:txbxContent>
                  <w:p w14:paraId="0784FB1B" w14:textId="283AD7EF" w:rsidR="00475A87" w:rsidRPr="00E65402" w:rsidRDefault="00E65402" w:rsidP="00E65402">
                    <w:pPr>
                      <w:jc w:val="center"/>
                      <w:rPr>
                        <w:rFonts w:ascii="Arial Black" w:hAnsi="Arial Black"/>
                        <w:color w:val="000000"/>
                      </w:rPr>
                    </w:pPr>
                    <w:r w:rsidRPr="00E65402">
                      <w:rPr>
                        <w:rFonts w:ascii="Arial Black" w:hAnsi="Arial Black"/>
                        <w:color w:val="000000"/>
                      </w:rPr>
                      <w:t>OFFICIAL</w:t>
                    </w:r>
                  </w:p>
                </w:txbxContent>
              </v:textbox>
              <w10:wrap anchorx="page" anchory="page"/>
            </v:shape>
          </w:pict>
        </mc:Fallback>
      </mc:AlternateContent>
    </w:r>
    <w:r w:rsidR="0072736E" w:rsidRPr="00DB4F90">
      <w:rPr>
        <w:color w:val="AF272F"/>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7E7841" w14:textId="52D35E5C" w:rsidR="0072736E" w:rsidRPr="001A7E04" w:rsidRDefault="00764376" w:rsidP="00AC0C3B">
    <w:pPr>
      <w:pStyle w:val="Footer"/>
    </w:pPr>
    <w:r>
      <w:rPr>
        <w:noProof/>
      </w:rPr>
      <mc:AlternateContent>
        <mc:Choice Requires="wps">
          <w:drawing>
            <wp:anchor distT="0" distB="0" distL="114300" distR="114300" simplePos="0" relativeHeight="253001728" behindDoc="0" locked="0" layoutInCell="0" allowOverlap="1" wp14:anchorId="11D7DAB9" wp14:editId="14C6E801">
              <wp:simplePos x="0" y="9365456"/>
              <wp:positionH relativeFrom="page">
                <wp:align>center</wp:align>
              </wp:positionH>
              <wp:positionV relativeFrom="page">
                <wp:align>bottom</wp:align>
              </wp:positionV>
              <wp:extent cx="7772400" cy="502285"/>
              <wp:effectExtent l="0" t="0" r="0" b="12065"/>
              <wp:wrapNone/>
              <wp:docPr id="270" name="MSIPCM40da4d1e94b6633c5d3b01c2" descr="{&quot;HashCode&quot;:904758361,&quot;Height&quot;:9999999.0,&quot;Width&quot;:9999999.0,&quot;Placement&quot;:&quot;Footer&quot;,&quot;Index&quot;:&quot;FirstPage&quot;,&quot;Section&quot;:3,&quot;Top&quot;:0.0,&quot;Left&quot;:0.0}"/>
              <wp:cNvGraphicFramePr/>
              <a:graphic xmlns:a="http://schemas.openxmlformats.org/drawingml/2006/main">
                <a:graphicData uri="http://schemas.microsoft.com/office/word/2010/wordprocessingShape">
                  <wps:wsp>
                    <wps:cNvSpPr txBox="1"/>
                    <wps:spPr>
                      <a:xfrm>
                        <a:off x="0" y="0"/>
                        <a:ext cx="7772400" cy="5022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B4E8127" w14:textId="2E05679B" w:rsidR="00764376" w:rsidRPr="00E65402" w:rsidRDefault="00E65402" w:rsidP="00E65402">
                          <w:pPr>
                            <w:jc w:val="center"/>
                            <w:rPr>
                              <w:rFonts w:ascii="Arial Black" w:hAnsi="Arial Black"/>
                              <w:color w:val="000000"/>
                            </w:rPr>
                          </w:pPr>
                          <w:r w:rsidRPr="00E65402">
                            <w:rPr>
                              <w:rFonts w:ascii="Arial Black" w:hAnsi="Arial Black"/>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1D7DAB9" id="_x0000_t202" coordsize="21600,21600" o:spt="202" path="m,l,21600r21600,l21600,xe">
              <v:stroke joinstyle="miter"/>
              <v:path gradientshapeok="t" o:connecttype="rect"/>
            </v:shapetype>
            <v:shape id="MSIPCM40da4d1e94b6633c5d3b01c2" o:spid="_x0000_s1053" type="#_x0000_t202" alt="{&quot;HashCode&quot;:904758361,&quot;Height&quot;:9999999.0,&quot;Width&quot;:9999999.0,&quot;Placement&quot;:&quot;Footer&quot;,&quot;Index&quot;:&quot;FirstPage&quot;,&quot;Section&quot;:3,&quot;Top&quot;:0.0,&quot;Left&quot;:0.0}" style="position:absolute;margin-left:0;margin-top:0;width:612pt;height:39.55pt;z-index:25300172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" o:allowincell="f" filled="f" stroked="f" strokeweight=".5pt">
              <v:textbox inset=",0,,0">
                <w:txbxContent>
                  <w:p w14:paraId="4B4E8127" w14:textId="2E05679B" w:rsidR="00764376" w:rsidRPr="00E65402" w:rsidRDefault="00E65402" w:rsidP="00E65402">
                    <w:pPr>
                      <w:jc w:val="center"/>
                      <w:rPr>
                        <w:rFonts w:ascii="Arial Black" w:hAnsi="Arial Black"/>
                        <w:color w:val="000000"/>
                      </w:rPr>
                    </w:pPr>
                    <w:r w:rsidRPr="00E65402">
                      <w:rPr>
                        <w:rFonts w:ascii="Arial Black" w:hAnsi="Arial Black"/>
                        <w:color w:val="00000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358B71" w14:textId="77777777" w:rsidR="00B14819" w:rsidRDefault="00B14819">
      <w:r>
        <w:separator/>
      </w:r>
    </w:p>
  </w:footnote>
  <w:footnote w:type="continuationSeparator" w:id="0">
    <w:p w14:paraId="64D86D51" w14:textId="77777777" w:rsidR="00B14819" w:rsidRDefault="00B14819">
      <w:r>
        <w:continuationSeparator/>
      </w:r>
    </w:p>
  </w:footnote>
  <w:footnote w:id="1">
    <w:p w14:paraId="4FE9E9D4" w14:textId="7EE6E561" w:rsidR="00980285" w:rsidRDefault="00980285">
      <w:pPr>
        <w:pStyle w:val="FootnoteText"/>
      </w:pPr>
      <w:r>
        <w:rPr>
          <w:rStyle w:val="FootnoteReference"/>
        </w:rPr>
        <w:footnoteRef/>
      </w:r>
      <w:r>
        <w:t xml:space="preserve"> </w:t>
      </w:r>
      <w:r w:rsidRPr="004E393C">
        <w:t xml:space="preserve">In this </w:t>
      </w:r>
      <w:r>
        <w:t xml:space="preserve">progress report, </w:t>
      </w:r>
      <w:r w:rsidRPr="004E393C">
        <w:t>we have used the term ‘Aboriginal</w:t>
      </w:r>
      <w:r w:rsidR="00710671">
        <w:t xml:space="preserve"> Victorians</w:t>
      </w:r>
      <w:r w:rsidRPr="004E393C">
        <w:t>’ to include all people of Aboriginal and Torres Strait Islander descent living in Victoria</w:t>
      </w:r>
      <w:r w:rsidRPr="0036313A">
        <w:t xml:space="preserve">. </w:t>
      </w:r>
      <w:r w:rsidRPr="0036313A">
        <w:rPr>
          <w:rFonts w:eastAsia="Times"/>
        </w:rPr>
        <w:t>Indigenous is retained when it is part of the title of a report, program or quotation.</w:t>
      </w:r>
    </w:p>
  </w:footnote>
  <w:footnote w:id="2">
    <w:p w14:paraId="4F1156DE" w14:textId="3BAAAF27" w:rsidR="0072736E" w:rsidRPr="003072C6" w:rsidRDefault="0072736E" w:rsidP="00D53F20">
      <w:pPr>
        <w:pStyle w:val="FootnoteText"/>
      </w:pPr>
      <w:r w:rsidRPr="003072C6">
        <w:rPr>
          <w:rStyle w:val="FootnoteReference"/>
        </w:rPr>
        <w:footnoteRef/>
      </w:r>
      <w:r>
        <w:t xml:space="preserve"> </w:t>
      </w:r>
      <w:r w:rsidR="003E214B">
        <w:t>Victorian Cancer Registry</w:t>
      </w:r>
      <w:r w:rsidR="000A522B">
        <w:t xml:space="preserve"> </w:t>
      </w:r>
      <w:r w:rsidR="003E214B">
        <w:t>202</w:t>
      </w:r>
      <w:r w:rsidR="000A522B">
        <w:t>2</w:t>
      </w:r>
      <w:r w:rsidR="002963FB">
        <w:t>,</w:t>
      </w:r>
      <w:r w:rsidRPr="009B23F8">
        <w:t xml:space="preserve"> </w:t>
      </w:r>
      <w:r w:rsidRPr="009B23F8">
        <w:rPr>
          <w:i/>
          <w:iCs/>
        </w:rPr>
        <w:t>Cancer in Victoria</w:t>
      </w:r>
      <w:r w:rsidR="000A522B" w:rsidRPr="009B23F8">
        <w:rPr>
          <w:i/>
          <w:iCs/>
        </w:rPr>
        <w:t>,</w:t>
      </w:r>
      <w:r w:rsidR="003E214B" w:rsidRPr="009B23F8">
        <w:rPr>
          <w:i/>
          <w:iCs/>
        </w:rPr>
        <w:t xml:space="preserve"> 202</w:t>
      </w:r>
      <w:r w:rsidR="000A522B" w:rsidRPr="009B23F8">
        <w:rPr>
          <w:i/>
          <w:iCs/>
        </w:rPr>
        <w:t>1</w:t>
      </w:r>
      <w:r w:rsidR="006B604E" w:rsidRPr="00220BDD">
        <w:t>,</w:t>
      </w:r>
      <w:r w:rsidRPr="00220BDD">
        <w:t xml:space="preserve"> Cancer Council Victoria, Melbourne.</w:t>
      </w:r>
    </w:p>
  </w:footnote>
  <w:footnote w:id="3">
    <w:p w14:paraId="673E5AB0" w14:textId="77777777" w:rsidR="0072736E" w:rsidRPr="00CA34E1" w:rsidRDefault="0072736E">
      <w:pPr>
        <w:pStyle w:val="FootnoteText"/>
        <w:rPr>
          <w:lang w:val="en-US"/>
        </w:rPr>
      </w:pPr>
      <w:r>
        <w:rPr>
          <w:rStyle w:val="FootnoteReference"/>
        </w:rPr>
        <w:footnoteRef/>
      </w:r>
      <w:r>
        <w:t xml:space="preserve"> </w:t>
      </w:r>
      <w:r>
        <w:rPr>
          <w:lang w:val="en-US"/>
        </w:rPr>
        <w:t>Ibid.</w:t>
      </w:r>
    </w:p>
  </w:footnote>
  <w:footnote w:id="4">
    <w:p w14:paraId="5E29FC2F" w14:textId="77777777" w:rsidR="0072736E" w:rsidRPr="002C2B8E" w:rsidRDefault="0072736E">
      <w:pPr>
        <w:pStyle w:val="FootnoteText"/>
        <w:rPr>
          <w:lang w:val="en-US"/>
        </w:rPr>
      </w:pPr>
      <w:r>
        <w:rPr>
          <w:rStyle w:val="FootnoteReference"/>
        </w:rPr>
        <w:footnoteRef/>
      </w:r>
      <w:r>
        <w:t xml:space="preserve"> </w:t>
      </w:r>
      <w:r>
        <w:rPr>
          <w:lang w:val="en-US"/>
        </w:rPr>
        <w:t>Ibid.</w:t>
      </w:r>
    </w:p>
  </w:footnote>
  <w:footnote w:id="5">
    <w:p w14:paraId="69D06F93" w14:textId="492615D3" w:rsidR="001E7221" w:rsidRDefault="001E7221">
      <w:pPr>
        <w:pStyle w:val="FootnoteText"/>
      </w:pPr>
      <w:r>
        <w:rPr>
          <w:rStyle w:val="FootnoteReference"/>
        </w:rPr>
        <w:footnoteRef/>
      </w:r>
      <w:r>
        <w:t xml:space="preserve"> Victorian Cancer Registry 2022</w:t>
      </w:r>
      <w:r w:rsidR="002963FB">
        <w:t>,</w:t>
      </w:r>
      <w:r w:rsidRPr="009B23F8">
        <w:t xml:space="preserve"> </w:t>
      </w:r>
      <w:r w:rsidRPr="009B23F8">
        <w:rPr>
          <w:i/>
          <w:iCs/>
        </w:rPr>
        <w:t>Cancer in Victoria, 2021</w:t>
      </w:r>
      <w:r w:rsidR="006B604E" w:rsidRPr="00220BDD">
        <w:t>,</w:t>
      </w:r>
      <w:r w:rsidRPr="00220BDD">
        <w:t xml:space="preserve"> Cancer Council Victoria, Melbourne.</w:t>
      </w:r>
    </w:p>
  </w:footnote>
  <w:footnote w:id="6">
    <w:p w14:paraId="2F27238C" w14:textId="699719F6" w:rsidR="0072736E" w:rsidRDefault="0072736E">
      <w:pPr>
        <w:pStyle w:val="FootnoteText"/>
      </w:pPr>
      <w:r>
        <w:rPr>
          <w:rStyle w:val="FootnoteReference"/>
        </w:rPr>
        <w:footnoteRef/>
      </w:r>
      <w:r>
        <w:t xml:space="preserve"> Ibid.</w:t>
      </w:r>
    </w:p>
  </w:footnote>
  <w:footnote w:id="7">
    <w:p w14:paraId="1B6929AF" w14:textId="2B072881" w:rsidR="004A5E24" w:rsidRDefault="004A5E24" w:rsidP="004A5E24">
      <w:pPr>
        <w:pStyle w:val="FootnoteText"/>
      </w:pPr>
      <w:r>
        <w:rPr>
          <w:rStyle w:val="FootnoteReference"/>
        </w:rPr>
        <w:footnoteRef/>
      </w:r>
      <w:r>
        <w:t xml:space="preserve"> Marvelde L</w:t>
      </w:r>
      <w:r w:rsidR="006B604E">
        <w:t>,</w:t>
      </w:r>
      <w:r>
        <w:t xml:space="preserve"> Wolfe R, McArthur G, </w:t>
      </w:r>
      <w:r w:rsidR="00A15E23">
        <w:t>et al.</w:t>
      </w:r>
      <w:r>
        <w:t xml:space="preserve"> 2021</w:t>
      </w:r>
      <w:r w:rsidR="006B604E">
        <w:t>,</w:t>
      </w:r>
      <w:r>
        <w:t xml:space="preserve"> </w:t>
      </w:r>
      <w:r w:rsidR="006B604E">
        <w:t>‘</w:t>
      </w:r>
      <w:r>
        <w:t>Decline in cancer pathology notifications during the 2020 COVID-19-related restrictions in Victoria</w:t>
      </w:r>
      <w:r w:rsidR="006B604E">
        <w:t>’,</w:t>
      </w:r>
      <w:r>
        <w:t xml:space="preserve"> </w:t>
      </w:r>
      <w:r w:rsidRPr="009B23F8">
        <w:rPr>
          <w:i/>
          <w:iCs/>
        </w:rPr>
        <w:t>Med</w:t>
      </w:r>
      <w:r w:rsidR="006B604E" w:rsidRPr="009B23F8">
        <w:rPr>
          <w:i/>
          <w:iCs/>
        </w:rPr>
        <w:t>ical</w:t>
      </w:r>
      <w:r w:rsidRPr="009B23F8">
        <w:rPr>
          <w:i/>
          <w:iCs/>
        </w:rPr>
        <w:t xml:space="preserve"> J</w:t>
      </w:r>
      <w:r w:rsidR="006B604E" w:rsidRPr="009B23F8">
        <w:rPr>
          <w:i/>
          <w:iCs/>
        </w:rPr>
        <w:t>ournal of</w:t>
      </w:r>
      <w:r w:rsidRPr="009B23F8">
        <w:rPr>
          <w:i/>
          <w:iCs/>
        </w:rPr>
        <w:t xml:space="preserve"> Aust</w:t>
      </w:r>
      <w:r w:rsidR="006B604E" w:rsidRPr="009B23F8">
        <w:rPr>
          <w:i/>
          <w:iCs/>
        </w:rPr>
        <w:t>ralia</w:t>
      </w:r>
      <w:r w:rsidR="006B604E">
        <w:t>,</w:t>
      </w:r>
      <w:r>
        <w:t xml:space="preserve"> 214:</w:t>
      </w:r>
      <w:r w:rsidR="006B604E">
        <w:t xml:space="preserve"> </w:t>
      </w:r>
      <w:r>
        <w:t>281</w:t>
      </w:r>
      <w:r w:rsidR="006B604E">
        <w:t>–</w:t>
      </w:r>
      <w:r>
        <w:t>283.</w:t>
      </w:r>
    </w:p>
  </w:footnote>
  <w:footnote w:id="8">
    <w:p w14:paraId="2EC80995" w14:textId="2275A565" w:rsidR="00DE572B" w:rsidRDefault="00DE572B">
      <w:pPr>
        <w:pStyle w:val="FootnoteText"/>
      </w:pPr>
      <w:r>
        <w:rPr>
          <w:rStyle w:val="FootnoteReference"/>
        </w:rPr>
        <w:footnoteRef/>
      </w:r>
      <w:r>
        <w:t xml:space="preserve"> Victorian Cancer Registry 2022</w:t>
      </w:r>
      <w:r w:rsidR="00C10DB1" w:rsidRPr="00E50474">
        <w:t>,</w:t>
      </w:r>
      <w:r w:rsidRPr="00E50474">
        <w:t xml:space="preserve"> </w:t>
      </w:r>
      <w:r w:rsidRPr="009B23F8">
        <w:rPr>
          <w:i/>
          <w:iCs/>
        </w:rPr>
        <w:t>Cancer in Victoria</w:t>
      </w:r>
      <w:r w:rsidR="00C10DB1" w:rsidRPr="009B23F8">
        <w:rPr>
          <w:i/>
          <w:iCs/>
        </w:rPr>
        <w:t>,</w:t>
      </w:r>
      <w:r w:rsidRPr="009B23F8">
        <w:rPr>
          <w:i/>
          <w:iCs/>
        </w:rPr>
        <w:t xml:space="preserve"> 2021</w:t>
      </w:r>
      <w:r w:rsidR="00C10DB1" w:rsidRPr="00E50474">
        <w:t>,</w:t>
      </w:r>
      <w:r w:rsidRPr="00E50474">
        <w:t xml:space="preserve"> Cancer Council Victoria, Melbourne.</w:t>
      </w:r>
    </w:p>
  </w:footnote>
  <w:footnote w:id="9">
    <w:p w14:paraId="19D9C519" w14:textId="2FC7C6DD" w:rsidR="0072736E" w:rsidRDefault="0072736E" w:rsidP="00E50474">
      <w:pPr>
        <w:pStyle w:val="FootnoteText"/>
      </w:pPr>
      <w:r>
        <w:rPr>
          <w:rStyle w:val="FootnoteReference"/>
        </w:rPr>
        <w:footnoteRef/>
      </w:r>
      <w:r>
        <w:t xml:space="preserve"> </w:t>
      </w:r>
      <w:r w:rsidRPr="00E50474">
        <w:t>Australian Institute of Health and Welfare 2019</w:t>
      </w:r>
      <w:r w:rsidR="00E50474">
        <w:t>,</w:t>
      </w:r>
      <w:r w:rsidRPr="00E50474">
        <w:t xml:space="preserve"> </w:t>
      </w:r>
      <w:r w:rsidRPr="00E50474">
        <w:rPr>
          <w:i/>
          <w:iCs/>
        </w:rPr>
        <w:t>Cancer in Australia 2019</w:t>
      </w:r>
      <w:r w:rsidR="00E50474">
        <w:t>,</w:t>
      </w:r>
      <w:r w:rsidRPr="00E50474">
        <w:t xml:space="preserve"> Cancer series no.119. Cat. no. CAN 123</w:t>
      </w:r>
      <w:r w:rsidR="005A1F83">
        <w:t>,</w:t>
      </w:r>
      <w:r w:rsidRPr="00E50474">
        <w:t xml:space="preserve"> AIHW, Canberra.</w:t>
      </w:r>
    </w:p>
  </w:footnote>
  <w:footnote w:id="10">
    <w:p w14:paraId="6A70FD24" w14:textId="310EA33B" w:rsidR="0072736E" w:rsidRDefault="0072736E" w:rsidP="00A41E84">
      <w:pPr>
        <w:pStyle w:val="FootnoteText"/>
      </w:pPr>
      <w:r>
        <w:rPr>
          <w:rStyle w:val="FootnoteReference"/>
        </w:rPr>
        <w:footnoteRef/>
      </w:r>
      <w:r>
        <w:t xml:space="preserve"> </w:t>
      </w:r>
      <w:r>
        <w:rPr>
          <w:color w:val="222222"/>
        </w:rPr>
        <w:t>Whiteman DC, Webb PM, Green AC, et al. 2015</w:t>
      </w:r>
      <w:r w:rsidR="00AC75DC">
        <w:rPr>
          <w:color w:val="222222"/>
        </w:rPr>
        <w:t>,</w:t>
      </w:r>
      <w:r>
        <w:rPr>
          <w:color w:val="222222"/>
        </w:rPr>
        <w:t xml:space="preserve"> </w:t>
      </w:r>
      <w:r w:rsidR="00AC75DC">
        <w:rPr>
          <w:color w:val="222222"/>
        </w:rPr>
        <w:t>‘</w:t>
      </w:r>
      <w:r>
        <w:rPr>
          <w:color w:val="222222"/>
        </w:rPr>
        <w:t>Cancers in Australia in 2010 attributable to modifiable factors: summary and conclusions</w:t>
      </w:r>
      <w:r w:rsidR="00AC75DC">
        <w:rPr>
          <w:color w:val="222222"/>
        </w:rPr>
        <w:t>’,</w:t>
      </w:r>
      <w:r>
        <w:rPr>
          <w:color w:val="222222"/>
        </w:rPr>
        <w:t xml:space="preserve"> </w:t>
      </w:r>
      <w:r w:rsidRPr="00421C20">
        <w:rPr>
          <w:i/>
          <w:iCs/>
          <w:color w:val="222222"/>
        </w:rPr>
        <w:t>Australian and New Zealand Journal of Public Health</w:t>
      </w:r>
      <w:r w:rsidR="00AC75DC">
        <w:rPr>
          <w:color w:val="222222"/>
        </w:rPr>
        <w:t>,</w:t>
      </w:r>
      <w:r>
        <w:rPr>
          <w:color w:val="222222"/>
        </w:rPr>
        <w:t xml:space="preserve"> 39(5):477</w:t>
      </w:r>
      <w:r w:rsidR="00AC75DC">
        <w:rPr>
          <w:color w:val="222222"/>
        </w:rPr>
        <w:t>–4</w:t>
      </w:r>
      <w:r>
        <w:rPr>
          <w:color w:val="222222"/>
        </w:rPr>
        <w:t>84.</w:t>
      </w:r>
    </w:p>
  </w:footnote>
  <w:footnote w:id="11">
    <w:p w14:paraId="0BAC2D17" w14:textId="6FF93574" w:rsidR="0072736E" w:rsidRPr="001C0198" w:rsidRDefault="0072736E" w:rsidP="00A41E84">
      <w:pPr>
        <w:pStyle w:val="FootnoteText"/>
        <w:spacing w:before="0" w:after="0" w:line="240" w:lineRule="auto"/>
        <w:rPr>
          <w:iCs/>
        </w:rPr>
      </w:pPr>
      <w:r>
        <w:rPr>
          <w:rStyle w:val="FootnoteReference"/>
        </w:rPr>
        <w:footnoteRef/>
      </w:r>
      <w:r>
        <w:t xml:space="preserve"> Department of Health and </w:t>
      </w:r>
      <w:r w:rsidRPr="00C224EE">
        <w:t>Human Services</w:t>
      </w:r>
      <w:r>
        <w:t xml:space="preserve"> 20</w:t>
      </w:r>
      <w:r w:rsidR="00C224EE">
        <w:t>20</w:t>
      </w:r>
      <w:r w:rsidR="00AC75DC">
        <w:t>,</w:t>
      </w:r>
      <w:r w:rsidRPr="00EA5DB6">
        <w:rPr>
          <w:i/>
        </w:rPr>
        <w:t xml:space="preserve"> </w:t>
      </w:r>
      <w:r w:rsidRPr="00421C20">
        <w:rPr>
          <w:i/>
        </w:rPr>
        <w:t>Victorian cancer plan 20</w:t>
      </w:r>
      <w:r w:rsidR="00C224EE" w:rsidRPr="00421C20">
        <w:rPr>
          <w:i/>
        </w:rPr>
        <w:t>20</w:t>
      </w:r>
      <w:r w:rsidRPr="00421C20">
        <w:rPr>
          <w:i/>
        </w:rPr>
        <w:t>–202</w:t>
      </w:r>
      <w:r w:rsidR="00C224EE" w:rsidRPr="00421C20">
        <w:rPr>
          <w:i/>
        </w:rPr>
        <w:t>4</w:t>
      </w:r>
      <w:r w:rsidR="00AC75DC">
        <w:rPr>
          <w:iCs/>
        </w:rPr>
        <w:t>,</w:t>
      </w:r>
      <w:r>
        <w:rPr>
          <w:iCs/>
        </w:rPr>
        <w:t xml:space="preserve"> State Government of Victoria, Melbourne.</w:t>
      </w:r>
    </w:p>
  </w:footnote>
  <w:footnote w:id="12">
    <w:p w14:paraId="2A6C7345" w14:textId="74C4EEE9" w:rsidR="0072736E" w:rsidRPr="00F87036" w:rsidRDefault="0072736E">
      <w:pPr>
        <w:pStyle w:val="FootnoteText"/>
      </w:pPr>
      <w:r>
        <w:rPr>
          <w:rStyle w:val="FootnoteReference"/>
        </w:rPr>
        <w:footnoteRef/>
      </w:r>
      <w:r>
        <w:t xml:space="preserve"> </w:t>
      </w:r>
      <w:r w:rsidRPr="00F87036">
        <w:rPr>
          <w:color w:val="333333"/>
          <w:lang w:val="en"/>
        </w:rPr>
        <w:t>Australian Institute of Health and Welfare 2017</w:t>
      </w:r>
      <w:r w:rsidR="009F59C0">
        <w:rPr>
          <w:color w:val="333333"/>
          <w:lang w:val="en"/>
        </w:rPr>
        <w:t>,</w:t>
      </w:r>
      <w:r w:rsidRPr="00F87036">
        <w:rPr>
          <w:color w:val="333333"/>
          <w:lang w:val="en"/>
        </w:rPr>
        <w:t xml:space="preserve"> </w:t>
      </w:r>
      <w:r w:rsidRPr="00421C20">
        <w:rPr>
          <w:i/>
          <w:iCs/>
          <w:color w:val="333333"/>
          <w:lang w:val="en"/>
        </w:rPr>
        <w:t>Cancer in Australia 2017</w:t>
      </w:r>
      <w:r w:rsidR="009F59C0">
        <w:rPr>
          <w:color w:val="333333"/>
          <w:lang w:val="en"/>
        </w:rPr>
        <w:t>,</w:t>
      </w:r>
      <w:r w:rsidRPr="00F87036">
        <w:rPr>
          <w:color w:val="333333"/>
          <w:lang w:val="en"/>
        </w:rPr>
        <w:t xml:space="preserve"> Cancer series no.101. Cat. no. CAN 100. AIHW</w:t>
      </w:r>
      <w:r>
        <w:rPr>
          <w:color w:val="333333"/>
          <w:lang w:val="en"/>
        </w:rPr>
        <w:t>,</w:t>
      </w:r>
      <w:r w:rsidRPr="00B40166">
        <w:rPr>
          <w:color w:val="333333"/>
          <w:lang w:val="en"/>
        </w:rPr>
        <w:t xml:space="preserve"> </w:t>
      </w:r>
      <w:r w:rsidRPr="00F87036">
        <w:rPr>
          <w:color w:val="333333"/>
          <w:lang w:val="en"/>
        </w:rPr>
        <w:t>Canberra.</w:t>
      </w:r>
    </w:p>
  </w:footnote>
  <w:footnote w:id="13">
    <w:p w14:paraId="532B4C25" w14:textId="7247D5BB" w:rsidR="0072736E" w:rsidRPr="00E306C3" w:rsidRDefault="0072736E">
      <w:pPr>
        <w:pStyle w:val="FootnoteText"/>
        <w:rPr>
          <w:lang w:val="en-NZ"/>
        </w:rPr>
      </w:pPr>
      <w:r>
        <w:rPr>
          <w:rStyle w:val="FootnoteReference"/>
        </w:rPr>
        <w:footnoteRef/>
      </w:r>
      <w:r>
        <w:t xml:space="preserve"> </w:t>
      </w:r>
      <w:r w:rsidRPr="00E306C3">
        <w:t>Australian Institute of Health and Welfare 2019</w:t>
      </w:r>
      <w:r w:rsidR="009F59C0">
        <w:t>,</w:t>
      </w:r>
      <w:r w:rsidRPr="00E306C3">
        <w:t xml:space="preserve"> </w:t>
      </w:r>
      <w:r w:rsidRPr="00421C20">
        <w:rPr>
          <w:i/>
          <w:iCs/>
        </w:rPr>
        <w:t>Cancer in Australia 2019</w:t>
      </w:r>
      <w:r w:rsidR="009F59C0">
        <w:t>,</w:t>
      </w:r>
      <w:r w:rsidRPr="00E306C3">
        <w:t xml:space="preserve"> Cancer series no.119.</w:t>
      </w:r>
      <w:r>
        <w:t xml:space="preserve"> </w:t>
      </w:r>
      <w:r w:rsidRPr="00E306C3">
        <w:t>Cat. no. CAN 123. AIHW</w:t>
      </w:r>
      <w:r>
        <w:t>,</w:t>
      </w:r>
      <w:r w:rsidRPr="00B40166">
        <w:t xml:space="preserve"> </w:t>
      </w:r>
      <w:r w:rsidRPr="00E306C3">
        <w:t>Canberra.</w:t>
      </w:r>
    </w:p>
  </w:footnote>
  <w:footnote w:id="14">
    <w:p w14:paraId="4AB30E10" w14:textId="1D860997" w:rsidR="00FB412E" w:rsidRPr="00FB412E" w:rsidRDefault="00FB412E">
      <w:pPr>
        <w:pStyle w:val="FootnoteText"/>
      </w:pPr>
      <w:r>
        <w:rPr>
          <w:rStyle w:val="FootnoteReference"/>
        </w:rPr>
        <w:footnoteRef/>
      </w:r>
      <w:r>
        <w:t xml:space="preserve"> </w:t>
      </w:r>
      <w:r w:rsidRPr="00FB412E">
        <w:rPr>
          <w:color w:val="222222"/>
          <w:shd w:val="clear" w:color="auto" w:fill="FFFFFF"/>
        </w:rPr>
        <w:t>Hoy RF, Brims F</w:t>
      </w:r>
      <w:r w:rsidR="009F59C0">
        <w:rPr>
          <w:color w:val="222222"/>
          <w:shd w:val="clear" w:color="auto" w:fill="FFFFFF"/>
        </w:rPr>
        <w:t xml:space="preserve"> 2017,</w:t>
      </w:r>
      <w:r w:rsidRPr="00FB412E">
        <w:rPr>
          <w:color w:val="222222"/>
          <w:shd w:val="clear" w:color="auto" w:fill="FFFFFF"/>
        </w:rPr>
        <w:t xml:space="preserve"> </w:t>
      </w:r>
      <w:r w:rsidR="009F59C0">
        <w:rPr>
          <w:color w:val="222222"/>
          <w:shd w:val="clear" w:color="auto" w:fill="FFFFFF"/>
        </w:rPr>
        <w:t>‘</w:t>
      </w:r>
      <w:r w:rsidRPr="00FB412E">
        <w:rPr>
          <w:color w:val="222222"/>
          <w:shd w:val="clear" w:color="auto" w:fill="FFFFFF"/>
        </w:rPr>
        <w:t>Occupational lung diseases in Australia</w:t>
      </w:r>
      <w:r w:rsidR="009F59C0">
        <w:rPr>
          <w:color w:val="222222"/>
          <w:shd w:val="clear" w:color="auto" w:fill="FFFFFF"/>
        </w:rPr>
        <w:t>’,</w:t>
      </w:r>
      <w:r w:rsidRPr="00FB412E">
        <w:rPr>
          <w:color w:val="222222"/>
          <w:shd w:val="clear" w:color="auto" w:fill="FFFFFF"/>
        </w:rPr>
        <w:t xml:space="preserve"> </w:t>
      </w:r>
      <w:r w:rsidRPr="00421C20">
        <w:rPr>
          <w:i/>
          <w:iCs/>
          <w:color w:val="222222"/>
          <w:shd w:val="clear" w:color="auto" w:fill="FFFFFF"/>
        </w:rPr>
        <w:t>Medical Journal of Australia</w:t>
      </w:r>
      <w:r w:rsidR="00F53A3E">
        <w:rPr>
          <w:color w:val="222222"/>
          <w:shd w:val="clear" w:color="auto" w:fill="FFFFFF"/>
        </w:rPr>
        <w:t>,</w:t>
      </w:r>
      <w:r w:rsidRPr="00FB412E">
        <w:rPr>
          <w:color w:val="222222"/>
          <w:shd w:val="clear" w:color="auto" w:fill="FFFFFF"/>
        </w:rPr>
        <w:t xml:space="preserve"> 207(10):443</w:t>
      </w:r>
      <w:r w:rsidR="00F53A3E">
        <w:rPr>
          <w:color w:val="222222"/>
          <w:shd w:val="clear" w:color="auto" w:fill="FFFFFF"/>
        </w:rPr>
        <w:t>–44</w:t>
      </w:r>
      <w:r w:rsidRPr="00FB412E">
        <w:rPr>
          <w:color w:val="222222"/>
          <w:shd w:val="clear" w:color="auto" w:fill="FFFFFF"/>
        </w:rPr>
        <w:t>8.</w:t>
      </w:r>
    </w:p>
  </w:footnote>
  <w:footnote w:id="15">
    <w:p w14:paraId="09546E49" w14:textId="56847C40" w:rsidR="0072736E" w:rsidRPr="00BE6A23" w:rsidRDefault="0072736E">
      <w:pPr>
        <w:pStyle w:val="FootnoteText"/>
        <w:rPr>
          <w:lang w:val="en-NZ"/>
        </w:rPr>
      </w:pPr>
      <w:r>
        <w:rPr>
          <w:rStyle w:val="FootnoteReference"/>
        </w:rPr>
        <w:footnoteRef/>
      </w:r>
      <w:r>
        <w:t xml:space="preserve"> </w:t>
      </w:r>
      <w:r w:rsidR="00B80010">
        <w:t>Cancer Australia 2022, Lung cancer in Australia Statistics</w:t>
      </w:r>
      <w:r>
        <w:rPr>
          <w:lang w:val="en"/>
        </w:rPr>
        <w:t>. Available</w:t>
      </w:r>
      <w:r w:rsidR="00B80010">
        <w:rPr>
          <w:lang w:val="en"/>
        </w:rPr>
        <w:t xml:space="preserve"> </w:t>
      </w:r>
      <w:r>
        <w:rPr>
          <w:lang w:val="en"/>
        </w:rPr>
        <w:t>from:</w:t>
      </w:r>
      <w:r w:rsidRPr="00BE6A23">
        <w:rPr>
          <w:lang w:val="en"/>
        </w:rPr>
        <w:t> </w:t>
      </w:r>
      <w:r w:rsidR="00B80010" w:rsidRPr="00B80010">
        <w:rPr>
          <w:lang w:val="en"/>
        </w:rPr>
        <w:t>https://www.canceraustralia.gov.au/cancer-types/lung-cancer/statistics</w:t>
      </w:r>
      <w:r w:rsidR="00B80010">
        <w:rPr>
          <w:lang w:val="en"/>
        </w:rPr>
        <w:t>.</w:t>
      </w:r>
    </w:p>
  </w:footnote>
  <w:footnote w:id="16">
    <w:p w14:paraId="0272D4A8" w14:textId="079C0DFC" w:rsidR="00DE638F" w:rsidRPr="00F77624" w:rsidRDefault="00DE638F" w:rsidP="00DE638F">
      <w:pPr>
        <w:pStyle w:val="FootnoteText"/>
        <w:spacing w:before="0" w:after="0" w:line="240" w:lineRule="auto"/>
        <w:rPr>
          <w:lang w:val="en-US"/>
        </w:rPr>
      </w:pPr>
      <w:r>
        <w:rPr>
          <w:rStyle w:val="FootnoteReference"/>
        </w:rPr>
        <w:footnoteRef/>
      </w:r>
      <w:r w:rsidRPr="00F77624">
        <w:t xml:space="preserve"> </w:t>
      </w:r>
      <w:r>
        <w:t>Victorian Cancer Registry</w:t>
      </w:r>
      <w:r w:rsidR="00432123">
        <w:t xml:space="preserve"> </w:t>
      </w:r>
      <w:r>
        <w:t>202</w:t>
      </w:r>
      <w:r w:rsidR="008120C4">
        <w:t>2</w:t>
      </w:r>
      <w:r w:rsidR="00F53A3E" w:rsidRPr="00E50474">
        <w:t>,</w:t>
      </w:r>
      <w:r w:rsidRPr="00E50474">
        <w:t xml:space="preserve"> </w:t>
      </w:r>
      <w:r w:rsidRPr="00421C20">
        <w:rPr>
          <w:i/>
          <w:iCs/>
        </w:rPr>
        <w:t>Cancer in Victoria</w:t>
      </w:r>
      <w:r w:rsidR="00F53A3E" w:rsidRPr="00421C20">
        <w:rPr>
          <w:i/>
          <w:iCs/>
        </w:rPr>
        <w:t>,</w:t>
      </w:r>
      <w:r w:rsidRPr="00421C20">
        <w:rPr>
          <w:i/>
          <w:iCs/>
        </w:rPr>
        <w:t xml:space="preserve"> 202</w:t>
      </w:r>
      <w:r w:rsidR="008120C4" w:rsidRPr="00421C20">
        <w:rPr>
          <w:i/>
          <w:iCs/>
        </w:rPr>
        <w:t>1</w:t>
      </w:r>
      <w:r w:rsidR="00F53A3E" w:rsidRPr="00E50474">
        <w:t>,</w:t>
      </w:r>
      <w:r w:rsidRPr="00E50474">
        <w:t xml:space="preserve"> Cancer Council Victoria, Melbourne.</w:t>
      </w:r>
    </w:p>
  </w:footnote>
  <w:footnote w:id="17">
    <w:p w14:paraId="7F69891B" w14:textId="55B38DB5" w:rsidR="0072736E" w:rsidRPr="00F77624" w:rsidRDefault="0072736E" w:rsidP="000F5DFE">
      <w:pPr>
        <w:pStyle w:val="FootnoteText"/>
        <w:spacing w:before="0" w:after="0" w:line="240" w:lineRule="auto"/>
        <w:rPr>
          <w:lang w:val="en-US"/>
        </w:rPr>
      </w:pPr>
      <w:r>
        <w:rPr>
          <w:rStyle w:val="FootnoteReference"/>
        </w:rPr>
        <w:footnoteRef/>
      </w:r>
      <w:r w:rsidRPr="00F77624">
        <w:t xml:space="preserve"> </w:t>
      </w:r>
      <w:r w:rsidR="00E524C6">
        <w:t>Ibid.</w:t>
      </w:r>
    </w:p>
  </w:footnote>
  <w:footnote w:id="18">
    <w:p w14:paraId="63CA2360" w14:textId="1DCF6A9E" w:rsidR="0072736E" w:rsidRPr="0093394C" w:rsidRDefault="0072736E">
      <w:pPr>
        <w:pStyle w:val="FootnoteText"/>
        <w:rPr>
          <w:lang w:val="en-NZ"/>
        </w:rPr>
      </w:pPr>
      <w:r>
        <w:rPr>
          <w:rStyle w:val="FootnoteReference"/>
        </w:rPr>
        <w:footnoteRef/>
      </w:r>
      <w:r>
        <w:t xml:space="preserve"> </w:t>
      </w:r>
      <w:r w:rsidRPr="0093394C">
        <w:rPr>
          <w:lang w:val="en"/>
        </w:rPr>
        <w:t>Australian Institute of Health and Welfare &amp; Cancer Australia 2011</w:t>
      </w:r>
      <w:r w:rsidR="00F53A3E">
        <w:rPr>
          <w:lang w:val="en"/>
        </w:rPr>
        <w:t>,</w:t>
      </w:r>
      <w:r w:rsidRPr="0093394C">
        <w:rPr>
          <w:lang w:val="en"/>
        </w:rPr>
        <w:t xml:space="preserve"> </w:t>
      </w:r>
      <w:r w:rsidRPr="00421C20">
        <w:rPr>
          <w:i/>
          <w:iCs/>
          <w:lang w:val="en"/>
        </w:rPr>
        <w:t>Lung cancer in Australia: an overview</w:t>
      </w:r>
      <w:r w:rsidR="00F53A3E">
        <w:rPr>
          <w:lang w:val="en"/>
        </w:rPr>
        <w:t>,</w:t>
      </w:r>
      <w:r w:rsidRPr="0093394C">
        <w:rPr>
          <w:lang w:val="en"/>
        </w:rPr>
        <w:t xml:space="preserve"> Cancer series no. 64. Cat. no. CAN 58. AIHW</w:t>
      </w:r>
      <w:r>
        <w:rPr>
          <w:lang w:val="en"/>
        </w:rPr>
        <w:t>,</w:t>
      </w:r>
      <w:r w:rsidRPr="00B40166">
        <w:rPr>
          <w:lang w:val="en"/>
        </w:rPr>
        <w:t xml:space="preserve"> </w:t>
      </w:r>
      <w:r w:rsidRPr="0093394C">
        <w:rPr>
          <w:lang w:val="en"/>
        </w:rPr>
        <w:t>Canberra</w:t>
      </w:r>
      <w:r>
        <w:rPr>
          <w:rFonts w:ascii="myriad-pro" w:hAnsi="myriad-pro"/>
          <w:color w:val="333333"/>
          <w:lang w:val="en"/>
        </w:rPr>
        <w:t>.</w:t>
      </w:r>
    </w:p>
  </w:footnote>
  <w:footnote w:id="19">
    <w:p w14:paraId="76A11EC0" w14:textId="77777777" w:rsidR="00695FFE" w:rsidRDefault="00695FFE" w:rsidP="00695FFE">
      <w:pPr>
        <w:pStyle w:val="FootnoteText"/>
      </w:pPr>
      <w:r>
        <w:rPr>
          <w:rStyle w:val="FootnoteReference"/>
        </w:rPr>
        <w:footnoteRef/>
      </w:r>
      <w:r>
        <w:t xml:space="preserve"> Refer to the </w:t>
      </w:r>
      <w:hyperlink r:id="rId1" w:history="1">
        <w:r w:rsidRPr="00EA3A25">
          <w:rPr>
            <w:rStyle w:val="Hyperlink"/>
          </w:rPr>
          <w:t>Medical Services Advisory Committee website</w:t>
        </w:r>
      </w:hyperlink>
      <w:r>
        <w:t xml:space="preserve"> &lt;</w:t>
      </w:r>
      <w:r w:rsidRPr="005A2434">
        <w:t>http://www.msac.gov.au/internet/msac/publishing.nsf/Content/1699-public</w:t>
      </w:r>
      <w:r>
        <w:t>&gt;.</w:t>
      </w:r>
    </w:p>
  </w:footnote>
  <w:footnote w:id="20">
    <w:p w14:paraId="603B3A4B" w14:textId="608870F1" w:rsidR="00475DD8" w:rsidRDefault="00475DD8" w:rsidP="00475DD8">
      <w:pPr>
        <w:pStyle w:val="FootnoteText"/>
      </w:pPr>
      <w:r>
        <w:rPr>
          <w:rStyle w:val="FootnoteReference"/>
        </w:rPr>
        <w:footnoteRef/>
      </w:r>
      <w:r>
        <w:t xml:space="preserve"> Morgan E, Arnold M, Gini A, et al. </w:t>
      </w:r>
      <w:r w:rsidR="00EA3A25">
        <w:t xml:space="preserve">2022, </w:t>
      </w:r>
      <w:r w:rsidRPr="00421C20">
        <w:rPr>
          <w:i/>
          <w:iCs/>
        </w:rPr>
        <w:t>The global burden of colorectal cancer in 2020 and 2040: incidence and mortality estimates from GLOBOCAN Gut</w:t>
      </w:r>
      <w:r>
        <w:t>, Published online 8 September 2022</w:t>
      </w:r>
      <w:r w:rsidR="00EA3A25">
        <w:t xml:space="preserve">. </w:t>
      </w:r>
      <w:r w:rsidR="009C2137">
        <w:t xml:space="preserve">Available </w:t>
      </w:r>
      <w:r w:rsidR="00EA3A25">
        <w:t>from:</w:t>
      </w:r>
      <w:r>
        <w:t xml:space="preserve"> http://dx.doi.org/10.1136/gutjnl-2022-327736.</w:t>
      </w:r>
    </w:p>
  </w:footnote>
  <w:footnote w:id="21">
    <w:p w14:paraId="0F1597FF" w14:textId="2CC1EDCA" w:rsidR="00475DD8" w:rsidRDefault="00475DD8" w:rsidP="00475DD8">
      <w:pPr>
        <w:pStyle w:val="FootnoteText"/>
      </w:pPr>
      <w:r>
        <w:rPr>
          <w:rStyle w:val="FootnoteReference"/>
        </w:rPr>
        <w:footnoteRef/>
      </w:r>
      <w:r>
        <w:t xml:space="preserve"> Ibid.</w:t>
      </w:r>
    </w:p>
  </w:footnote>
  <w:footnote w:id="22">
    <w:p w14:paraId="187525CE" w14:textId="58151E1F" w:rsidR="00864F3E" w:rsidRDefault="00864F3E">
      <w:pPr>
        <w:pStyle w:val="FootnoteText"/>
      </w:pPr>
      <w:r>
        <w:rPr>
          <w:rStyle w:val="FootnoteReference"/>
        </w:rPr>
        <w:footnoteRef/>
      </w:r>
      <w:r>
        <w:t xml:space="preserve"> Cancer Australia. Bowel cancer (Colorectal cancer) in Australia statistics. </w:t>
      </w:r>
      <w:r w:rsidR="009C2137">
        <w:t>Available</w:t>
      </w:r>
      <w:r w:rsidR="009C2137" w:rsidDel="009C2137">
        <w:t xml:space="preserve"> </w:t>
      </w:r>
      <w:r>
        <w:t>from</w:t>
      </w:r>
      <w:r w:rsidR="00CC01A3">
        <w:t>:</w:t>
      </w:r>
      <w:r>
        <w:t xml:space="preserve"> </w:t>
      </w:r>
      <w:r w:rsidR="002C0D9E" w:rsidRPr="002C0D9E">
        <w:t>https://www.canceraustralia.gov.au/cancer-types/bowel-cancer/statistics</w:t>
      </w:r>
      <w:r w:rsidR="002C0D9E">
        <w:t>.</w:t>
      </w:r>
    </w:p>
  </w:footnote>
  <w:footnote w:id="23">
    <w:p w14:paraId="14DCF313" w14:textId="27F24C13" w:rsidR="0072736E" w:rsidRDefault="0072736E">
      <w:pPr>
        <w:pStyle w:val="FootnoteText"/>
      </w:pPr>
      <w:r>
        <w:rPr>
          <w:rStyle w:val="FootnoteReference"/>
        </w:rPr>
        <w:footnoteRef/>
      </w:r>
      <w:r>
        <w:t xml:space="preserve"> </w:t>
      </w:r>
      <w:r w:rsidR="00432123">
        <w:t>Victorian Cancer Registry 202</w:t>
      </w:r>
      <w:r w:rsidR="002C0D9E">
        <w:t>2</w:t>
      </w:r>
      <w:r w:rsidR="00432123" w:rsidRPr="000C746E">
        <w:rPr>
          <w:rStyle w:val="A2"/>
        </w:rPr>
        <w:t xml:space="preserve"> </w:t>
      </w:r>
      <w:r w:rsidR="00432123" w:rsidRPr="00421C20">
        <w:rPr>
          <w:rStyle w:val="A2"/>
          <w:i/>
          <w:iCs/>
        </w:rPr>
        <w:t>Cancer in Victoria</w:t>
      </w:r>
      <w:r w:rsidR="000E0B55" w:rsidRPr="00421C20">
        <w:rPr>
          <w:rStyle w:val="A2"/>
          <w:i/>
          <w:iCs/>
        </w:rPr>
        <w:t>,</w:t>
      </w:r>
      <w:r w:rsidR="00432123" w:rsidRPr="00421C20">
        <w:rPr>
          <w:rStyle w:val="A2"/>
          <w:i/>
          <w:iCs/>
        </w:rPr>
        <w:t xml:space="preserve"> 202</w:t>
      </w:r>
      <w:r w:rsidR="002C0D9E" w:rsidRPr="00421C20">
        <w:rPr>
          <w:rStyle w:val="A2"/>
          <w:i/>
          <w:iCs/>
        </w:rPr>
        <w:t>1</w:t>
      </w:r>
      <w:r w:rsidR="000E0B55" w:rsidRPr="000C746E">
        <w:rPr>
          <w:rStyle w:val="A2"/>
        </w:rPr>
        <w:t>,</w:t>
      </w:r>
      <w:r w:rsidR="00432123" w:rsidRPr="000C746E">
        <w:rPr>
          <w:rStyle w:val="A2"/>
        </w:rPr>
        <w:t xml:space="preserve"> Cancer Council Victoria, Melbourne.</w:t>
      </w:r>
    </w:p>
  </w:footnote>
  <w:footnote w:id="24">
    <w:p w14:paraId="057CC7AA" w14:textId="5D8A1A11" w:rsidR="00C54297" w:rsidRDefault="00C54297" w:rsidP="00C54297">
      <w:pPr>
        <w:pStyle w:val="FootnoteText"/>
      </w:pPr>
      <w:r>
        <w:rPr>
          <w:rStyle w:val="FootnoteReference"/>
        </w:rPr>
        <w:footnoteRef/>
      </w:r>
      <w:r>
        <w:t xml:space="preserve"> Ibid.</w:t>
      </w:r>
    </w:p>
  </w:footnote>
  <w:footnote w:id="25">
    <w:p w14:paraId="03B42239" w14:textId="646175B3" w:rsidR="00E45443" w:rsidRDefault="00E45443" w:rsidP="00E45443">
      <w:pPr>
        <w:pStyle w:val="FootnoteText"/>
      </w:pPr>
      <w:r>
        <w:rPr>
          <w:rStyle w:val="FootnoteReference"/>
        </w:rPr>
        <w:footnoteRef/>
      </w:r>
      <w:r>
        <w:t xml:space="preserve"> </w:t>
      </w:r>
      <w:r w:rsidRPr="00615BFA">
        <w:rPr>
          <w:color w:val="222222"/>
          <w:shd w:val="clear" w:color="auto" w:fill="FFFFFF"/>
        </w:rPr>
        <w:t>Jideh B, Bourke MJ</w:t>
      </w:r>
      <w:r w:rsidR="00A15E23">
        <w:rPr>
          <w:color w:val="222222"/>
          <w:shd w:val="clear" w:color="auto" w:fill="FFFFFF"/>
        </w:rPr>
        <w:t xml:space="preserve"> 2018,</w:t>
      </w:r>
      <w:r w:rsidRPr="00615BFA">
        <w:rPr>
          <w:color w:val="222222"/>
          <w:shd w:val="clear" w:color="auto" w:fill="FFFFFF"/>
        </w:rPr>
        <w:t xml:space="preserve"> </w:t>
      </w:r>
      <w:r w:rsidR="00A15E23">
        <w:rPr>
          <w:color w:val="222222"/>
          <w:shd w:val="clear" w:color="auto" w:fill="FFFFFF"/>
        </w:rPr>
        <w:t>‘</w:t>
      </w:r>
      <w:r w:rsidRPr="00615BFA">
        <w:rPr>
          <w:color w:val="222222"/>
          <w:shd w:val="clear" w:color="auto" w:fill="FFFFFF"/>
        </w:rPr>
        <w:t>Colorectal cancer screening reduces incidence, mortality and morbidity</w:t>
      </w:r>
      <w:r w:rsidR="00A15E23">
        <w:rPr>
          <w:color w:val="222222"/>
          <w:shd w:val="clear" w:color="auto" w:fill="FFFFFF"/>
        </w:rPr>
        <w:t>’,</w:t>
      </w:r>
      <w:r w:rsidRPr="00615BFA">
        <w:rPr>
          <w:color w:val="222222"/>
          <w:shd w:val="clear" w:color="auto" w:fill="FFFFFF"/>
        </w:rPr>
        <w:t xml:space="preserve"> </w:t>
      </w:r>
      <w:r w:rsidRPr="000C746E">
        <w:rPr>
          <w:i/>
          <w:iCs/>
          <w:color w:val="222222"/>
          <w:shd w:val="clear" w:color="auto" w:fill="FFFFFF"/>
        </w:rPr>
        <w:t>Med</w:t>
      </w:r>
      <w:r w:rsidR="00A15E23" w:rsidRPr="000C746E">
        <w:rPr>
          <w:i/>
          <w:iCs/>
          <w:color w:val="222222"/>
          <w:shd w:val="clear" w:color="auto" w:fill="FFFFFF"/>
        </w:rPr>
        <w:t>ical</w:t>
      </w:r>
      <w:r w:rsidRPr="000C746E">
        <w:rPr>
          <w:i/>
          <w:iCs/>
          <w:color w:val="222222"/>
          <w:shd w:val="clear" w:color="auto" w:fill="FFFFFF"/>
        </w:rPr>
        <w:t xml:space="preserve"> J</w:t>
      </w:r>
      <w:r w:rsidR="00A15E23" w:rsidRPr="000C746E">
        <w:rPr>
          <w:i/>
          <w:iCs/>
          <w:color w:val="222222"/>
          <w:shd w:val="clear" w:color="auto" w:fill="FFFFFF"/>
        </w:rPr>
        <w:t>ournal of</w:t>
      </w:r>
      <w:r w:rsidRPr="000C746E">
        <w:rPr>
          <w:i/>
          <w:iCs/>
          <w:color w:val="222222"/>
          <w:shd w:val="clear" w:color="auto" w:fill="FFFFFF"/>
        </w:rPr>
        <w:t xml:space="preserve"> Aust</w:t>
      </w:r>
      <w:r w:rsidR="00A15E23" w:rsidRPr="000C746E">
        <w:rPr>
          <w:i/>
          <w:iCs/>
          <w:color w:val="222222"/>
          <w:shd w:val="clear" w:color="auto" w:fill="FFFFFF"/>
        </w:rPr>
        <w:t>ralia</w:t>
      </w:r>
      <w:r w:rsidR="00A15E23">
        <w:rPr>
          <w:color w:val="222222"/>
          <w:shd w:val="clear" w:color="auto" w:fill="FFFFFF"/>
        </w:rPr>
        <w:t>,</w:t>
      </w:r>
      <w:r w:rsidRPr="00615BFA">
        <w:rPr>
          <w:color w:val="222222"/>
          <w:shd w:val="clear" w:color="auto" w:fill="FFFFFF"/>
        </w:rPr>
        <w:t xml:space="preserve"> 208(11):483</w:t>
      </w:r>
      <w:r w:rsidR="00A15E23">
        <w:rPr>
          <w:color w:val="222222"/>
          <w:shd w:val="clear" w:color="auto" w:fill="FFFFFF"/>
        </w:rPr>
        <w:t>–48</w:t>
      </w:r>
      <w:r w:rsidRPr="00615BFA">
        <w:rPr>
          <w:color w:val="222222"/>
          <w:shd w:val="clear" w:color="auto" w:fill="FFFFFF"/>
        </w:rPr>
        <w:t>4.</w:t>
      </w:r>
    </w:p>
  </w:footnote>
  <w:footnote w:id="26">
    <w:p w14:paraId="7D6D3290" w14:textId="059427FD" w:rsidR="00615BFA" w:rsidRDefault="00615BFA">
      <w:pPr>
        <w:pStyle w:val="FootnoteText"/>
      </w:pPr>
      <w:r>
        <w:rPr>
          <w:rStyle w:val="FootnoteReference"/>
        </w:rPr>
        <w:footnoteRef/>
      </w:r>
      <w:r>
        <w:t xml:space="preserve"> </w:t>
      </w:r>
      <w:r w:rsidRPr="00615BFA">
        <w:rPr>
          <w:color w:val="222222"/>
          <w:shd w:val="clear" w:color="auto" w:fill="FFFFFF"/>
        </w:rPr>
        <w:t xml:space="preserve">Pignone MP, Flitcroft KL, Howard K, </w:t>
      </w:r>
      <w:r w:rsidR="001B23BA">
        <w:rPr>
          <w:color w:val="222222"/>
          <w:shd w:val="clear" w:color="auto" w:fill="FFFFFF"/>
        </w:rPr>
        <w:t>et al</w:t>
      </w:r>
      <w:r w:rsidRPr="00615BFA">
        <w:rPr>
          <w:color w:val="222222"/>
          <w:shd w:val="clear" w:color="auto" w:fill="FFFFFF"/>
        </w:rPr>
        <w:t>.</w:t>
      </w:r>
      <w:r w:rsidR="001B23BA">
        <w:rPr>
          <w:color w:val="222222"/>
          <w:shd w:val="clear" w:color="auto" w:fill="FFFFFF"/>
        </w:rPr>
        <w:t xml:space="preserve"> 2011,</w:t>
      </w:r>
      <w:r w:rsidRPr="00615BFA">
        <w:rPr>
          <w:color w:val="222222"/>
          <w:shd w:val="clear" w:color="auto" w:fill="FFFFFF"/>
        </w:rPr>
        <w:t xml:space="preserve"> </w:t>
      </w:r>
      <w:r w:rsidR="001B23BA">
        <w:rPr>
          <w:color w:val="222222"/>
          <w:shd w:val="clear" w:color="auto" w:fill="FFFFFF"/>
        </w:rPr>
        <w:t>‘</w:t>
      </w:r>
      <w:r w:rsidRPr="00615BFA">
        <w:rPr>
          <w:color w:val="222222"/>
          <w:shd w:val="clear" w:color="auto" w:fill="FFFFFF"/>
        </w:rPr>
        <w:t>Costs and cost</w:t>
      </w:r>
      <w:r w:rsidRPr="00615BFA">
        <w:rPr>
          <w:rFonts w:ascii="Cambria Math" w:hAnsi="Cambria Math" w:cs="Cambria Math"/>
          <w:color w:val="222222"/>
          <w:shd w:val="clear" w:color="auto" w:fill="FFFFFF"/>
        </w:rPr>
        <w:t>‐</w:t>
      </w:r>
      <w:r w:rsidRPr="00615BFA">
        <w:rPr>
          <w:color w:val="222222"/>
          <w:shd w:val="clear" w:color="auto" w:fill="FFFFFF"/>
        </w:rPr>
        <w:t>effectiveness of full implementation of a biennial faecal occult blood test screening program for bowel cancer in Australia</w:t>
      </w:r>
      <w:r w:rsidR="001B23BA">
        <w:rPr>
          <w:color w:val="222222"/>
          <w:shd w:val="clear" w:color="auto" w:fill="FFFFFF"/>
        </w:rPr>
        <w:t>’,</w:t>
      </w:r>
      <w:r w:rsidRPr="00615BFA">
        <w:rPr>
          <w:color w:val="222222"/>
          <w:shd w:val="clear" w:color="auto" w:fill="FFFFFF"/>
        </w:rPr>
        <w:t xml:space="preserve"> </w:t>
      </w:r>
      <w:r w:rsidRPr="000C746E">
        <w:rPr>
          <w:i/>
          <w:iCs/>
          <w:color w:val="222222"/>
          <w:shd w:val="clear" w:color="auto" w:fill="FFFFFF"/>
        </w:rPr>
        <w:t>Medical Journal of Australia</w:t>
      </w:r>
      <w:r w:rsidR="001B23BA">
        <w:rPr>
          <w:color w:val="222222"/>
          <w:shd w:val="clear" w:color="auto" w:fill="FFFFFF"/>
        </w:rPr>
        <w:t>,</w:t>
      </w:r>
      <w:r w:rsidRPr="00615BFA">
        <w:rPr>
          <w:color w:val="222222"/>
          <w:shd w:val="clear" w:color="auto" w:fill="FFFFFF"/>
        </w:rPr>
        <w:t xml:space="preserve"> 194(4):180</w:t>
      </w:r>
      <w:r w:rsidR="001B23BA">
        <w:rPr>
          <w:color w:val="222222"/>
          <w:shd w:val="clear" w:color="auto" w:fill="FFFFFF"/>
        </w:rPr>
        <w:t>–18</w:t>
      </w:r>
      <w:r w:rsidRPr="00615BFA">
        <w:rPr>
          <w:color w:val="222222"/>
          <w:shd w:val="clear" w:color="auto" w:fill="FFFFFF"/>
        </w:rPr>
        <w:t>5.</w:t>
      </w:r>
    </w:p>
  </w:footnote>
  <w:footnote w:id="27">
    <w:p w14:paraId="579E2085" w14:textId="0DC96462" w:rsidR="0072736E" w:rsidRPr="00B33C91" w:rsidRDefault="0072736E" w:rsidP="00160810">
      <w:pPr>
        <w:pStyle w:val="FootnoteText"/>
        <w:rPr>
          <w:lang w:val="en-NZ"/>
        </w:rPr>
      </w:pPr>
      <w:r>
        <w:rPr>
          <w:rStyle w:val="FootnoteReference"/>
        </w:rPr>
        <w:footnoteRef/>
      </w:r>
      <w:r>
        <w:t xml:space="preserve"> </w:t>
      </w:r>
      <w:r w:rsidR="00667E9C">
        <w:t xml:space="preserve">Refer to the </w:t>
      </w:r>
      <w:hyperlink r:id="rId2" w:history="1">
        <w:r w:rsidR="00667E9C" w:rsidRPr="00667E9C">
          <w:rPr>
            <w:rStyle w:val="Hyperlink"/>
          </w:rPr>
          <w:t>Cancer Council website</w:t>
        </w:r>
      </w:hyperlink>
      <w:r>
        <w:t xml:space="preserve"> </w:t>
      </w:r>
      <w:r w:rsidR="00667E9C">
        <w:t>&lt;</w:t>
      </w:r>
      <w:r w:rsidRPr="00B33C91">
        <w:t>https://www.cancer.org.au/about-cancer/types-of-cancer/skin-cancer/melanoma.html</w:t>
      </w:r>
      <w:r w:rsidR="00667E9C">
        <w:t>&gt;.</w:t>
      </w:r>
    </w:p>
  </w:footnote>
  <w:footnote w:id="28">
    <w:p w14:paraId="7FBEB1CD" w14:textId="2D7BF678" w:rsidR="003F20BC" w:rsidRDefault="003F20BC" w:rsidP="00160810">
      <w:pPr>
        <w:pStyle w:val="FootnoteText"/>
      </w:pPr>
      <w:r>
        <w:rPr>
          <w:rStyle w:val="FootnoteReference"/>
        </w:rPr>
        <w:footnoteRef/>
      </w:r>
      <w:r>
        <w:t xml:space="preserve"> World Health Organization 2017</w:t>
      </w:r>
      <w:r w:rsidR="00667E9C">
        <w:t>,</w:t>
      </w:r>
      <w:r>
        <w:t xml:space="preserve"> Radiation: Ultraviolet (UV) radiation and skin cancer. </w:t>
      </w:r>
      <w:r w:rsidR="009C2137">
        <w:t>Available</w:t>
      </w:r>
      <w:r w:rsidR="009C2137" w:rsidDel="009C2137">
        <w:t xml:space="preserve"> </w:t>
      </w:r>
      <w:r>
        <w:t xml:space="preserve">from: </w:t>
      </w:r>
      <w:r w:rsidRPr="003F20BC">
        <w:t>https://www.who.int/news-room/questions-and-answers/item/radiation-ultraviolet-(uv)-radiation-and-skin-cancer#:~:text=The%20incidence%20of%20both%20non-melanoma%20and%20melanoma%20skin,132%2C000%20melanoma%20skin%20cancers%20occur%20globally%20each%20year.</w:t>
      </w:r>
    </w:p>
  </w:footnote>
  <w:footnote w:id="29">
    <w:p w14:paraId="668D3B75" w14:textId="7B365F4A" w:rsidR="0072736E" w:rsidRPr="00F504E1" w:rsidRDefault="0072736E" w:rsidP="00160810">
      <w:pPr>
        <w:pStyle w:val="FootnoteText"/>
        <w:rPr>
          <w:lang w:val="en-NZ"/>
        </w:rPr>
      </w:pPr>
      <w:r>
        <w:rPr>
          <w:rStyle w:val="FootnoteReference"/>
        </w:rPr>
        <w:footnoteRef/>
      </w:r>
      <w:r>
        <w:t xml:space="preserve"> </w:t>
      </w:r>
      <w:r w:rsidR="00667E9C">
        <w:t xml:space="preserve">Refer to the </w:t>
      </w:r>
      <w:hyperlink r:id="rId3" w:history="1">
        <w:r w:rsidR="00667E9C" w:rsidRPr="00667E9C">
          <w:rPr>
            <w:rStyle w:val="Hyperlink"/>
          </w:rPr>
          <w:t>World Cancer Research Fund website</w:t>
        </w:r>
      </w:hyperlink>
      <w:r w:rsidR="00667E9C">
        <w:t xml:space="preserve"> &lt;</w:t>
      </w:r>
      <w:r w:rsidR="005400D8" w:rsidRPr="005400D8">
        <w:t>https://www.wcrf.org/cancer-trends/skin-cancer-statistics/</w:t>
      </w:r>
      <w:r w:rsidR="00667E9C">
        <w:t>&gt;.</w:t>
      </w:r>
    </w:p>
  </w:footnote>
  <w:footnote w:id="30">
    <w:p w14:paraId="5D460E64" w14:textId="06AD2A8C" w:rsidR="0072736E" w:rsidRPr="00F504E1" w:rsidRDefault="0072736E" w:rsidP="00160810">
      <w:pPr>
        <w:pStyle w:val="FootnoteText"/>
        <w:rPr>
          <w:lang w:val="en-NZ"/>
        </w:rPr>
      </w:pPr>
      <w:r>
        <w:rPr>
          <w:rStyle w:val="FootnoteReference"/>
        </w:rPr>
        <w:footnoteRef/>
      </w:r>
      <w:r>
        <w:t xml:space="preserve"> </w:t>
      </w:r>
      <w:r w:rsidR="005400D8">
        <w:rPr>
          <w:color w:val="222222"/>
        </w:rPr>
        <w:t>Karimkhani C, Green AC, Nijsten T, et al. 2017</w:t>
      </w:r>
      <w:r w:rsidR="00667E9C">
        <w:rPr>
          <w:color w:val="222222"/>
        </w:rPr>
        <w:t>,</w:t>
      </w:r>
      <w:r w:rsidR="005400D8">
        <w:rPr>
          <w:color w:val="222222"/>
        </w:rPr>
        <w:t xml:space="preserve"> </w:t>
      </w:r>
      <w:r w:rsidR="00667E9C">
        <w:rPr>
          <w:color w:val="222222"/>
        </w:rPr>
        <w:t>‘</w:t>
      </w:r>
      <w:r w:rsidR="005400D8">
        <w:rPr>
          <w:color w:val="222222"/>
        </w:rPr>
        <w:t>The global burden of melanoma: results from the Global Burden of Disease Study 2015</w:t>
      </w:r>
      <w:r w:rsidR="00667E9C">
        <w:rPr>
          <w:color w:val="222222"/>
        </w:rPr>
        <w:t>’,</w:t>
      </w:r>
      <w:r w:rsidR="005400D8">
        <w:rPr>
          <w:color w:val="222222"/>
        </w:rPr>
        <w:t xml:space="preserve"> </w:t>
      </w:r>
      <w:r w:rsidR="005400D8" w:rsidRPr="00421C20">
        <w:rPr>
          <w:i/>
          <w:iCs/>
          <w:color w:val="222222"/>
        </w:rPr>
        <w:t>British Journal of Dermatology</w:t>
      </w:r>
      <w:r w:rsidR="00667E9C">
        <w:rPr>
          <w:color w:val="222222"/>
        </w:rPr>
        <w:t>,</w:t>
      </w:r>
      <w:r w:rsidR="005400D8">
        <w:rPr>
          <w:color w:val="222222"/>
        </w:rPr>
        <w:t xml:space="preserve"> 177(1):134</w:t>
      </w:r>
      <w:r w:rsidR="00667E9C">
        <w:rPr>
          <w:color w:val="222222"/>
        </w:rPr>
        <w:t>–1</w:t>
      </w:r>
      <w:r w:rsidR="005400D8">
        <w:rPr>
          <w:color w:val="222222"/>
        </w:rPr>
        <w:t>40.</w:t>
      </w:r>
    </w:p>
  </w:footnote>
  <w:footnote w:id="31">
    <w:p w14:paraId="283AC065" w14:textId="65279E3D" w:rsidR="0072736E" w:rsidRPr="00CB7B59" w:rsidRDefault="0072736E" w:rsidP="00160810">
      <w:pPr>
        <w:pStyle w:val="FootnoteText"/>
        <w:rPr>
          <w:lang w:val="en-NZ"/>
        </w:rPr>
      </w:pPr>
      <w:r>
        <w:rPr>
          <w:rStyle w:val="FootnoteReference"/>
        </w:rPr>
        <w:footnoteRef/>
      </w:r>
      <w:r>
        <w:t xml:space="preserve"> </w:t>
      </w:r>
      <w:r w:rsidR="00667E9C">
        <w:t xml:space="preserve">Refer to the </w:t>
      </w:r>
      <w:hyperlink r:id="rId4" w:history="1">
        <w:r w:rsidR="00667E9C" w:rsidRPr="00667E9C">
          <w:rPr>
            <w:rStyle w:val="Hyperlink"/>
          </w:rPr>
          <w:t>Cancer Australia website</w:t>
        </w:r>
      </w:hyperlink>
      <w:r>
        <w:t xml:space="preserve"> </w:t>
      </w:r>
      <w:r w:rsidR="00667E9C">
        <w:t>&lt;</w:t>
      </w:r>
      <w:r w:rsidR="00F50CD1" w:rsidRPr="00F50CD1">
        <w:t>https://www.canceraustralia.gov.au/cancer-types/melanoma/statistics</w:t>
      </w:r>
      <w:r w:rsidR="00667E9C">
        <w:t>&gt;</w:t>
      </w:r>
      <w:r w:rsidR="00C54297">
        <w:t>.</w:t>
      </w:r>
    </w:p>
  </w:footnote>
  <w:footnote w:id="32">
    <w:p w14:paraId="52250569" w14:textId="4A756530" w:rsidR="0072736E" w:rsidRPr="00CB7B59" w:rsidRDefault="0072736E" w:rsidP="00160810">
      <w:pPr>
        <w:pStyle w:val="FootnoteText"/>
        <w:rPr>
          <w:lang w:val="en-NZ"/>
        </w:rPr>
      </w:pPr>
      <w:r>
        <w:rPr>
          <w:rStyle w:val="FootnoteReference"/>
        </w:rPr>
        <w:footnoteRef/>
      </w:r>
      <w:r>
        <w:t xml:space="preserve"> </w:t>
      </w:r>
      <w:r w:rsidR="00C54297">
        <w:t>Victorian Cancer Registry 202</w:t>
      </w:r>
      <w:r w:rsidR="000607EC">
        <w:t>2</w:t>
      </w:r>
      <w:r w:rsidR="00667E9C">
        <w:rPr>
          <w:rStyle w:val="A2"/>
          <w:sz w:val="16"/>
          <w:szCs w:val="16"/>
        </w:rPr>
        <w:t>,</w:t>
      </w:r>
      <w:r w:rsidR="00C54297" w:rsidRPr="00421C20">
        <w:rPr>
          <w:rStyle w:val="A2"/>
        </w:rPr>
        <w:t xml:space="preserve"> </w:t>
      </w:r>
      <w:r w:rsidR="00C54297" w:rsidRPr="00421C20">
        <w:rPr>
          <w:rStyle w:val="A2"/>
          <w:i/>
          <w:iCs/>
        </w:rPr>
        <w:t>Cancer in Victoria</w:t>
      </w:r>
      <w:r w:rsidR="00667E9C" w:rsidRPr="00421C20">
        <w:rPr>
          <w:rStyle w:val="A2"/>
          <w:i/>
          <w:iCs/>
        </w:rPr>
        <w:t>,</w:t>
      </w:r>
      <w:r w:rsidR="00C54297" w:rsidRPr="00421C20">
        <w:rPr>
          <w:rStyle w:val="A2"/>
          <w:i/>
          <w:iCs/>
        </w:rPr>
        <w:t xml:space="preserve"> 202</w:t>
      </w:r>
      <w:r w:rsidR="000607EC" w:rsidRPr="00421C20">
        <w:rPr>
          <w:rStyle w:val="A2"/>
          <w:i/>
          <w:iCs/>
        </w:rPr>
        <w:t>1</w:t>
      </w:r>
      <w:r w:rsidR="00667E9C" w:rsidRPr="000C746E">
        <w:rPr>
          <w:rStyle w:val="A2"/>
        </w:rPr>
        <w:t>,</w:t>
      </w:r>
      <w:r w:rsidR="00C54297" w:rsidRPr="000C746E">
        <w:rPr>
          <w:rStyle w:val="A2"/>
        </w:rPr>
        <w:t xml:space="preserve"> Cancer Council Victoria, Melbourne.</w:t>
      </w:r>
    </w:p>
  </w:footnote>
  <w:footnote w:id="33">
    <w:p w14:paraId="306A10EE" w14:textId="3916DDD4" w:rsidR="00D36384" w:rsidRPr="00CB7B59" w:rsidRDefault="00D36384" w:rsidP="00D36384">
      <w:pPr>
        <w:pStyle w:val="FootnoteText"/>
        <w:spacing w:before="0" w:after="0" w:line="240" w:lineRule="auto"/>
        <w:rPr>
          <w:lang w:val="en-NZ"/>
        </w:rPr>
      </w:pPr>
      <w:r>
        <w:rPr>
          <w:rStyle w:val="FootnoteReference"/>
        </w:rPr>
        <w:footnoteRef/>
      </w:r>
      <w:r>
        <w:t xml:space="preserve"> Ibid.</w:t>
      </w:r>
    </w:p>
  </w:footnote>
  <w:footnote w:id="34">
    <w:p w14:paraId="7BD204BC" w14:textId="1E5CCE13" w:rsidR="0091062B" w:rsidRDefault="0091062B">
      <w:pPr>
        <w:pStyle w:val="FootnoteText"/>
      </w:pPr>
      <w:r>
        <w:rPr>
          <w:rStyle w:val="FootnoteReference"/>
        </w:rPr>
        <w:footnoteRef/>
      </w:r>
      <w:r>
        <w:t xml:space="preserve"> </w:t>
      </w:r>
      <w:r w:rsidR="00D416DD">
        <w:t xml:space="preserve">Refer to the </w:t>
      </w:r>
      <w:r w:rsidR="00D416DD" w:rsidRPr="004D2009">
        <w:t>World Health Organization website</w:t>
      </w:r>
      <w:r w:rsidR="00D416DD">
        <w:t xml:space="preserve"> &lt;</w:t>
      </w:r>
      <w:r w:rsidRPr="0091062B">
        <w:t>https://www.who.int/news-room/questions-and-answers/item/radiation-ultraviolet-(uv)-radiation-and-skin-cancer#:~:text=The%20incidence%20of%20both%20non-melanoma%20and%20melanoma%20skin,132%2C000%20melanoma%20skin%20cancers%20occur%20globally%20each%20year</w:t>
      </w:r>
      <w:r w:rsidR="00D416DD">
        <w:t>&gt;</w:t>
      </w:r>
      <w:r w:rsidRPr="0091062B">
        <w:t>.</w:t>
      </w:r>
    </w:p>
  </w:footnote>
  <w:footnote w:id="35">
    <w:p w14:paraId="489CC21F" w14:textId="573835F9" w:rsidR="006D3740" w:rsidRDefault="006D3740">
      <w:pPr>
        <w:pStyle w:val="FootnoteText"/>
      </w:pPr>
      <w:r>
        <w:rPr>
          <w:rStyle w:val="FootnoteReference"/>
        </w:rPr>
        <w:footnoteRef/>
      </w:r>
      <w:r>
        <w:t xml:space="preserve"> Victorian Cancer Registry 2021</w:t>
      </w:r>
      <w:r w:rsidR="00D416DD">
        <w:rPr>
          <w:rStyle w:val="A2"/>
          <w:sz w:val="16"/>
          <w:szCs w:val="16"/>
        </w:rPr>
        <w:t>,</w:t>
      </w:r>
      <w:r w:rsidRPr="00B1212E">
        <w:rPr>
          <w:rStyle w:val="A2"/>
        </w:rPr>
        <w:t xml:space="preserve"> </w:t>
      </w:r>
      <w:r w:rsidRPr="00B1212E">
        <w:rPr>
          <w:rStyle w:val="A2"/>
          <w:i/>
          <w:iCs/>
        </w:rPr>
        <w:t>Cancer in Victoria</w:t>
      </w:r>
      <w:r w:rsidR="00D416DD" w:rsidRPr="00B1212E">
        <w:rPr>
          <w:rStyle w:val="A2"/>
          <w:i/>
          <w:iCs/>
        </w:rPr>
        <w:t>,</w:t>
      </w:r>
      <w:r w:rsidRPr="00B1212E">
        <w:rPr>
          <w:rStyle w:val="A2"/>
          <w:i/>
          <w:iCs/>
        </w:rPr>
        <w:t xml:space="preserve"> 2020</w:t>
      </w:r>
      <w:r w:rsidR="00D416DD" w:rsidRPr="000A218A">
        <w:rPr>
          <w:rStyle w:val="A2"/>
        </w:rPr>
        <w:t>,</w:t>
      </w:r>
      <w:r w:rsidRPr="000A218A">
        <w:rPr>
          <w:rStyle w:val="A2"/>
        </w:rPr>
        <w:t xml:space="preserve"> Cancer Council Victoria, Melbourne</w:t>
      </w:r>
      <w:r w:rsidR="00CA6DE3" w:rsidRPr="000A218A">
        <w:rPr>
          <w:rStyle w:val="A2"/>
        </w:rPr>
        <w:t>.</w:t>
      </w:r>
    </w:p>
  </w:footnote>
  <w:footnote w:id="36">
    <w:p w14:paraId="529E1DE6" w14:textId="4674504D" w:rsidR="0072736E" w:rsidRDefault="0072736E">
      <w:pPr>
        <w:pStyle w:val="FootnoteText"/>
      </w:pPr>
      <w:r>
        <w:rPr>
          <w:rStyle w:val="FootnoteReference"/>
        </w:rPr>
        <w:footnoteRef/>
      </w:r>
      <w:r>
        <w:t xml:space="preserve"> </w:t>
      </w:r>
      <w:r>
        <w:rPr>
          <w:color w:val="222222"/>
        </w:rPr>
        <w:t>Ghoncheh M, Pournamdar Z, Salehiniya H 2016</w:t>
      </w:r>
      <w:r w:rsidR="00587C1D">
        <w:rPr>
          <w:color w:val="222222"/>
        </w:rPr>
        <w:t>,</w:t>
      </w:r>
      <w:r>
        <w:rPr>
          <w:color w:val="222222"/>
        </w:rPr>
        <w:t xml:space="preserve"> </w:t>
      </w:r>
      <w:r w:rsidR="00587C1D">
        <w:rPr>
          <w:color w:val="222222"/>
        </w:rPr>
        <w:t>‘</w:t>
      </w:r>
      <w:r>
        <w:rPr>
          <w:color w:val="222222"/>
        </w:rPr>
        <w:t>Incidence and mortality and epidemiology of breast cancer in the world</w:t>
      </w:r>
      <w:r w:rsidR="00587C1D">
        <w:rPr>
          <w:color w:val="222222"/>
        </w:rPr>
        <w:t>’,</w:t>
      </w:r>
      <w:r>
        <w:rPr>
          <w:color w:val="222222"/>
        </w:rPr>
        <w:t xml:space="preserve"> </w:t>
      </w:r>
      <w:r w:rsidRPr="000A218A">
        <w:rPr>
          <w:i/>
          <w:iCs/>
          <w:color w:val="222222"/>
        </w:rPr>
        <w:t>Asia-Pacific Journal of Cancer Prevention</w:t>
      </w:r>
      <w:r w:rsidR="00587C1D">
        <w:rPr>
          <w:color w:val="222222"/>
        </w:rPr>
        <w:t>,</w:t>
      </w:r>
      <w:r>
        <w:rPr>
          <w:color w:val="222222"/>
        </w:rPr>
        <w:t xml:space="preserve"> 17(S3):43</w:t>
      </w:r>
      <w:r w:rsidR="00587C1D">
        <w:rPr>
          <w:color w:val="222222"/>
        </w:rPr>
        <w:t>–4</w:t>
      </w:r>
      <w:r>
        <w:rPr>
          <w:color w:val="222222"/>
        </w:rPr>
        <w:t>6.</w:t>
      </w:r>
    </w:p>
  </w:footnote>
  <w:footnote w:id="37">
    <w:p w14:paraId="16E7ECD7" w14:textId="1B18B508" w:rsidR="00160810" w:rsidRDefault="00160810">
      <w:pPr>
        <w:pStyle w:val="FootnoteText"/>
      </w:pPr>
      <w:r>
        <w:rPr>
          <w:rStyle w:val="FootnoteReference"/>
        </w:rPr>
        <w:footnoteRef/>
      </w:r>
      <w:r>
        <w:t xml:space="preserve"> International Agency for Research on Cancer</w:t>
      </w:r>
      <w:r w:rsidR="002A0ED1">
        <w:t>,</w:t>
      </w:r>
      <w:r>
        <w:t xml:space="preserve"> GLOBOCAN 2020: New Global Cancer Data. World Health Organization. </w:t>
      </w:r>
      <w:r w:rsidR="009C2137">
        <w:t>Available</w:t>
      </w:r>
      <w:r w:rsidR="009C2137" w:rsidDel="009C2137">
        <w:t xml:space="preserve"> </w:t>
      </w:r>
      <w:r>
        <w:t xml:space="preserve">from: </w:t>
      </w:r>
      <w:r w:rsidRPr="00160810">
        <w:t>https://www.uicc.org/news/globocan-2020-new-global-cancer-data</w:t>
      </w:r>
      <w:r>
        <w:t>.</w:t>
      </w:r>
    </w:p>
  </w:footnote>
  <w:footnote w:id="38">
    <w:p w14:paraId="0B64601D" w14:textId="60E72377" w:rsidR="00234E6F" w:rsidRDefault="00234E6F">
      <w:pPr>
        <w:pStyle w:val="FootnoteText"/>
      </w:pPr>
      <w:r>
        <w:rPr>
          <w:rStyle w:val="FootnoteReference"/>
        </w:rPr>
        <w:footnoteRef/>
      </w:r>
      <w:r>
        <w:t xml:space="preserve"> Cancer Australia. National Cancer Control Indicators </w:t>
      </w:r>
      <w:r w:rsidR="002A0ED1">
        <w:t>–</w:t>
      </w:r>
      <w:r>
        <w:t xml:space="preserve"> Cancer incidence. </w:t>
      </w:r>
      <w:r w:rsidR="009C2137">
        <w:t>Available</w:t>
      </w:r>
      <w:r w:rsidR="009C2137" w:rsidDel="009C2137">
        <w:t xml:space="preserve"> </w:t>
      </w:r>
      <w:r>
        <w:t xml:space="preserve">from: </w:t>
      </w:r>
      <w:r w:rsidRPr="00234E6F">
        <w:t>https://ncci.canceraustralia.gov.au/diagnosis/cancer-incidence/cancer-incidence</w:t>
      </w:r>
      <w:r>
        <w:t>.</w:t>
      </w:r>
    </w:p>
  </w:footnote>
  <w:footnote w:id="39">
    <w:p w14:paraId="7F12F03E" w14:textId="052A62DA" w:rsidR="0072736E" w:rsidRPr="00A61269" w:rsidRDefault="0072736E">
      <w:pPr>
        <w:pStyle w:val="FootnoteText"/>
        <w:rPr>
          <w:lang w:val="en-NZ"/>
        </w:rPr>
      </w:pPr>
      <w:r>
        <w:rPr>
          <w:rStyle w:val="FootnoteReference"/>
        </w:rPr>
        <w:footnoteRef/>
      </w:r>
      <w:r>
        <w:t xml:space="preserve"> </w:t>
      </w:r>
      <w:r w:rsidR="004F3548">
        <w:t>Victorian Cancer Registry 202</w:t>
      </w:r>
      <w:r w:rsidR="00DF731D">
        <w:t>2</w:t>
      </w:r>
      <w:r w:rsidR="002A0ED1">
        <w:rPr>
          <w:rStyle w:val="A2"/>
          <w:sz w:val="16"/>
          <w:szCs w:val="16"/>
        </w:rPr>
        <w:t>,</w:t>
      </w:r>
      <w:r w:rsidR="004F3548" w:rsidRPr="000A218A">
        <w:rPr>
          <w:rStyle w:val="A2"/>
        </w:rPr>
        <w:t xml:space="preserve"> </w:t>
      </w:r>
      <w:r w:rsidR="004F3548" w:rsidRPr="000A218A">
        <w:rPr>
          <w:rStyle w:val="A2"/>
          <w:i/>
          <w:iCs/>
        </w:rPr>
        <w:t>Cancer in Victoria</w:t>
      </w:r>
      <w:r w:rsidR="002A0ED1" w:rsidRPr="000A218A">
        <w:rPr>
          <w:rStyle w:val="A2"/>
          <w:i/>
          <w:iCs/>
        </w:rPr>
        <w:t>,</w:t>
      </w:r>
      <w:r w:rsidR="004F3548" w:rsidRPr="000A218A">
        <w:rPr>
          <w:rStyle w:val="A2"/>
          <w:i/>
          <w:iCs/>
        </w:rPr>
        <w:t xml:space="preserve"> 202</w:t>
      </w:r>
      <w:r w:rsidR="00DF731D" w:rsidRPr="000A218A">
        <w:rPr>
          <w:rStyle w:val="A2"/>
          <w:i/>
          <w:iCs/>
        </w:rPr>
        <w:t>1</w:t>
      </w:r>
      <w:r w:rsidR="002A0ED1" w:rsidRPr="000A218A">
        <w:rPr>
          <w:rStyle w:val="A2"/>
        </w:rPr>
        <w:t>,</w:t>
      </w:r>
      <w:r w:rsidR="004F3548" w:rsidRPr="000A218A">
        <w:rPr>
          <w:rStyle w:val="A2"/>
        </w:rPr>
        <w:t xml:space="preserve"> Cancer Council Victoria, Melbourne.</w:t>
      </w:r>
    </w:p>
  </w:footnote>
  <w:footnote w:id="40">
    <w:p w14:paraId="5C91CBC0" w14:textId="3FC6B774" w:rsidR="0072736E" w:rsidRDefault="0072736E">
      <w:pPr>
        <w:pStyle w:val="FootnoteText"/>
        <w:rPr>
          <w:lang w:val="en-NZ"/>
        </w:rPr>
      </w:pPr>
      <w:r>
        <w:rPr>
          <w:rStyle w:val="FootnoteReference"/>
        </w:rPr>
        <w:footnoteRef/>
      </w:r>
      <w:r>
        <w:t xml:space="preserve"> </w:t>
      </w:r>
      <w:r>
        <w:rPr>
          <w:lang w:val="en-NZ"/>
        </w:rPr>
        <w:t>Ibid.</w:t>
      </w:r>
    </w:p>
    <w:p w14:paraId="4578B3E8" w14:textId="50489FBB" w:rsidR="007B2F0D" w:rsidRPr="00A5001A" w:rsidRDefault="007B2F0D" w:rsidP="007B2F0D">
      <w:pPr>
        <w:pStyle w:val="FootnoteText"/>
        <w:rPr>
          <w:lang w:val="en-NZ"/>
        </w:rPr>
      </w:pPr>
    </w:p>
  </w:footnote>
  <w:footnote w:id="41">
    <w:p w14:paraId="1D1BF8C1" w14:textId="5A0E3BFF" w:rsidR="0072736E" w:rsidRPr="000D6D4B" w:rsidRDefault="0072736E">
      <w:pPr>
        <w:pStyle w:val="FootnoteText"/>
        <w:rPr>
          <w:lang w:val="en-NZ"/>
        </w:rPr>
      </w:pPr>
      <w:r>
        <w:rPr>
          <w:rStyle w:val="FootnoteReference"/>
        </w:rPr>
        <w:footnoteRef/>
      </w:r>
      <w:r>
        <w:t xml:space="preserve"> </w:t>
      </w:r>
      <w:r w:rsidR="00BA0C02" w:rsidRPr="00003CC1">
        <w:rPr>
          <w:color w:val="222222"/>
          <w:shd w:val="clear" w:color="auto" w:fill="FFFFFF"/>
        </w:rPr>
        <w:t xml:space="preserve">Sung H, Ferlay J, Siegel RL, </w:t>
      </w:r>
      <w:r w:rsidR="00D416DD">
        <w:rPr>
          <w:color w:val="222222"/>
          <w:shd w:val="clear" w:color="auto" w:fill="FFFFFF"/>
        </w:rPr>
        <w:t>et al</w:t>
      </w:r>
      <w:r w:rsidR="00BA0C02" w:rsidRPr="00003CC1">
        <w:rPr>
          <w:color w:val="222222"/>
          <w:shd w:val="clear" w:color="auto" w:fill="FFFFFF"/>
        </w:rPr>
        <w:t xml:space="preserve">. </w:t>
      </w:r>
      <w:r w:rsidR="00D416DD">
        <w:rPr>
          <w:color w:val="222222"/>
          <w:shd w:val="clear" w:color="auto" w:fill="FFFFFF"/>
        </w:rPr>
        <w:t>2021, ‘</w:t>
      </w:r>
      <w:r w:rsidR="00BA0C02" w:rsidRPr="00003CC1">
        <w:rPr>
          <w:color w:val="222222"/>
          <w:shd w:val="clear" w:color="auto" w:fill="FFFFFF"/>
        </w:rPr>
        <w:t>Global cancer statistics 2020: GLOBOCAN estimates of incidence and mortality worldwide for 36 cancers in 185 countries</w:t>
      </w:r>
      <w:r w:rsidR="00D416DD">
        <w:rPr>
          <w:color w:val="222222"/>
          <w:shd w:val="clear" w:color="auto" w:fill="FFFFFF"/>
        </w:rPr>
        <w:t>’,</w:t>
      </w:r>
      <w:r w:rsidR="00BA0C02" w:rsidRPr="00003CC1">
        <w:rPr>
          <w:color w:val="222222"/>
          <w:shd w:val="clear" w:color="auto" w:fill="FFFFFF"/>
        </w:rPr>
        <w:t xml:space="preserve"> </w:t>
      </w:r>
      <w:r w:rsidR="00BA0C02" w:rsidRPr="000A218A">
        <w:rPr>
          <w:i/>
          <w:iCs/>
          <w:color w:val="222222"/>
          <w:shd w:val="clear" w:color="auto" w:fill="FFFFFF"/>
        </w:rPr>
        <w:t xml:space="preserve">CA: </w:t>
      </w:r>
      <w:r w:rsidR="00D416DD" w:rsidRPr="000A218A">
        <w:rPr>
          <w:i/>
          <w:iCs/>
          <w:color w:val="222222"/>
          <w:shd w:val="clear" w:color="auto" w:fill="FFFFFF"/>
        </w:rPr>
        <w:t>A</w:t>
      </w:r>
      <w:r w:rsidR="00BA0C02" w:rsidRPr="000A218A">
        <w:rPr>
          <w:i/>
          <w:iCs/>
          <w:color w:val="222222"/>
          <w:shd w:val="clear" w:color="auto" w:fill="FFFFFF"/>
        </w:rPr>
        <w:t xml:space="preserve"> </w:t>
      </w:r>
      <w:r w:rsidR="00D416DD" w:rsidRPr="000A218A">
        <w:rPr>
          <w:i/>
          <w:iCs/>
          <w:color w:val="222222"/>
          <w:shd w:val="clear" w:color="auto" w:fill="FFFFFF"/>
        </w:rPr>
        <w:t>C</w:t>
      </w:r>
      <w:r w:rsidR="00BA0C02" w:rsidRPr="000A218A">
        <w:rPr>
          <w:i/>
          <w:iCs/>
          <w:color w:val="222222"/>
          <w:shd w:val="clear" w:color="auto" w:fill="FFFFFF"/>
        </w:rPr>
        <w:t xml:space="preserve">ancer </w:t>
      </w:r>
      <w:r w:rsidR="00D416DD" w:rsidRPr="000A218A">
        <w:rPr>
          <w:i/>
          <w:iCs/>
          <w:color w:val="222222"/>
          <w:shd w:val="clear" w:color="auto" w:fill="FFFFFF"/>
        </w:rPr>
        <w:t>J</w:t>
      </w:r>
      <w:r w:rsidR="00BA0C02" w:rsidRPr="000A218A">
        <w:rPr>
          <w:i/>
          <w:iCs/>
          <w:color w:val="222222"/>
          <w:shd w:val="clear" w:color="auto" w:fill="FFFFFF"/>
        </w:rPr>
        <w:t xml:space="preserve">ournal for </w:t>
      </w:r>
      <w:r w:rsidR="00D416DD" w:rsidRPr="000A218A">
        <w:rPr>
          <w:i/>
          <w:iCs/>
          <w:color w:val="222222"/>
          <w:shd w:val="clear" w:color="auto" w:fill="FFFFFF"/>
        </w:rPr>
        <w:t>C</w:t>
      </w:r>
      <w:r w:rsidR="00BA0C02" w:rsidRPr="000A218A">
        <w:rPr>
          <w:i/>
          <w:iCs/>
          <w:color w:val="222222"/>
          <w:shd w:val="clear" w:color="auto" w:fill="FFFFFF"/>
        </w:rPr>
        <w:t>linicians</w:t>
      </w:r>
      <w:r w:rsidR="00D416DD">
        <w:rPr>
          <w:color w:val="222222"/>
          <w:shd w:val="clear" w:color="auto" w:fill="FFFFFF"/>
        </w:rPr>
        <w:t xml:space="preserve">, </w:t>
      </w:r>
      <w:r w:rsidR="00BA0C02" w:rsidRPr="00003CC1">
        <w:rPr>
          <w:color w:val="222222"/>
          <w:shd w:val="clear" w:color="auto" w:fill="FFFFFF"/>
        </w:rPr>
        <w:t>71(3):209</w:t>
      </w:r>
      <w:r w:rsidR="00D416DD">
        <w:rPr>
          <w:color w:val="222222"/>
          <w:shd w:val="clear" w:color="auto" w:fill="FFFFFF"/>
        </w:rPr>
        <w:t>–2</w:t>
      </w:r>
      <w:r w:rsidR="00BA0C02" w:rsidRPr="00003CC1">
        <w:rPr>
          <w:color w:val="222222"/>
          <w:shd w:val="clear" w:color="auto" w:fill="FFFFFF"/>
        </w:rPr>
        <w:t>49</w:t>
      </w:r>
      <w:r w:rsidR="00BA0C02">
        <w:rPr>
          <w:color w:val="222222"/>
          <w:sz w:val="20"/>
          <w:szCs w:val="20"/>
          <w:shd w:val="clear" w:color="auto" w:fill="FFFFFF"/>
        </w:rPr>
        <w:t>.</w:t>
      </w:r>
    </w:p>
  </w:footnote>
  <w:footnote w:id="42">
    <w:p w14:paraId="7E917EC3" w14:textId="5328DCFC" w:rsidR="0072736E" w:rsidRPr="000D6D4B" w:rsidRDefault="0072736E">
      <w:pPr>
        <w:pStyle w:val="FootnoteText"/>
        <w:rPr>
          <w:lang w:val="en-NZ"/>
        </w:rPr>
      </w:pPr>
      <w:r>
        <w:rPr>
          <w:rStyle w:val="FootnoteReference"/>
        </w:rPr>
        <w:footnoteRef/>
      </w:r>
      <w:r>
        <w:t xml:space="preserve"> </w:t>
      </w:r>
      <w:r w:rsidRPr="000D6D4B">
        <w:t>IARC Working Group on the Evaluation of Carcinogenic Risks to Humans</w:t>
      </w:r>
      <w:r w:rsidR="00D416DD">
        <w:t xml:space="preserve"> 2007,</w:t>
      </w:r>
      <w:r w:rsidRPr="000D6D4B">
        <w:t xml:space="preserve"> </w:t>
      </w:r>
      <w:r w:rsidRPr="000A218A">
        <w:rPr>
          <w:i/>
          <w:iCs/>
        </w:rPr>
        <w:t>Human papillomaviruses</w:t>
      </w:r>
      <w:r w:rsidR="00D416DD">
        <w:t>,</w:t>
      </w:r>
      <w:r w:rsidRPr="000D6D4B">
        <w:t xml:space="preserve"> IARC Monogr</w:t>
      </w:r>
      <w:r>
        <w:t>aphs</w:t>
      </w:r>
      <w:r w:rsidRPr="000D6D4B">
        <w:t xml:space="preserve"> </w:t>
      </w:r>
      <w:r>
        <w:t xml:space="preserve">on the </w:t>
      </w:r>
      <w:r w:rsidRPr="000D6D4B">
        <w:t>Eval</w:t>
      </w:r>
      <w:r>
        <w:t>uation of</w:t>
      </w:r>
      <w:r w:rsidRPr="000D6D4B">
        <w:t xml:space="preserve"> Carcinog</w:t>
      </w:r>
      <w:r>
        <w:t>enic</w:t>
      </w:r>
      <w:r w:rsidRPr="000D6D4B">
        <w:t xml:space="preserve"> Risks </w:t>
      </w:r>
      <w:r>
        <w:t xml:space="preserve">to </w:t>
      </w:r>
      <w:r w:rsidRPr="000D6D4B">
        <w:t>Hum</w:t>
      </w:r>
      <w:r>
        <w:t xml:space="preserve">ans. </w:t>
      </w:r>
      <w:r w:rsidRPr="000D6D4B">
        <w:t>90:</w:t>
      </w:r>
      <w:r>
        <w:t xml:space="preserve"> </w:t>
      </w:r>
      <w:r w:rsidRPr="000D6D4B">
        <w:t>1-636.</w:t>
      </w:r>
    </w:p>
  </w:footnote>
  <w:footnote w:id="43">
    <w:p w14:paraId="19BF8A6A" w14:textId="5D524AE9" w:rsidR="0072736E" w:rsidRPr="00750734" w:rsidRDefault="0072736E">
      <w:pPr>
        <w:pStyle w:val="FootnoteText"/>
        <w:rPr>
          <w:lang w:val="en-NZ"/>
        </w:rPr>
      </w:pPr>
      <w:r>
        <w:rPr>
          <w:rStyle w:val="FootnoteReference"/>
        </w:rPr>
        <w:footnoteRef/>
      </w:r>
      <w:r>
        <w:t xml:space="preserve"> </w:t>
      </w:r>
      <w:r w:rsidR="00D416DD">
        <w:t xml:space="preserve">Refer to the </w:t>
      </w:r>
      <w:hyperlink r:id="rId5" w:history="1">
        <w:r w:rsidR="00D416DD" w:rsidRPr="00D416DD">
          <w:rPr>
            <w:rStyle w:val="Hyperlink"/>
          </w:rPr>
          <w:t>Cancer Australia website</w:t>
        </w:r>
      </w:hyperlink>
      <w:r>
        <w:t xml:space="preserve"> </w:t>
      </w:r>
      <w:r w:rsidR="00D416DD">
        <w:t>&lt;</w:t>
      </w:r>
      <w:r w:rsidRPr="00750734">
        <w:t>https://cervical-cancer.canceraustralia.gov.au/statistics</w:t>
      </w:r>
      <w:r w:rsidR="00D416DD">
        <w:t>&gt;.</w:t>
      </w:r>
    </w:p>
  </w:footnote>
  <w:footnote w:id="44">
    <w:p w14:paraId="00BCE65B" w14:textId="23B11A62" w:rsidR="0072736E" w:rsidRDefault="0072736E" w:rsidP="00D95810">
      <w:pPr>
        <w:pStyle w:val="FootnoteText"/>
      </w:pPr>
      <w:r>
        <w:rPr>
          <w:rStyle w:val="FootnoteReference"/>
        </w:rPr>
        <w:footnoteRef/>
      </w:r>
      <w:r>
        <w:t xml:space="preserve"> </w:t>
      </w:r>
      <w:r>
        <w:rPr>
          <w:color w:val="222222"/>
        </w:rPr>
        <w:t>Hall MT, Simms KT, Lew JB, et al. 2019</w:t>
      </w:r>
      <w:r w:rsidR="00D416DD">
        <w:rPr>
          <w:color w:val="222222"/>
        </w:rPr>
        <w:t>,</w:t>
      </w:r>
      <w:r>
        <w:rPr>
          <w:color w:val="222222"/>
        </w:rPr>
        <w:t xml:space="preserve"> </w:t>
      </w:r>
      <w:r w:rsidR="00D416DD">
        <w:rPr>
          <w:color w:val="222222"/>
        </w:rPr>
        <w:t>‘</w:t>
      </w:r>
      <w:r>
        <w:rPr>
          <w:color w:val="222222"/>
        </w:rPr>
        <w:t>The projected timeframe until cervical cancer elimination in Australia: a modelling study</w:t>
      </w:r>
      <w:r w:rsidR="00D416DD">
        <w:rPr>
          <w:color w:val="222222"/>
        </w:rPr>
        <w:t>’,</w:t>
      </w:r>
      <w:r w:rsidRPr="00A46CCA">
        <w:rPr>
          <w:color w:val="222222"/>
        </w:rPr>
        <w:t xml:space="preserve"> </w:t>
      </w:r>
      <w:r w:rsidRPr="00AF6479">
        <w:rPr>
          <w:i/>
          <w:iCs/>
          <w:color w:val="222222"/>
        </w:rPr>
        <w:t>The Lancet Public Health</w:t>
      </w:r>
      <w:r w:rsidR="00D416DD">
        <w:rPr>
          <w:color w:val="222222"/>
        </w:rPr>
        <w:t>,</w:t>
      </w:r>
      <w:r>
        <w:rPr>
          <w:color w:val="222222"/>
        </w:rPr>
        <w:t xml:space="preserve"> 4(1):</w:t>
      </w:r>
      <w:r w:rsidRPr="002D198D">
        <w:rPr>
          <w:color w:val="222222"/>
        </w:rPr>
        <w:t xml:space="preserve"> PE19</w:t>
      </w:r>
      <w:r w:rsidR="00D416DD">
        <w:rPr>
          <w:color w:val="222222"/>
        </w:rPr>
        <w:t>–</w:t>
      </w:r>
      <w:r w:rsidRPr="002D198D">
        <w:rPr>
          <w:color w:val="222222"/>
        </w:rPr>
        <w:t>E27</w:t>
      </w:r>
      <w:r>
        <w:rPr>
          <w:color w:val="222222"/>
        </w:rPr>
        <w:t>.</w:t>
      </w:r>
    </w:p>
  </w:footnote>
  <w:footnote w:id="45">
    <w:p w14:paraId="5A47B137" w14:textId="0E7F8D9D" w:rsidR="00484C6B" w:rsidRPr="000D6D4B" w:rsidRDefault="0072736E">
      <w:pPr>
        <w:pStyle w:val="FootnoteText"/>
      </w:pPr>
      <w:r>
        <w:rPr>
          <w:rStyle w:val="FootnoteReference"/>
        </w:rPr>
        <w:footnoteRef/>
      </w:r>
      <w:r>
        <w:t xml:space="preserve"> </w:t>
      </w:r>
      <w:r w:rsidR="00484C6B" w:rsidRPr="00003CC1">
        <w:rPr>
          <w:color w:val="222222"/>
          <w:shd w:val="clear" w:color="auto" w:fill="FFFFFF"/>
        </w:rPr>
        <w:t xml:space="preserve">Sung H, Ferlay J, Siegel RL, </w:t>
      </w:r>
      <w:r w:rsidR="00D416DD">
        <w:rPr>
          <w:color w:val="222222"/>
          <w:shd w:val="clear" w:color="auto" w:fill="FFFFFF"/>
        </w:rPr>
        <w:t>et al</w:t>
      </w:r>
      <w:r w:rsidR="00484C6B" w:rsidRPr="00003CC1">
        <w:rPr>
          <w:color w:val="222222"/>
          <w:shd w:val="clear" w:color="auto" w:fill="FFFFFF"/>
        </w:rPr>
        <w:t>.</w:t>
      </w:r>
      <w:r w:rsidR="00D416DD">
        <w:rPr>
          <w:color w:val="222222"/>
          <w:shd w:val="clear" w:color="auto" w:fill="FFFFFF"/>
        </w:rPr>
        <w:t xml:space="preserve"> 2021,</w:t>
      </w:r>
      <w:r w:rsidR="00484C6B" w:rsidRPr="00003CC1">
        <w:rPr>
          <w:color w:val="222222"/>
          <w:shd w:val="clear" w:color="auto" w:fill="FFFFFF"/>
        </w:rPr>
        <w:t xml:space="preserve"> </w:t>
      </w:r>
      <w:r w:rsidR="00D416DD">
        <w:rPr>
          <w:color w:val="222222"/>
          <w:shd w:val="clear" w:color="auto" w:fill="FFFFFF"/>
        </w:rPr>
        <w:t>‘</w:t>
      </w:r>
      <w:r w:rsidR="00484C6B" w:rsidRPr="00003CC1">
        <w:rPr>
          <w:color w:val="222222"/>
          <w:shd w:val="clear" w:color="auto" w:fill="FFFFFF"/>
        </w:rPr>
        <w:t>Global cancer statistics 2020: GLOBOCAN estimates of incidence and mortality worldwide for 36 cancers in 185 countries</w:t>
      </w:r>
      <w:r w:rsidR="00D416DD">
        <w:rPr>
          <w:color w:val="222222"/>
          <w:shd w:val="clear" w:color="auto" w:fill="FFFFFF"/>
        </w:rPr>
        <w:t>’,</w:t>
      </w:r>
      <w:r w:rsidR="00484C6B" w:rsidRPr="00003CC1">
        <w:rPr>
          <w:color w:val="222222"/>
          <w:shd w:val="clear" w:color="auto" w:fill="FFFFFF"/>
        </w:rPr>
        <w:t xml:space="preserve"> </w:t>
      </w:r>
      <w:r w:rsidR="00484C6B" w:rsidRPr="006F7611">
        <w:rPr>
          <w:i/>
          <w:iCs/>
          <w:color w:val="222222"/>
          <w:shd w:val="clear" w:color="auto" w:fill="FFFFFF"/>
        </w:rPr>
        <w:t xml:space="preserve">CA: </w:t>
      </w:r>
      <w:r w:rsidR="005841D6">
        <w:rPr>
          <w:i/>
          <w:iCs/>
          <w:color w:val="222222"/>
          <w:shd w:val="clear" w:color="auto" w:fill="FFFFFF"/>
        </w:rPr>
        <w:t>A</w:t>
      </w:r>
      <w:r w:rsidR="00484C6B" w:rsidRPr="006F7611">
        <w:rPr>
          <w:i/>
          <w:iCs/>
          <w:color w:val="222222"/>
          <w:shd w:val="clear" w:color="auto" w:fill="FFFFFF"/>
        </w:rPr>
        <w:t xml:space="preserve"> </w:t>
      </w:r>
      <w:r w:rsidR="005841D6">
        <w:rPr>
          <w:i/>
          <w:iCs/>
          <w:color w:val="222222"/>
          <w:shd w:val="clear" w:color="auto" w:fill="FFFFFF"/>
        </w:rPr>
        <w:t>C</w:t>
      </w:r>
      <w:r w:rsidR="00484C6B" w:rsidRPr="006F7611">
        <w:rPr>
          <w:i/>
          <w:iCs/>
          <w:color w:val="222222"/>
          <w:shd w:val="clear" w:color="auto" w:fill="FFFFFF"/>
        </w:rPr>
        <w:t xml:space="preserve">ancer </w:t>
      </w:r>
      <w:r w:rsidR="005841D6">
        <w:rPr>
          <w:i/>
          <w:iCs/>
          <w:color w:val="222222"/>
          <w:shd w:val="clear" w:color="auto" w:fill="FFFFFF"/>
        </w:rPr>
        <w:t>J</w:t>
      </w:r>
      <w:r w:rsidR="00484C6B" w:rsidRPr="006F7611">
        <w:rPr>
          <w:i/>
          <w:iCs/>
          <w:color w:val="222222"/>
          <w:shd w:val="clear" w:color="auto" w:fill="FFFFFF"/>
        </w:rPr>
        <w:t xml:space="preserve">ournal for </w:t>
      </w:r>
      <w:r w:rsidR="005841D6">
        <w:rPr>
          <w:i/>
          <w:iCs/>
          <w:color w:val="222222"/>
          <w:shd w:val="clear" w:color="auto" w:fill="FFFFFF"/>
        </w:rPr>
        <w:t>C</w:t>
      </w:r>
      <w:r w:rsidR="00484C6B" w:rsidRPr="006F7611">
        <w:rPr>
          <w:i/>
          <w:iCs/>
          <w:color w:val="222222"/>
          <w:shd w:val="clear" w:color="auto" w:fill="FFFFFF"/>
        </w:rPr>
        <w:t>linicians</w:t>
      </w:r>
      <w:r w:rsidR="00D416DD">
        <w:rPr>
          <w:color w:val="222222"/>
          <w:shd w:val="clear" w:color="auto" w:fill="FFFFFF"/>
        </w:rPr>
        <w:t>,</w:t>
      </w:r>
      <w:r w:rsidR="00484C6B" w:rsidRPr="00003CC1">
        <w:rPr>
          <w:color w:val="222222"/>
          <w:shd w:val="clear" w:color="auto" w:fill="FFFFFF"/>
        </w:rPr>
        <w:t xml:space="preserve"> 71(3):209</w:t>
      </w:r>
      <w:r w:rsidR="00D416DD">
        <w:rPr>
          <w:color w:val="222222"/>
          <w:shd w:val="clear" w:color="auto" w:fill="FFFFFF"/>
        </w:rPr>
        <w:t>–2</w:t>
      </w:r>
      <w:r w:rsidR="00484C6B" w:rsidRPr="00003CC1">
        <w:rPr>
          <w:color w:val="222222"/>
          <w:shd w:val="clear" w:color="auto" w:fill="FFFFFF"/>
        </w:rPr>
        <w:t>49</w:t>
      </w:r>
      <w:r w:rsidR="00484C6B">
        <w:rPr>
          <w:color w:val="222222"/>
          <w:sz w:val="20"/>
          <w:szCs w:val="20"/>
          <w:shd w:val="clear" w:color="auto" w:fill="FFFFFF"/>
        </w:rPr>
        <w:t>.</w:t>
      </w:r>
    </w:p>
  </w:footnote>
  <w:footnote w:id="46">
    <w:p w14:paraId="582B55A8" w14:textId="5841686A" w:rsidR="0072736E" w:rsidRDefault="0072736E">
      <w:pPr>
        <w:pStyle w:val="FootnoteText"/>
      </w:pPr>
      <w:r>
        <w:rPr>
          <w:rStyle w:val="FootnoteReference"/>
        </w:rPr>
        <w:footnoteRef/>
      </w:r>
      <w:r>
        <w:t xml:space="preserve"> </w:t>
      </w:r>
      <w:r w:rsidR="005841D6">
        <w:t xml:space="preserve">Refer to the </w:t>
      </w:r>
      <w:hyperlink r:id="rId6" w:history="1">
        <w:r w:rsidR="005841D6" w:rsidRPr="005841D6">
          <w:rPr>
            <w:rStyle w:val="Hyperlink"/>
          </w:rPr>
          <w:t>Cancer Australia website</w:t>
        </w:r>
      </w:hyperlink>
      <w:r w:rsidR="005841D6">
        <w:t xml:space="preserve"> &lt;</w:t>
      </w:r>
      <w:r w:rsidR="009C090D" w:rsidRPr="009C090D">
        <w:t>https://www.canceraustralia.gov.au/cancer-types/liver-cancer/statistics</w:t>
      </w:r>
      <w:r w:rsidR="005841D6">
        <w:t>&gt;</w:t>
      </w:r>
      <w:r w:rsidR="009C090D">
        <w:t>.</w:t>
      </w:r>
    </w:p>
  </w:footnote>
  <w:footnote w:id="47">
    <w:p w14:paraId="19905982" w14:textId="353C710C" w:rsidR="0072736E" w:rsidRDefault="0072736E" w:rsidP="00A72FE9">
      <w:pPr>
        <w:pStyle w:val="FootnoteText"/>
      </w:pPr>
      <w:r>
        <w:rPr>
          <w:rStyle w:val="FootnoteReference"/>
        </w:rPr>
        <w:footnoteRef/>
      </w:r>
      <w:r>
        <w:t xml:space="preserve"> Ibid.</w:t>
      </w:r>
    </w:p>
  </w:footnote>
  <w:footnote w:id="48">
    <w:p w14:paraId="0B079E73" w14:textId="7A863E64" w:rsidR="0072736E" w:rsidRPr="003F1C3D" w:rsidRDefault="0072736E">
      <w:pPr>
        <w:pStyle w:val="FootnoteText"/>
      </w:pPr>
      <w:r w:rsidRPr="003F1C3D">
        <w:rPr>
          <w:rStyle w:val="FootnoteReference"/>
        </w:rPr>
        <w:footnoteRef/>
      </w:r>
      <w:r w:rsidRPr="003F1C3D">
        <w:t xml:space="preserve"> Supramaniam R, O’Connell D, Robotin M, </w:t>
      </w:r>
      <w:r>
        <w:t>et al</w:t>
      </w:r>
      <w:r w:rsidRPr="003F1C3D">
        <w:t>.</w:t>
      </w:r>
      <w:r>
        <w:t xml:space="preserve"> 2008</w:t>
      </w:r>
      <w:r w:rsidR="005841D6">
        <w:t>,</w:t>
      </w:r>
      <w:r w:rsidRPr="003F1C3D">
        <w:t xml:space="preserve"> </w:t>
      </w:r>
      <w:r w:rsidR="005841D6">
        <w:t>‘</w:t>
      </w:r>
      <w:r w:rsidRPr="003F1C3D">
        <w:t>Future cancer trends to be influenced by past and future migration</w:t>
      </w:r>
      <w:r w:rsidR="005841D6">
        <w:t>’,</w:t>
      </w:r>
      <w:r w:rsidRPr="003F1C3D">
        <w:t xml:space="preserve"> </w:t>
      </w:r>
      <w:r w:rsidRPr="006F7611">
        <w:rPr>
          <w:i/>
          <w:iCs/>
        </w:rPr>
        <w:t>Australia and New Zealand Journal of Public Health</w:t>
      </w:r>
      <w:r w:rsidR="005841D6">
        <w:t>,</w:t>
      </w:r>
      <w:r w:rsidRPr="003F1C3D">
        <w:t xml:space="preserve"> 32:90</w:t>
      </w:r>
      <w:r w:rsidR="005841D6">
        <w:t>–9</w:t>
      </w:r>
      <w:r w:rsidRPr="003F1C3D">
        <w:t>2.</w:t>
      </w:r>
    </w:p>
  </w:footnote>
  <w:footnote w:id="49">
    <w:p w14:paraId="54BA618A" w14:textId="4FF5C652" w:rsidR="00790BC5" w:rsidRDefault="00790BC5">
      <w:pPr>
        <w:pStyle w:val="FootnoteText"/>
      </w:pPr>
      <w:r>
        <w:rPr>
          <w:rStyle w:val="FootnoteReference"/>
        </w:rPr>
        <w:footnoteRef/>
      </w:r>
      <w:r>
        <w:t xml:space="preserve"> </w:t>
      </w:r>
      <w:r w:rsidR="005841D6">
        <w:t xml:space="preserve">Refer to the </w:t>
      </w:r>
      <w:hyperlink r:id="rId7" w:history="1">
        <w:r w:rsidR="005841D6" w:rsidRPr="005841D6">
          <w:rPr>
            <w:rStyle w:val="Hyperlink"/>
          </w:rPr>
          <w:t>Cancer Council website</w:t>
        </w:r>
      </w:hyperlink>
      <w:r w:rsidR="005841D6">
        <w:t xml:space="preserve"> &lt;</w:t>
      </w:r>
      <w:r w:rsidRPr="00790BC5">
        <w:t>https://www.cancervic.org.au/research/vcr/cancer-fact-sheets/liver-cancer.html</w:t>
      </w:r>
      <w:r w:rsidR="005841D6">
        <w:t>&gt;</w:t>
      </w:r>
      <w:r>
        <w:t>.</w:t>
      </w:r>
    </w:p>
  </w:footnote>
  <w:footnote w:id="50">
    <w:p w14:paraId="2FC60B73" w14:textId="3A0BF5A8" w:rsidR="0072736E" w:rsidRDefault="0072736E" w:rsidP="00E36777">
      <w:pPr>
        <w:pStyle w:val="FootnoteText"/>
        <w:spacing w:before="0" w:after="0" w:line="240" w:lineRule="auto"/>
      </w:pPr>
      <w:r>
        <w:rPr>
          <w:rStyle w:val="FootnoteReference"/>
        </w:rPr>
        <w:footnoteRef/>
      </w:r>
      <w:r>
        <w:t xml:space="preserve"> </w:t>
      </w:r>
      <w:r w:rsidR="00A22E92" w:rsidRPr="00A22E92">
        <w:t xml:space="preserve">Institute for Health Metrics and Evaluation </w:t>
      </w:r>
      <w:r w:rsidR="005841D6">
        <w:t>2019,</w:t>
      </w:r>
      <w:r w:rsidR="00A22E92" w:rsidRPr="00A22E92">
        <w:t xml:space="preserve"> Global Burden of Disease. </w:t>
      </w:r>
      <w:r w:rsidR="009C2137">
        <w:t>Available</w:t>
      </w:r>
      <w:r w:rsidR="009C2137" w:rsidRPr="00A22E92">
        <w:t xml:space="preserve"> </w:t>
      </w:r>
      <w:r w:rsidR="00A22E92" w:rsidRPr="00A22E92">
        <w:t>from: https://ourworldindata.org/cancer#deaths-from-cancer [Online Resource]</w:t>
      </w:r>
      <w:r w:rsidR="00A22E92">
        <w:t>.</w:t>
      </w:r>
    </w:p>
  </w:footnote>
  <w:footnote w:id="51">
    <w:p w14:paraId="4941FA63" w14:textId="037A2607" w:rsidR="0072736E" w:rsidRPr="006F376D" w:rsidRDefault="0072736E" w:rsidP="00E36777">
      <w:pPr>
        <w:pStyle w:val="FootnoteText"/>
        <w:spacing w:before="0" w:after="0" w:line="240" w:lineRule="auto"/>
      </w:pPr>
      <w:r>
        <w:rPr>
          <w:rStyle w:val="FootnoteReference"/>
        </w:rPr>
        <w:footnoteRef/>
      </w:r>
      <w:r w:rsidR="001712A7" w:rsidRPr="001712A7">
        <w:t xml:space="preserve"> </w:t>
      </w:r>
      <w:r w:rsidR="001712A7">
        <w:t>Victorian Cancer Registry</w:t>
      </w:r>
      <w:r w:rsidR="005841D6">
        <w:t xml:space="preserve"> </w:t>
      </w:r>
      <w:r w:rsidR="001712A7">
        <w:t>2021</w:t>
      </w:r>
      <w:r w:rsidR="005841D6" w:rsidRPr="00F01CEF">
        <w:t>,</w:t>
      </w:r>
      <w:r w:rsidR="001712A7" w:rsidRPr="00F01CEF">
        <w:t xml:space="preserve"> </w:t>
      </w:r>
      <w:r w:rsidR="001712A7" w:rsidRPr="00FA0571">
        <w:rPr>
          <w:i/>
          <w:iCs/>
        </w:rPr>
        <w:t>Cancer in Victoria</w:t>
      </w:r>
      <w:r w:rsidR="005841D6" w:rsidRPr="00F01CEF">
        <w:rPr>
          <w:i/>
          <w:iCs/>
        </w:rPr>
        <w:t>,</w:t>
      </w:r>
      <w:r w:rsidR="001712A7" w:rsidRPr="00FA0571">
        <w:rPr>
          <w:i/>
          <w:iCs/>
        </w:rPr>
        <w:t xml:space="preserve"> 2020</w:t>
      </w:r>
      <w:r w:rsidR="005841D6" w:rsidRPr="00F01CEF">
        <w:t>,</w:t>
      </w:r>
      <w:r w:rsidR="001712A7" w:rsidRPr="00F01CEF">
        <w:t xml:space="preserve"> Cancer Council Victoria, Melbourne.</w:t>
      </w:r>
    </w:p>
  </w:footnote>
  <w:footnote w:id="52">
    <w:p w14:paraId="6CC3E157" w14:textId="77777777" w:rsidR="0072736E" w:rsidRPr="00B92B1A" w:rsidRDefault="0072736E" w:rsidP="00E36777">
      <w:pPr>
        <w:pStyle w:val="FootnoteText"/>
        <w:spacing w:before="0" w:after="0" w:line="240" w:lineRule="auto"/>
      </w:pPr>
      <w:r>
        <w:rPr>
          <w:rStyle w:val="FootnoteReference"/>
        </w:rPr>
        <w:footnoteRef/>
      </w:r>
      <w:r>
        <w:t xml:space="preserve"> </w:t>
      </w:r>
      <w:r w:rsidRPr="00F01CEF">
        <w:t>Ibid.</w:t>
      </w:r>
    </w:p>
  </w:footnote>
  <w:footnote w:id="53">
    <w:p w14:paraId="31A8AC6F" w14:textId="77777777" w:rsidR="0072736E" w:rsidRDefault="0072736E" w:rsidP="00E36777">
      <w:pPr>
        <w:pStyle w:val="FootnoteText"/>
        <w:spacing w:before="0" w:after="0" w:line="240" w:lineRule="auto"/>
      </w:pPr>
      <w:r>
        <w:rPr>
          <w:rStyle w:val="FootnoteReference"/>
        </w:rPr>
        <w:footnoteRef/>
      </w:r>
      <w:r>
        <w:t xml:space="preserve"> Ibid.</w:t>
      </w:r>
    </w:p>
  </w:footnote>
  <w:footnote w:id="54">
    <w:p w14:paraId="0838A435" w14:textId="7B54927F" w:rsidR="00BD05A9" w:rsidRDefault="00BD05A9">
      <w:pPr>
        <w:pStyle w:val="FootnoteText"/>
      </w:pPr>
      <w:r>
        <w:rPr>
          <w:rStyle w:val="FootnoteReference"/>
        </w:rPr>
        <w:footnoteRef/>
      </w:r>
      <w:r>
        <w:t xml:space="preserve"> Premature death refers to deaths that occur at an age earlier than a selected cut-off.  For the purpose of this report deaths among people aged under 75 years are considered premature.</w:t>
      </w:r>
    </w:p>
  </w:footnote>
  <w:footnote w:id="55">
    <w:p w14:paraId="76850F06" w14:textId="4C95A021" w:rsidR="0072736E" w:rsidRDefault="0072736E" w:rsidP="00AE22CB">
      <w:pPr>
        <w:pStyle w:val="FootnoteText"/>
        <w:spacing w:before="0" w:after="0" w:line="240" w:lineRule="auto"/>
      </w:pPr>
      <w:r>
        <w:rPr>
          <w:rStyle w:val="FootnoteReference"/>
        </w:rPr>
        <w:footnoteRef/>
      </w:r>
      <w:r>
        <w:t xml:space="preserve"> </w:t>
      </w:r>
      <w:r w:rsidR="00B82EC1" w:rsidRPr="00B82EC1">
        <w:rPr>
          <w:color w:val="222222"/>
          <w:shd w:val="clear" w:color="auto" w:fill="FFFFFF"/>
        </w:rPr>
        <w:t xml:space="preserve">Sung H, Ferlay J, Siegel RL, </w:t>
      </w:r>
      <w:r w:rsidR="005841D6">
        <w:rPr>
          <w:color w:val="222222"/>
          <w:shd w:val="clear" w:color="auto" w:fill="FFFFFF"/>
        </w:rPr>
        <w:t>et al</w:t>
      </w:r>
      <w:r w:rsidR="00B82EC1" w:rsidRPr="00B82EC1">
        <w:rPr>
          <w:color w:val="222222"/>
          <w:shd w:val="clear" w:color="auto" w:fill="FFFFFF"/>
        </w:rPr>
        <w:t>.</w:t>
      </w:r>
      <w:r w:rsidR="005841D6">
        <w:rPr>
          <w:color w:val="222222"/>
          <w:shd w:val="clear" w:color="auto" w:fill="FFFFFF"/>
        </w:rPr>
        <w:t xml:space="preserve"> 2021,</w:t>
      </w:r>
      <w:r w:rsidR="00B82EC1" w:rsidRPr="00B82EC1">
        <w:rPr>
          <w:color w:val="222222"/>
          <w:shd w:val="clear" w:color="auto" w:fill="FFFFFF"/>
        </w:rPr>
        <w:t xml:space="preserve"> </w:t>
      </w:r>
      <w:r w:rsidR="005841D6">
        <w:rPr>
          <w:color w:val="222222"/>
          <w:shd w:val="clear" w:color="auto" w:fill="FFFFFF"/>
        </w:rPr>
        <w:t>‘</w:t>
      </w:r>
      <w:r w:rsidR="00B82EC1" w:rsidRPr="00B82EC1">
        <w:rPr>
          <w:color w:val="222222"/>
          <w:shd w:val="clear" w:color="auto" w:fill="FFFFFF"/>
        </w:rPr>
        <w:t>Global cancer statistics 2020: GLOBOCAN estimates of incidence and mortality worldwide for 36 cancers in 185 countries</w:t>
      </w:r>
      <w:r w:rsidR="005841D6">
        <w:rPr>
          <w:color w:val="222222"/>
          <w:shd w:val="clear" w:color="auto" w:fill="FFFFFF"/>
        </w:rPr>
        <w:t>’,</w:t>
      </w:r>
      <w:r w:rsidR="00B82EC1" w:rsidRPr="00B82EC1">
        <w:rPr>
          <w:color w:val="222222"/>
          <w:shd w:val="clear" w:color="auto" w:fill="FFFFFF"/>
        </w:rPr>
        <w:t xml:space="preserve"> </w:t>
      </w:r>
      <w:r w:rsidR="00B82EC1" w:rsidRPr="00FA0571">
        <w:rPr>
          <w:i/>
          <w:iCs/>
          <w:color w:val="222222"/>
          <w:shd w:val="clear" w:color="auto" w:fill="FFFFFF"/>
        </w:rPr>
        <w:t>CA: A Cancer Journal for Clinicians</w:t>
      </w:r>
      <w:r w:rsidR="005841D6">
        <w:rPr>
          <w:color w:val="222222"/>
          <w:shd w:val="clear" w:color="auto" w:fill="FFFFFF"/>
        </w:rPr>
        <w:t>,</w:t>
      </w:r>
      <w:r w:rsidR="00B82EC1" w:rsidRPr="00B82EC1">
        <w:rPr>
          <w:color w:val="222222"/>
          <w:shd w:val="clear" w:color="auto" w:fill="FFFFFF"/>
        </w:rPr>
        <w:t xml:space="preserve"> 71(3):209</w:t>
      </w:r>
      <w:r w:rsidR="005841D6">
        <w:rPr>
          <w:color w:val="222222"/>
          <w:shd w:val="clear" w:color="auto" w:fill="FFFFFF"/>
        </w:rPr>
        <w:t>–2</w:t>
      </w:r>
      <w:r w:rsidR="00B82EC1" w:rsidRPr="00B82EC1">
        <w:rPr>
          <w:color w:val="222222"/>
          <w:shd w:val="clear" w:color="auto" w:fill="FFFFFF"/>
        </w:rPr>
        <w:t>49.</w:t>
      </w:r>
    </w:p>
  </w:footnote>
  <w:footnote w:id="56">
    <w:p w14:paraId="37105D95" w14:textId="76CC35A1" w:rsidR="0072736E" w:rsidRDefault="0072736E" w:rsidP="00AE22CB">
      <w:pPr>
        <w:pStyle w:val="FootnoteText"/>
        <w:spacing w:before="0" w:after="0" w:line="240" w:lineRule="auto"/>
      </w:pPr>
      <w:r>
        <w:rPr>
          <w:rStyle w:val="FootnoteReference"/>
        </w:rPr>
        <w:footnoteRef/>
      </w:r>
      <w:r>
        <w:t xml:space="preserve"> </w:t>
      </w:r>
      <w:r>
        <w:rPr>
          <w:color w:val="222222"/>
        </w:rPr>
        <w:t>Ibid.</w:t>
      </w:r>
    </w:p>
  </w:footnote>
  <w:footnote w:id="57">
    <w:p w14:paraId="56E8E862" w14:textId="77777777" w:rsidR="0072736E" w:rsidRDefault="0072736E" w:rsidP="00236B3E">
      <w:pPr>
        <w:pStyle w:val="FootnoteText"/>
      </w:pPr>
      <w:r>
        <w:rPr>
          <w:rStyle w:val="FootnoteReference"/>
        </w:rPr>
        <w:footnoteRef/>
      </w:r>
      <w:r>
        <w:t xml:space="preserve"> Ibid.</w:t>
      </w:r>
    </w:p>
  </w:footnote>
  <w:footnote w:id="58">
    <w:p w14:paraId="0E330A21" w14:textId="25BC2874" w:rsidR="00ED745B" w:rsidRDefault="00ED745B">
      <w:pPr>
        <w:pStyle w:val="FootnoteText"/>
      </w:pPr>
      <w:r>
        <w:rPr>
          <w:rStyle w:val="FootnoteReference"/>
        </w:rPr>
        <w:footnoteRef/>
      </w:r>
      <w:r>
        <w:t xml:space="preserve"> Victorian Cancer Registry</w:t>
      </w:r>
      <w:r w:rsidR="005841D6">
        <w:t xml:space="preserve"> </w:t>
      </w:r>
      <w:r>
        <w:t>2021</w:t>
      </w:r>
      <w:r w:rsidR="005841D6" w:rsidRPr="00FA0571">
        <w:rPr>
          <w:rStyle w:val="A2"/>
        </w:rPr>
        <w:t>,</w:t>
      </w:r>
      <w:r w:rsidRPr="00FA0571">
        <w:rPr>
          <w:rStyle w:val="A2"/>
        </w:rPr>
        <w:t xml:space="preserve"> </w:t>
      </w:r>
      <w:r w:rsidRPr="00FA0571">
        <w:rPr>
          <w:rStyle w:val="A2"/>
          <w:i/>
          <w:iCs/>
        </w:rPr>
        <w:t>Cancer in Victoria</w:t>
      </w:r>
      <w:r w:rsidR="005841D6" w:rsidRPr="00FA0571">
        <w:rPr>
          <w:rStyle w:val="A2"/>
          <w:i/>
          <w:iCs/>
        </w:rPr>
        <w:t>,</w:t>
      </w:r>
      <w:r w:rsidRPr="00FA0571">
        <w:rPr>
          <w:rStyle w:val="A2"/>
          <w:i/>
          <w:iCs/>
        </w:rPr>
        <w:t xml:space="preserve"> 2020</w:t>
      </w:r>
      <w:r w:rsidR="005841D6" w:rsidRPr="00FA0571">
        <w:rPr>
          <w:rStyle w:val="A2"/>
        </w:rPr>
        <w:t>,</w:t>
      </w:r>
      <w:r w:rsidRPr="00FA0571">
        <w:rPr>
          <w:rStyle w:val="A2"/>
        </w:rPr>
        <w:t xml:space="preserve"> Cancer Council Victoria, Melbourne</w:t>
      </w:r>
      <w:r w:rsidR="00CA6DE3" w:rsidRPr="00FA0571">
        <w:rPr>
          <w:rStyle w:val="A2"/>
        </w:rPr>
        <w:t>.</w:t>
      </w:r>
    </w:p>
  </w:footnote>
  <w:footnote w:id="59">
    <w:p w14:paraId="7F4C762B" w14:textId="5A06EB4E" w:rsidR="0072736E" w:rsidRDefault="0072736E">
      <w:pPr>
        <w:pStyle w:val="FootnoteText"/>
      </w:pPr>
      <w:r>
        <w:rPr>
          <w:rStyle w:val="FootnoteReference"/>
        </w:rPr>
        <w:footnoteRef/>
      </w:r>
      <w:r>
        <w:t xml:space="preserve"> </w:t>
      </w:r>
      <w:r>
        <w:rPr>
          <w:rStyle w:val="element-citation"/>
          <w:lang w:val="en"/>
        </w:rPr>
        <w:t>Kogevinas M, Pearce N, Susser M (eds) 1997</w:t>
      </w:r>
      <w:r w:rsidR="00C34891">
        <w:rPr>
          <w:rStyle w:val="element-citation"/>
          <w:lang w:val="en"/>
        </w:rPr>
        <w:t>,</w:t>
      </w:r>
      <w:r>
        <w:rPr>
          <w:rStyle w:val="element-citation"/>
          <w:lang w:val="en"/>
        </w:rPr>
        <w:t xml:space="preserve"> </w:t>
      </w:r>
      <w:r w:rsidRPr="00FA0571">
        <w:rPr>
          <w:rStyle w:val="ref-journal"/>
          <w:i/>
          <w:iCs/>
          <w:lang w:val="en"/>
        </w:rPr>
        <w:t>Social inequalities and cancer</w:t>
      </w:r>
      <w:r w:rsidR="00C34891">
        <w:rPr>
          <w:rStyle w:val="ref-journal"/>
          <w:lang w:val="en"/>
        </w:rPr>
        <w:t>,</w:t>
      </w:r>
      <w:r>
        <w:rPr>
          <w:rStyle w:val="ref-journal"/>
          <w:lang w:val="en"/>
        </w:rPr>
        <w:t xml:space="preserve"> International Agency for Research on Cancer, Lyon</w:t>
      </w:r>
      <w:r>
        <w:rPr>
          <w:rStyle w:val="element-citation"/>
          <w:lang w:val="en"/>
        </w:rPr>
        <w:t>.</w:t>
      </w:r>
    </w:p>
  </w:footnote>
  <w:footnote w:id="60">
    <w:p w14:paraId="3E6B88E7" w14:textId="68CBB7B9" w:rsidR="0072736E" w:rsidRDefault="0072736E">
      <w:pPr>
        <w:pStyle w:val="FootnoteText"/>
      </w:pPr>
      <w:r>
        <w:rPr>
          <w:rStyle w:val="FootnoteReference"/>
        </w:rPr>
        <w:footnoteRef/>
      </w:r>
      <w:r>
        <w:t xml:space="preserve"> </w:t>
      </w:r>
      <w:r>
        <w:rPr>
          <w:color w:val="222222"/>
        </w:rPr>
        <w:t>Cunningham J, Rumbold AR, Zhang X, et al. 2008</w:t>
      </w:r>
      <w:r w:rsidR="00C34891">
        <w:rPr>
          <w:color w:val="222222"/>
        </w:rPr>
        <w:t>,</w:t>
      </w:r>
      <w:r>
        <w:rPr>
          <w:color w:val="222222"/>
        </w:rPr>
        <w:t xml:space="preserve"> </w:t>
      </w:r>
      <w:r w:rsidR="00C34891">
        <w:rPr>
          <w:color w:val="222222"/>
        </w:rPr>
        <w:t>‘</w:t>
      </w:r>
      <w:r>
        <w:rPr>
          <w:color w:val="222222"/>
        </w:rPr>
        <w:t>Incidence, aetiology, and outcomes of cancer in Indigenous peoples in Australia</w:t>
      </w:r>
      <w:r w:rsidR="00C34891">
        <w:rPr>
          <w:color w:val="222222"/>
        </w:rPr>
        <w:t>’,</w:t>
      </w:r>
      <w:r>
        <w:rPr>
          <w:color w:val="222222"/>
        </w:rPr>
        <w:t xml:space="preserve"> </w:t>
      </w:r>
      <w:r w:rsidRPr="00FA0571">
        <w:rPr>
          <w:i/>
          <w:iCs/>
          <w:color w:val="222222"/>
        </w:rPr>
        <w:t>The Lancet Oncology</w:t>
      </w:r>
      <w:r w:rsidR="00C34891">
        <w:rPr>
          <w:color w:val="222222"/>
        </w:rPr>
        <w:t>,</w:t>
      </w:r>
      <w:r>
        <w:rPr>
          <w:color w:val="222222"/>
        </w:rPr>
        <w:t xml:space="preserve"> 9(6):585</w:t>
      </w:r>
      <w:r w:rsidR="00C34891">
        <w:rPr>
          <w:color w:val="222222"/>
        </w:rPr>
        <w:t>–5</w:t>
      </w:r>
      <w:r>
        <w:rPr>
          <w:color w:val="222222"/>
        </w:rPr>
        <w:t>95.</w:t>
      </w:r>
    </w:p>
  </w:footnote>
  <w:footnote w:id="61">
    <w:p w14:paraId="382EA7C9" w14:textId="00F7709A" w:rsidR="0072736E" w:rsidRDefault="0072736E">
      <w:pPr>
        <w:pStyle w:val="FootnoteText"/>
      </w:pPr>
      <w:r>
        <w:rPr>
          <w:rStyle w:val="FootnoteReference"/>
        </w:rPr>
        <w:footnoteRef/>
      </w:r>
      <w:r>
        <w:t xml:space="preserve"> </w:t>
      </w:r>
      <w:r>
        <w:rPr>
          <w:color w:val="222222"/>
        </w:rPr>
        <w:t>Condon JR, Barnes A, Cunningham J</w:t>
      </w:r>
      <w:r w:rsidR="00C34891">
        <w:rPr>
          <w:color w:val="222222"/>
        </w:rPr>
        <w:t xml:space="preserve"> 2003,</w:t>
      </w:r>
      <w:r>
        <w:rPr>
          <w:color w:val="222222"/>
        </w:rPr>
        <w:t xml:space="preserve"> </w:t>
      </w:r>
      <w:r w:rsidR="00C34891">
        <w:rPr>
          <w:color w:val="222222"/>
        </w:rPr>
        <w:t>‘</w:t>
      </w:r>
      <w:r>
        <w:rPr>
          <w:color w:val="222222"/>
        </w:rPr>
        <w:t>Cancer in Indigenous Australians: a review</w:t>
      </w:r>
      <w:r w:rsidR="00C34891">
        <w:rPr>
          <w:color w:val="222222"/>
        </w:rPr>
        <w:t>’,</w:t>
      </w:r>
      <w:r>
        <w:rPr>
          <w:color w:val="222222"/>
        </w:rPr>
        <w:t xml:space="preserve"> </w:t>
      </w:r>
      <w:r w:rsidRPr="00FA0571">
        <w:rPr>
          <w:i/>
          <w:iCs/>
          <w:color w:val="222222"/>
        </w:rPr>
        <w:t>Cancer Causes &amp; Control</w:t>
      </w:r>
      <w:r w:rsidR="00C34891">
        <w:rPr>
          <w:color w:val="222222"/>
        </w:rPr>
        <w:t>,</w:t>
      </w:r>
      <w:r>
        <w:rPr>
          <w:color w:val="222222"/>
        </w:rPr>
        <w:t xml:space="preserve"> 14(2):109</w:t>
      </w:r>
      <w:r w:rsidR="00C34891">
        <w:rPr>
          <w:color w:val="222222"/>
        </w:rPr>
        <w:t>–1</w:t>
      </w:r>
      <w:r>
        <w:rPr>
          <w:color w:val="222222"/>
        </w:rPr>
        <w:t>21.</w:t>
      </w:r>
    </w:p>
  </w:footnote>
  <w:footnote w:id="62">
    <w:p w14:paraId="60803E55" w14:textId="74D23675" w:rsidR="0072736E" w:rsidRDefault="0072736E">
      <w:pPr>
        <w:pStyle w:val="FootnoteText"/>
      </w:pPr>
      <w:r>
        <w:rPr>
          <w:rStyle w:val="FootnoteReference"/>
        </w:rPr>
        <w:footnoteRef/>
      </w:r>
      <w:r>
        <w:t xml:space="preserve"> </w:t>
      </w:r>
      <w:r>
        <w:rPr>
          <w:color w:val="222222"/>
        </w:rPr>
        <w:t>Cunningham J, Rumbold AR, Zhang X, et al. 2008</w:t>
      </w:r>
      <w:r w:rsidR="00242AE0">
        <w:rPr>
          <w:color w:val="222222"/>
        </w:rPr>
        <w:t>,</w:t>
      </w:r>
      <w:r>
        <w:rPr>
          <w:color w:val="222222"/>
        </w:rPr>
        <w:t xml:space="preserve"> </w:t>
      </w:r>
      <w:r w:rsidR="00242AE0">
        <w:rPr>
          <w:color w:val="222222"/>
        </w:rPr>
        <w:t>‘</w:t>
      </w:r>
      <w:r>
        <w:rPr>
          <w:color w:val="222222"/>
        </w:rPr>
        <w:t>Incidence, aetiology, and outcomes of cancer in Indigenous peoples in Australia</w:t>
      </w:r>
      <w:r w:rsidR="00242AE0">
        <w:rPr>
          <w:color w:val="222222"/>
        </w:rPr>
        <w:t>’,</w:t>
      </w:r>
      <w:r>
        <w:rPr>
          <w:color w:val="222222"/>
        </w:rPr>
        <w:t xml:space="preserve"> </w:t>
      </w:r>
      <w:r w:rsidRPr="009C5322">
        <w:rPr>
          <w:i/>
          <w:iCs/>
          <w:color w:val="222222"/>
        </w:rPr>
        <w:t>The Lancet Oncology</w:t>
      </w:r>
      <w:r w:rsidR="00242AE0">
        <w:rPr>
          <w:color w:val="222222"/>
        </w:rPr>
        <w:t>,</w:t>
      </w:r>
      <w:r w:rsidR="00F344A9">
        <w:rPr>
          <w:color w:val="222222"/>
        </w:rPr>
        <w:t xml:space="preserve"> </w:t>
      </w:r>
      <w:r>
        <w:rPr>
          <w:color w:val="222222"/>
        </w:rPr>
        <w:t>9(6):585</w:t>
      </w:r>
      <w:r w:rsidR="00242AE0">
        <w:rPr>
          <w:color w:val="222222"/>
        </w:rPr>
        <w:t>–5</w:t>
      </w:r>
      <w:r>
        <w:rPr>
          <w:color w:val="222222"/>
        </w:rPr>
        <w:t>95.</w:t>
      </w:r>
    </w:p>
  </w:footnote>
  <w:footnote w:id="63">
    <w:p w14:paraId="51E6776D" w14:textId="50AB31C8" w:rsidR="0072736E" w:rsidRPr="003435C8" w:rsidRDefault="0072736E" w:rsidP="003435C8">
      <w:pPr>
        <w:autoSpaceDE w:val="0"/>
        <w:autoSpaceDN w:val="0"/>
        <w:adjustRightInd w:val="0"/>
        <w:rPr>
          <w:rFonts w:ascii="Arial" w:hAnsi="Arial" w:cs="Arial"/>
          <w:sz w:val="16"/>
          <w:szCs w:val="16"/>
        </w:rPr>
      </w:pPr>
      <w:r w:rsidRPr="00292629">
        <w:rPr>
          <w:rStyle w:val="FootnoteReference"/>
          <w:sz w:val="16"/>
          <w:szCs w:val="16"/>
        </w:rPr>
        <w:footnoteRef/>
      </w:r>
      <w:r w:rsidRPr="00292629">
        <w:rPr>
          <w:sz w:val="16"/>
          <w:szCs w:val="16"/>
        </w:rPr>
        <w:t xml:space="preserve"> </w:t>
      </w:r>
      <w:r w:rsidRPr="009C5322">
        <w:rPr>
          <w:rFonts w:ascii="Arial" w:hAnsi="Arial" w:cs="Arial"/>
          <w:sz w:val="18"/>
          <w:szCs w:val="18"/>
        </w:rPr>
        <w:t xml:space="preserve">Valery PC, Coory M, Stirling J, et al. 2006 </w:t>
      </w:r>
      <w:r w:rsidR="00242AE0" w:rsidRPr="009C5322">
        <w:rPr>
          <w:rFonts w:ascii="Arial" w:hAnsi="Arial" w:cs="Arial"/>
          <w:sz w:val="18"/>
          <w:szCs w:val="18"/>
        </w:rPr>
        <w:t>‘</w:t>
      </w:r>
      <w:r w:rsidRPr="009C5322">
        <w:rPr>
          <w:rFonts w:ascii="Arial" w:hAnsi="Arial" w:cs="Arial"/>
          <w:sz w:val="18"/>
          <w:szCs w:val="18"/>
        </w:rPr>
        <w:t>Cancer diagnosis, treatment, and survival in Indigenous and non-Indigenous Australians: a matched cohort study</w:t>
      </w:r>
      <w:r w:rsidR="00242AE0" w:rsidRPr="009C5322">
        <w:rPr>
          <w:rFonts w:ascii="Arial" w:hAnsi="Arial" w:cs="Arial"/>
          <w:sz w:val="18"/>
          <w:szCs w:val="18"/>
        </w:rPr>
        <w:t>’</w:t>
      </w:r>
      <w:r w:rsidRPr="009C5322">
        <w:rPr>
          <w:rFonts w:ascii="Arial" w:hAnsi="Arial" w:cs="Arial"/>
          <w:sz w:val="18"/>
          <w:szCs w:val="18"/>
        </w:rPr>
        <w:t xml:space="preserve">, </w:t>
      </w:r>
      <w:r w:rsidRPr="009C5322">
        <w:rPr>
          <w:rFonts w:ascii="Arial" w:hAnsi="Arial" w:cs="Arial"/>
          <w:i/>
          <w:iCs/>
          <w:sz w:val="18"/>
          <w:szCs w:val="18"/>
        </w:rPr>
        <w:t>Lancet</w:t>
      </w:r>
      <w:r w:rsidR="00242AE0" w:rsidRPr="009C5322">
        <w:rPr>
          <w:rFonts w:ascii="Arial" w:hAnsi="Arial" w:cs="Arial"/>
          <w:sz w:val="18"/>
          <w:szCs w:val="18"/>
        </w:rPr>
        <w:t>,</w:t>
      </w:r>
      <w:r w:rsidRPr="009C5322">
        <w:rPr>
          <w:rFonts w:ascii="Arial" w:hAnsi="Arial" w:cs="Arial"/>
          <w:sz w:val="18"/>
          <w:szCs w:val="18"/>
        </w:rPr>
        <w:t xml:space="preserve"> 367:1842</w:t>
      </w:r>
      <w:r w:rsidR="00242AE0" w:rsidRPr="009C5322">
        <w:rPr>
          <w:rFonts w:ascii="Arial" w:hAnsi="Arial" w:cs="Arial"/>
          <w:sz w:val="18"/>
          <w:szCs w:val="18"/>
        </w:rPr>
        <w:t>–18</w:t>
      </w:r>
      <w:r w:rsidRPr="009C5322">
        <w:rPr>
          <w:rFonts w:ascii="Arial" w:hAnsi="Arial" w:cs="Arial"/>
          <w:sz w:val="18"/>
          <w:szCs w:val="18"/>
        </w:rPr>
        <w:t>48.</w:t>
      </w:r>
    </w:p>
  </w:footnote>
  <w:footnote w:id="64">
    <w:p w14:paraId="5525C38F" w14:textId="69142767" w:rsidR="00C44A66" w:rsidRPr="00F344A9" w:rsidRDefault="00C44A66">
      <w:pPr>
        <w:pStyle w:val="FootnoteText"/>
      </w:pPr>
      <w:r>
        <w:rPr>
          <w:rStyle w:val="FootnoteReference"/>
        </w:rPr>
        <w:footnoteRef/>
      </w:r>
      <w:r>
        <w:t xml:space="preserve"> </w:t>
      </w:r>
      <w:r w:rsidRPr="00F344A9">
        <w:rPr>
          <w:color w:val="333333"/>
          <w:shd w:val="clear" w:color="auto" w:fill="FFFFFF"/>
        </w:rPr>
        <w:t>Anderson K, Diaz A, Parikh DR</w:t>
      </w:r>
      <w:r w:rsidR="00242AE0">
        <w:rPr>
          <w:color w:val="333333"/>
          <w:shd w:val="clear" w:color="auto" w:fill="FFFFFF"/>
        </w:rPr>
        <w:t>,</w:t>
      </w:r>
      <w:r w:rsidRPr="00F344A9">
        <w:rPr>
          <w:color w:val="333333"/>
          <w:shd w:val="clear" w:color="auto" w:fill="FFFFFF"/>
        </w:rPr>
        <w:t> </w:t>
      </w:r>
      <w:r w:rsidRPr="009C5322">
        <w:rPr>
          <w:color w:val="333333"/>
          <w:shd w:val="clear" w:color="auto" w:fill="FFFFFF"/>
        </w:rPr>
        <w:t>et al.</w:t>
      </w:r>
      <w:r w:rsidRPr="00F344A9">
        <w:rPr>
          <w:color w:val="333333"/>
          <w:shd w:val="clear" w:color="auto" w:fill="FFFFFF"/>
        </w:rPr>
        <w:t> </w:t>
      </w:r>
      <w:r w:rsidR="00F344A9">
        <w:rPr>
          <w:color w:val="333333"/>
          <w:shd w:val="clear" w:color="auto" w:fill="FFFFFF"/>
        </w:rPr>
        <w:t>2021</w:t>
      </w:r>
      <w:r w:rsidR="00242AE0">
        <w:rPr>
          <w:color w:val="333333"/>
          <w:shd w:val="clear" w:color="auto" w:fill="FFFFFF"/>
        </w:rPr>
        <w:t>,</w:t>
      </w:r>
      <w:r w:rsidR="00F344A9">
        <w:rPr>
          <w:color w:val="333333"/>
          <w:shd w:val="clear" w:color="auto" w:fill="FFFFFF"/>
        </w:rPr>
        <w:t xml:space="preserve"> </w:t>
      </w:r>
      <w:r w:rsidR="00242AE0">
        <w:rPr>
          <w:color w:val="333333"/>
          <w:shd w:val="clear" w:color="auto" w:fill="FFFFFF"/>
        </w:rPr>
        <w:t>‘</w:t>
      </w:r>
      <w:r w:rsidRPr="00F344A9">
        <w:rPr>
          <w:color w:val="333333"/>
          <w:shd w:val="clear" w:color="auto" w:fill="FFFFFF"/>
        </w:rPr>
        <w:t>Accessibility of cancer treatment services for Indigenous Australians in the Northern Territory: perspectives of patients and care providers</w:t>
      </w:r>
      <w:r w:rsidR="00242AE0">
        <w:rPr>
          <w:color w:val="333333"/>
          <w:shd w:val="clear" w:color="auto" w:fill="FFFFFF"/>
        </w:rPr>
        <w:t>’,</w:t>
      </w:r>
      <w:r w:rsidRPr="00F344A9">
        <w:rPr>
          <w:color w:val="333333"/>
          <w:shd w:val="clear" w:color="auto" w:fill="FFFFFF"/>
        </w:rPr>
        <w:t> </w:t>
      </w:r>
      <w:r w:rsidRPr="00F344A9">
        <w:rPr>
          <w:i/>
          <w:iCs/>
          <w:color w:val="333333"/>
          <w:shd w:val="clear" w:color="auto" w:fill="FFFFFF"/>
        </w:rPr>
        <w:t>BMC Health Serv</w:t>
      </w:r>
      <w:r w:rsidR="00242AE0">
        <w:rPr>
          <w:i/>
          <w:iCs/>
          <w:color w:val="333333"/>
          <w:shd w:val="clear" w:color="auto" w:fill="FFFFFF"/>
        </w:rPr>
        <w:t>ices</w:t>
      </w:r>
      <w:r w:rsidRPr="00F344A9">
        <w:rPr>
          <w:i/>
          <w:iCs/>
          <w:color w:val="333333"/>
          <w:shd w:val="clear" w:color="auto" w:fill="FFFFFF"/>
        </w:rPr>
        <w:t xml:space="preserve"> Res</w:t>
      </w:r>
      <w:r w:rsidR="00242AE0">
        <w:rPr>
          <w:i/>
          <w:iCs/>
          <w:color w:val="333333"/>
          <w:shd w:val="clear" w:color="auto" w:fill="FFFFFF"/>
        </w:rPr>
        <w:t>earch</w:t>
      </w:r>
      <w:r w:rsidR="00242AE0" w:rsidRPr="009C5322">
        <w:rPr>
          <w:color w:val="333333"/>
          <w:shd w:val="clear" w:color="auto" w:fill="FFFFFF"/>
        </w:rPr>
        <w:t>,</w:t>
      </w:r>
      <w:r w:rsidRPr="00F344A9">
        <w:rPr>
          <w:color w:val="333333"/>
          <w:shd w:val="clear" w:color="auto" w:fill="FFFFFF"/>
        </w:rPr>
        <w:t> </w:t>
      </w:r>
      <w:r w:rsidRPr="009C5322">
        <w:rPr>
          <w:color w:val="333333"/>
          <w:shd w:val="clear" w:color="auto" w:fill="FFFFFF"/>
        </w:rPr>
        <w:t>21</w:t>
      </w:r>
      <w:r w:rsidR="00242AE0">
        <w:rPr>
          <w:color w:val="333333"/>
          <w:shd w:val="clear" w:color="auto" w:fill="FFFFFF"/>
        </w:rPr>
        <w:t xml:space="preserve">, </w:t>
      </w:r>
      <w:r w:rsidRPr="00F344A9">
        <w:rPr>
          <w:color w:val="333333"/>
          <w:shd w:val="clear" w:color="auto" w:fill="FFFFFF"/>
        </w:rPr>
        <w:t>95</w:t>
      </w:r>
      <w:r w:rsidR="00F344A9">
        <w:rPr>
          <w:color w:val="333333"/>
          <w:shd w:val="clear" w:color="auto" w:fill="FFFFFF"/>
        </w:rPr>
        <w:t>.</w:t>
      </w:r>
    </w:p>
  </w:footnote>
  <w:footnote w:id="65">
    <w:p w14:paraId="40101325" w14:textId="770FB7FA" w:rsidR="0072736E" w:rsidRPr="00A06413" w:rsidRDefault="0072736E">
      <w:pPr>
        <w:pStyle w:val="FootnoteText"/>
      </w:pPr>
      <w:r>
        <w:rPr>
          <w:rStyle w:val="FootnoteReference"/>
        </w:rPr>
        <w:footnoteRef/>
      </w:r>
      <w:r>
        <w:t xml:space="preserve"> </w:t>
      </w:r>
      <w:bookmarkStart w:id="362" w:name="_Hlk139533555"/>
      <w:r w:rsidR="0091552E" w:rsidRPr="0091552E">
        <w:rPr>
          <w:iCs/>
        </w:rPr>
        <w:t>OECD 2021</w:t>
      </w:r>
      <w:r w:rsidR="00242AE0">
        <w:rPr>
          <w:iCs/>
        </w:rPr>
        <w:t>,</w:t>
      </w:r>
      <w:r w:rsidR="0091552E" w:rsidRPr="0091552E">
        <w:rPr>
          <w:iCs/>
        </w:rPr>
        <w:t xml:space="preserve"> Daily smokers indicator</w:t>
      </w:r>
      <w:r w:rsidR="00242AE0">
        <w:rPr>
          <w:iCs/>
        </w:rPr>
        <w:t>.</w:t>
      </w:r>
      <w:r w:rsidR="0091552E" w:rsidRPr="0091552E">
        <w:rPr>
          <w:iCs/>
        </w:rPr>
        <w:t xml:space="preserve"> </w:t>
      </w:r>
      <w:r w:rsidR="00242AE0">
        <w:rPr>
          <w:iCs/>
        </w:rPr>
        <w:t>I</w:t>
      </w:r>
      <w:r w:rsidR="0091552E" w:rsidRPr="0091552E">
        <w:rPr>
          <w:iCs/>
        </w:rPr>
        <w:t>n</w:t>
      </w:r>
      <w:r w:rsidR="00242AE0">
        <w:rPr>
          <w:iCs/>
        </w:rPr>
        <w:t>:</w:t>
      </w:r>
      <w:r w:rsidR="0091552E" w:rsidRPr="0091552E">
        <w:rPr>
          <w:iCs/>
        </w:rPr>
        <w:t xml:space="preserve"> </w:t>
      </w:r>
      <w:r w:rsidR="0091552E" w:rsidRPr="009C5322">
        <w:rPr>
          <w:i/>
        </w:rPr>
        <w:t>Health at a Glance 2021</w:t>
      </w:r>
      <w:r w:rsidR="0091552E" w:rsidRPr="0091552E">
        <w:rPr>
          <w:iCs/>
        </w:rPr>
        <w:t>: OECD Publishing, Paris</w:t>
      </w:r>
      <w:r w:rsidR="00242AE0">
        <w:rPr>
          <w:iCs/>
        </w:rPr>
        <w:t>.</w:t>
      </w:r>
      <w:r w:rsidR="0091552E" w:rsidRPr="0091552E">
        <w:rPr>
          <w:iCs/>
        </w:rPr>
        <w:t xml:space="preserve"> </w:t>
      </w:r>
      <w:bookmarkEnd w:id="362"/>
    </w:p>
  </w:footnote>
  <w:footnote w:id="66">
    <w:p w14:paraId="43BB586B" w14:textId="77D12F1A" w:rsidR="0072736E" w:rsidRPr="008F2FAA" w:rsidRDefault="0072736E" w:rsidP="00011A20">
      <w:pPr>
        <w:pStyle w:val="FootnoteText"/>
        <w:spacing w:before="0" w:after="0" w:line="240" w:lineRule="auto"/>
      </w:pPr>
      <w:r w:rsidRPr="008F2FAA">
        <w:rPr>
          <w:rStyle w:val="FootnoteReference"/>
        </w:rPr>
        <w:footnoteRef/>
      </w:r>
      <w:r w:rsidRPr="008F2FAA">
        <w:t xml:space="preserve"> </w:t>
      </w:r>
      <w:r w:rsidRPr="008F2FAA">
        <w:rPr>
          <w:lang w:val="en"/>
        </w:rPr>
        <w:t xml:space="preserve">International Agency for Research on </w:t>
      </w:r>
      <w:r w:rsidRPr="00304C4A">
        <w:rPr>
          <w:rFonts w:eastAsia="Times New Roman"/>
          <w:lang w:val="en"/>
        </w:rPr>
        <w:t>Cancer 2012</w:t>
      </w:r>
      <w:r w:rsidR="00242AE0">
        <w:rPr>
          <w:rFonts w:eastAsia="Times New Roman"/>
          <w:lang w:val="en"/>
        </w:rPr>
        <w:t>,</w:t>
      </w:r>
      <w:r w:rsidRPr="00304C4A">
        <w:rPr>
          <w:rFonts w:eastAsia="Times New Roman"/>
          <w:lang w:val="en"/>
        </w:rPr>
        <w:t xml:space="preserve"> </w:t>
      </w:r>
      <w:r w:rsidRPr="00B84C3E">
        <w:rPr>
          <w:rFonts w:eastAsia="Times New Roman"/>
          <w:i/>
          <w:iCs/>
          <w:lang w:val="en"/>
        </w:rPr>
        <w:t>Personal habits and indoor combustions</w:t>
      </w:r>
      <w:r w:rsidR="00242AE0">
        <w:rPr>
          <w:rFonts w:eastAsia="Times New Roman"/>
          <w:lang w:val="en"/>
        </w:rPr>
        <w:t>,</w:t>
      </w:r>
      <w:r w:rsidRPr="00304C4A">
        <w:rPr>
          <w:rFonts w:eastAsia="Times New Roman"/>
          <w:lang w:val="en"/>
        </w:rPr>
        <w:t xml:space="preserve"> Volume 100E. IARC Monographs on the evaluation of carcinogenic risks to humans. IARC, Lyon.</w:t>
      </w:r>
    </w:p>
  </w:footnote>
  <w:footnote w:id="67">
    <w:p w14:paraId="053BE2E2" w14:textId="570503DA" w:rsidR="0072736E" w:rsidRPr="008F2FAA" w:rsidRDefault="0072736E" w:rsidP="00B84C3E">
      <w:pPr>
        <w:pStyle w:val="FootnoteText"/>
        <w:rPr>
          <w:sz w:val="24"/>
          <w:szCs w:val="24"/>
          <w:lang w:val="en"/>
        </w:rPr>
      </w:pPr>
      <w:r w:rsidRPr="008F2FAA">
        <w:rPr>
          <w:rStyle w:val="FootnoteReference"/>
          <w:sz w:val="16"/>
        </w:rPr>
        <w:footnoteRef/>
      </w:r>
      <w:r w:rsidRPr="008F2FAA">
        <w:t xml:space="preserve"> </w:t>
      </w:r>
      <w:r w:rsidRPr="008F2FAA">
        <w:rPr>
          <w:lang w:val="en"/>
        </w:rPr>
        <w:t xml:space="preserve">Stewart BW, Wild CP </w:t>
      </w:r>
      <w:r>
        <w:rPr>
          <w:lang w:val="en"/>
        </w:rPr>
        <w:t>(</w:t>
      </w:r>
      <w:r w:rsidRPr="008F2FAA">
        <w:rPr>
          <w:lang w:val="en"/>
        </w:rPr>
        <w:t>eds</w:t>
      </w:r>
      <w:r>
        <w:rPr>
          <w:lang w:val="en"/>
        </w:rPr>
        <w:t>) 2014</w:t>
      </w:r>
      <w:r w:rsidR="00242AE0">
        <w:rPr>
          <w:lang w:val="en"/>
        </w:rPr>
        <w:t>,</w:t>
      </w:r>
      <w:r w:rsidRPr="008F2FAA">
        <w:rPr>
          <w:lang w:val="en"/>
        </w:rPr>
        <w:t xml:space="preserve"> </w:t>
      </w:r>
      <w:r w:rsidRPr="00B84C3E">
        <w:rPr>
          <w:i/>
          <w:iCs/>
          <w:lang w:val="en"/>
        </w:rPr>
        <w:t>World cancer report</w:t>
      </w:r>
      <w:r w:rsidR="00242AE0">
        <w:rPr>
          <w:lang w:val="en"/>
        </w:rPr>
        <w:t>,</w:t>
      </w:r>
      <w:r w:rsidRPr="008F2FAA">
        <w:rPr>
          <w:lang w:val="en"/>
        </w:rPr>
        <w:t xml:space="preserve"> </w:t>
      </w:r>
      <w:r w:rsidRPr="00304C4A">
        <w:rPr>
          <w:lang w:val="en"/>
        </w:rPr>
        <w:t>International Agency for Research on Cancer</w:t>
      </w:r>
      <w:r w:rsidRPr="007C139F">
        <w:rPr>
          <w:lang w:val="en"/>
        </w:rPr>
        <w:t>, Lyon</w:t>
      </w:r>
      <w:r w:rsidRPr="00D0341D">
        <w:rPr>
          <w:lang w:val="en"/>
        </w:rPr>
        <w:t>.</w:t>
      </w:r>
    </w:p>
  </w:footnote>
  <w:footnote w:id="68">
    <w:p w14:paraId="1C9F7618" w14:textId="34122D4E" w:rsidR="005B56A1" w:rsidRPr="005B56A1" w:rsidRDefault="005B56A1">
      <w:pPr>
        <w:pStyle w:val="FootnoteText"/>
        <w:rPr>
          <w:lang w:val="en-US"/>
        </w:rPr>
      </w:pPr>
      <w:r>
        <w:rPr>
          <w:rStyle w:val="FootnoteReference"/>
        </w:rPr>
        <w:footnoteRef/>
      </w:r>
      <w:r w:rsidR="00572BD8">
        <w:t xml:space="preserve"> Retrieved from:</w:t>
      </w:r>
      <w:r>
        <w:t xml:space="preserve"> </w:t>
      </w:r>
      <w:r w:rsidR="00243AC4" w:rsidRPr="00572BD8">
        <w:t>Health and safety risks | Quit Vaping Facts</w:t>
      </w:r>
      <w:r w:rsidR="00243AC4">
        <w:t>;</w:t>
      </w:r>
      <w:r w:rsidR="00243AC4" w:rsidRPr="00243AC4">
        <w:t xml:space="preserve"> https://www.vapingfacts.org.au/ </w:t>
      </w:r>
    </w:p>
  </w:footnote>
  <w:footnote w:id="69">
    <w:p w14:paraId="5BBEE0F6" w14:textId="0A1FCEF2" w:rsidR="00DD0EF2" w:rsidRPr="00DD0EF2" w:rsidRDefault="00DD0EF2">
      <w:pPr>
        <w:pStyle w:val="FootnoteText"/>
      </w:pPr>
      <w:r>
        <w:rPr>
          <w:rStyle w:val="FootnoteReference"/>
        </w:rPr>
        <w:footnoteRef/>
      </w:r>
      <w:r>
        <w:t xml:space="preserve"> Retrieved from: </w:t>
      </w:r>
      <w:r w:rsidRPr="00DD0EF2">
        <w:t>National Tobacco Strategy 2023–2030 | Australian Government Department of Health and Aged Care</w:t>
      </w:r>
      <w:r>
        <w:t>.</w:t>
      </w:r>
      <w:r w:rsidR="00243AC4">
        <w:t xml:space="preserve"> </w:t>
      </w:r>
    </w:p>
  </w:footnote>
  <w:footnote w:id="70">
    <w:p w14:paraId="27612D6C" w14:textId="77777777" w:rsidR="009D5F24" w:rsidRDefault="009D5F24">
      <w:pPr>
        <w:pStyle w:val="FootnoteText"/>
      </w:pPr>
      <w:r>
        <w:rPr>
          <w:rStyle w:val="FootnoteReference"/>
        </w:rPr>
        <w:footnoteRef/>
      </w:r>
      <w:r>
        <w:t xml:space="preserve"> Smoked in the past seven days.</w:t>
      </w:r>
    </w:p>
  </w:footnote>
  <w:footnote w:id="71">
    <w:p w14:paraId="5210B9DB" w14:textId="5707FC8E" w:rsidR="0072736E" w:rsidRPr="004776EC" w:rsidRDefault="0072736E">
      <w:pPr>
        <w:pStyle w:val="FootnoteText"/>
      </w:pPr>
      <w:r>
        <w:rPr>
          <w:rStyle w:val="FootnoteReference"/>
        </w:rPr>
        <w:footnoteRef/>
      </w:r>
      <w:r>
        <w:t xml:space="preserve"> </w:t>
      </w:r>
      <w:r>
        <w:rPr>
          <w:lang w:val="en"/>
        </w:rPr>
        <w:t xml:space="preserve">US </w:t>
      </w:r>
      <w:r w:rsidRPr="00C4133F">
        <w:rPr>
          <w:lang w:val="en"/>
        </w:rPr>
        <w:t>Department of Health and Human Services</w:t>
      </w:r>
      <w:r>
        <w:rPr>
          <w:lang w:val="en"/>
        </w:rPr>
        <w:t xml:space="preserve"> 1994</w:t>
      </w:r>
      <w:r w:rsidR="00C00F9F">
        <w:rPr>
          <w:lang w:val="en"/>
        </w:rPr>
        <w:t>,</w:t>
      </w:r>
      <w:r w:rsidRPr="00B84C3E">
        <w:rPr>
          <w:i/>
          <w:iCs/>
          <w:lang w:val="en"/>
        </w:rPr>
        <w:t xml:space="preserve"> Preventing tobacco use among young people. A report of the Surgeon General, 1994</w:t>
      </w:r>
      <w:r w:rsidRPr="00C4133F">
        <w:rPr>
          <w:lang w:val="en"/>
        </w:rPr>
        <w:t>. Atlanta, Georgia: Public Health Service, Centers for Disease Control and Prevention, Office on Smoking and Health. Available from</w:t>
      </w:r>
      <w:r w:rsidRPr="004776EC">
        <w:rPr>
          <w:lang w:val="en"/>
        </w:rPr>
        <w:t xml:space="preserve">: </w:t>
      </w:r>
      <w:r w:rsidRPr="007C139F">
        <w:t>http://www.cdc.gov/tobacco/data_statistics/sgr/sgr_1994/index.htm</w:t>
      </w:r>
      <w:r w:rsidR="00B507B1">
        <w:t>.</w:t>
      </w:r>
    </w:p>
  </w:footnote>
  <w:footnote w:id="72">
    <w:p w14:paraId="73210733" w14:textId="12721436" w:rsidR="0072736E" w:rsidRDefault="0072736E">
      <w:pPr>
        <w:pStyle w:val="FootnoteText"/>
      </w:pPr>
      <w:r>
        <w:rPr>
          <w:rStyle w:val="FootnoteReference"/>
        </w:rPr>
        <w:footnoteRef/>
      </w:r>
      <w:r>
        <w:t xml:space="preserve"> Ibid.</w:t>
      </w:r>
    </w:p>
  </w:footnote>
  <w:footnote w:id="73">
    <w:p w14:paraId="7CBB148A" w14:textId="3C67D9BA" w:rsidR="005F215B" w:rsidRDefault="005F215B">
      <w:pPr>
        <w:pStyle w:val="FootnoteText"/>
      </w:pPr>
      <w:r>
        <w:rPr>
          <w:rStyle w:val="FootnoteReference"/>
        </w:rPr>
        <w:footnoteRef/>
      </w:r>
      <w:r>
        <w:t xml:space="preserve"> </w:t>
      </w:r>
      <w:r w:rsidRPr="00DE25AD">
        <w:rPr>
          <w:bCs/>
          <w:color w:val="000000" w:themeColor="text1"/>
        </w:rPr>
        <w:t>Guerin N</w:t>
      </w:r>
      <w:r w:rsidR="00C00F9F">
        <w:rPr>
          <w:bCs/>
          <w:color w:val="000000" w:themeColor="text1"/>
        </w:rPr>
        <w:t>,</w:t>
      </w:r>
      <w:r w:rsidRPr="00DE25AD">
        <w:rPr>
          <w:bCs/>
          <w:color w:val="000000" w:themeColor="text1"/>
        </w:rPr>
        <w:t xml:space="preserve"> White V 2020</w:t>
      </w:r>
      <w:r w:rsidR="00C00F9F">
        <w:rPr>
          <w:bCs/>
          <w:color w:val="000000" w:themeColor="text1"/>
        </w:rPr>
        <w:t>,</w:t>
      </w:r>
      <w:r w:rsidRPr="00DE25AD">
        <w:rPr>
          <w:bCs/>
          <w:color w:val="000000" w:themeColor="text1"/>
        </w:rPr>
        <w:t xml:space="preserve"> </w:t>
      </w:r>
      <w:r w:rsidRPr="00B84C3E">
        <w:rPr>
          <w:bCs/>
          <w:i/>
          <w:iCs/>
          <w:color w:val="000000" w:themeColor="text1"/>
        </w:rPr>
        <w:t xml:space="preserve">ASSAD 2017 Statistics &amp; </w:t>
      </w:r>
      <w:r w:rsidR="00C00F9F" w:rsidRPr="00B84C3E">
        <w:rPr>
          <w:bCs/>
          <w:i/>
          <w:iCs/>
          <w:color w:val="000000" w:themeColor="text1"/>
        </w:rPr>
        <w:t>trends</w:t>
      </w:r>
      <w:r w:rsidRPr="00B84C3E">
        <w:rPr>
          <w:bCs/>
          <w:i/>
          <w:iCs/>
          <w:color w:val="000000" w:themeColor="text1"/>
        </w:rPr>
        <w:t>: Austr</w:t>
      </w:r>
      <w:r w:rsidR="00C00F9F" w:rsidRPr="00B84C3E">
        <w:rPr>
          <w:bCs/>
          <w:i/>
          <w:iCs/>
          <w:color w:val="000000" w:themeColor="text1"/>
        </w:rPr>
        <w:t>alian secondary students’ use of tobacco, alcohol, over-the-counter drugs, and illicit substances</w:t>
      </w:r>
      <w:r w:rsidRPr="00DE25AD">
        <w:rPr>
          <w:bCs/>
          <w:color w:val="000000" w:themeColor="text1"/>
        </w:rPr>
        <w:t xml:space="preserve">. </w:t>
      </w:r>
      <w:r>
        <w:rPr>
          <w:bCs/>
          <w:color w:val="000000" w:themeColor="text1"/>
        </w:rPr>
        <w:t>Second</w:t>
      </w:r>
      <w:r w:rsidRPr="00DE25AD">
        <w:rPr>
          <w:bCs/>
          <w:color w:val="000000" w:themeColor="text1"/>
        </w:rPr>
        <w:t xml:space="preserve"> </w:t>
      </w:r>
      <w:r>
        <w:rPr>
          <w:bCs/>
          <w:color w:val="000000" w:themeColor="text1"/>
        </w:rPr>
        <w:t>E</w:t>
      </w:r>
      <w:r w:rsidRPr="00DE25AD">
        <w:rPr>
          <w:bCs/>
          <w:color w:val="000000" w:themeColor="text1"/>
        </w:rPr>
        <w:t>dition. Cancer Council Victoria</w:t>
      </w:r>
      <w:r w:rsidR="00C00F9F">
        <w:rPr>
          <w:bCs/>
          <w:color w:val="000000" w:themeColor="text1"/>
        </w:rPr>
        <w:t>, Melbourne.</w:t>
      </w:r>
    </w:p>
  </w:footnote>
  <w:footnote w:id="74">
    <w:p w14:paraId="1AC6BAC8" w14:textId="44672D2A" w:rsidR="005F215B" w:rsidRDefault="005F215B">
      <w:pPr>
        <w:pStyle w:val="FootnoteText"/>
      </w:pPr>
      <w:r>
        <w:rPr>
          <w:rStyle w:val="FootnoteReference"/>
        </w:rPr>
        <w:footnoteRef/>
      </w:r>
      <w:r>
        <w:t xml:space="preserve"> Guerin N, White V, Gascoyne C 2020</w:t>
      </w:r>
      <w:r w:rsidR="00C00F9F">
        <w:t>,</w:t>
      </w:r>
      <w:r>
        <w:t xml:space="preserve"> </w:t>
      </w:r>
      <w:r w:rsidRPr="00B84C3E">
        <w:rPr>
          <w:i/>
          <w:iCs/>
        </w:rPr>
        <w:t>ASSAD 2017</w:t>
      </w:r>
      <w:r>
        <w:t xml:space="preserve"> </w:t>
      </w:r>
      <w:r w:rsidRPr="00B84C3E">
        <w:rPr>
          <w:i/>
          <w:iCs/>
        </w:rPr>
        <w:t xml:space="preserve">Victorian </w:t>
      </w:r>
      <w:r w:rsidR="00C00F9F" w:rsidRPr="00B84C3E">
        <w:rPr>
          <w:i/>
          <w:iCs/>
        </w:rPr>
        <w:t>statistics &amp; trends</w:t>
      </w:r>
      <w:r w:rsidRPr="00B84C3E">
        <w:rPr>
          <w:i/>
          <w:iCs/>
        </w:rPr>
        <w:t xml:space="preserve">: Victorian </w:t>
      </w:r>
      <w:r w:rsidR="00C00F9F" w:rsidRPr="00B84C3E">
        <w:rPr>
          <w:i/>
          <w:iCs/>
        </w:rPr>
        <w:t>secondary students’ use of tobacco, alcohol, over-the-counter drugs, and other substances</w:t>
      </w:r>
      <w:r>
        <w:t>. Second Edition. Cancer Council Victoria</w:t>
      </w:r>
      <w:r w:rsidR="00C00F9F">
        <w:t>, Melbourne</w:t>
      </w:r>
      <w:r>
        <w:t>.</w:t>
      </w:r>
    </w:p>
  </w:footnote>
  <w:footnote w:id="75">
    <w:p w14:paraId="68EDDE48" w14:textId="32AF603C" w:rsidR="0072736E" w:rsidRPr="00C4133F" w:rsidRDefault="0072736E" w:rsidP="00DA6907">
      <w:pPr>
        <w:pStyle w:val="FootnoteText"/>
      </w:pPr>
      <w:r w:rsidRPr="00C4133F">
        <w:rPr>
          <w:rStyle w:val="FootnoteReference"/>
          <w:sz w:val="16"/>
        </w:rPr>
        <w:footnoteRef/>
      </w:r>
      <w:r w:rsidRPr="00C4133F">
        <w:t xml:space="preserve"> </w:t>
      </w:r>
      <w:r w:rsidRPr="007C139F">
        <w:t xml:space="preserve">Victorian Department of Health and </w:t>
      </w:r>
      <w:r w:rsidRPr="001F251D">
        <w:t>Human Services</w:t>
      </w:r>
      <w:r w:rsidRPr="00C4133F">
        <w:t xml:space="preserve"> 2016</w:t>
      </w:r>
      <w:r w:rsidR="00C00F9F">
        <w:t>,</w:t>
      </w:r>
      <w:r w:rsidRPr="00C4133F">
        <w:t xml:space="preserve"> </w:t>
      </w:r>
      <w:r w:rsidRPr="00DA6907">
        <w:rPr>
          <w:i/>
          <w:iCs/>
        </w:rPr>
        <w:t>Tobacco, alcohol, over-the-counter and illicit substance use</w:t>
      </w:r>
      <w:r w:rsidRPr="00DA6907">
        <w:t xml:space="preserve"> among</w:t>
      </w:r>
      <w:r w:rsidR="0084314B">
        <w:rPr>
          <w:i/>
          <w:iCs/>
        </w:rPr>
        <w:t xml:space="preserve"> </w:t>
      </w:r>
      <w:r w:rsidRPr="00DA6907">
        <w:rPr>
          <w:i/>
          <w:iCs/>
        </w:rPr>
        <w:t>Victorian secondary school students 2014</w:t>
      </w:r>
      <w:r>
        <w:t xml:space="preserve">. Available from: </w:t>
      </w:r>
      <w:r w:rsidRPr="00915E32">
        <w:t>https://www2.health.vic.gov.au/about/</w:t>
      </w:r>
      <w:r w:rsidRPr="00DA6907">
        <w:t>publications</w:t>
      </w:r>
      <w:r w:rsidRPr="00915E32">
        <w:t>/researchandreports/australian-secondary-students-alcohol-and-drug-survey-victorian-report-2014</w:t>
      </w:r>
      <w:r w:rsidR="00B507B1">
        <w:t>.</w:t>
      </w:r>
    </w:p>
  </w:footnote>
  <w:footnote w:id="76">
    <w:p w14:paraId="6AA47A76" w14:textId="199CB026" w:rsidR="0072736E" w:rsidRPr="004776EC" w:rsidRDefault="0072736E">
      <w:pPr>
        <w:pStyle w:val="FootnoteText"/>
      </w:pPr>
      <w:r>
        <w:rPr>
          <w:rStyle w:val="FootnoteReference"/>
        </w:rPr>
        <w:footnoteRef/>
      </w:r>
      <w:r>
        <w:t xml:space="preserve"> </w:t>
      </w:r>
      <w:r w:rsidR="00492EAA">
        <w:t>Canadian Tobacco, Alcohol and Drugs Survey (CTADS)</w:t>
      </w:r>
      <w:r w:rsidR="009C2137">
        <w:t xml:space="preserve"> 2015,</w:t>
      </w:r>
      <w:r w:rsidR="00492EAA">
        <w:t xml:space="preserve"> Statistics Canada. </w:t>
      </w:r>
      <w:r w:rsidR="009C2137">
        <w:t>Available</w:t>
      </w:r>
      <w:r w:rsidR="009C2137" w:rsidDel="009C2137">
        <w:t xml:space="preserve"> </w:t>
      </w:r>
      <w:r w:rsidR="009C2137">
        <w:t xml:space="preserve">from: </w:t>
      </w:r>
      <w:r w:rsidR="00492EAA" w:rsidRPr="00492EAA">
        <w:t>https://www.canada.ca/en/health-canada/services/canadian-student-tobacco-alcohol-drugs-survey/2014-2015-summary.html</w:t>
      </w:r>
      <w:r w:rsidR="00B507B1">
        <w:t>.</w:t>
      </w:r>
    </w:p>
  </w:footnote>
  <w:footnote w:id="77">
    <w:p w14:paraId="18ADD6EC" w14:textId="2BDD2B5D" w:rsidR="00900ACE" w:rsidRDefault="00900ACE">
      <w:pPr>
        <w:pStyle w:val="FootnoteText"/>
      </w:pPr>
      <w:r>
        <w:rPr>
          <w:rStyle w:val="FootnoteReference"/>
        </w:rPr>
        <w:footnoteRef/>
      </w:r>
      <w:r>
        <w:t xml:space="preserve"> </w:t>
      </w:r>
      <w:r w:rsidR="008505F2">
        <w:t>Ibid</w:t>
      </w:r>
      <w:r w:rsidR="009C2137">
        <w:t>.</w:t>
      </w:r>
    </w:p>
  </w:footnote>
  <w:footnote w:id="78">
    <w:p w14:paraId="69D0C1EA" w14:textId="5ED55D62" w:rsidR="0072736E" w:rsidRDefault="0072736E">
      <w:pPr>
        <w:pStyle w:val="FootnoteText"/>
      </w:pPr>
      <w:r>
        <w:rPr>
          <w:rStyle w:val="FootnoteReference"/>
        </w:rPr>
        <w:footnoteRef/>
      </w:r>
      <w:r>
        <w:t xml:space="preserve"> </w:t>
      </w:r>
      <w:r>
        <w:rPr>
          <w:lang w:val="en"/>
        </w:rPr>
        <w:t>Keane E, Gavin A, Perry C, et al. 2017</w:t>
      </w:r>
      <w:r w:rsidR="00B65AB8">
        <w:rPr>
          <w:lang w:val="en"/>
        </w:rPr>
        <w:t>,</w:t>
      </w:r>
      <w:r>
        <w:rPr>
          <w:lang w:val="en"/>
        </w:rPr>
        <w:t xml:space="preserve"> </w:t>
      </w:r>
      <w:r w:rsidRPr="00DA6907">
        <w:rPr>
          <w:i/>
          <w:iCs/>
          <w:lang w:val="en"/>
        </w:rPr>
        <w:t>Trends in health behaviours, health outcomes and contextual factors between 1998–2014: Findings from the Irish health behaviour in school-aged children study</w:t>
      </w:r>
      <w:r w:rsidR="002840D5">
        <w:rPr>
          <w:lang w:val="en"/>
        </w:rPr>
        <w:t>.</w:t>
      </w:r>
      <w:r>
        <w:rPr>
          <w:lang w:val="en"/>
        </w:rPr>
        <w:t xml:space="preserve"> National University of Ireland Galway: Health Promotion Research Centre</w:t>
      </w:r>
      <w:r w:rsidR="002840D5">
        <w:rPr>
          <w:lang w:val="en"/>
        </w:rPr>
        <w:t>, National University of Ireland</w:t>
      </w:r>
      <w:r>
        <w:rPr>
          <w:lang w:val="en"/>
        </w:rPr>
        <w:t>. Available from: </w:t>
      </w:r>
      <w:r w:rsidRPr="00D83760">
        <w:t>http://www.nuigalway.ie/media/healthpromotionresearchcentre/hbscdocs/nationalreports/HBSC-Trends-Report-2017-(web).pdf</w:t>
      </w:r>
      <w:r w:rsidR="00B507B1">
        <w:t>.</w:t>
      </w:r>
    </w:p>
  </w:footnote>
  <w:footnote w:id="79">
    <w:p w14:paraId="256CF214" w14:textId="3A6C6732" w:rsidR="002840D5" w:rsidRDefault="002840D5">
      <w:pPr>
        <w:pStyle w:val="FootnoteText"/>
      </w:pPr>
      <w:r>
        <w:rPr>
          <w:rStyle w:val="FootnoteReference"/>
        </w:rPr>
        <w:footnoteRef/>
      </w:r>
      <w:r>
        <w:t xml:space="preserve"> Költő A, Gavin A, Molcho M, </w:t>
      </w:r>
      <w:r w:rsidR="008505F2">
        <w:t>et al</w:t>
      </w:r>
      <w:r>
        <w:t>. 2020</w:t>
      </w:r>
      <w:r w:rsidR="00B65AB8">
        <w:t>,</w:t>
      </w:r>
      <w:r>
        <w:t xml:space="preserve"> </w:t>
      </w:r>
      <w:r w:rsidRPr="00DA6907">
        <w:rPr>
          <w:i/>
          <w:iCs/>
        </w:rPr>
        <w:t>The Irish Health Behaviour in School-aged Children (HBSC) Study 2018</w:t>
      </w:r>
      <w:r>
        <w:t xml:space="preserve">. </w:t>
      </w:r>
      <w:r>
        <w:rPr>
          <w:lang w:val="en"/>
        </w:rPr>
        <w:t>National University of Ireland Galway: Health Promotion Research Centre, National University of Ireland</w:t>
      </w:r>
      <w:r w:rsidR="00D47AC2">
        <w:rPr>
          <w:lang w:val="en"/>
        </w:rPr>
        <w:t>. Available from: </w:t>
      </w:r>
      <w:r w:rsidR="00D47AC2" w:rsidRPr="00D47AC2">
        <w:rPr>
          <w:lang w:val="en"/>
        </w:rPr>
        <w:t>https://www.gov.ie/en/publication/dc26c4-irish-health-behaviour-in-school-aged-children-study-2018/</w:t>
      </w:r>
      <w:r w:rsidR="00D47AC2">
        <w:rPr>
          <w:lang w:val="en"/>
        </w:rPr>
        <w:t>.</w:t>
      </w:r>
    </w:p>
  </w:footnote>
  <w:footnote w:id="80">
    <w:p w14:paraId="2E0D9ABC" w14:textId="6B68E81F" w:rsidR="0072736E" w:rsidRPr="00DA33BB" w:rsidRDefault="0072736E" w:rsidP="00DA6907">
      <w:pPr>
        <w:pStyle w:val="FootnoteText"/>
      </w:pPr>
      <w:r>
        <w:rPr>
          <w:rStyle w:val="FootnoteReference"/>
        </w:rPr>
        <w:footnoteRef/>
      </w:r>
      <w:r>
        <w:t xml:space="preserve"> </w:t>
      </w:r>
      <w:r w:rsidRPr="00DA33BB">
        <w:t>White VM, Hayman J, Hill DJ</w:t>
      </w:r>
      <w:r>
        <w:t xml:space="preserve"> 2008</w:t>
      </w:r>
      <w:r w:rsidR="00B65AB8">
        <w:t>,</w:t>
      </w:r>
      <w:r w:rsidRPr="00DA33BB">
        <w:t xml:space="preserve"> </w:t>
      </w:r>
      <w:r w:rsidR="00B65AB8">
        <w:t>‘</w:t>
      </w:r>
      <w:r w:rsidRPr="00DA33BB">
        <w:t>Can population-based tobacco-control</w:t>
      </w:r>
      <w:r>
        <w:t xml:space="preserve"> </w:t>
      </w:r>
      <w:r w:rsidRPr="00DA33BB">
        <w:t>policies change smoking behaviours of adolescents from all socio-economic</w:t>
      </w:r>
      <w:r>
        <w:t xml:space="preserve"> </w:t>
      </w:r>
      <w:r w:rsidRPr="00DA33BB">
        <w:t>groups? Findings from Australia: 1987</w:t>
      </w:r>
      <w:r>
        <w:t>–</w:t>
      </w:r>
      <w:r w:rsidRPr="00DA33BB">
        <w:t>2005</w:t>
      </w:r>
      <w:r w:rsidR="00B65AB8">
        <w:t>’,</w:t>
      </w:r>
      <w:r w:rsidRPr="00DA33BB">
        <w:t xml:space="preserve"> </w:t>
      </w:r>
      <w:r w:rsidRPr="00DA6907">
        <w:rPr>
          <w:i/>
          <w:iCs/>
        </w:rPr>
        <w:t>Cancer Causes Control</w:t>
      </w:r>
      <w:r w:rsidR="00B65AB8">
        <w:t>,</w:t>
      </w:r>
      <w:r>
        <w:t xml:space="preserve"> </w:t>
      </w:r>
      <w:r w:rsidRPr="00DA33BB">
        <w:t>19(6): 631</w:t>
      </w:r>
      <w:r w:rsidR="00B65AB8">
        <w:t>–6</w:t>
      </w:r>
      <w:r w:rsidRPr="00DA33BB">
        <w:t>40.</w:t>
      </w:r>
    </w:p>
  </w:footnote>
  <w:footnote w:id="81">
    <w:p w14:paraId="6DEDEF5B" w14:textId="03204A3D" w:rsidR="0072736E" w:rsidRDefault="0072736E">
      <w:pPr>
        <w:pStyle w:val="FootnoteText"/>
      </w:pPr>
      <w:r>
        <w:rPr>
          <w:rStyle w:val="FootnoteReference"/>
        </w:rPr>
        <w:footnoteRef/>
      </w:r>
      <w:r>
        <w:t xml:space="preserve"> </w:t>
      </w:r>
      <w:r w:rsidRPr="0048790B">
        <w:rPr>
          <w:rStyle w:val="cca-citation"/>
          <w:lang w:val="en"/>
        </w:rPr>
        <w:t>White V, Williams T</w:t>
      </w:r>
      <w:r>
        <w:rPr>
          <w:rStyle w:val="cca-citation"/>
          <w:lang w:val="en"/>
        </w:rPr>
        <w:t xml:space="preserve"> 2015</w:t>
      </w:r>
      <w:r w:rsidR="00B65AB8">
        <w:rPr>
          <w:rStyle w:val="cca-citation"/>
          <w:lang w:val="en"/>
        </w:rPr>
        <w:t>,</w:t>
      </w:r>
      <w:r w:rsidRPr="00676EB9">
        <w:rPr>
          <w:rStyle w:val="cca-citation"/>
          <w:lang w:val="en"/>
        </w:rPr>
        <w:t xml:space="preserve"> </w:t>
      </w:r>
      <w:r w:rsidRPr="00DA6907">
        <w:rPr>
          <w:rStyle w:val="Strong"/>
          <w:b w:val="0"/>
          <w:bCs w:val="0"/>
          <w:i/>
          <w:iCs/>
          <w:lang w:val="en"/>
        </w:rPr>
        <w:t>Australian secondary school students’ use of tobacco in 2014</w:t>
      </w:r>
      <w:r w:rsidR="00B65AB8">
        <w:rPr>
          <w:rStyle w:val="Strong"/>
          <w:b w:val="0"/>
          <w:bCs w:val="0"/>
          <w:lang w:val="en"/>
        </w:rPr>
        <w:t>,</w:t>
      </w:r>
      <w:r w:rsidRPr="0048790B">
        <w:rPr>
          <w:rStyle w:val="cca-citation"/>
          <w:lang w:val="en"/>
        </w:rPr>
        <w:t xml:space="preserve"> Centre for Behavioural Research in Cancer</w:t>
      </w:r>
      <w:r>
        <w:rPr>
          <w:rStyle w:val="cca-citation"/>
          <w:lang w:val="en"/>
        </w:rPr>
        <w:t xml:space="preserve">, Melbourne. </w:t>
      </w:r>
      <w:r w:rsidRPr="0048790B">
        <w:rPr>
          <w:rStyle w:val="cca-citation"/>
          <w:lang w:val="en"/>
        </w:rPr>
        <w:t xml:space="preserve">Available from: </w:t>
      </w:r>
      <w:r w:rsidRPr="00D83760">
        <w:t>http://www.nationaldrugstrategy.gov.au/internet/drugstrategy/Publishing.nsf/content/BCBF6B2C638E1202CA257ACD0020E35C/$File/Tobacco%20Report%202014.PDF</w:t>
      </w:r>
      <w:r w:rsidR="005E3103">
        <w:t>.</w:t>
      </w:r>
    </w:p>
  </w:footnote>
  <w:footnote w:id="82">
    <w:p w14:paraId="28F30103" w14:textId="31A1E00A" w:rsidR="0072736E" w:rsidRPr="00317418" w:rsidRDefault="0072736E" w:rsidP="00DA6907">
      <w:pPr>
        <w:pStyle w:val="FootnoteText"/>
        <w:rPr>
          <w:lang w:val="en"/>
        </w:rPr>
      </w:pPr>
      <w:r w:rsidRPr="00802511">
        <w:rPr>
          <w:rStyle w:val="FootnoteReference"/>
          <w:sz w:val="16"/>
        </w:rPr>
        <w:footnoteRef/>
      </w:r>
      <w:r w:rsidRPr="00317418">
        <w:rPr>
          <w:vertAlign w:val="subscript"/>
        </w:rPr>
        <w:t xml:space="preserve"> </w:t>
      </w:r>
      <w:r w:rsidRPr="00317418">
        <w:rPr>
          <w:iCs/>
          <w:lang w:val="en"/>
        </w:rPr>
        <w:t>WCRF/AICR</w:t>
      </w:r>
      <w:r>
        <w:rPr>
          <w:iCs/>
          <w:lang w:val="en"/>
        </w:rPr>
        <w:t xml:space="preserve"> 2007</w:t>
      </w:r>
      <w:r w:rsidR="00B65AB8">
        <w:rPr>
          <w:iCs/>
          <w:lang w:val="en"/>
        </w:rPr>
        <w:t>,</w:t>
      </w:r>
      <w:r w:rsidRPr="00317418">
        <w:rPr>
          <w:iCs/>
          <w:lang w:val="en"/>
        </w:rPr>
        <w:t xml:space="preserve"> </w:t>
      </w:r>
      <w:r w:rsidRPr="00DA6907">
        <w:rPr>
          <w:i/>
          <w:iCs/>
          <w:lang w:val="en"/>
        </w:rPr>
        <w:t>Food, nutrition, physical activity and the prevention of cancer: a global perspective</w:t>
      </w:r>
      <w:r w:rsidR="00B65AB8">
        <w:rPr>
          <w:iCs/>
          <w:lang w:val="en"/>
        </w:rPr>
        <w:t>,</w:t>
      </w:r>
      <w:r w:rsidRPr="00317418">
        <w:rPr>
          <w:iCs/>
          <w:lang w:val="en"/>
        </w:rPr>
        <w:t xml:space="preserve"> </w:t>
      </w:r>
      <w:r>
        <w:rPr>
          <w:iCs/>
          <w:lang w:val="en"/>
        </w:rPr>
        <w:t xml:space="preserve">AICR, </w:t>
      </w:r>
      <w:r w:rsidRPr="00317418">
        <w:rPr>
          <w:iCs/>
          <w:lang w:val="en"/>
        </w:rPr>
        <w:t>Washington, DC</w:t>
      </w:r>
      <w:r>
        <w:rPr>
          <w:iCs/>
          <w:lang w:val="en"/>
        </w:rPr>
        <w:t>.</w:t>
      </w:r>
    </w:p>
  </w:footnote>
  <w:footnote w:id="83">
    <w:p w14:paraId="2738A5BA" w14:textId="782A3036" w:rsidR="0072736E" w:rsidRDefault="0072736E">
      <w:pPr>
        <w:pStyle w:val="FootnoteText"/>
      </w:pPr>
      <w:r>
        <w:rPr>
          <w:rStyle w:val="FootnoteReference"/>
        </w:rPr>
        <w:footnoteRef/>
      </w:r>
      <w:r>
        <w:t xml:space="preserve"> </w:t>
      </w:r>
      <w:r>
        <w:rPr>
          <w:rStyle w:val="cca-citation"/>
          <w:color w:val="000000"/>
          <w:lang w:val="en"/>
        </w:rPr>
        <w:t>National Health and Medical Research Council 2009</w:t>
      </w:r>
      <w:r w:rsidR="00B65AB8">
        <w:rPr>
          <w:rStyle w:val="cca-citation"/>
          <w:color w:val="000000"/>
          <w:lang w:val="en"/>
        </w:rPr>
        <w:t>,</w:t>
      </w:r>
      <w:r w:rsidRPr="00676EB9">
        <w:rPr>
          <w:rStyle w:val="cca-citation"/>
          <w:color w:val="000000"/>
          <w:lang w:val="en"/>
        </w:rPr>
        <w:t xml:space="preserve"> </w:t>
      </w:r>
      <w:r w:rsidRPr="00DA6907">
        <w:rPr>
          <w:rStyle w:val="cca-citation"/>
          <w:i/>
          <w:iCs/>
          <w:color w:val="000000"/>
          <w:lang w:val="en"/>
        </w:rPr>
        <w:t>NHMRC Australian guidelines to reduce health risks from drinking alcohol</w:t>
      </w:r>
      <w:r w:rsidR="00B65AB8">
        <w:rPr>
          <w:rStyle w:val="cca-citation"/>
          <w:color w:val="000000"/>
          <w:lang w:val="en"/>
        </w:rPr>
        <w:t>,</w:t>
      </w:r>
      <w:r>
        <w:rPr>
          <w:rStyle w:val="cca-citation"/>
          <w:color w:val="000000"/>
          <w:lang w:val="en"/>
        </w:rPr>
        <w:t xml:space="preserve"> National Health and Medical Research Council, Canberra.</w:t>
      </w:r>
    </w:p>
  </w:footnote>
  <w:footnote w:id="84">
    <w:p w14:paraId="50D9CD5B" w14:textId="4467A9D5" w:rsidR="0072736E" w:rsidRDefault="0072736E">
      <w:pPr>
        <w:pStyle w:val="FootnoteText"/>
      </w:pPr>
      <w:r>
        <w:rPr>
          <w:rStyle w:val="FootnoteReference"/>
        </w:rPr>
        <w:footnoteRef/>
      </w:r>
      <w:r>
        <w:t xml:space="preserve"> Ibid.</w:t>
      </w:r>
    </w:p>
  </w:footnote>
  <w:footnote w:id="85">
    <w:p w14:paraId="60C314DA" w14:textId="2A1CA205" w:rsidR="0072736E" w:rsidRPr="00676EB9" w:rsidRDefault="0072736E">
      <w:pPr>
        <w:pStyle w:val="FootnoteText"/>
      </w:pPr>
      <w:r w:rsidRPr="00676EB9">
        <w:rPr>
          <w:rStyle w:val="FootnoteReference"/>
        </w:rPr>
        <w:footnoteRef/>
      </w:r>
      <w:r w:rsidRPr="00676EB9">
        <w:t xml:space="preserve"> </w:t>
      </w:r>
      <w:r>
        <w:t>Department of Education and Training 201</w:t>
      </w:r>
      <w:r w:rsidR="00D2582A">
        <w:t>8</w:t>
      </w:r>
      <w:r w:rsidR="00B65AB8">
        <w:t>,</w:t>
      </w:r>
      <w:r>
        <w:t xml:space="preserve"> </w:t>
      </w:r>
      <w:r w:rsidRPr="00773789">
        <w:rPr>
          <w:i/>
          <w:iCs/>
        </w:rPr>
        <w:t>Victorian Student Health and Wellbeing Survey</w:t>
      </w:r>
      <w:r w:rsidRPr="006078FE">
        <w:t xml:space="preserve">, </w:t>
      </w:r>
      <w:r>
        <w:t>State Government of Victoria, Melbourne.</w:t>
      </w:r>
    </w:p>
  </w:footnote>
  <w:footnote w:id="86">
    <w:p w14:paraId="3703E8F4" w14:textId="396016FD" w:rsidR="0072736E" w:rsidRDefault="0072736E" w:rsidP="0079105B">
      <w:pPr>
        <w:pStyle w:val="FootnoteText"/>
      </w:pPr>
      <w:r>
        <w:rPr>
          <w:rStyle w:val="FootnoteReference"/>
        </w:rPr>
        <w:footnoteRef/>
      </w:r>
      <w:r>
        <w:t xml:space="preserve"> </w:t>
      </w:r>
      <w:r w:rsidR="00773AC4">
        <w:t>OECD 2019</w:t>
      </w:r>
      <w:r w:rsidR="000320F5">
        <w:t>,</w:t>
      </w:r>
      <w:r w:rsidR="00773AC4">
        <w:t xml:space="preserve"> </w:t>
      </w:r>
      <w:r w:rsidR="00773AC4" w:rsidRPr="00773AC4">
        <w:rPr>
          <w:i/>
          <w:iCs/>
        </w:rPr>
        <w:t xml:space="preserve">Health at a </w:t>
      </w:r>
      <w:r w:rsidR="000320F5">
        <w:rPr>
          <w:i/>
          <w:iCs/>
        </w:rPr>
        <w:t>g</w:t>
      </w:r>
      <w:r w:rsidR="00773AC4" w:rsidRPr="00773AC4">
        <w:rPr>
          <w:i/>
          <w:iCs/>
        </w:rPr>
        <w:t>lance</w:t>
      </w:r>
      <w:r w:rsidR="00773AC4" w:rsidRPr="00D742D0">
        <w:t xml:space="preserve"> 201</w:t>
      </w:r>
      <w:r w:rsidR="00773AC4">
        <w:t>9</w:t>
      </w:r>
      <w:r w:rsidR="00773AC4" w:rsidRPr="00D742D0">
        <w:t xml:space="preserve">: OECD </w:t>
      </w:r>
      <w:r w:rsidR="00773AC4">
        <w:t>i</w:t>
      </w:r>
      <w:r w:rsidR="00773AC4" w:rsidRPr="00D742D0">
        <w:t>ndicators</w:t>
      </w:r>
      <w:r w:rsidR="00773AC4">
        <w:t>, OECD Publishing, Paris. Available from: https://doi.org/10.1787/4dd50c09-en.</w:t>
      </w:r>
      <w:r w:rsidR="00773AC4" w:rsidRPr="003F48C9" w:rsidDel="004D6614">
        <w:t xml:space="preserve"> </w:t>
      </w:r>
    </w:p>
  </w:footnote>
  <w:footnote w:id="87">
    <w:p w14:paraId="697CD24A" w14:textId="6AD184B7" w:rsidR="0072736E" w:rsidRDefault="0072736E" w:rsidP="00F462BD">
      <w:pPr>
        <w:pStyle w:val="FootnoteText"/>
        <w:spacing w:before="0" w:after="0" w:line="240" w:lineRule="auto"/>
      </w:pPr>
      <w:r>
        <w:rPr>
          <w:rStyle w:val="FootnoteReference"/>
        </w:rPr>
        <w:footnoteRef/>
      </w:r>
      <w:r>
        <w:t xml:space="preserve"> Cancer Council Australia </w:t>
      </w:r>
      <w:r w:rsidRPr="00676EB9">
        <w:t>2007</w:t>
      </w:r>
      <w:r w:rsidR="000320F5">
        <w:t>,</w:t>
      </w:r>
      <w:r w:rsidRPr="00676EB9">
        <w:t xml:space="preserve"> </w:t>
      </w:r>
      <w:r w:rsidRPr="00773789">
        <w:rPr>
          <w:i/>
          <w:iCs/>
        </w:rPr>
        <w:t>Position statement: Fruit, vegetables and cancer prevention</w:t>
      </w:r>
      <w:r w:rsidR="000320F5">
        <w:t>, Cancer Council, Sydney.</w:t>
      </w:r>
    </w:p>
  </w:footnote>
  <w:footnote w:id="88">
    <w:p w14:paraId="5A8176D9" w14:textId="787D9BD3" w:rsidR="0072736E" w:rsidRDefault="0072736E" w:rsidP="00F462BD">
      <w:pPr>
        <w:pStyle w:val="FootnoteText"/>
        <w:spacing w:before="0" w:after="0" w:line="240" w:lineRule="auto"/>
      </w:pPr>
      <w:r>
        <w:rPr>
          <w:rStyle w:val="FootnoteReference"/>
        </w:rPr>
        <w:footnoteRef/>
      </w:r>
      <w:r>
        <w:t xml:space="preserve"> Begg S, Vos T, Barker B, et al. 2007</w:t>
      </w:r>
      <w:r w:rsidR="000320F5">
        <w:t xml:space="preserve">, </w:t>
      </w:r>
      <w:r w:rsidRPr="00773789">
        <w:rPr>
          <w:i/>
        </w:rPr>
        <w:t>The burden of disease and injury in Australia 2003</w:t>
      </w:r>
      <w:r w:rsidR="000320F5">
        <w:rPr>
          <w:iCs/>
        </w:rPr>
        <w:t>,</w:t>
      </w:r>
      <w:r>
        <w:t xml:space="preserve"> PHE 82. AIHW, Canberra.</w:t>
      </w:r>
    </w:p>
  </w:footnote>
  <w:footnote w:id="89">
    <w:p w14:paraId="1A1820B9" w14:textId="7F158ADF" w:rsidR="0072736E" w:rsidRPr="00E56F18" w:rsidRDefault="0072736E" w:rsidP="00F462BD">
      <w:pPr>
        <w:pStyle w:val="FootnoteText"/>
        <w:spacing w:before="0" w:after="0" w:line="240" w:lineRule="auto"/>
      </w:pPr>
      <w:r w:rsidRPr="00E56F18">
        <w:rPr>
          <w:rStyle w:val="FootnoteReference"/>
        </w:rPr>
        <w:footnoteRef/>
      </w:r>
      <w:r w:rsidRPr="00E56F18">
        <w:t xml:space="preserve"> </w:t>
      </w:r>
      <w:r w:rsidRPr="00E56F18">
        <w:rPr>
          <w:lang w:val="en"/>
        </w:rPr>
        <w:t>OECD 2015</w:t>
      </w:r>
      <w:r w:rsidR="000320F5">
        <w:rPr>
          <w:lang w:val="en"/>
        </w:rPr>
        <w:t>,</w:t>
      </w:r>
      <w:r w:rsidRPr="00E56F18">
        <w:rPr>
          <w:lang w:val="en"/>
        </w:rPr>
        <w:t xml:space="preserve"> </w:t>
      </w:r>
      <w:r w:rsidRPr="00773789">
        <w:rPr>
          <w:i/>
          <w:iCs/>
          <w:lang w:val="en"/>
        </w:rPr>
        <w:t>Health at a glance 2015</w:t>
      </w:r>
      <w:r w:rsidRPr="00E56F18">
        <w:rPr>
          <w:lang w:val="en"/>
        </w:rPr>
        <w:t xml:space="preserve">: OECD indicators, OECD Publishing, Paris. </w:t>
      </w:r>
      <w:r w:rsidRPr="00E56F18">
        <w:t>Available from: http://dx.doi.org/10.1787/health_glance-2015-en</w:t>
      </w:r>
    </w:p>
  </w:footnote>
  <w:footnote w:id="90">
    <w:p w14:paraId="6B5654B5" w14:textId="6F245368" w:rsidR="0072736E" w:rsidRPr="000B57B0" w:rsidRDefault="0072736E" w:rsidP="0057168A">
      <w:pPr>
        <w:pStyle w:val="FootnoteText"/>
      </w:pPr>
      <w:r w:rsidRPr="00E56F18">
        <w:rPr>
          <w:rStyle w:val="FootnoteReference"/>
          <w:sz w:val="16"/>
        </w:rPr>
        <w:footnoteRef/>
      </w:r>
      <w:r>
        <w:t xml:space="preserve"> </w:t>
      </w:r>
      <w:r w:rsidRPr="000B57B0">
        <w:t>National Health and Medical Research Council 2013</w:t>
      </w:r>
      <w:r w:rsidR="00D34EFF">
        <w:t>,</w:t>
      </w:r>
      <w:r w:rsidRPr="000B57B0">
        <w:t xml:space="preserve"> </w:t>
      </w:r>
      <w:r w:rsidRPr="00773789">
        <w:rPr>
          <w:i/>
          <w:iCs/>
        </w:rPr>
        <w:t>Australian dietary guidelines</w:t>
      </w:r>
      <w:r w:rsidR="00D34EFF">
        <w:t>,</w:t>
      </w:r>
      <w:r w:rsidRPr="000B57B0">
        <w:t xml:space="preserve"> National Health and Medical</w:t>
      </w:r>
      <w:r>
        <w:t xml:space="preserve"> </w:t>
      </w:r>
      <w:r w:rsidRPr="000B57B0">
        <w:t>Research Council</w:t>
      </w:r>
      <w:r>
        <w:t>, Canberra</w:t>
      </w:r>
      <w:r w:rsidRPr="000B57B0">
        <w:t>.</w:t>
      </w:r>
    </w:p>
  </w:footnote>
  <w:footnote w:id="91">
    <w:p w14:paraId="2E9B7BB8" w14:textId="05CFE684" w:rsidR="0072736E" w:rsidRDefault="0072736E" w:rsidP="00F462BD">
      <w:pPr>
        <w:pStyle w:val="FootnoteText"/>
        <w:spacing w:before="0" w:after="0" w:line="240" w:lineRule="auto"/>
      </w:pPr>
      <w:r>
        <w:rPr>
          <w:rStyle w:val="FootnoteReference"/>
        </w:rPr>
        <w:footnoteRef/>
      </w:r>
      <w:r>
        <w:t xml:space="preserve"> </w:t>
      </w:r>
      <w:r w:rsidRPr="0043593C">
        <w:t>Australian Bureau of Statistics 2015</w:t>
      </w:r>
      <w:r w:rsidR="000320F5">
        <w:t>,</w:t>
      </w:r>
      <w:r w:rsidRPr="0043593C">
        <w:t xml:space="preserve"> </w:t>
      </w:r>
      <w:r w:rsidRPr="00773789">
        <w:rPr>
          <w:i/>
          <w:iCs/>
        </w:rPr>
        <w:t>4364.0.55.001 National Health Survey: First results 2014–15, Australia</w:t>
      </w:r>
      <w:r w:rsidRPr="00676EB9">
        <w:t>,</w:t>
      </w:r>
      <w:r w:rsidRPr="0043593C">
        <w:t xml:space="preserve"> Australian Government, Canberra</w:t>
      </w:r>
      <w:r>
        <w:t>.</w:t>
      </w:r>
    </w:p>
  </w:footnote>
  <w:footnote w:id="92">
    <w:p w14:paraId="1A5ACA79" w14:textId="715C09C0" w:rsidR="00447D13" w:rsidRDefault="00447D13">
      <w:pPr>
        <w:pStyle w:val="FootnoteText"/>
      </w:pPr>
      <w:r>
        <w:rPr>
          <w:rStyle w:val="FootnoteReference"/>
        </w:rPr>
        <w:footnoteRef/>
      </w:r>
      <w:r>
        <w:t xml:space="preserve"> </w:t>
      </w:r>
      <w:r w:rsidR="000320F5">
        <w:t>Ibid.</w:t>
      </w:r>
    </w:p>
  </w:footnote>
  <w:footnote w:id="93">
    <w:p w14:paraId="01542AC9" w14:textId="020334B1" w:rsidR="0072736E" w:rsidRPr="00096952" w:rsidRDefault="0072736E">
      <w:pPr>
        <w:pStyle w:val="FootnoteText"/>
        <w:rPr>
          <w:color w:val="000000" w:themeColor="text1"/>
        </w:rPr>
      </w:pPr>
      <w:r>
        <w:rPr>
          <w:rStyle w:val="FootnoteReference"/>
        </w:rPr>
        <w:footnoteRef/>
      </w:r>
      <w:r>
        <w:t xml:space="preserve"> </w:t>
      </w:r>
      <w:r w:rsidRPr="00096952">
        <w:rPr>
          <w:rStyle w:val="mixed-citation"/>
          <w:color w:val="000000" w:themeColor="text1"/>
          <w:lang w:val="en"/>
        </w:rPr>
        <w:t>Peto J</w:t>
      </w:r>
      <w:r>
        <w:rPr>
          <w:rStyle w:val="mixed-citation"/>
          <w:color w:val="000000" w:themeColor="text1"/>
          <w:lang w:val="en"/>
        </w:rPr>
        <w:t xml:space="preserve"> 2001</w:t>
      </w:r>
      <w:r w:rsidR="000320F5">
        <w:rPr>
          <w:rStyle w:val="mixed-citation"/>
          <w:color w:val="000000" w:themeColor="text1"/>
          <w:lang w:val="en"/>
        </w:rPr>
        <w:t>,</w:t>
      </w:r>
      <w:r w:rsidRPr="00096952">
        <w:rPr>
          <w:rStyle w:val="mixed-citation"/>
          <w:color w:val="000000" w:themeColor="text1"/>
          <w:lang w:val="en"/>
        </w:rPr>
        <w:t xml:space="preserve"> </w:t>
      </w:r>
      <w:r w:rsidR="000320F5">
        <w:rPr>
          <w:rStyle w:val="mixed-citation"/>
          <w:color w:val="000000" w:themeColor="text1"/>
          <w:lang w:val="en"/>
        </w:rPr>
        <w:t>‘</w:t>
      </w:r>
      <w:r w:rsidRPr="00096952">
        <w:rPr>
          <w:rStyle w:val="mixed-citation"/>
          <w:color w:val="000000" w:themeColor="text1"/>
          <w:lang w:val="en"/>
        </w:rPr>
        <w:t>Cancer epidemiology in the last century and the next decade</w:t>
      </w:r>
      <w:r w:rsidR="000320F5">
        <w:rPr>
          <w:rStyle w:val="mixed-citation"/>
          <w:color w:val="000000" w:themeColor="text1"/>
          <w:lang w:val="en"/>
        </w:rPr>
        <w:t>,</w:t>
      </w:r>
      <w:r w:rsidRPr="00096952">
        <w:rPr>
          <w:rStyle w:val="mixed-citation"/>
          <w:color w:val="000000" w:themeColor="text1"/>
          <w:lang w:val="en"/>
        </w:rPr>
        <w:t xml:space="preserve"> </w:t>
      </w:r>
      <w:r w:rsidRPr="00773789">
        <w:rPr>
          <w:rStyle w:val="ref-journal"/>
          <w:i/>
          <w:iCs/>
          <w:color w:val="000000" w:themeColor="text1"/>
          <w:lang w:val="en"/>
        </w:rPr>
        <w:t>Nature</w:t>
      </w:r>
      <w:r w:rsidR="000320F5">
        <w:rPr>
          <w:rStyle w:val="ref-journal"/>
          <w:color w:val="000000" w:themeColor="text1"/>
          <w:lang w:val="en"/>
        </w:rPr>
        <w:t>,</w:t>
      </w:r>
      <w:r w:rsidRPr="00096952">
        <w:rPr>
          <w:rStyle w:val="ref-journal"/>
          <w:color w:val="000000" w:themeColor="text1"/>
          <w:lang w:val="en"/>
        </w:rPr>
        <w:t xml:space="preserve"> </w:t>
      </w:r>
      <w:r w:rsidRPr="00096952">
        <w:rPr>
          <w:color w:val="000000" w:themeColor="text1"/>
          <w:lang w:val="en"/>
        </w:rPr>
        <w:t>13</w:t>
      </w:r>
      <w:r w:rsidRPr="00096952">
        <w:rPr>
          <w:rStyle w:val="mixed-citation"/>
          <w:color w:val="000000" w:themeColor="text1"/>
          <w:lang w:val="en"/>
        </w:rPr>
        <w:t>:390–395.</w:t>
      </w:r>
    </w:p>
  </w:footnote>
  <w:footnote w:id="94">
    <w:p w14:paraId="1B83C0C3" w14:textId="41462344" w:rsidR="0072736E" w:rsidRDefault="0072736E">
      <w:pPr>
        <w:pStyle w:val="FootnoteText"/>
      </w:pPr>
      <w:r w:rsidRPr="00096952">
        <w:rPr>
          <w:rStyle w:val="FootnoteReference"/>
          <w:color w:val="000000" w:themeColor="text1"/>
        </w:rPr>
        <w:footnoteRef/>
      </w:r>
      <w:r w:rsidRPr="00096952">
        <w:rPr>
          <w:color w:val="000000" w:themeColor="text1"/>
        </w:rPr>
        <w:t xml:space="preserve"> Takaoka Y, Kawakami N</w:t>
      </w:r>
      <w:r>
        <w:rPr>
          <w:color w:val="000000" w:themeColor="text1"/>
        </w:rPr>
        <w:t xml:space="preserve"> 2013</w:t>
      </w:r>
      <w:r w:rsidR="000320F5">
        <w:rPr>
          <w:color w:val="000000" w:themeColor="text1"/>
        </w:rPr>
        <w:t>,</w:t>
      </w:r>
      <w:r w:rsidRPr="00096952">
        <w:rPr>
          <w:color w:val="000000" w:themeColor="text1"/>
        </w:rPr>
        <w:t xml:space="preserve"> </w:t>
      </w:r>
      <w:r w:rsidR="000320F5">
        <w:rPr>
          <w:color w:val="000000" w:themeColor="text1"/>
        </w:rPr>
        <w:t>‘</w:t>
      </w:r>
      <w:r w:rsidRPr="00096952">
        <w:rPr>
          <w:color w:val="000000" w:themeColor="text1"/>
        </w:rPr>
        <w:t>Fruit and vegetable consumption in adolescence and health in early adulthood: a longitudinal analysis of the statistics Canada’s National Population Health Survey</w:t>
      </w:r>
      <w:r w:rsidR="000320F5">
        <w:rPr>
          <w:color w:val="000000" w:themeColor="text1"/>
        </w:rPr>
        <w:t>’,</w:t>
      </w:r>
      <w:r w:rsidRPr="00096952">
        <w:rPr>
          <w:color w:val="000000" w:themeColor="text1"/>
        </w:rPr>
        <w:t xml:space="preserve"> </w:t>
      </w:r>
      <w:r w:rsidRPr="00773789">
        <w:rPr>
          <w:i/>
          <w:iCs/>
          <w:color w:val="000000" w:themeColor="text1"/>
        </w:rPr>
        <w:t>BMC Public Health</w:t>
      </w:r>
      <w:r w:rsidR="000320F5">
        <w:rPr>
          <w:color w:val="000000" w:themeColor="text1"/>
        </w:rPr>
        <w:t>,</w:t>
      </w:r>
      <w:r w:rsidRPr="00096952">
        <w:rPr>
          <w:color w:val="000000" w:themeColor="text1"/>
        </w:rPr>
        <w:t xml:space="preserve"> 13(1):1206.</w:t>
      </w:r>
    </w:p>
  </w:footnote>
  <w:footnote w:id="95">
    <w:p w14:paraId="37707C8F" w14:textId="3262799C" w:rsidR="0072736E" w:rsidRPr="000B57B0" w:rsidRDefault="0072736E" w:rsidP="0057168A">
      <w:pPr>
        <w:pStyle w:val="FootnoteText"/>
      </w:pPr>
      <w:r>
        <w:rPr>
          <w:rStyle w:val="FootnoteReference"/>
        </w:rPr>
        <w:footnoteRef/>
      </w:r>
      <w:r>
        <w:t xml:space="preserve"> </w:t>
      </w:r>
      <w:r w:rsidRPr="000B57B0">
        <w:t>National Health and Medical Research Council 2013</w:t>
      </w:r>
      <w:r w:rsidR="000320F5">
        <w:t>,</w:t>
      </w:r>
      <w:r w:rsidRPr="000B57B0">
        <w:t xml:space="preserve"> </w:t>
      </w:r>
      <w:r w:rsidRPr="00773789">
        <w:rPr>
          <w:i/>
          <w:iCs/>
        </w:rPr>
        <w:t>Australian dietary guidelines</w:t>
      </w:r>
      <w:r w:rsidR="000320F5">
        <w:t>,</w:t>
      </w:r>
      <w:r w:rsidRPr="000B57B0">
        <w:t xml:space="preserve"> National Health and Medical</w:t>
      </w:r>
      <w:r>
        <w:t xml:space="preserve"> </w:t>
      </w:r>
      <w:r w:rsidRPr="000B57B0">
        <w:t>Research Council</w:t>
      </w:r>
      <w:r>
        <w:t>, Canberra</w:t>
      </w:r>
      <w:r w:rsidRPr="000B57B0">
        <w:t>.</w:t>
      </w:r>
    </w:p>
  </w:footnote>
  <w:footnote w:id="96">
    <w:p w14:paraId="2C0CB8DA" w14:textId="1B34CAA8" w:rsidR="0072736E" w:rsidRDefault="0072736E" w:rsidP="0079105B">
      <w:pPr>
        <w:pStyle w:val="FootnoteText"/>
      </w:pPr>
      <w:r>
        <w:rPr>
          <w:rStyle w:val="FootnoteReference"/>
        </w:rPr>
        <w:footnoteRef/>
      </w:r>
      <w:r>
        <w:t xml:space="preserve"> OECD 201</w:t>
      </w:r>
      <w:r w:rsidR="00773AC4">
        <w:t>9</w:t>
      </w:r>
      <w:r w:rsidR="00657255">
        <w:t>,</w:t>
      </w:r>
      <w:r>
        <w:t xml:space="preserve"> </w:t>
      </w:r>
      <w:r w:rsidRPr="00773AC4">
        <w:rPr>
          <w:i/>
          <w:iCs/>
        </w:rPr>
        <w:t xml:space="preserve">Health at a </w:t>
      </w:r>
      <w:r w:rsidR="00657255">
        <w:rPr>
          <w:i/>
          <w:iCs/>
        </w:rPr>
        <w:t>g</w:t>
      </w:r>
      <w:r w:rsidRPr="00773AC4">
        <w:rPr>
          <w:i/>
          <w:iCs/>
        </w:rPr>
        <w:t>lance</w:t>
      </w:r>
      <w:r w:rsidRPr="00D742D0">
        <w:t xml:space="preserve"> 201</w:t>
      </w:r>
      <w:r w:rsidR="00F904DE">
        <w:t>9</w:t>
      </w:r>
      <w:r w:rsidRPr="00D742D0">
        <w:t xml:space="preserve">: OECD </w:t>
      </w:r>
      <w:r>
        <w:t>i</w:t>
      </w:r>
      <w:r w:rsidRPr="00D742D0">
        <w:t>ndicators</w:t>
      </w:r>
      <w:r>
        <w:t xml:space="preserve">, OECD Publishing, Paris. Available from: </w:t>
      </w:r>
      <w:r w:rsidR="004D6614">
        <w:t>https://doi.org/10.1787/4dd50c09-en.</w:t>
      </w:r>
      <w:r w:rsidR="004D6614" w:rsidRPr="003F48C9" w:rsidDel="004D6614">
        <w:t xml:space="preserve"> </w:t>
      </w:r>
    </w:p>
  </w:footnote>
  <w:footnote w:id="97">
    <w:p w14:paraId="4C2931C5" w14:textId="26495DC6" w:rsidR="0072736E" w:rsidRPr="000D5156" w:rsidRDefault="0072736E" w:rsidP="00773789">
      <w:pPr>
        <w:pStyle w:val="FootnoteText"/>
      </w:pPr>
      <w:r w:rsidRPr="000D5156">
        <w:rPr>
          <w:rStyle w:val="FootnoteReference"/>
          <w:sz w:val="16"/>
        </w:rPr>
        <w:footnoteRef/>
      </w:r>
      <w:r w:rsidRPr="000D5156">
        <w:t xml:space="preserve"> National Health and Medical Research Council 2013</w:t>
      </w:r>
      <w:r w:rsidR="00657255">
        <w:t>,</w:t>
      </w:r>
      <w:r w:rsidRPr="000D5156">
        <w:t xml:space="preserve"> </w:t>
      </w:r>
      <w:r w:rsidRPr="00773789">
        <w:rPr>
          <w:i/>
          <w:iCs/>
        </w:rPr>
        <w:t>Australian dietary guidelines</w:t>
      </w:r>
      <w:r w:rsidR="00657255">
        <w:t>,</w:t>
      </w:r>
      <w:r w:rsidRPr="000D5156">
        <w:t xml:space="preserve"> National Health and Medical Research Council</w:t>
      </w:r>
      <w:r>
        <w:t>, Canberra</w:t>
      </w:r>
      <w:r w:rsidRPr="000D5156">
        <w:t>.</w:t>
      </w:r>
    </w:p>
  </w:footnote>
  <w:footnote w:id="98">
    <w:p w14:paraId="3B0E2303" w14:textId="679F482C" w:rsidR="0072736E" w:rsidRPr="000D5156" w:rsidRDefault="0072736E" w:rsidP="003F1032">
      <w:pPr>
        <w:pStyle w:val="FootnoteText"/>
        <w:spacing w:before="0" w:after="0" w:line="240" w:lineRule="auto"/>
      </w:pPr>
      <w:r w:rsidRPr="000D5156">
        <w:rPr>
          <w:rStyle w:val="FootnoteReference"/>
        </w:rPr>
        <w:footnoteRef/>
      </w:r>
      <w:r w:rsidRPr="000D5156">
        <w:t xml:space="preserve"> </w:t>
      </w:r>
      <w:r w:rsidR="001268BD">
        <w:t>OECD 2019</w:t>
      </w:r>
      <w:r w:rsidR="00657255">
        <w:t>,</w:t>
      </w:r>
      <w:r w:rsidR="001268BD">
        <w:t xml:space="preserve"> </w:t>
      </w:r>
      <w:r w:rsidR="001268BD" w:rsidRPr="00773AC4">
        <w:rPr>
          <w:i/>
          <w:iCs/>
        </w:rPr>
        <w:t xml:space="preserve">Health at a </w:t>
      </w:r>
      <w:r w:rsidR="00657255">
        <w:rPr>
          <w:i/>
          <w:iCs/>
        </w:rPr>
        <w:t>g</w:t>
      </w:r>
      <w:r w:rsidR="001268BD" w:rsidRPr="00773AC4">
        <w:rPr>
          <w:i/>
          <w:iCs/>
        </w:rPr>
        <w:t>lance</w:t>
      </w:r>
      <w:r w:rsidR="001268BD" w:rsidRPr="00D742D0">
        <w:t xml:space="preserve"> 201</w:t>
      </w:r>
      <w:r w:rsidR="001268BD">
        <w:t>9</w:t>
      </w:r>
      <w:r w:rsidR="001268BD" w:rsidRPr="00D742D0">
        <w:t xml:space="preserve">: OECD </w:t>
      </w:r>
      <w:r w:rsidR="001268BD">
        <w:t>i</w:t>
      </w:r>
      <w:r w:rsidR="001268BD" w:rsidRPr="00D742D0">
        <w:t>ndicators</w:t>
      </w:r>
      <w:r w:rsidR="001268BD">
        <w:t>, OECD Publishing, Paris. Available from: https://doi.org/10.1787/4dd50c09-en.</w:t>
      </w:r>
    </w:p>
  </w:footnote>
  <w:footnote w:id="99">
    <w:p w14:paraId="73760D3C" w14:textId="5D8E80CE" w:rsidR="0072736E" w:rsidRDefault="0072736E" w:rsidP="00471ED9">
      <w:pPr>
        <w:pStyle w:val="FootnoteText"/>
      </w:pPr>
      <w:r w:rsidRPr="00AF78EE">
        <w:rPr>
          <w:rStyle w:val="FootnoteReference"/>
          <w:sz w:val="16"/>
        </w:rPr>
        <w:footnoteRef/>
      </w:r>
      <w:r w:rsidRPr="00676EB9">
        <w:t xml:space="preserve"> Australian</w:t>
      </w:r>
      <w:r w:rsidRPr="000D5156">
        <w:t xml:space="preserve"> Bureau of Statistics 2015</w:t>
      </w:r>
      <w:r w:rsidR="00657255">
        <w:t>,</w:t>
      </w:r>
      <w:r w:rsidRPr="000D5156">
        <w:t xml:space="preserve"> </w:t>
      </w:r>
      <w:r w:rsidRPr="00471ED9">
        <w:rPr>
          <w:i/>
          <w:iCs/>
        </w:rPr>
        <w:t xml:space="preserve">4364.0.55.001 National Health Survey: </w:t>
      </w:r>
      <w:r w:rsidR="00657255">
        <w:rPr>
          <w:i/>
          <w:iCs/>
        </w:rPr>
        <w:t>f</w:t>
      </w:r>
      <w:r w:rsidRPr="00471ED9">
        <w:rPr>
          <w:i/>
          <w:iCs/>
        </w:rPr>
        <w:t>irst results 2014–15, Australia</w:t>
      </w:r>
      <w:r w:rsidRPr="00676EB9">
        <w:t>,</w:t>
      </w:r>
      <w:r w:rsidRPr="000D5156">
        <w:t xml:space="preserve"> Australian Government, Canberra.</w:t>
      </w:r>
    </w:p>
  </w:footnote>
  <w:footnote w:id="100">
    <w:p w14:paraId="2CD3A4F7" w14:textId="20ACB72B" w:rsidR="00436A0E" w:rsidRDefault="00436A0E">
      <w:pPr>
        <w:pStyle w:val="FootnoteText"/>
      </w:pPr>
      <w:r w:rsidRPr="00AF78EE">
        <w:rPr>
          <w:rStyle w:val="FootnoteReference"/>
        </w:rPr>
        <w:footnoteRef/>
      </w:r>
      <w:r w:rsidR="00657255">
        <w:t xml:space="preserve"> </w:t>
      </w:r>
      <w:r w:rsidRPr="00676EB9">
        <w:t>Australian</w:t>
      </w:r>
      <w:r w:rsidRPr="000D5156">
        <w:t xml:space="preserve"> Bureau of Statistics 201</w:t>
      </w:r>
      <w:r>
        <w:t>8</w:t>
      </w:r>
      <w:r w:rsidR="00657255">
        <w:t>,</w:t>
      </w:r>
      <w:r w:rsidRPr="000D5156">
        <w:t xml:space="preserve"> </w:t>
      </w:r>
      <w:r w:rsidRPr="00471ED9">
        <w:rPr>
          <w:i/>
          <w:iCs/>
        </w:rPr>
        <w:t xml:space="preserve">4364.0.55.001 National Health Survey: </w:t>
      </w:r>
      <w:r w:rsidR="00657255" w:rsidRPr="00471ED9">
        <w:rPr>
          <w:i/>
          <w:iCs/>
        </w:rPr>
        <w:t>f</w:t>
      </w:r>
      <w:r w:rsidRPr="00471ED9">
        <w:rPr>
          <w:i/>
          <w:iCs/>
        </w:rPr>
        <w:t>irst results 2017–18, Australia</w:t>
      </w:r>
      <w:r w:rsidRPr="00676EB9">
        <w:t>,</w:t>
      </w:r>
      <w:r w:rsidRPr="000D5156">
        <w:t xml:space="preserve"> Australian Government, Canberra.</w:t>
      </w:r>
      <w:r>
        <w:t xml:space="preserve"> </w:t>
      </w:r>
      <w:r w:rsidR="008505F2">
        <w:t>Available</w:t>
      </w:r>
      <w:r w:rsidR="008505F2" w:rsidDel="008505F2">
        <w:t xml:space="preserve"> </w:t>
      </w:r>
      <w:r>
        <w:t>from</w:t>
      </w:r>
      <w:r w:rsidR="00092CC4">
        <w:t>:</w:t>
      </w:r>
      <w:r>
        <w:t xml:space="preserve"> </w:t>
      </w:r>
      <w:r w:rsidRPr="00436A0E">
        <w:t>https://www.abs.gov.au/statistics/health/health-conditions-and-risks/national-health-survey-first-results/latest-release#:~:text=Fruit%20and%20vegetable%20consumption%20In%202017</w:t>
      </w:r>
      <w:r>
        <w:t>-</w:t>
      </w:r>
      <w:r w:rsidRPr="00436A0E">
        <w:t>18%2C%20just%20over,on%20age%2C%20and%205%20or%20more%20for%20women%29.</w:t>
      </w:r>
    </w:p>
  </w:footnote>
  <w:footnote w:id="101">
    <w:p w14:paraId="4F96701E" w14:textId="793425BB" w:rsidR="0072736E" w:rsidRDefault="0072736E" w:rsidP="00E975C3">
      <w:pPr>
        <w:pStyle w:val="FootnoteText"/>
      </w:pPr>
      <w:r>
        <w:rPr>
          <w:rStyle w:val="FootnoteReference"/>
        </w:rPr>
        <w:footnoteRef/>
      </w:r>
      <w:r>
        <w:t xml:space="preserve"> </w:t>
      </w:r>
      <w:r>
        <w:rPr>
          <w:color w:val="222222"/>
        </w:rPr>
        <w:t>Takaoka Y, Kawakami N 2013</w:t>
      </w:r>
      <w:r w:rsidR="00657255">
        <w:rPr>
          <w:color w:val="222222"/>
        </w:rPr>
        <w:t>,</w:t>
      </w:r>
      <w:r>
        <w:rPr>
          <w:color w:val="222222"/>
        </w:rPr>
        <w:t xml:space="preserve"> </w:t>
      </w:r>
      <w:r w:rsidR="00657255">
        <w:rPr>
          <w:color w:val="222222"/>
        </w:rPr>
        <w:t>‘</w:t>
      </w:r>
      <w:r>
        <w:rPr>
          <w:color w:val="222222"/>
        </w:rPr>
        <w:t>Fruit and vegetable consumption in adolescence and health in early adulthood: a longitudinal analysis of the statistics Canada’s National Population Health Survey</w:t>
      </w:r>
      <w:r w:rsidR="00657255">
        <w:rPr>
          <w:color w:val="222222"/>
        </w:rPr>
        <w:t>’,</w:t>
      </w:r>
      <w:r>
        <w:rPr>
          <w:color w:val="222222"/>
        </w:rPr>
        <w:t xml:space="preserve"> </w:t>
      </w:r>
      <w:r w:rsidRPr="00894EC9">
        <w:rPr>
          <w:i/>
          <w:iCs/>
          <w:color w:val="222222"/>
        </w:rPr>
        <w:t>BMC Public Health</w:t>
      </w:r>
      <w:r w:rsidR="00657255">
        <w:rPr>
          <w:color w:val="222222"/>
        </w:rPr>
        <w:t>,</w:t>
      </w:r>
      <w:r>
        <w:rPr>
          <w:color w:val="222222"/>
        </w:rPr>
        <w:t xml:space="preserve"> 13(1):1206.</w:t>
      </w:r>
    </w:p>
  </w:footnote>
  <w:footnote w:id="102">
    <w:p w14:paraId="6656BF15" w14:textId="33C666D5" w:rsidR="0072736E" w:rsidRPr="000B57B0" w:rsidRDefault="0072736E" w:rsidP="00894EC9">
      <w:pPr>
        <w:pStyle w:val="FootnoteText"/>
      </w:pPr>
      <w:r w:rsidRPr="00894EC9">
        <w:rPr>
          <w:rStyle w:val="FootnoteReference"/>
          <w:sz w:val="16"/>
        </w:rPr>
        <w:footnoteRef/>
      </w:r>
      <w:r w:rsidRPr="009016A3">
        <w:t xml:space="preserve"> </w:t>
      </w:r>
      <w:r w:rsidRPr="000B57B0">
        <w:t>National Health and Medical Research Council 2013</w:t>
      </w:r>
      <w:r w:rsidR="00657255">
        <w:t>,</w:t>
      </w:r>
      <w:r w:rsidRPr="000B57B0">
        <w:t xml:space="preserve"> </w:t>
      </w:r>
      <w:r w:rsidRPr="00894EC9">
        <w:rPr>
          <w:i/>
          <w:iCs/>
        </w:rPr>
        <w:t>Australian dietary guidelines</w:t>
      </w:r>
      <w:r w:rsidR="00657255">
        <w:t>,</w:t>
      </w:r>
      <w:r w:rsidRPr="000B57B0">
        <w:t xml:space="preserve"> National Health and Medical</w:t>
      </w:r>
      <w:r>
        <w:t xml:space="preserve"> </w:t>
      </w:r>
      <w:r w:rsidRPr="000B57B0">
        <w:t>Research Council</w:t>
      </w:r>
      <w:r>
        <w:t>, Canberra</w:t>
      </w:r>
      <w:r w:rsidRPr="000B57B0">
        <w:t>.</w:t>
      </w:r>
    </w:p>
  </w:footnote>
  <w:footnote w:id="103">
    <w:p w14:paraId="79B7A727" w14:textId="325CC2A0" w:rsidR="0072736E" w:rsidRDefault="0072736E" w:rsidP="00166E64">
      <w:pPr>
        <w:pStyle w:val="FootnoteText"/>
      </w:pPr>
      <w:r>
        <w:rPr>
          <w:rStyle w:val="FootnoteReference"/>
        </w:rPr>
        <w:footnoteRef/>
      </w:r>
      <w:r>
        <w:t xml:space="preserve"> Department of Health 2014</w:t>
      </w:r>
      <w:r w:rsidR="00CE413B">
        <w:t>,</w:t>
      </w:r>
      <w:r>
        <w:t xml:space="preserve"> </w:t>
      </w:r>
      <w:r w:rsidRPr="00894EC9">
        <w:rPr>
          <w:i/>
          <w:iCs/>
        </w:rPr>
        <w:t>Australia’s physical activity and sedentary behaviour guidelines,</w:t>
      </w:r>
      <w:r>
        <w:t xml:space="preserve"> </w:t>
      </w:r>
      <w:r w:rsidR="00CE413B">
        <w:t>Australian Government</w:t>
      </w:r>
      <w:r>
        <w:t>, Canberra</w:t>
      </w:r>
      <w:r w:rsidR="00CE413B">
        <w:t>. Available from:</w:t>
      </w:r>
      <w:r>
        <w:t xml:space="preserve"> http://www.health.gov.au/internet/main/publishing.nsf/Content/healthpubhlth-strateg-phys-act-guidelines.</w:t>
      </w:r>
      <w:r w:rsidRPr="002523CC">
        <w:t xml:space="preserve"> </w:t>
      </w:r>
    </w:p>
  </w:footnote>
  <w:footnote w:id="104">
    <w:p w14:paraId="15947164" w14:textId="119B9466" w:rsidR="0072736E" w:rsidRPr="000751FE" w:rsidRDefault="0072736E" w:rsidP="000751FE">
      <w:pPr>
        <w:pStyle w:val="FootnoteText"/>
      </w:pPr>
      <w:r w:rsidRPr="000751FE">
        <w:rPr>
          <w:vertAlign w:val="superscript"/>
        </w:rPr>
        <w:footnoteRef/>
      </w:r>
      <w:r w:rsidRPr="000751FE">
        <w:rPr>
          <w:vertAlign w:val="superscript"/>
        </w:rPr>
        <w:t xml:space="preserve"> </w:t>
      </w:r>
      <w:r w:rsidRPr="000751FE">
        <w:rPr>
          <w:rStyle w:val="FootnoteTextChar"/>
        </w:rPr>
        <w:t>Llewellyn A, Simmonds M, Owen CG</w:t>
      </w:r>
      <w:r w:rsidR="00CE413B">
        <w:rPr>
          <w:rStyle w:val="FootnoteTextChar"/>
        </w:rPr>
        <w:t>,</w:t>
      </w:r>
      <w:r w:rsidRPr="000751FE">
        <w:rPr>
          <w:rStyle w:val="FootnoteTextChar"/>
        </w:rPr>
        <w:t xml:space="preserve"> et al. 2016</w:t>
      </w:r>
      <w:r w:rsidR="00CE413B">
        <w:rPr>
          <w:rStyle w:val="FootnoteTextChar"/>
        </w:rPr>
        <w:t>,</w:t>
      </w:r>
      <w:r w:rsidRPr="000751FE">
        <w:rPr>
          <w:rStyle w:val="FootnoteTextChar"/>
        </w:rPr>
        <w:t xml:space="preserve"> </w:t>
      </w:r>
      <w:r w:rsidR="00CE413B">
        <w:rPr>
          <w:rStyle w:val="FootnoteTextChar"/>
        </w:rPr>
        <w:t>‘</w:t>
      </w:r>
      <w:r w:rsidRPr="000751FE">
        <w:rPr>
          <w:rStyle w:val="FootnoteTextChar"/>
        </w:rPr>
        <w:t>Childhood obesity as a predictor of morbidity in adulthood: a systematic review and meta-analysis</w:t>
      </w:r>
      <w:r w:rsidR="00CE413B">
        <w:rPr>
          <w:rStyle w:val="FootnoteTextChar"/>
        </w:rPr>
        <w:t>’,</w:t>
      </w:r>
      <w:r w:rsidRPr="000751FE">
        <w:rPr>
          <w:rStyle w:val="FootnoteTextChar"/>
        </w:rPr>
        <w:t xml:space="preserve"> </w:t>
      </w:r>
      <w:r w:rsidRPr="00894EC9">
        <w:rPr>
          <w:rStyle w:val="FootnoteTextChar"/>
          <w:i/>
          <w:iCs/>
        </w:rPr>
        <w:t>Obesity Reviews</w:t>
      </w:r>
      <w:r w:rsidR="00CE413B">
        <w:rPr>
          <w:rStyle w:val="FootnoteTextChar"/>
        </w:rPr>
        <w:t>,</w:t>
      </w:r>
      <w:r w:rsidRPr="000751FE">
        <w:rPr>
          <w:rStyle w:val="FootnoteTextChar"/>
        </w:rPr>
        <w:t>17:56–</w:t>
      </w:r>
      <w:r w:rsidRPr="000751FE">
        <w:t>67.</w:t>
      </w:r>
    </w:p>
  </w:footnote>
  <w:footnote w:id="105">
    <w:p w14:paraId="7ACEC44B" w14:textId="3838A668" w:rsidR="0072736E" w:rsidRPr="003712B3" w:rsidRDefault="0072736E" w:rsidP="00C43F3B">
      <w:pPr>
        <w:pStyle w:val="FootnoteText"/>
      </w:pPr>
      <w:r w:rsidRPr="003712B3">
        <w:rPr>
          <w:rStyle w:val="FootnoteReference"/>
        </w:rPr>
        <w:footnoteRef/>
      </w:r>
      <w:r w:rsidRPr="003712B3">
        <w:t xml:space="preserve"> Department of Education and Training 2015</w:t>
      </w:r>
      <w:r w:rsidR="00CE413B">
        <w:t>,</w:t>
      </w:r>
      <w:r>
        <w:t xml:space="preserve"> </w:t>
      </w:r>
      <w:r w:rsidRPr="000144FD">
        <w:rPr>
          <w:i/>
          <w:iCs/>
        </w:rPr>
        <w:t>Victorian Students Health and Wellbeing Survey 2014</w:t>
      </w:r>
      <w:r w:rsidR="008D6DC3">
        <w:t>.</w:t>
      </w:r>
      <w:r>
        <w:t xml:space="preserve"> Available from:</w:t>
      </w:r>
      <w:r w:rsidRPr="003712B3">
        <w:t xml:space="preserve"> https://www.education.vic.gov.au/about/research/Pages/studenthealthsurvey.aspx</w:t>
      </w:r>
      <w:r w:rsidR="008D6DC3">
        <w:t>.</w:t>
      </w:r>
    </w:p>
  </w:footnote>
  <w:footnote w:id="106">
    <w:p w14:paraId="694D6F93" w14:textId="4912A80A" w:rsidR="0072736E" w:rsidRPr="003712B3" w:rsidRDefault="0072736E" w:rsidP="000144FD">
      <w:pPr>
        <w:pStyle w:val="FootnoteText"/>
      </w:pPr>
      <w:r w:rsidRPr="003712B3">
        <w:rPr>
          <w:rStyle w:val="FootnoteReference"/>
          <w:sz w:val="16"/>
        </w:rPr>
        <w:footnoteRef/>
      </w:r>
      <w:r w:rsidRPr="003712B3">
        <w:t xml:space="preserve"> Department of Education and Training 2017</w:t>
      </w:r>
      <w:r w:rsidR="00CE413B">
        <w:t>,</w:t>
      </w:r>
      <w:r w:rsidRPr="003712B3">
        <w:t xml:space="preserve"> </w:t>
      </w:r>
      <w:r w:rsidRPr="000144FD">
        <w:rPr>
          <w:i/>
          <w:iCs/>
        </w:rPr>
        <w:t>Victorian Students Health and Wellbeing Survey (2016)</w:t>
      </w:r>
      <w:r w:rsidR="008D6DC3">
        <w:t>.</w:t>
      </w:r>
      <w:r w:rsidR="00CE413B" w:rsidRPr="008D6DC3">
        <w:t xml:space="preserve"> Available from:</w:t>
      </w:r>
      <w:r w:rsidR="00CE413B" w:rsidRPr="003712B3">
        <w:t xml:space="preserve"> </w:t>
      </w:r>
      <w:r w:rsidRPr="003712B3">
        <w:t>https://www.education.vic.gov.au/about/research/Pages/studenthealthsurvey.aspx</w:t>
      </w:r>
      <w:r w:rsidR="008D6DC3">
        <w:t>.</w:t>
      </w:r>
    </w:p>
  </w:footnote>
  <w:footnote w:id="107">
    <w:p w14:paraId="5ABE3DD5" w14:textId="673EA1E0" w:rsidR="0072736E" w:rsidRPr="003712B3" w:rsidRDefault="0072736E">
      <w:pPr>
        <w:pStyle w:val="FootnoteText"/>
      </w:pPr>
      <w:r w:rsidRPr="003712B3">
        <w:rPr>
          <w:rStyle w:val="FootnoteReference"/>
        </w:rPr>
        <w:footnoteRef/>
      </w:r>
      <w:r w:rsidRPr="003712B3">
        <w:t xml:space="preserve"> Australia’s physical activity and sedentary behaviour guidelines changed in 2014.</w:t>
      </w:r>
    </w:p>
  </w:footnote>
  <w:footnote w:id="108">
    <w:p w14:paraId="33553C2F" w14:textId="692DC414" w:rsidR="00CD1209" w:rsidRDefault="00CD1209">
      <w:pPr>
        <w:pStyle w:val="FootnoteText"/>
      </w:pPr>
      <w:r>
        <w:rPr>
          <w:rStyle w:val="FootnoteReference"/>
        </w:rPr>
        <w:footnoteRef/>
      </w:r>
      <w:r>
        <w:t xml:space="preserve"> </w:t>
      </w:r>
      <w:r w:rsidRPr="00CD1209">
        <w:t>https://www.mamamag.com.au/2022/11/22/research-reveals-fewer-aussie-teens-are-walking-or-cycling-to-school/</w:t>
      </w:r>
    </w:p>
  </w:footnote>
  <w:footnote w:id="109">
    <w:p w14:paraId="4F56EFA4" w14:textId="69B26E5C" w:rsidR="0072736E" w:rsidRDefault="0072736E" w:rsidP="004272A6">
      <w:pPr>
        <w:pStyle w:val="FootnoteText"/>
      </w:pPr>
      <w:r>
        <w:rPr>
          <w:rStyle w:val="FootnoteReference"/>
        </w:rPr>
        <w:footnoteRef/>
      </w:r>
      <w:r w:rsidR="00632BFA" w:rsidRPr="00632BFA">
        <w:t xml:space="preserve"> OECD 2021</w:t>
      </w:r>
      <w:r w:rsidR="00386582">
        <w:t>,</w:t>
      </w:r>
      <w:r w:rsidR="00632BFA" w:rsidRPr="00632BFA">
        <w:t xml:space="preserve"> Overweight or obese indicator 2017 (or nearest year)</w:t>
      </w:r>
      <w:r w:rsidR="00386582">
        <w:t>.</w:t>
      </w:r>
      <w:r w:rsidR="00632BFA" w:rsidRPr="00632BFA">
        <w:t xml:space="preserve"> </w:t>
      </w:r>
      <w:r w:rsidR="00386582">
        <w:t>I</w:t>
      </w:r>
      <w:r w:rsidR="00632BFA" w:rsidRPr="00632BFA">
        <w:t>n</w:t>
      </w:r>
      <w:r w:rsidR="00386582">
        <w:t>:</w:t>
      </w:r>
      <w:r w:rsidR="00632BFA" w:rsidRPr="00632BFA">
        <w:t xml:space="preserve"> </w:t>
      </w:r>
      <w:r w:rsidR="00632BFA" w:rsidRPr="007A6A4F">
        <w:rPr>
          <w:i/>
          <w:iCs/>
        </w:rPr>
        <w:t xml:space="preserve">Health at a </w:t>
      </w:r>
      <w:r w:rsidR="00386582" w:rsidRPr="007A6A4F">
        <w:rPr>
          <w:i/>
          <w:iCs/>
        </w:rPr>
        <w:t>g</w:t>
      </w:r>
      <w:r w:rsidR="00632BFA" w:rsidRPr="007A6A4F">
        <w:rPr>
          <w:i/>
          <w:iCs/>
        </w:rPr>
        <w:t>lance 2021</w:t>
      </w:r>
      <w:r w:rsidR="00632BFA" w:rsidRPr="00632BFA">
        <w:t>: OECD Publishing, Paris</w:t>
      </w:r>
      <w:r w:rsidR="00386582">
        <w:t>.</w:t>
      </w:r>
    </w:p>
  </w:footnote>
  <w:footnote w:id="110">
    <w:p w14:paraId="4F2D69AF" w14:textId="0461DAF3" w:rsidR="0072736E" w:rsidRPr="008448C0" w:rsidRDefault="0072736E" w:rsidP="007A6A4F">
      <w:pPr>
        <w:pStyle w:val="FootnoteText"/>
        <w:rPr>
          <w:lang w:val="en"/>
        </w:rPr>
      </w:pPr>
      <w:r w:rsidRPr="008240CE">
        <w:rPr>
          <w:rStyle w:val="FootnoteReference"/>
          <w:sz w:val="16"/>
        </w:rPr>
        <w:footnoteRef/>
      </w:r>
      <w:r w:rsidRPr="008240CE">
        <w:t xml:space="preserve"> </w:t>
      </w:r>
      <w:r w:rsidRPr="008448C0">
        <w:rPr>
          <w:lang w:val="en"/>
        </w:rPr>
        <w:t>Obese is defined as BMI ≥</w:t>
      </w:r>
      <w:r>
        <w:rPr>
          <w:lang w:val="en"/>
        </w:rPr>
        <w:t xml:space="preserve"> </w:t>
      </w:r>
      <w:r w:rsidRPr="008448C0">
        <w:rPr>
          <w:lang w:val="en"/>
        </w:rPr>
        <w:t>30</w:t>
      </w:r>
      <w:r w:rsidR="00324E8B">
        <w:rPr>
          <w:lang w:val="en"/>
        </w:rPr>
        <w:t xml:space="preserve"> </w:t>
      </w:r>
      <w:r w:rsidRPr="008448C0">
        <w:rPr>
          <w:lang w:val="en"/>
        </w:rPr>
        <w:t>kg/m</w:t>
      </w:r>
      <w:r w:rsidRPr="008448C0">
        <w:rPr>
          <w:vertAlign w:val="superscript"/>
          <w:lang w:val="en"/>
        </w:rPr>
        <w:t>2</w:t>
      </w:r>
      <w:r w:rsidRPr="008448C0">
        <w:rPr>
          <w:lang w:val="en"/>
        </w:rPr>
        <w:t>.</w:t>
      </w:r>
    </w:p>
  </w:footnote>
  <w:footnote w:id="111">
    <w:p w14:paraId="5B1D5476" w14:textId="28148AFE" w:rsidR="0072736E" w:rsidRDefault="0072736E" w:rsidP="00594D89">
      <w:pPr>
        <w:pStyle w:val="FootnoteText"/>
      </w:pPr>
      <w:r>
        <w:rPr>
          <w:rStyle w:val="FootnoteReference"/>
        </w:rPr>
        <w:footnoteRef/>
      </w:r>
      <w:r>
        <w:t xml:space="preserve"> </w:t>
      </w:r>
      <w:r>
        <w:rPr>
          <w:color w:val="222222"/>
        </w:rPr>
        <w:t>Arriaga ME, Vajdic CM, Canfell K, et al. 2017</w:t>
      </w:r>
      <w:r w:rsidR="00386582">
        <w:rPr>
          <w:color w:val="222222"/>
        </w:rPr>
        <w:t>,</w:t>
      </w:r>
      <w:r>
        <w:rPr>
          <w:color w:val="222222"/>
        </w:rPr>
        <w:t xml:space="preserve"> </w:t>
      </w:r>
      <w:r w:rsidR="00386582">
        <w:rPr>
          <w:color w:val="222222"/>
        </w:rPr>
        <w:t>‘</w:t>
      </w:r>
      <w:r>
        <w:rPr>
          <w:color w:val="222222"/>
        </w:rPr>
        <w:t>The burden of cancer attributable to modifiable risk factors: the Australian cancer-PAF cohort consortium</w:t>
      </w:r>
      <w:r w:rsidR="00386582">
        <w:rPr>
          <w:color w:val="222222"/>
        </w:rPr>
        <w:t>’,</w:t>
      </w:r>
      <w:r>
        <w:rPr>
          <w:color w:val="222222"/>
        </w:rPr>
        <w:t xml:space="preserve"> </w:t>
      </w:r>
      <w:r w:rsidRPr="007A6A4F">
        <w:rPr>
          <w:i/>
          <w:iCs/>
          <w:color w:val="222222"/>
        </w:rPr>
        <w:t>BMJ Open</w:t>
      </w:r>
      <w:r w:rsidR="00386582">
        <w:rPr>
          <w:color w:val="222222"/>
        </w:rPr>
        <w:t>,</w:t>
      </w:r>
      <w:r>
        <w:rPr>
          <w:color w:val="222222"/>
        </w:rPr>
        <w:t xml:space="preserve"> 7(6)</w:t>
      </w:r>
      <w:r w:rsidR="00386582">
        <w:rPr>
          <w:color w:val="222222"/>
        </w:rPr>
        <w:t>:</w:t>
      </w:r>
      <w:r>
        <w:rPr>
          <w:color w:val="222222"/>
        </w:rPr>
        <w:t>e016178.</w:t>
      </w:r>
    </w:p>
  </w:footnote>
  <w:footnote w:id="112">
    <w:p w14:paraId="4F0090FE" w14:textId="1FD08E6E" w:rsidR="002433BD" w:rsidRDefault="002433BD" w:rsidP="002433BD">
      <w:pPr>
        <w:pStyle w:val="FootnoteText"/>
      </w:pPr>
      <w:r>
        <w:rPr>
          <w:rStyle w:val="FootnoteReference"/>
        </w:rPr>
        <w:footnoteRef/>
      </w:r>
      <w:r>
        <w:t xml:space="preserve"> Afshin A, Forouzanfar MH, Reitsma MB, et al.</w:t>
      </w:r>
      <w:r w:rsidR="00386582">
        <w:t xml:space="preserve"> 2017,</w:t>
      </w:r>
      <w:r>
        <w:t xml:space="preserve"> </w:t>
      </w:r>
      <w:r w:rsidR="00386582">
        <w:t>‘</w:t>
      </w:r>
      <w:r>
        <w:t>Health effects of overweight and obesity in 195 countries over 25 years</w:t>
      </w:r>
      <w:r w:rsidR="00386582">
        <w:t>’,</w:t>
      </w:r>
      <w:r>
        <w:t xml:space="preserve"> </w:t>
      </w:r>
      <w:r w:rsidRPr="007A6A4F">
        <w:rPr>
          <w:i/>
          <w:iCs/>
        </w:rPr>
        <w:t>N</w:t>
      </w:r>
      <w:r w:rsidR="00386582" w:rsidRPr="007A6A4F">
        <w:rPr>
          <w:i/>
          <w:iCs/>
        </w:rPr>
        <w:t>ew</w:t>
      </w:r>
      <w:r w:rsidRPr="007A6A4F">
        <w:rPr>
          <w:i/>
          <w:iCs/>
        </w:rPr>
        <w:t xml:space="preserve"> Engl</w:t>
      </w:r>
      <w:r w:rsidR="00386582" w:rsidRPr="007A6A4F">
        <w:rPr>
          <w:i/>
          <w:iCs/>
        </w:rPr>
        <w:t>and</w:t>
      </w:r>
      <w:r w:rsidRPr="007A6A4F">
        <w:rPr>
          <w:i/>
          <w:iCs/>
        </w:rPr>
        <w:t xml:space="preserve"> J</w:t>
      </w:r>
      <w:r w:rsidR="00386582" w:rsidRPr="007A6A4F">
        <w:rPr>
          <w:i/>
          <w:iCs/>
        </w:rPr>
        <w:t>ournal of</w:t>
      </w:r>
      <w:r w:rsidRPr="007A6A4F">
        <w:rPr>
          <w:i/>
          <w:iCs/>
        </w:rPr>
        <w:t xml:space="preserve"> Med</w:t>
      </w:r>
      <w:r w:rsidR="00386582" w:rsidRPr="007A6A4F">
        <w:rPr>
          <w:i/>
          <w:iCs/>
        </w:rPr>
        <w:t>icine</w:t>
      </w:r>
      <w:r w:rsidR="00386582">
        <w:t>,</w:t>
      </w:r>
      <w:r>
        <w:t xml:space="preserve"> 377:13–27.</w:t>
      </w:r>
    </w:p>
  </w:footnote>
  <w:footnote w:id="113">
    <w:p w14:paraId="0F3953DB" w14:textId="318EB11B" w:rsidR="0072736E" w:rsidRDefault="0072736E" w:rsidP="009A0008">
      <w:pPr>
        <w:pStyle w:val="FootnoteText"/>
      </w:pPr>
      <w:r>
        <w:rPr>
          <w:rStyle w:val="FootnoteReference"/>
        </w:rPr>
        <w:footnoteRef/>
      </w:r>
      <w:r>
        <w:t xml:space="preserve"> </w:t>
      </w:r>
      <w:r w:rsidR="00E7132F" w:rsidRPr="00E7132F">
        <w:t>OECD 2021</w:t>
      </w:r>
      <w:r w:rsidR="00386582">
        <w:t>,</w:t>
      </w:r>
      <w:r w:rsidR="00E7132F" w:rsidRPr="00E7132F">
        <w:t xml:space="preserve"> Overweight or obese indicator 2017 (or nearest year)</w:t>
      </w:r>
      <w:r w:rsidR="00386582">
        <w:t>.</w:t>
      </w:r>
      <w:r w:rsidR="00E7132F" w:rsidRPr="00E7132F">
        <w:t xml:space="preserve"> </w:t>
      </w:r>
      <w:r w:rsidR="00386582">
        <w:t>I</w:t>
      </w:r>
      <w:r w:rsidR="00E7132F" w:rsidRPr="00E7132F">
        <w:t>n</w:t>
      </w:r>
      <w:r w:rsidR="00386582">
        <w:t>:</w:t>
      </w:r>
      <w:r w:rsidR="00E7132F" w:rsidRPr="00E7132F">
        <w:t xml:space="preserve"> </w:t>
      </w:r>
      <w:r w:rsidR="00E7132F" w:rsidRPr="007A6A4F">
        <w:rPr>
          <w:i/>
          <w:iCs/>
        </w:rPr>
        <w:t xml:space="preserve">Health at a </w:t>
      </w:r>
      <w:r w:rsidR="00386582">
        <w:rPr>
          <w:i/>
          <w:iCs/>
        </w:rPr>
        <w:t>g</w:t>
      </w:r>
      <w:r w:rsidR="00E7132F" w:rsidRPr="007A6A4F">
        <w:rPr>
          <w:i/>
          <w:iCs/>
        </w:rPr>
        <w:t>lance 2021</w:t>
      </w:r>
      <w:r w:rsidR="00E7132F" w:rsidRPr="00E7132F">
        <w:t>: OECD Publishing, Paris</w:t>
      </w:r>
      <w:r w:rsidR="00E7132F">
        <w:t xml:space="preserve">. </w:t>
      </w:r>
    </w:p>
  </w:footnote>
  <w:footnote w:id="114">
    <w:p w14:paraId="10F19A28" w14:textId="1120196A" w:rsidR="0072736E" w:rsidRPr="002E6961" w:rsidRDefault="0072736E" w:rsidP="00FA33C3">
      <w:pPr>
        <w:pStyle w:val="FootnoteText"/>
      </w:pPr>
      <w:r w:rsidRPr="002E6961">
        <w:rPr>
          <w:rStyle w:val="FootnoteReference"/>
          <w:sz w:val="16"/>
        </w:rPr>
        <w:footnoteRef/>
      </w:r>
      <w:r>
        <w:t xml:space="preserve"> </w:t>
      </w:r>
      <w:r w:rsidRPr="002E6961">
        <w:t>The aim of this campaign was to address the burden of chronic disease caused by overweight and</w:t>
      </w:r>
      <w:r>
        <w:t xml:space="preserve"> </w:t>
      </w:r>
      <w:r w:rsidRPr="002E6961">
        <w:t>obesity, poor diet and physical inactivity via a variety of initiatives including mass media, social media,</w:t>
      </w:r>
      <w:r>
        <w:t xml:space="preserve"> </w:t>
      </w:r>
      <w:r w:rsidRPr="002E6961">
        <w:t>community engagement, tools</w:t>
      </w:r>
      <w:r>
        <w:t>/</w:t>
      </w:r>
      <w:r w:rsidRPr="002E6961">
        <w:t xml:space="preserve">resources and </w:t>
      </w:r>
      <w:r>
        <w:t>public relations</w:t>
      </w:r>
      <w:r w:rsidRPr="002E6961">
        <w:t xml:space="preserve"> to </w:t>
      </w:r>
      <w:r>
        <w:t xml:space="preserve">inform, </w:t>
      </w:r>
      <w:r w:rsidRPr="002E6961">
        <w:t>encourage and support West</w:t>
      </w:r>
      <w:r>
        <w:t>ern</w:t>
      </w:r>
      <w:r w:rsidRPr="002E6961">
        <w:t xml:space="preserve"> Australians </w:t>
      </w:r>
      <w:r>
        <w:t xml:space="preserve">to </w:t>
      </w:r>
      <w:r w:rsidRPr="002E6961">
        <w:t>adopt healthier lifestyle behaviours</w:t>
      </w:r>
      <w:r>
        <w:rPr>
          <w:rFonts w:ascii="Calibri" w:hAnsi="Calibri" w:cs="Calibri"/>
          <w:sz w:val="22"/>
          <w:szCs w:val="22"/>
        </w:rPr>
        <w:t>.</w:t>
      </w:r>
    </w:p>
  </w:footnote>
  <w:footnote w:id="115">
    <w:p w14:paraId="51F6CAC4" w14:textId="755148E6" w:rsidR="0072736E" w:rsidRDefault="0072736E">
      <w:pPr>
        <w:pStyle w:val="FootnoteText"/>
      </w:pPr>
      <w:r>
        <w:rPr>
          <w:rStyle w:val="FootnoteReference"/>
        </w:rPr>
        <w:footnoteRef/>
      </w:r>
      <w:r>
        <w:t xml:space="preserve"> </w:t>
      </w:r>
      <w:r>
        <w:rPr>
          <w:color w:val="222222"/>
        </w:rPr>
        <w:t>Drieskens S, Demarest S, Bel S, et al. 2018</w:t>
      </w:r>
      <w:r w:rsidR="00174322">
        <w:rPr>
          <w:color w:val="222222"/>
        </w:rPr>
        <w:t>,</w:t>
      </w:r>
      <w:r>
        <w:rPr>
          <w:color w:val="222222"/>
        </w:rPr>
        <w:t xml:space="preserve"> </w:t>
      </w:r>
      <w:r w:rsidR="00174322">
        <w:rPr>
          <w:color w:val="222222"/>
        </w:rPr>
        <w:t>‘</w:t>
      </w:r>
      <w:r>
        <w:rPr>
          <w:color w:val="222222"/>
        </w:rPr>
        <w:t>Correction of self-reported BMI based on objective measurements: a Belgian experience</w:t>
      </w:r>
      <w:r w:rsidR="00174322">
        <w:rPr>
          <w:color w:val="222222"/>
        </w:rPr>
        <w:t>’,</w:t>
      </w:r>
      <w:r w:rsidRPr="00676EB9">
        <w:rPr>
          <w:color w:val="222222"/>
        </w:rPr>
        <w:t xml:space="preserve"> </w:t>
      </w:r>
      <w:r w:rsidRPr="00FA33C3">
        <w:rPr>
          <w:i/>
          <w:iCs/>
          <w:color w:val="222222"/>
        </w:rPr>
        <w:t>Archives of Public Health</w:t>
      </w:r>
      <w:r>
        <w:rPr>
          <w:color w:val="222222"/>
        </w:rPr>
        <w:t xml:space="preserve"> 76(1):10.</w:t>
      </w:r>
    </w:p>
  </w:footnote>
  <w:footnote w:id="116">
    <w:p w14:paraId="04B61CCA" w14:textId="7C9D617C" w:rsidR="0072736E" w:rsidRPr="00297031" w:rsidRDefault="0072736E" w:rsidP="00FA33C3">
      <w:pPr>
        <w:pStyle w:val="FootnoteText"/>
      </w:pPr>
      <w:r w:rsidRPr="00297031">
        <w:rPr>
          <w:rStyle w:val="FootnoteReference"/>
          <w:sz w:val="16"/>
        </w:rPr>
        <w:footnoteRef/>
      </w:r>
      <w:r w:rsidR="00424CA6">
        <w:t xml:space="preserve"> Refer to </w:t>
      </w:r>
      <w:hyperlink r:id="rId8" w:history="1">
        <w:r w:rsidR="00424CA6" w:rsidRPr="00424CA6">
          <w:rPr>
            <w:rStyle w:val="Hyperlink"/>
          </w:rPr>
          <w:t>Australian Institute of Health and Welfare website</w:t>
        </w:r>
      </w:hyperlink>
      <w:r w:rsidR="00424CA6">
        <w:t xml:space="preserve"> &lt;</w:t>
      </w:r>
      <w:r w:rsidR="00947E04" w:rsidRPr="00947E04">
        <w:t>https://www.aihw.gov.au/reports/australias-health/overweight-and-obesity</w:t>
      </w:r>
      <w:r w:rsidR="00424CA6">
        <w:t>&gt;</w:t>
      </w:r>
      <w:r w:rsidR="004E24A8">
        <w:t>.</w:t>
      </w:r>
    </w:p>
  </w:footnote>
  <w:footnote w:id="117">
    <w:p w14:paraId="03CD968D" w14:textId="58B35556" w:rsidR="0072736E" w:rsidRDefault="0072736E" w:rsidP="00083EAB">
      <w:pPr>
        <w:pStyle w:val="FootnoteText"/>
      </w:pPr>
      <w:r w:rsidRPr="00297031">
        <w:rPr>
          <w:rStyle w:val="FootnoteReference"/>
        </w:rPr>
        <w:footnoteRef/>
      </w:r>
      <w:r w:rsidR="00424CA6">
        <w:t xml:space="preserve"> </w:t>
      </w:r>
      <w:r>
        <w:t>Australian Bureau of Statistics</w:t>
      </w:r>
      <w:r w:rsidRPr="00297031">
        <w:t xml:space="preserve"> 2018</w:t>
      </w:r>
      <w:r w:rsidR="00424CA6">
        <w:t>,</w:t>
      </w:r>
      <w:r w:rsidRPr="00297031">
        <w:t xml:space="preserve"> </w:t>
      </w:r>
      <w:r w:rsidRPr="00FA33C3">
        <w:rPr>
          <w:i/>
          <w:iCs/>
        </w:rPr>
        <w:t>National Health Survey: first results, 2017–18</w:t>
      </w:r>
      <w:r w:rsidR="00424CA6">
        <w:t>,</w:t>
      </w:r>
      <w:r w:rsidRPr="00297031">
        <w:t xml:space="preserve"> ABS</w:t>
      </w:r>
      <w:r>
        <w:t>, Canberra</w:t>
      </w:r>
      <w:r w:rsidRPr="00297031">
        <w:t xml:space="preserve">. </w:t>
      </w:r>
      <w:r>
        <w:t xml:space="preserve">Available from: </w:t>
      </w:r>
      <w:r w:rsidRPr="00297031">
        <w:t>http://www.abs.gov.au/AUSSTATS/abs@.nsf/DetailsPage/4364.0.55.0012017-18?OpenDocument</w:t>
      </w:r>
      <w:r w:rsidR="00424CA6">
        <w:t>.</w:t>
      </w:r>
    </w:p>
  </w:footnote>
  <w:footnote w:id="118">
    <w:p w14:paraId="14EB1B0A" w14:textId="1E42DB86" w:rsidR="00D12658" w:rsidRDefault="00D12658">
      <w:pPr>
        <w:pStyle w:val="FootnoteText"/>
      </w:pPr>
      <w:r>
        <w:rPr>
          <w:rStyle w:val="FootnoteReference"/>
        </w:rPr>
        <w:footnoteRef/>
      </w:r>
      <w:r>
        <w:t xml:space="preserve"> </w:t>
      </w:r>
      <w:r w:rsidR="00D24BB6">
        <w:t xml:space="preserve">Department of Health 2020, </w:t>
      </w:r>
      <w:r w:rsidRPr="00FA33C3">
        <w:rPr>
          <w:i/>
          <w:iCs/>
        </w:rPr>
        <w:t xml:space="preserve">Cancer </w:t>
      </w:r>
      <w:r w:rsidR="00D24BB6" w:rsidRPr="00D24BB6">
        <w:rPr>
          <w:i/>
          <w:iCs/>
        </w:rPr>
        <w:t>plan monitoring and evaluation framework baseline report</w:t>
      </w:r>
      <w:r w:rsidR="00D24BB6">
        <w:t>, State of Victoria, Melbourne.</w:t>
      </w:r>
      <w:r>
        <w:t xml:space="preserve"> </w:t>
      </w:r>
    </w:p>
  </w:footnote>
  <w:footnote w:id="119">
    <w:p w14:paraId="3F5DDF8F" w14:textId="45066DBC" w:rsidR="00367F10" w:rsidRDefault="00367F10">
      <w:pPr>
        <w:pStyle w:val="FootnoteText"/>
      </w:pPr>
      <w:r>
        <w:rPr>
          <w:rStyle w:val="FootnoteReference"/>
        </w:rPr>
        <w:footnoteRef/>
      </w:r>
      <w:r>
        <w:t xml:space="preserve"> </w:t>
      </w:r>
      <w:r w:rsidRPr="00367F10">
        <w:rPr>
          <w:shd w:val="clear" w:color="auto" w:fill="FFFFFF"/>
        </w:rPr>
        <w:t xml:space="preserve">The 2022 Summer Sun Protection Survey (Life in Australia™) was conducted by the Social Research Centre </w:t>
      </w:r>
      <w:r w:rsidR="00D8315C">
        <w:rPr>
          <w:shd w:val="clear" w:color="auto" w:fill="FFFFFF"/>
        </w:rPr>
        <w:t>i</w:t>
      </w:r>
      <w:r w:rsidRPr="00367F10">
        <w:rPr>
          <w:shd w:val="clear" w:color="auto" w:fill="FFFFFF"/>
        </w:rPr>
        <w:t>n the January 2022 wave of the probability-based online panel, Life in Australia™. The survey was funded by the Cancer Councils of Australia. In total, 3,194 respondents, representing Australian adults aged 18 years and over, completed the survey between 17 and 31 January 2022.</w:t>
      </w:r>
      <w:r w:rsidRPr="00367F10">
        <w:rPr>
          <w:rFonts w:ascii="Segoe UI" w:hAnsi="Segoe UI" w:cs="Segoe UI"/>
          <w:shd w:val="clear" w:color="auto" w:fill="FFFFFF"/>
        </w:rPr>
        <w:t> </w:t>
      </w:r>
      <w:r w:rsidR="008505F2">
        <w:t>Available</w:t>
      </w:r>
      <w:r w:rsidR="008505F2" w:rsidDel="008505F2">
        <w:rPr>
          <w:rFonts w:ascii="Segoe UI" w:hAnsi="Segoe UI" w:cs="Segoe UI"/>
          <w:shd w:val="clear" w:color="auto" w:fill="FFFFFF"/>
        </w:rPr>
        <w:t xml:space="preserve"> </w:t>
      </w:r>
      <w:r w:rsidRPr="005632AD">
        <w:t xml:space="preserve">from: </w:t>
      </w:r>
      <w:r w:rsidR="00D8315C" w:rsidRPr="00CD1209">
        <w:t>https://www.cancer.org.au/media-releases/2022/australian-men-urged-to-reduce-their-risk-of-skin-cancer-with-new-research-showing-they-are-less-likely-than-women-to-use-sun-protection</w:t>
      </w:r>
      <w:r>
        <w:t>.</w:t>
      </w:r>
    </w:p>
  </w:footnote>
  <w:footnote w:id="120">
    <w:p w14:paraId="21595B61" w14:textId="64454C97" w:rsidR="0072736E" w:rsidRDefault="0072736E" w:rsidP="00F636D4">
      <w:pPr>
        <w:pStyle w:val="FootnoteText"/>
      </w:pPr>
      <w:r>
        <w:rPr>
          <w:rStyle w:val="FootnoteReference"/>
        </w:rPr>
        <w:footnoteRef/>
      </w:r>
      <w:r>
        <w:t xml:space="preserve"> Lopes DM, McMahon SB 2016</w:t>
      </w:r>
      <w:r w:rsidR="00D8315C">
        <w:t>,</w:t>
      </w:r>
      <w:r>
        <w:t xml:space="preserve"> </w:t>
      </w:r>
      <w:r w:rsidR="00D8315C">
        <w:t>‘</w:t>
      </w:r>
      <w:r>
        <w:t>Ultraviolet radiation on the skin: a painful experience?</w:t>
      </w:r>
      <w:r w:rsidR="00D8315C">
        <w:t>’</w:t>
      </w:r>
      <w:r w:rsidRPr="005632AD">
        <w:rPr>
          <w:i/>
          <w:iCs/>
        </w:rPr>
        <w:t xml:space="preserve"> CNS Neuroscience &amp; Therapeutics </w:t>
      </w:r>
      <w:r>
        <w:t>22:118</w:t>
      </w:r>
      <w:r w:rsidR="008166A7">
        <w:t>–2</w:t>
      </w:r>
      <w:r>
        <w:t>26.</w:t>
      </w:r>
    </w:p>
  </w:footnote>
  <w:footnote w:id="121">
    <w:p w14:paraId="7C136AF5" w14:textId="308D71D8" w:rsidR="0072736E" w:rsidRPr="007E54AE" w:rsidRDefault="0072736E" w:rsidP="00F636D4">
      <w:pPr>
        <w:pStyle w:val="FootnoteText"/>
        <w:rPr>
          <w:lang w:val="en-NZ"/>
        </w:rPr>
      </w:pPr>
      <w:r w:rsidRPr="008260ED">
        <w:rPr>
          <w:rStyle w:val="FootnoteReference"/>
        </w:rPr>
        <w:footnoteRef/>
      </w:r>
      <w:r w:rsidRPr="008260ED">
        <w:t xml:space="preserve"> </w:t>
      </w:r>
      <w:r w:rsidRPr="008260ED">
        <w:rPr>
          <w:lang w:val="en-NZ"/>
        </w:rPr>
        <w:t>Better Health Channel</w:t>
      </w:r>
      <w:r>
        <w:rPr>
          <w:lang w:val="en-NZ"/>
        </w:rPr>
        <w:t xml:space="preserve"> 2019</w:t>
      </w:r>
      <w:r w:rsidR="00D8315C">
        <w:rPr>
          <w:lang w:val="en-NZ"/>
        </w:rPr>
        <w:t>,</w:t>
      </w:r>
      <w:r w:rsidRPr="008260ED">
        <w:rPr>
          <w:lang w:val="en-NZ"/>
        </w:rPr>
        <w:t xml:space="preserve"> Sunburn.</w:t>
      </w:r>
      <w:r>
        <w:rPr>
          <w:lang w:val="en-NZ"/>
        </w:rPr>
        <w:t xml:space="preserve"> </w:t>
      </w:r>
      <w:r>
        <w:t xml:space="preserve">Available from: </w:t>
      </w:r>
      <w:r w:rsidRPr="008260ED">
        <w:rPr>
          <w:lang w:val="en-NZ"/>
        </w:rPr>
        <w:t>https://www.betterhealth.vic.gov</w:t>
      </w:r>
      <w:r w:rsidR="005632AD">
        <w:rPr>
          <w:lang w:val="en-NZ"/>
        </w:rPr>
        <w:t>.</w:t>
      </w:r>
      <w:r w:rsidRPr="008260ED">
        <w:rPr>
          <w:lang w:val="en-NZ"/>
        </w:rPr>
        <w:t>au/health/conditionsandtreatments/sunburn</w:t>
      </w:r>
      <w:r w:rsidR="00D8315C">
        <w:rPr>
          <w:lang w:val="en-NZ"/>
        </w:rPr>
        <w:t>.</w:t>
      </w:r>
    </w:p>
  </w:footnote>
  <w:footnote w:id="122">
    <w:p w14:paraId="38DCA057" w14:textId="54DD4251" w:rsidR="005D5097" w:rsidRDefault="005D5097" w:rsidP="001F7E28">
      <w:pPr>
        <w:pStyle w:val="FootnoteText"/>
      </w:pPr>
      <w:r>
        <w:rPr>
          <w:rStyle w:val="FootnoteReference"/>
        </w:rPr>
        <w:footnoteRef/>
      </w:r>
      <w:r>
        <w:t xml:space="preserve"> </w:t>
      </w:r>
      <w:r w:rsidR="00D8315C">
        <w:t>Refer to the</w:t>
      </w:r>
      <w:r w:rsidR="00D8315C" w:rsidRPr="00CD1209">
        <w:t xml:space="preserve"> Cancer Council website</w:t>
      </w:r>
      <w:r>
        <w:t xml:space="preserve"> </w:t>
      </w:r>
      <w:r w:rsidR="00D8315C">
        <w:t>&lt;</w:t>
      </w:r>
      <w:r w:rsidRPr="005D5097">
        <w:t>https://www.cancer.org.au/media-releases/2022/australian-men-urged-to-reduce-their-risk-of-skin-cancer-with-new-research-showing-they-are-less-likely-than-women-to-use-sun-protection</w:t>
      </w:r>
      <w:r w:rsidR="00D8315C">
        <w:t>&gt;</w:t>
      </w:r>
      <w:r>
        <w:t>.</w:t>
      </w:r>
    </w:p>
  </w:footnote>
  <w:footnote w:id="123">
    <w:p w14:paraId="32407CB1" w14:textId="53C3A99A" w:rsidR="0072736E" w:rsidRDefault="0072736E" w:rsidP="00665EED">
      <w:pPr>
        <w:pStyle w:val="FootnoteText"/>
      </w:pPr>
      <w:r>
        <w:rPr>
          <w:rStyle w:val="FootnoteReference"/>
        </w:rPr>
        <w:footnoteRef/>
      </w:r>
      <w:r>
        <w:t xml:space="preserve"> </w:t>
      </w:r>
      <w:r w:rsidR="0026138F" w:rsidRPr="00FC3A15">
        <w:t xml:space="preserve">Two or more sun protective behaviours were defined as used sunscreen or </w:t>
      </w:r>
      <w:r w:rsidR="00A1686A">
        <w:t xml:space="preserve">a </w:t>
      </w:r>
      <w:r w:rsidR="0026138F">
        <w:t xml:space="preserve">broad-brimmed hat </w:t>
      </w:r>
      <w:r w:rsidR="0026138F" w:rsidRPr="00FC3A15">
        <w:t>and at least one other sun protective behaviour (</w:t>
      </w:r>
      <w:r w:rsidR="0026138F">
        <w:t xml:space="preserve">shade, arm cover or leg cover; </w:t>
      </w:r>
      <w:r w:rsidR="0026138F" w:rsidRPr="00FC3A15">
        <w:t>excluding sunglasses)</w:t>
      </w:r>
      <w:r w:rsidR="0026138F">
        <w:t xml:space="preserve"> always/often during the summer</w:t>
      </w:r>
      <w:r w:rsidR="0026138F" w:rsidRPr="00FC3A15">
        <w:t>.</w:t>
      </w:r>
    </w:p>
  </w:footnote>
  <w:footnote w:id="124">
    <w:p w14:paraId="72E34B72" w14:textId="57BE22F6" w:rsidR="005545B1" w:rsidRPr="004712BE" w:rsidRDefault="005545B1" w:rsidP="00455EDF">
      <w:pPr>
        <w:pStyle w:val="FootnoteText"/>
      </w:pPr>
      <w:r w:rsidRPr="004712BE">
        <w:rPr>
          <w:rStyle w:val="FootnoteReference"/>
          <w:sz w:val="16"/>
        </w:rPr>
        <w:footnoteRef/>
      </w:r>
      <w:r w:rsidRPr="004712BE">
        <w:t xml:space="preserve"> </w:t>
      </w:r>
      <w:r w:rsidRPr="00927556">
        <w:t xml:space="preserve">Tabbakh T, Volkov A, Wakefield M, </w:t>
      </w:r>
      <w:r w:rsidR="002A1AB5">
        <w:t>et al</w:t>
      </w:r>
      <w:r w:rsidRPr="00927556">
        <w:t>.</w:t>
      </w:r>
      <w:r w:rsidR="002A1AB5">
        <w:t xml:space="preserve"> 2019,</w:t>
      </w:r>
      <w:r w:rsidRPr="00927556">
        <w:t xml:space="preserve"> </w:t>
      </w:r>
      <w:r w:rsidR="002A1AB5">
        <w:t>‘</w:t>
      </w:r>
      <w:r w:rsidRPr="00927556">
        <w:t>Implementation of the SunSmart program and population sun protection behaviour in Melbourne, Australia: Results from cross-sectional summer surveys from 1987 to 2017</w:t>
      </w:r>
      <w:r w:rsidR="002A1AB5">
        <w:t>’,</w:t>
      </w:r>
      <w:r w:rsidRPr="00927556">
        <w:t xml:space="preserve"> </w:t>
      </w:r>
      <w:r w:rsidRPr="00455EDF">
        <w:rPr>
          <w:i/>
          <w:iCs/>
        </w:rPr>
        <w:t>PLOS Medicine</w:t>
      </w:r>
      <w:r w:rsidRPr="00927556">
        <w:t xml:space="preserve"> 16(10): e1002932.</w:t>
      </w:r>
    </w:p>
  </w:footnote>
  <w:footnote w:id="125">
    <w:p w14:paraId="14D24E40" w14:textId="39C3AC7B" w:rsidR="005545B1" w:rsidRPr="004712BE" w:rsidRDefault="005545B1" w:rsidP="00455EDF">
      <w:pPr>
        <w:pStyle w:val="FootnoteText"/>
      </w:pPr>
      <w:r w:rsidRPr="004712BE">
        <w:rPr>
          <w:rStyle w:val="FootnoteReference"/>
          <w:sz w:val="16"/>
        </w:rPr>
        <w:footnoteRef/>
      </w:r>
      <w:r w:rsidRPr="004712BE">
        <w:t xml:space="preserve"> </w:t>
      </w:r>
      <w:r w:rsidRPr="00AD7E6D">
        <w:t xml:space="preserve">SunSmart is the primary skin cancer prevention health promotion program in Victoria, </w:t>
      </w:r>
      <w:r>
        <w:t>delivering mass media</w:t>
      </w:r>
      <w:r w:rsidR="002A1AB5">
        <w:t>–</w:t>
      </w:r>
      <w:r>
        <w:t xml:space="preserve">led public health campaigns and </w:t>
      </w:r>
      <w:r w:rsidRPr="00AD7E6D">
        <w:t>operating the popular SunSmart Schools Program, as well as other successful and valuable community, school</w:t>
      </w:r>
      <w:r>
        <w:t>, health professional</w:t>
      </w:r>
      <w:r w:rsidRPr="00AD7E6D">
        <w:t xml:space="preserve"> and workplace programs.</w:t>
      </w:r>
    </w:p>
  </w:footnote>
  <w:footnote w:id="126">
    <w:p w14:paraId="6310AE36" w14:textId="1910A1AA" w:rsidR="005545B1" w:rsidRDefault="005545B1" w:rsidP="005545B1">
      <w:pPr>
        <w:pStyle w:val="FootnoteText"/>
      </w:pPr>
      <w:r>
        <w:rPr>
          <w:rStyle w:val="FootnoteReference"/>
        </w:rPr>
        <w:footnoteRef/>
      </w:r>
      <w:r>
        <w:t xml:space="preserve"> </w:t>
      </w:r>
      <w:r w:rsidRPr="00CD3E85">
        <w:t xml:space="preserve">Dobbinson SJ, Volkov </w:t>
      </w:r>
      <w:r>
        <w:t>A,</w:t>
      </w:r>
      <w:r w:rsidRPr="00CD3E85">
        <w:t xml:space="preserve"> Wakefield</w:t>
      </w:r>
      <w:r>
        <w:t xml:space="preserve"> MA 2015</w:t>
      </w:r>
      <w:r w:rsidR="002A1AB5">
        <w:t>,</w:t>
      </w:r>
      <w:r w:rsidRPr="00CD3E85">
        <w:t xml:space="preserve"> </w:t>
      </w:r>
      <w:r w:rsidR="002A1AB5">
        <w:t>‘</w:t>
      </w:r>
      <w:r w:rsidRPr="00CD3E85">
        <w:t xml:space="preserve">Continued </w:t>
      </w:r>
      <w:r>
        <w:t>i</w:t>
      </w:r>
      <w:r w:rsidRPr="00CD3E85">
        <w:t xml:space="preserve">mpact of SunSmart </w:t>
      </w:r>
      <w:r>
        <w:t>a</w:t>
      </w:r>
      <w:r w:rsidRPr="00CD3E85">
        <w:t xml:space="preserve">dvertising on </w:t>
      </w:r>
      <w:r>
        <w:t>y</w:t>
      </w:r>
      <w:r w:rsidRPr="00CD3E85">
        <w:t xml:space="preserve">outh and </w:t>
      </w:r>
      <w:r>
        <w:t>a</w:t>
      </w:r>
      <w:r w:rsidRPr="00CD3E85">
        <w:t>dults</w:t>
      </w:r>
      <w:r>
        <w:t>’</w:t>
      </w:r>
      <w:r w:rsidRPr="00CD3E85">
        <w:t xml:space="preserve"> </w:t>
      </w:r>
      <w:r>
        <w:t>b</w:t>
      </w:r>
      <w:r w:rsidRPr="00CD3E85">
        <w:t>ehaviours</w:t>
      </w:r>
      <w:r w:rsidR="002A1AB5">
        <w:t>’,</w:t>
      </w:r>
      <w:r>
        <w:t xml:space="preserve"> </w:t>
      </w:r>
      <w:r w:rsidRPr="002774CA">
        <w:rPr>
          <w:i/>
        </w:rPr>
        <w:t>American Journal of Preventive Medicine</w:t>
      </w:r>
      <w:r w:rsidRPr="00676EB9">
        <w:rPr>
          <w:iCs/>
        </w:rPr>
        <w:t xml:space="preserve"> </w:t>
      </w:r>
      <w:r w:rsidRPr="00CD3E85">
        <w:t>49(1):</w:t>
      </w:r>
      <w:r>
        <w:t xml:space="preserve"> </w:t>
      </w:r>
      <w:r w:rsidRPr="00CD3E85">
        <w:t>20-8.</w:t>
      </w:r>
    </w:p>
  </w:footnote>
  <w:footnote w:id="127">
    <w:p w14:paraId="11F839F7" w14:textId="77A82A9D" w:rsidR="005545B1" w:rsidRDefault="005545B1" w:rsidP="005545B1">
      <w:pPr>
        <w:pStyle w:val="FootnoteText"/>
      </w:pPr>
      <w:r>
        <w:rPr>
          <w:rStyle w:val="FootnoteReference"/>
        </w:rPr>
        <w:footnoteRef/>
      </w:r>
      <w:r>
        <w:t xml:space="preserve"> </w:t>
      </w:r>
      <w:r w:rsidRPr="00EA2FE9">
        <w:t>PHAA Victoria Branch</w:t>
      </w:r>
      <w:r w:rsidR="002A1AB5">
        <w:t xml:space="preserve"> 2022,</w:t>
      </w:r>
      <w:r w:rsidRPr="00EA2FE9">
        <w:t xml:space="preserve"> </w:t>
      </w:r>
      <w:r w:rsidRPr="002774CA">
        <w:rPr>
          <w:i/>
          <w:iCs/>
        </w:rPr>
        <w:t xml:space="preserve">Public </w:t>
      </w:r>
      <w:r w:rsidR="002A1AB5" w:rsidRPr="002A1AB5">
        <w:rPr>
          <w:i/>
          <w:iCs/>
        </w:rPr>
        <w:t xml:space="preserve">health </w:t>
      </w:r>
      <w:r w:rsidRPr="002774CA">
        <w:rPr>
          <w:i/>
          <w:iCs/>
        </w:rPr>
        <w:t xml:space="preserve">in Victoria: </w:t>
      </w:r>
      <w:r w:rsidR="002A1AB5" w:rsidRPr="002A1AB5">
        <w:rPr>
          <w:i/>
          <w:iCs/>
        </w:rPr>
        <w:t>ten successes to guide a healthier future</w:t>
      </w:r>
      <w:r w:rsidR="002A1AB5">
        <w:t xml:space="preserve">, </w:t>
      </w:r>
      <w:r w:rsidRPr="00EA2FE9">
        <w:t xml:space="preserve">PHAA Victoria Branch, </w:t>
      </w:r>
      <w:r w:rsidR="002A1AB5">
        <w:t>Melbourne</w:t>
      </w:r>
      <w:r w:rsidRPr="00EA2FE9">
        <w:t>.</w:t>
      </w:r>
    </w:p>
  </w:footnote>
  <w:footnote w:id="128">
    <w:p w14:paraId="4C8463E4" w14:textId="2B0BA2E3" w:rsidR="0072736E" w:rsidRDefault="0072736E" w:rsidP="008D225A">
      <w:pPr>
        <w:pStyle w:val="FootnoteText"/>
      </w:pPr>
      <w:r>
        <w:rPr>
          <w:rStyle w:val="FootnoteReference"/>
        </w:rPr>
        <w:footnoteRef/>
      </w:r>
      <w:r>
        <w:t xml:space="preserve"> As the age of students in the first year of high school varies between justifications, age 15 is used as the age for routine review of vaccination coverage that provides the best comparison to allow for those varying ages in administration, as per World Health Organization recommendations.</w:t>
      </w:r>
    </w:p>
  </w:footnote>
  <w:footnote w:id="129">
    <w:p w14:paraId="74F3595C" w14:textId="4ABB4D59" w:rsidR="00AC4826" w:rsidRPr="00AC4826" w:rsidRDefault="00AC4826" w:rsidP="00455EDF">
      <w:pPr>
        <w:pStyle w:val="FootnoteText"/>
      </w:pPr>
      <w:r w:rsidRPr="00AC4826">
        <w:rPr>
          <w:rStyle w:val="FootnoteReference"/>
          <w:sz w:val="16"/>
        </w:rPr>
        <w:footnoteRef/>
      </w:r>
      <w:r w:rsidRPr="00AC4826">
        <w:t xml:space="preserve"> Unspecified hepatitis B notifications (cases that do not meet any of the criteria for a newly acquired case or acquired hepatitis </w:t>
      </w:r>
      <w:r>
        <w:t>B</w:t>
      </w:r>
      <w:r w:rsidRPr="00AC4826">
        <w:t xml:space="preserve"> more than 24 months before diagnosis).</w:t>
      </w:r>
    </w:p>
  </w:footnote>
  <w:footnote w:id="130">
    <w:p w14:paraId="178A2062" w14:textId="1AE29D52" w:rsidR="00106BCF" w:rsidRDefault="00106BCF">
      <w:pPr>
        <w:pStyle w:val="FootnoteText"/>
      </w:pPr>
      <w:r>
        <w:rPr>
          <w:rStyle w:val="FootnoteReference"/>
        </w:rPr>
        <w:footnoteRef/>
      </w:r>
      <w:r>
        <w:t xml:space="preserve"> MacLachlan JH, Stewart S, Cowie BC</w:t>
      </w:r>
      <w:r w:rsidR="00731386">
        <w:t xml:space="preserve"> 2020,</w:t>
      </w:r>
      <w:r>
        <w:t xml:space="preserve"> </w:t>
      </w:r>
      <w:r w:rsidRPr="00455EDF">
        <w:rPr>
          <w:i/>
          <w:iCs/>
        </w:rPr>
        <w:t xml:space="preserve">Viral Hepatitis Mapping Project: </w:t>
      </w:r>
      <w:r w:rsidR="00731386">
        <w:rPr>
          <w:i/>
          <w:iCs/>
        </w:rPr>
        <w:t>n</w:t>
      </w:r>
      <w:r w:rsidRPr="00455EDF">
        <w:rPr>
          <w:i/>
          <w:iCs/>
        </w:rPr>
        <w:t xml:space="preserve">ational </w:t>
      </w:r>
      <w:r w:rsidR="00731386">
        <w:rPr>
          <w:i/>
          <w:iCs/>
        </w:rPr>
        <w:t>r</w:t>
      </w:r>
      <w:r w:rsidRPr="00455EDF">
        <w:rPr>
          <w:i/>
          <w:iCs/>
        </w:rPr>
        <w:t>eport 2020</w:t>
      </w:r>
      <w:r>
        <w:t xml:space="preserve">, Australasian Society for HIV, Viral Hepatitis, and Sexual Health Medicine (ASHM), </w:t>
      </w:r>
      <w:r w:rsidR="00731386">
        <w:t xml:space="preserve">Darlinghurst. </w:t>
      </w:r>
    </w:p>
  </w:footnote>
  <w:footnote w:id="131">
    <w:p w14:paraId="0DF8F228" w14:textId="5DB577A9" w:rsidR="0072736E" w:rsidRPr="00D95940" w:rsidRDefault="0072736E" w:rsidP="000C78CC">
      <w:pPr>
        <w:pStyle w:val="FootnoteText"/>
      </w:pPr>
      <w:r>
        <w:rPr>
          <w:rStyle w:val="FootnoteReference"/>
        </w:rPr>
        <w:footnoteRef/>
      </w:r>
      <w:r>
        <w:t xml:space="preserve"> </w:t>
      </w:r>
      <w:r w:rsidRPr="004B2480">
        <w:t xml:space="preserve">Department of Health </w:t>
      </w:r>
      <w:r w:rsidR="00564BFD" w:rsidRPr="004B2480">
        <w:t>2022</w:t>
      </w:r>
      <w:r w:rsidR="00731386">
        <w:t>,</w:t>
      </w:r>
      <w:r w:rsidRPr="004B2480">
        <w:t xml:space="preserve"> </w:t>
      </w:r>
      <w:r w:rsidR="00564BFD" w:rsidRPr="004B2480">
        <w:rPr>
          <w:i/>
          <w:iCs/>
        </w:rPr>
        <w:t>Victorian hepatitis B plan 2022</w:t>
      </w:r>
      <w:r w:rsidR="008166A7">
        <w:rPr>
          <w:i/>
          <w:iCs/>
        </w:rPr>
        <w:t>–</w:t>
      </w:r>
      <w:r w:rsidR="00564BFD" w:rsidRPr="004B2480">
        <w:rPr>
          <w:i/>
          <w:iCs/>
        </w:rPr>
        <w:t>30</w:t>
      </w:r>
      <w:r w:rsidR="00731386">
        <w:t>,</w:t>
      </w:r>
      <w:r w:rsidRPr="004B2480">
        <w:t xml:space="preserve"> State Government of Victoria, Melbourne</w:t>
      </w:r>
      <w:r>
        <w:t>.</w:t>
      </w:r>
    </w:p>
  </w:footnote>
  <w:footnote w:id="132">
    <w:p w14:paraId="226E9138" w14:textId="36FCBFAA" w:rsidR="0072736E" w:rsidRPr="00D95940" w:rsidRDefault="0072736E" w:rsidP="000C78CC">
      <w:pPr>
        <w:pStyle w:val="FootnoteText"/>
      </w:pPr>
      <w:r w:rsidRPr="00D95940">
        <w:rPr>
          <w:rStyle w:val="FootnoteReference"/>
        </w:rPr>
        <w:footnoteRef/>
      </w:r>
      <w:r w:rsidRPr="00D95940">
        <w:t xml:space="preserve"> Hepatitis B is classified into two categories: newly acquired and unspecified.</w:t>
      </w:r>
      <w:r>
        <w:t xml:space="preserve"> U</w:t>
      </w:r>
      <w:r w:rsidRPr="00D95940">
        <w:t xml:space="preserve">nspecified hepatitis B is defined as an infection acquired more than 24 </w:t>
      </w:r>
      <w:r w:rsidR="009418F2">
        <w:t>months</w:t>
      </w:r>
      <w:r w:rsidRPr="00D95940">
        <w:t xml:space="preserve"> prior to diagnosis or unknown duration.</w:t>
      </w:r>
      <w:r>
        <w:t xml:space="preserve"> </w:t>
      </w:r>
      <w:r w:rsidRPr="00D95940">
        <w:t>Unspecified hepatitis B is generally considered a chronic infection.</w:t>
      </w:r>
    </w:p>
  </w:footnote>
  <w:footnote w:id="133">
    <w:p w14:paraId="311D6019" w14:textId="02BA1B53" w:rsidR="00921B4D" w:rsidRDefault="00921B4D">
      <w:pPr>
        <w:pStyle w:val="FootnoteText"/>
      </w:pPr>
      <w:r>
        <w:rPr>
          <w:rStyle w:val="FootnoteReference"/>
        </w:rPr>
        <w:footnoteRef/>
      </w:r>
      <w:r>
        <w:t xml:space="preserve"> </w:t>
      </w:r>
      <w:r w:rsidRPr="004B2480">
        <w:t>Department of Health 2022</w:t>
      </w:r>
      <w:r w:rsidR="00731386">
        <w:t>,</w:t>
      </w:r>
      <w:r w:rsidRPr="004B2480">
        <w:t xml:space="preserve"> </w:t>
      </w:r>
      <w:r w:rsidRPr="004B2480">
        <w:rPr>
          <w:i/>
          <w:iCs/>
        </w:rPr>
        <w:t>Victorian hepatitis B plan 2022</w:t>
      </w:r>
      <w:r w:rsidR="008166A7">
        <w:rPr>
          <w:i/>
          <w:iCs/>
        </w:rPr>
        <w:t>–</w:t>
      </w:r>
      <w:r w:rsidRPr="004B2480">
        <w:rPr>
          <w:i/>
          <w:iCs/>
        </w:rPr>
        <w:t>30</w:t>
      </w:r>
      <w:r w:rsidR="00731386">
        <w:t>,</w:t>
      </w:r>
      <w:r w:rsidRPr="004B2480">
        <w:t xml:space="preserve"> State Government of Victoria, Melbourne</w:t>
      </w:r>
      <w:r>
        <w:t>.</w:t>
      </w:r>
    </w:p>
  </w:footnote>
  <w:footnote w:id="134">
    <w:p w14:paraId="1930B196" w14:textId="0EE4EA14" w:rsidR="00AC4826" w:rsidRPr="00AC4826" w:rsidRDefault="00AC4826" w:rsidP="00AC4826">
      <w:pPr>
        <w:autoSpaceDE w:val="0"/>
        <w:autoSpaceDN w:val="0"/>
        <w:adjustRightInd w:val="0"/>
        <w:rPr>
          <w:rFonts w:ascii="Arial" w:eastAsia="Roboto-Light" w:hAnsi="Arial" w:cs="Arial"/>
          <w:sz w:val="16"/>
          <w:szCs w:val="16"/>
        </w:rPr>
      </w:pPr>
      <w:r w:rsidRPr="00AC4826">
        <w:rPr>
          <w:rStyle w:val="FootnoteReference"/>
          <w:rFonts w:cs="Arial"/>
          <w:sz w:val="16"/>
          <w:szCs w:val="16"/>
        </w:rPr>
        <w:footnoteRef/>
      </w:r>
      <w:r w:rsidRPr="00AC4826">
        <w:rPr>
          <w:rFonts w:ascii="Arial" w:hAnsi="Arial" w:cs="Arial"/>
          <w:sz w:val="16"/>
          <w:szCs w:val="16"/>
        </w:rPr>
        <w:t xml:space="preserve"> </w:t>
      </w:r>
      <w:r w:rsidRPr="00AC4826">
        <w:rPr>
          <w:rFonts w:ascii="Arial" w:eastAsia="Roboto-Light" w:hAnsi="Arial" w:cs="Arial"/>
          <w:sz w:val="16"/>
          <w:szCs w:val="16"/>
        </w:rPr>
        <w:t xml:space="preserve">Unspecified hepatitis C </w:t>
      </w:r>
      <w:r w:rsidR="00F802FE">
        <w:rPr>
          <w:rFonts w:ascii="Arial" w:eastAsia="Roboto-Light" w:hAnsi="Arial" w:cs="Arial"/>
          <w:sz w:val="16"/>
          <w:szCs w:val="16"/>
        </w:rPr>
        <w:t xml:space="preserve">(HCV) </w:t>
      </w:r>
      <w:r w:rsidRPr="00AC4826">
        <w:rPr>
          <w:rFonts w:ascii="Arial" w:eastAsia="Roboto-Light" w:hAnsi="Arial" w:cs="Arial"/>
          <w:sz w:val="16"/>
          <w:szCs w:val="16"/>
        </w:rPr>
        <w:t xml:space="preserve">notifications (cases that do not meet any of the criteria for a newly acquired case or acquired </w:t>
      </w:r>
      <w:r w:rsidR="00F802FE">
        <w:rPr>
          <w:rFonts w:ascii="Arial" w:eastAsia="Roboto-Light" w:hAnsi="Arial" w:cs="Arial"/>
          <w:sz w:val="16"/>
          <w:szCs w:val="16"/>
        </w:rPr>
        <w:t>HCV</w:t>
      </w:r>
      <w:r w:rsidRPr="00AC4826">
        <w:rPr>
          <w:rFonts w:ascii="Arial" w:eastAsia="Roboto-Light" w:hAnsi="Arial" w:cs="Arial"/>
          <w:sz w:val="16"/>
          <w:szCs w:val="16"/>
        </w:rPr>
        <w:t xml:space="preserve"> more than 24 months before diagnosis).</w:t>
      </w:r>
    </w:p>
  </w:footnote>
  <w:footnote w:id="135">
    <w:p w14:paraId="3EF0BA71" w14:textId="1552C388" w:rsidR="0072736E" w:rsidRPr="00413E9A" w:rsidRDefault="0072736E" w:rsidP="000C78CC">
      <w:pPr>
        <w:pStyle w:val="FootnoteText"/>
      </w:pPr>
      <w:r>
        <w:rPr>
          <w:rStyle w:val="FootnoteReference"/>
        </w:rPr>
        <w:footnoteRef/>
      </w:r>
      <w:r>
        <w:t xml:space="preserve"> </w:t>
      </w:r>
      <w:r w:rsidRPr="00413E9A">
        <w:t>Department of Health</w:t>
      </w:r>
      <w:r w:rsidR="00772F12" w:rsidRPr="00413E9A">
        <w:t xml:space="preserve"> 2022</w:t>
      </w:r>
      <w:r w:rsidR="00F802FE">
        <w:t>,</w:t>
      </w:r>
      <w:r w:rsidRPr="00413E9A">
        <w:t xml:space="preserve"> </w:t>
      </w:r>
      <w:r w:rsidRPr="00984F72">
        <w:rPr>
          <w:i/>
          <w:iCs/>
        </w:rPr>
        <w:t xml:space="preserve">Victorian hepatitis </w:t>
      </w:r>
      <w:r w:rsidR="00772F12" w:rsidRPr="00984F72">
        <w:rPr>
          <w:i/>
          <w:iCs/>
        </w:rPr>
        <w:t>C plan 2022</w:t>
      </w:r>
      <w:r w:rsidR="00F802FE" w:rsidRPr="00984F72">
        <w:rPr>
          <w:i/>
          <w:iCs/>
        </w:rPr>
        <w:t>–</w:t>
      </w:r>
      <w:r w:rsidR="00772F12" w:rsidRPr="00984F72">
        <w:rPr>
          <w:i/>
          <w:iCs/>
        </w:rPr>
        <w:t>30</w:t>
      </w:r>
      <w:r w:rsidR="00F802FE">
        <w:t>,</w:t>
      </w:r>
      <w:r w:rsidRPr="00413E9A">
        <w:t xml:space="preserve"> State Government of Victoria, Melbourne.</w:t>
      </w:r>
    </w:p>
  </w:footnote>
  <w:footnote w:id="136">
    <w:p w14:paraId="342D5532" w14:textId="7FC81712" w:rsidR="0072736E" w:rsidRDefault="0072736E" w:rsidP="000C78CC">
      <w:pPr>
        <w:pStyle w:val="FootnoteText"/>
      </w:pPr>
      <w:r w:rsidRPr="00413E9A">
        <w:rPr>
          <w:rStyle w:val="FootnoteReference"/>
        </w:rPr>
        <w:footnoteRef/>
      </w:r>
      <w:r w:rsidRPr="00413E9A">
        <w:t xml:space="preserve"> H</w:t>
      </w:r>
      <w:r w:rsidR="00F802FE">
        <w:t xml:space="preserve">CV </w:t>
      </w:r>
      <w:r w:rsidRPr="00413E9A">
        <w:t xml:space="preserve">is classified into two categories: newly acquired and unspecified. For the purposes of this report unspecified </w:t>
      </w:r>
      <w:r w:rsidR="00F802FE">
        <w:t>H</w:t>
      </w:r>
      <w:r w:rsidRPr="00413E9A">
        <w:t>C</w:t>
      </w:r>
      <w:r w:rsidR="00F802FE">
        <w:t>V</w:t>
      </w:r>
      <w:r w:rsidRPr="00413E9A">
        <w:t xml:space="preserve"> is defined as an infection acquired more than 24 months prior to diagnosis or unspecified period of time. Unspecified </w:t>
      </w:r>
      <w:r w:rsidR="00F802FE">
        <w:t>HCV</w:t>
      </w:r>
      <w:r w:rsidRPr="00413E9A">
        <w:t xml:space="preserve"> generally considered a chronic infection.</w:t>
      </w:r>
    </w:p>
  </w:footnote>
  <w:footnote w:id="137">
    <w:p w14:paraId="5666B984" w14:textId="77777777" w:rsidR="00BA32DF" w:rsidRDefault="00BA32DF"/>
    <w:p w14:paraId="4A2A3854" w14:textId="00E7D2A8" w:rsidR="0072736E" w:rsidRDefault="0072736E" w:rsidP="000C78CC">
      <w:pPr>
        <w:pStyle w:val="FootnoteText"/>
      </w:pPr>
    </w:p>
  </w:footnote>
  <w:footnote w:id="138">
    <w:p w14:paraId="6DA10ABA" w14:textId="343F50D6" w:rsidR="00B32DC0" w:rsidRPr="00B32DC0" w:rsidRDefault="00B32DC0">
      <w:pPr>
        <w:pStyle w:val="FootnoteText"/>
        <w:rPr>
          <w:lang w:val="en-US"/>
        </w:rPr>
      </w:pPr>
      <w:r>
        <w:rPr>
          <w:rStyle w:val="FootnoteReference"/>
        </w:rPr>
        <w:footnoteRef/>
      </w:r>
      <w:r>
        <w:t xml:space="preserve"> This may include services to ensure HBV-related information on screening, vaccination and chronic disease management for migrations/refugees and people seeking asylum.</w:t>
      </w:r>
    </w:p>
  </w:footnote>
  <w:footnote w:id="139">
    <w:p w14:paraId="189BBB19" w14:textId="08A1954C" w:rsidR="0072736E" w:rsidRPr="00FF2BD2" w:rsidRDefault="0072736E" w:rsidP="00984F72">
      <w:pPr>
        <w:pStyle w:val="FootnoteText"/>
      </w:pPr>
      <w:r w:rsidRPr="00FF2BD2">
        <w:rPr>
          <w:rStyle w:val="FootnoteReference"/>
          <w:rFonts w:eastAsia="MS Mincho"/>
          <w:sz w:val="16"/>
        </w:rPr>
        <w:footnoteRef/>
      </w:r>
      <w:r w:rsidRPr="00FF2BD2">
        <w:t xml:space="preserve"> Iversen J, Maher L</w:t>
      </w:r>
      <w:r>
        <w:t xml:space="preserve"> 2015</w:t>
      </w:r>
      <w:r w:rsidR="00F802FE">
        <w:t>,</w:t>
      </w:r>
      <w:r w:rsidRPr="00FF2BD2">
        <w:t xml:space="preserve"> </w:t>
      </w:r>
      <w:r w:rsidRPr="00984F72">
        <w:rPr>
          <w:i/>
          <w:iCs/>
        </w:rPr>
        <w:t>Australian NSP survey: prevalence of HIV, HCV and injecting and sexual behaviour among needle and syringe program attendees: 20-year national data report 1995–2014</w:t>
      </w:r>
      <w:r w:rsidR="00C06A08">
        <w:t>,</w:t>
      </w:r>
      <w:r w:rsidRPr="00FF2BD2">
        <w:t xml:space="preserve"> Kirby Institute, UNSW</w:t>
      </w:r>
      <w:r>
        <w:t xml:space="preserve">, </w:t>
      </w:r>
      <w:r w:rsidRPr="00FF2BD2">
        <w:t>Sydney.</w:t>
      </w:r>
    </w:p>
  </w:footnote>
  <w:footnote w:id="140">
    <w:p w14:paraId="3B114DB3" w14:textId="0066F3BF" w:rsidR="00921B4D" w:rsidRDefault="00921B4D">
      <w:pPr>
        <w:pStyle w:val="FootnoteText"/>
      </w:pPr>
      <w:r>
        <w:rPr>
          <w:rStyle w:val="FootnoteReference"/>
        </w:rPr>
        <w:footnoteRef/>
      </w:r>
      <w:r>
        <w:t xml:space="preserve"> </w:t>
      </w:r>
      <w:r w:rsidRPr="00413E9A">
        <w:t>Department of Health 2022</w:t>
      </w:r>
      <w:r w:rsidR="00F802FE">
        <w:t>,</w:t>
      </w:r>
      <w:r w:rsidRPr="00413E9A">
        <w:t xml:space="preserve"> </w:t>
      </w:r>
      <w:r w:rsidRPr="00984F72">
        <w:rPr>
          <w:i/>
          <w:iCs/>
        </w:rPr>
        <w:t>Victorian hepatitis C plan 2022</w:t>
      </w:r>
      <w:r w:rsidR="00F802FE">
        <w:rPr>
          <w:i/>
          <w:iCs/>
        </w:rPr>
        <w:t>–</w:t>
      </w:r>
      <w:r w:rsidRPr="00984F72">
        <w:rPr>
          <w:i/>
          <w:iCs/>
        </w:rPr>
        <w:t>30</w:t>
      </w:r>
      <w:r w:rsidR="00F802FE">
        <w:t>,</w:t>
      </w:r>
      <w:r w:rsidRPr="00413E9A">
        <w:t xml:space="preserve"> State Government of Victoria, Melbourne.</w:t>
      </w:r>
    </w:p>
  </w:footnote>
  <w:footnote w:id="141">
    <w:p w14:paraId="54C3031E" w14:textId="3A3A11C6" w:rsidR="0072736E" w:rsidRDefault="0072736E">
      <w:pPr>
        <w:pStyle w:val="FootnoteText"/>
      </w:pPr>
      <w:r>
        <w:rPr>
          <w:rStyle w:val="FootnoteReference"/>
        </w:rPr>
        <w:footnoteRef/>
      </w:r>
      <w:r>
        <w:t xml:space="preserve"> </w:t>
      </w:r>
      <w:r w:rsidRPr="00F40C1D">
        <w:t>It is recognised that both males and females can develop breast cancer.</w:t>
      </w:r>
      <w:r>
        <w:t xml:space="preserve"> </w:t>
      </w:r>
      <w:r w:rsidRPr="00F40C1D">
        <w:rPr>
          <w:color w:val="000000"/>
        </w:rPr>
        <w:t>However, the proportion of females who develop breast cancer is much higher than the proportion of males who do so. To present the proportion across the entire population (males and females) would not accurately reflect the burden of breast cancer in females. Hence for this measure, all cases of male breast cancer were excluded.</w:t>
      </w:r>
    </w:p>
  </w:footnote>
  <w:footnote w:id="142">
    <w:p w14:paraId="1491CCF8" w14:textId="30B1951E" w:rsidR="0072736E" w:rsidRDefault="0072736E" w:rsidP="00170972">
      <w:pPr>
        <w:pStyle w:val="FootnoteText"/>
      </w:pPr>
      <w:r>
        <w:rPr>
          <w:rStyle w:val="FootnoteReference"/>
        </w:rPr>
        <w:footnoteRef/>
      </w:r>
      <w:r>
        <w:t xml:space="preserve"> </w:t>
      </w:r>
      <w:r w:rsidR="00196444">
        <w:t xml:space="preserve">Refer to </w:t>
      </w:r>
      <w:hyperlink r:id="rId9" w:history="1">
        <w:r w:rsidRPr="0085603F">
          <w:rPr>
            <w:rStyle w:val="Hyperlink"/>
            <w:i/>
            <w:iCs/>
          </w:rPr>
          <w:t>Australia’s health 2018</w:t>
        </w:r>
      </w:hyperlink>
      <w:r>
        <w:t xml:space="preserve"> </w:t>
      </w:r>
      <w:r w:rsidR="00196444">
        <w:t>&lt;</w:t>
      </w:r>
      <w:r w:rsidRPr="00B02763">
        <w:t>https://www.aihw.gov.au/getmedia/7c42913d-295f-4bc9-9c24-4e44eff4a04a/aihw-aus-221.pdf.aspx?inline=true</w:t>
      </w:r>
      <w:r w:rsidR="00196444">
        <w:t>&gt;</w:t>
      </w:r>
      <w:r w:rsidR="0035684F">
        <w:t>.</w:t>
      </w:r>
    </w:p>
  </w:footnote>
  <w:footnote w:id="143">
    <w:p w14:paraId="05725941" w14:textId="516C73C5" w:rsidR="0072736E" w:rsidRDefault="0072736E">
      <w:pPr>
        <w:pStyle w:val="FootnoteText"/>
      </w:pPr>
      <w:r>
        <w:rPr>
          <w:rStyle w:val="FootnoteReference"/>
        </w:rPr>
        <w:footnoteRef/>
      </w:r>
      <w:r>
        <w:t xml:space="preserve"> </w:t>
      </w:r>
      <w:r w:rsidR="00E6252F">
        <w:t>Victorian Cancer Registry</w:t>
      </w:r>
      <w:r w:rsidR="00CA6DE3">
        <w:t xml:space="preserve"> </w:t>
      </w:r>
      <w:r w:rsidR="00E6252F">
        <w:t>2022</w:t>
      </w:r>
      <w:r w:rsidR="00CA6DE3" w:rsidRPr="00F01CEF">
        <w:t>,</w:t>
      </w:r>
      <w:r w:rsidR="00E6252F" w:rsidRPr="00F01CEF">
        <w:t xml:space="preserve"> </w:t>
      </w:r>
      <w:r w:rsidR="00E6252F" w:rsidRPr="0085603F">
        <w:rPr>
          <w:i/>
          <w:iCs/>
        </w:rPr>
        <w:t>Cancer in Victoria, 2021</w:t>
      </w:r>
      <w:r w:rsidR="00CA6DE3" w:rsidRPr="00F01CEF">
        <w:t>,</w:t>
      </w:r>
      <w:r w:rsidR="00E6252F" w:rsidRPr="00F01CEF">
        <w:t xml:space="preserve"> Cancer Council Victoria, Melbourne.</w:t>
      </w:r>
    </w:p>
  </w:footnote>
  <w:footnote w:id="144">
    <w:p w14:paraId="7E3A24BA" w14:textId="2DCE8E9D" w:rsidR="001346FC" w:rsidRDefault="001346FC">
      <w:pPr>
        <w:pStyle w:val="FootnoteText"/>
      </w:pPr>
      <w:r>
        <w:rPr>
          <w:rStyle w:val="FootnoteReference"/>
        </w:rPr>
        <w:footnoteRef/>
      </w:r>
      <w:r>
        <w:t xml:space="preserve"> Ibid.</w:t>
      </w:r>
    </w:p>
  </w:footnote>
  <w:footnote w:id="145">
    <w:p w14:paraId="402A5FEC" w14:textId="7131F2A7" w:rsidR="0072736E" w:rsidRDefault="0072736E">
      <w:pPr>
        <w:pStyle w:val="FootnoteText"/>
      </w:pPr>
      <w:r>
        <w:rPr>
          <w:rStyle w:val="FootnoteReference"/>
        </w:rPr>
        <w:footnoteRef/>
      </w:r>
      <w:r>
        <w:t xml:space="preserve"> </w:t>
      </w:r>
      <w:r w:rsidRPr="00DA2713">
        <w:rPr>
          <w:rFonts w:cs="Open Sans"/>
          <w:color w:val="000000"/>
        </w:rPr>
        <w:t xml:space="preserve">Youlden DR, Cramb SM, Dunn NAM, </w:t>
      </w:r>
      <w:r>
        <w:rPr>
          <w:rFonts w:cs="Open Sans"/>
          <w:color w:val="000000"/>
        </w:rPr>
        <w:t>et al</w:t>
      </w:r>
      <w:r w:rsidRPr="00DA2713">
        <w:rPr>
          <w:rFonts w:cs="Open Sans"/>
          <w:color w:val="000000"/>
        </w:rPr>
        <w:t xml:space="preserve">. </w:t>
      </w:r>
      <w:r>
        <w:rPr>
          <w:rFonts w:cs="Open Sans"/>
          <w:color w:val="000000"/>
        </w:rPr>
        <w:t>2012</w:t>
      </w:r>
      <w:r w:rsidR="00B5121D">
        <w:rPr>
          <w:rFonts w:cs="Open Sans"/>
          <w:color w:val="000000"/>
        </w:rPr>
        <w:t>,</w:t>
      </w:r>
      <w:r>
        <w:rPr>
          <w:rFonts w:cs="Open Sans"/>
          <w:color w:val="000000"/>
        </w:rPr>
        <w:t xml:space="preserve"> </w:t>
      </w:r>
      <w:r w:rsidR="00B5121D">
        <w:rPr>
          <w:rFonts w:cs="Open Sans"/>
          <w:color w:val="000000"/>
        </w:rPr>
        <w:t>‘</w:t>
      </w:r>
      <w:r w:rsidRPr="00DA2713">
        <w:rPr>
          <w:rFonts w:cs="Open Sans"/>
          <w:color w:val="000000"/>
        </w:rPr>
        <w:t>The descriptive epidemiology of female breast cancer: an international comparison of screening, incidence, survival and mortality</w:t>
      </w:r>
      <w:r w:rsidR="00B5121D">
        <w:rPr>
          <w:rFonts w:cs="Open Sans"/>
          <w:color w:val="000000"/>
        </w:rPr>
        <w:t>’,</w:t>
      </w:r>
      <w:r w:rsidRPr="00DA2713">
        <w:rPr>
          <w:rFonts w:cs="Open Sans"/>
          <w:color w:val="000000"/>
        </w:rPr>
        <w:t xml:space="preserve"> </w:t>
      </w:r>
      <w:r w:rsidRPr="00AF5717">
        <w:rPr>
          <w:rFonts w:cs="Open Sans"/>
          <w:i/>
          <w:iCs/>
          <w:color w:val="000000"/>
        </w:rPr>
        <w:t>Cancer Epidemiology</w:t>
      </w:r>
      <w:r w:rsidRPr="00DA2713">
        <w:rPr>
          <w:rFonts w:cs="Open Sans"/>
          <w:color w:val="000000"/>
        </w:rPr>
        <w:t xml:space="preserve"> 36:237</w:t>
      </w:r>
      <w:r w:rsidR="00B5121D">
        <w:rPr>
          <w:rFonts w:cs="Open Sans"/>
          <w:color w:val="000000"/>
        </w:rPr>
        <w:t>–2</w:t>
      </w:r>
      <w:r w:rsidRPr="00DA2713">
        <w:rPr>
          <w:rFonts w:cs="Open Sans"/>
          <w:color w:val="000000"/>
        </w:rPr>
        <w:t>48.</w:t>
      </w:r>
    </w:p>
  </w:footnote>
  <w:footnote w:id="146">
    <w:p w14:paraId="3C7B1D09" w14:textId="1A294C45" w:rsidR="0072736E" w:rsidRPr="001A2A05" w:rsidRDefault="0072736E" w:rsidP="004D5453">
      <w:pPr>
        <w:pStyle w:val="FootnoteText"/>
        <w:rPr>
          <w:lang w:val="en"/>
        </w:rPr>
      </w:pPr>
      <w:r>
        <w:rPr>
          <w:rStyle w:val="FootnoteReference"/>
        </w:rPr>
        <w:footnoteRef/>
      </w:r>
      <w:r>
        <w:t xml:space="preserve"> </w:t>
      </w:r>
      <w:r w:rsidRPr="0034084F">
        <w:t xml:space="preserve">Women aged 40–49 and 75 </w:t>
      </w:r>
      <w:r>
        <w:t>or older</w:t>
      </w:r>
      <w:r w:rsidRPr="0034084F">
        <w:t xml:space="preserve"> are also eligible to </w:t>
      </w:r>
      <w:r>
        <w:t>participate in the national breast screening program</w:t>
      </w:r>
      <w:r w:rsidRPr="0034084F">
        <w:t xml:space="preserve"> but are not actively targeted.</w:t>
      </w:r>
    </w:p>
  </w:footnote>
  <w:footnote w:id="147">
    <w:p w14:paraId="1E3500CA" w14:textId="283DBB5C" w:rsidR="00BA2AAC" w:rsidRDefault="00BA2AAC">
      <w:pPr>
        <w:pStyle w:val="FootnoteText"/>
      </w:pPr>
      <w:r>
        <w:rPr>
          <w:rStyle w:val="FootnoteReference"/>
        </w:rPr>
        <w:footnoteRef/>
      </w:r>
      <w:r>
        <w:t xml:space="preserve"> Department of </w:t>
      </w:r>
      <w:r w:rsidR="001606C1">
        <w:t>Health and Human Services 2020. Victorian cancer plan 2020-2024 – Improving cancer outcomes for all Victorians. State of Victoria, Department of Health and Human Services</w:t>
      </w:r>
      <w:r w:rsidR="00D027BF">
        <w:t>, Melbourne.</w:t>
      </w:r>
    </w:p>
  </w:footnote>
  <w:footnote w:id="148">
    <w:p w14:paraId="71CAD5BA" w14:textId="7289CC16" w:rsidR="0072736E" w:rsidRPr="00791B1F" w:rsidRDefault="0072736E" w:rsidP="004D5453">
      <w:pPr>
        <w:pStyle w:val="FootnoteText"/>
      </w:pPr>
      <w:r>
        <w:rPr>
          <w:rStyle w:val="FootnoteReference"/>
        </w:rPr>
        <w:footnoteRef/>
      </w:r>
      <w:r>
        <w:t xml:space="preserve"> </w:t>
      </w:r>
      <w:r w:rsidRPr="00791B1F">
        <w:t>O'Hara J</w:t>
      </w:r>
      <w:r>
        <w:t>,</w:t>
      </w:r>
      <w:r w:rsidRPr="00791B1F">
        <w:t xml:space="preserve"> McPhee,</w:t>
      </w:r>
      <w:r>
        <w:t xml:space="preserve"> </w:t>
      </w:r>
      <w:r w:rsidRPr="00791B1F">
        <w:t>C, Dodson S</w:t>
      </w:r>
      <w:r>
        <w:t xml:space="preserve">, et al. </w:t>
      </w:r>
      <w:r w:rsidRPr="00791B1F">
        <w:t>2018</w:t>
      </w:r>
      <w:r w:rsidR="00246747">
        <w:t>,</w:t>
      </w:r>
      <w:r w:rsidRPr="00791B1F">
        <w:t xml:space="preserve"> </w:t>
      </w:r>
      <w:r w:rsidR="00246747">
        <w:t>‘</w:t>
      </w:r>
      <w:r w:rsidRPr="00791B1F">
        <w:t>Barriers to breast cancer</w:t>
      </w:r>
      <w:r>
        <w:t xml:space="preserve"> </w:t>
      </w:r>
      <w:r w:rsidRPr="00791B1F">
        <w:t>screening among diverse cultural groups in Melbourne, Australia</w:t>
      </w:r>
      <w:r w:rsidR="00246747">
        <w:t>’,</w:t>
      </w:r>
      <w:r w:rsidRPr="00791B1F">
        <w:rPr>
          <w:i/>
          <w:iCs/>
        </w:rPr>
        <w:t xml:space="preserve"> </w:t>
      </w:r>
      <w:r w:rsidRPr="00AF5717">
        <w:rPr>
          <w:i/>
        </w:rPr>
        <w:t>International Journal of Environmental Research and Public Health</w:t>
      </w:r>
      <w:r w:rsidR="00246747">
        <w:t>,</w:t>
      </w:r>
      <w:r w:rsidRPr="00791B1F">
        <w:t xml:space="preserve"> 15</w:t>
      </w:r>
      <w:r>
        <w:t xml:space="preserve"> (8):</w:t>
      </w:r>
      <w:r w:rsidRPr="00791B1F">
        <w:t>1677</w:t>
      </w:r>
      <w:r>
        <w:t>:</w:t>
      </w:r>
      <w:r w:rsidRPr="00791B1F">
        <w:t>1</w:t>
      </w:r>
      <w:r w:rsidR="00246747">
        <w:t>–</w:t>
      </w:r>
      <w:r w:rsidRPr="00791B1F">
        <w:t>13.</w:t>
      </w:r>
    </w:p>
  </w:footnote>
  <w:footnote w:id="149">
    <w:p w14:paraId="54E01101" w14:textId="2B2A1BA1" w:rsidR="000F5F8B" w:rsidRDefault="000F5F8B">
      <w:pPr>
        <w:pStyle w:val="FootnoteText"/>
      </w:pPr>
      <w:r>
        <w:rPr>
          <w:rStyle w:val="FootnoteReference"/>
        </w:rPr>
        <w:footnoteRef/>
      </w:r>
      <w:r>
        <w:t xml:space="preserve"> Victorian Cancer Registry 2022</w:t>
      </w:r>
      <w:r w:rsidR="00CA6DE3" w:rsidRPr="00F01CEF">
        <w:t>,</w:t>
      </w:r>
      <w:r w:rsidRPr="00F01CEF">
        <w:t xml:space="preserve"> </w:t>
      </w:r>
      <w:r w:rsidRPr="00AF5717">
        <w:rPr>
          <w:i/>
          <w:iCs/>
        </w:rPr>
        <w:t>Cancer in Victoria, 2021</w:t>
      </w:r>
      <w:r w:rsidR="00CA6DE3" w:rsidRPr="00F01CEF">
        <w:t>,</w:t>
      </w:r>
      <w:r w:rsidRPr="00F01CEF">
        <w:t xml:space="preserve"> Cancer Council Victoria, Melbourne.</w:t>
      </w:r>
    </w:p>
  </w:footnote>
  <w:footnote w:id="150">
    <w:p w14:paraId="2D419DAD" w14:textId="362F6E1F" w:rsidR="000F5F8B" w:rsidRDefault="000F5F8B">
      <w:pPr>
        <w:pStyle w:val="FootnoteText"/>
      </w:pPr>
      <w:r>
        <w:rPr>
          <w:rStyle w:val="FootnoteReference"/>
        </w:rPr>
        <w:footnoteRef/>
      </w:r>
      <w:r>
        <w:t xml:space="preserve"> Ibid.</w:t>
      </w:r>
    </w:p>
  </w:footnote>
  <w:footnote w:id="151">
    <w:p w14:paraId="07CE7A19" w14:textId="53ED5786" w:rsidR="00D06389" w:rsidRDefault="00D06389">
      <w:pPr>
        <w:pStyle w:val="FootnoteText"/>
      </w:pPr>
      <w:r>
        <w:rPr>
          <w:rStyle w:val="FootnoteReference"/>
        </w:rPr>
        <w:footnoteRef/>
      </w:r>
      <w:r>
        <w:t xml:space="preserve"> Ibid.</w:t>
      </w:r>
    </w:p>
  </w:footnote>
  <w:footnote w:id="152">
    <w:p w14:paraId="6A369196" w14:textId="56AF946F" w:rsidR="0072736E" w:rsidRPr="006C3747" w:rsidRDefault="0072736E" w:rsidP="00ED3649">
      <w:pPr>
        <w:pStyle w:val="DHHSbody"/>
        <w:rPr>
          <w:rStyle w:val="FootnoteTextChar"/>
        </w:rPr>
      </w:pPr>
      <w:r w:rsidRPr="00912BCA">
        <w:rPr>
          <w:rStyle w:val="FootnoteReference"/>
          <w:sz w:val="16"/>
          <w:szCs w:val="16"/>
        </w:rPr>
        <w:footnoteRef/>
      </w:r>
      <w:r>
        <w:t xml:space="preserve"> </w:t>
      </w:r>
      <w:r w:rsidRPr="006C3747">
        <w:rPr>
          <w:rStyle w:val="FootnoteTextChar"/>
        </w:rPr>
        <w:t>Metastasis is a term used to describe the spread of cancer.</w:t>
      </w:r>
    </w:p>
  </w:footnote>
  <w:footnote w:id="153">
    <w:p w14:paraId="24B8F527" w14:textId="6C901812" w:rsidR="00F60206" w:rsidRDefault="00F60206" w:rsidP="00F60206">
      <w:pPr>
        <w:pStyle w:val="FootnoteText"/>
      </w:pPr>
      <w:r>
        <w:rPr>
          <w:rStyle w:val="FootnoteReference"/>
        </w:rPr>
        <w:footnoteRef/>
      </w:r>
      <w:r>
        <w:t xml:space="preserve"> </w:t>
      </w:r>
      <w:r w:rsidRPr="00F60206">
        <w:t>Australian Institute of Health and Welfare</w:t>
      </w:r>
      <w:r w:rsidR="00F33DDC">
        <w:t xml:space="preserve"> 2021,</w:t>
      </w:r>
      <w:r w:rsidRPr="00F60206">
        <w:t xml:space="preserve"> </w:t>
      </w:r>
      <w:r w:rsidRPr="008823DA">
        <w:rPr>
          <w:i/>
          <w:iCs/>
        </w:rPr>
        <w:t xml:space="preserve">National Bowel Cancer Screening Program </w:t>
      </w:r>
      <w:r w:rsidR="008823DA">
        <w:rPr>
          <w:i/>
          <w:iCs/>
        </w:rPr>
        <w:t>M</w:t>
      </w:r>
      <w:r w:rsidRPr="008823DA">
        <w:rPr>
          <w:i/>
          <w:iCs/>
        </w:rPr>
        <w:t xml:space="preserve">onitoring </w:t>
      </w:r>
      <w:r w:rsidR="008823DA">
        <w:rPr>
          <w:i/>
          <w:iCs/>
        </w:rPr>
        <w:t>R</w:t>
      </w:r>
      <w:r w:rsidRPr="008823DA">
        <w:rPr>
          <w:i/>
          <w:iCs/>
        </w:rPr>
        <w:t>eport</w:t>
      </w:r>
      <w:r w:rsidR="00F33DDC">
        <w:t>. Available from:</w:t>
      </w:r>
      <w:r w:rsidRPr="00F60206">
        <w:t xml:space="preserve"> https://www.aihw.gov.au/reports/cancer</w:t>
      </w:r>
      <w:r w:rsidRPr="00F60206">
        <w:rPr>
          <w:rFonts w:ascii="Cambria Math" w:hAnsi="Cambria Math" w:cs="Cambria Math"/>
        </w:rPr>
        <w:t>‐</w:t>
      </w:r>
      <w:r w:rsidRPr="00F60206">
        <w:t>screening/nbcsp</w:t>
      </w:r>
      <w:r w:rsidRPr="00F60206">
        <w:rPr>
          <w:rFonts w:ascii="Cambria Math" w:hAnsi="Cambria Math" w:cs="Cambria Math"/>
        </w:rPr>
        <w:t>‐</w:t>
      </w:r>
      <w:r w:rsidRPr="00F60206">
        <w:t>monitoring</w:t>
      </w:r>
      <w:r w:rsidRPr="00F60206">
        <w:rPr>
          <w:rFonts w:ascii="Cambria Math" w:hAnsi="Cambria Math" w:cs="Cambria Math"/>
        </w:rPr>
        <w:t>‐</w:t>
      </w:r>
      <w:r w:rsidRPr="00F60206">
        <w:t>report</w:t>
      </w:r>
      <w:r w:rsidRPr="00F60206">
        <w:rPr>
          <w:rFonts w:ascii="Cambria Math" w:hAnsi="Cambria Math" w:cs="Cambria Math"/>
        </w:rPr>
        <w:t>‐</w:t>
      </w:r>
      <w:r w:rsidRPr="00F60206">
        <w:t>2021/summary.</w:t>
      </w:r>
    </w:p>
  </w:footnote>
  <w:footnote w:id="154">
    <w:p w14:paraId="642EBB73" w14:textId="0EE45B42" w:rsidR="00E557C2" w:rsidRDefault="00E557C2">
      <w:pPr>
        <w:pStyle w:val="FootnoteText"/>
      </w:pPr>
      <w:r>
        <w:rPr>
          <w:rStyle w:val="FootnoteReference"/>
        </w:rPr>
        <w:footnoteRef/>
      </w:r>
      <w:r>
        <w:t xml:space="preserve"> </w:t>
      </w:r>
      <w:r w:rsidRPr="00E557C2">
        <w:rPr>
          <w:color w:val="222222"/>
          <w:shd w:val="clear" w:color="auto" w:fill="FFFFFF"/>
        </w:rPr>
        <w:t xml:space="preserve">Denton EJ, Hart D, Russell PA, </w:t>
      </w:r>
      <w:r w:rsidR="00F33DDC">
        <w:rPr>
          <w:color w:val="222222"/>
          <w:shd w:val="clear" w:color="auto" w:fill="FFFFFF"/>
        </w:rPr>
        <w:t>et al.</w:t>
      </w:r>
      <w:r w:rsidRPr="00E557C2">
        <w:rPr>
          <w:color w:val="222222"/>
          <w:shd w:val="clear" w:color="auto" w:fill="FFFFFF"/>
        </w:rPr>
        <w:t xml:space="preserve"> </w:t>
      </w:r>
      <w:r>
        <w:rPr>
          <w:color w:val="222222"/>
          <w:shd w:val="clear" w:color="auto" w:fill="FFFFFF"/>
        </w:rPr>
        <w:t>2017</w:t>
      </w:r>
      <w:r w:rsidR="00F33DDC">
        <w:rPr>
          <w:color w:val="222222"/>
          <w:shd w:val="clear" w:color="auto" w:fill="FFFFFF"/>
        </w:rPr>
        <w:t>,</w:t>
      </w:r>
      <w:r>
        <w:rPr>
          <w:color w:val="222222"/>
          <w:shd w:val="clear" w:color="auto" w:fill="FFFFFF"/>
        </w:rPr>
        <w:t xml:space="preserve"> </w:t>
      </w:r>
      <w:r w:rsidR="00F33DDC">
        <w:rPr>
          <w:color w:val="222222"/>
          <w:shd w:val="clear" w:color="auto" w:fill="FFFFFF"/>
        </w:rPr>
        <w:t>‘</w:t>
      </w:r>
      <w:r w:rsidRPr="00E557C2">
        <w:rPr>
          <w:color w:val="222222"/>
          <w:shd w:val="clear" w:color="auto" w:fill="FFFFFF"/>
        </w:rPr>
        <w:t>Lung cancer and socio</w:t>
      </w:r>
      <w:r w:rsidRPr="00E557C2">
        <w:rPr>
          <w:rFonts w:ascii="Cambria Math" w:hAnsi="Cambria Math" w:cs="Cambria Math"/>
          <w:color w:val="222222"/>
          <w:shd w:val="clear" w:color="auto" w:fill="FFFFFF"/>
        </w:rPr>
        <w:t>‐</w:t>
      </w:r>
      <w:r w:rsidRPr="00E557C2">
        <w:rPr>
          <w:color w:val="222222"/>
          <w:shd w:val="clear" w:color="auto" w:fill="FFFFFF"/>
        </w:rPr>
        <w:t>economic status: inextricably linked to place of residence</w:t>
      </w:r>
      <w:r w:rsidR="00F33DDC">
        <w:rPr>
          <w:color w:val="222222"/>
          <w:shd w:val="clear" w:color="auto" w:fill="FFFFFF"/>
        </w:rPr>
        <w:t>’,</w:t>
      </w:r>
      <w:r w:rsidRPr="00E557C2">
        <w:rPr>
          <w:color w:val="222222"/>
          <w:shd w:val="clear" w:color="auto" w:fill="FFFFFF"/>
        </w:rPr>
        <w:t xml:space="preserve"> </w:t>
      </w:r>
      <w:r w:rsidRPr="008823DA">
        <w:rPr>
          <w:i/>
          <w:iCs/>
          <w:color w:val="222222"/>
          <w:shd w:val="clear" w:color="auto" w:fill="FFFFFF"/>
        </w:rPr>
        <w:t>Internal Medicine Journal</w:t>
      </w:r>
      <w:r>
        <w:rPr>
          <w:color w:val="222222"/>
          <w:shd w:val="clear" w:color="auto" w:fill="FFFFFF"/>
        </w:rPr>
        <w:t xml:space="preserve"> </w:t>
      </w:r>
      <w:r w:rsidRPr="00E557C2">
        <w:rPr>
          <w:color w:val="222222"/>
          <w:shd w:val="clear" w:color="auto" w:fill="FFFFFF"/>
        </w:rPr>
        <w:t>47(5):563</w:t>
      </w:r>
      <w:r w:rsidR="00F33DDC">
        <w:rPr>
          <w:color w:val="222222"/>
          <w:shd w:val="clear" w:color="auto" w:fill="FFFFFF"/>
        </w:rPr>
        <w:t>–56</w:t>
      </w:r>
      <w:r w:rsidRPr="00E557C2">
        <w:rPr>
          <w:color w:val="222222"/>
          <w:shd w:val="clear" w:color="auto" w:fill="FFFFFF"/>
        </w:rPr>
        <w:t>9.</w:t>
      </w:r>
    </w:p>
  </w:footnote>
  <w:footnote w:id="155">
    <w:p w14:paraId="407C88D8" w14:textId="7851B7AA" w:rsidR="00FA7A9A" w:rsidRDefault="00FA7A9A">
      <w:pPr>
        <w:pStyle w:val="FootnoteText"/>
      </w:pPr>
      <w:r>
        <w:rPr>
          <w:rStyle w:val="FootnoteReference"/>
        </w:rPr>
        <w:footnoteRef/>
      </w:r>
      <w:r>
        <w:t xml:space="preserve"> </w:t>
      </w:r>
      <w:r w:rsidR="00F33DDC">
        <w:t xml:space="preserve">Refer to the </w:t>
      </w:r>
      <w:hyperlink r:id="rId10" w:history="1">
        <w:r w:rsidR="00F33DDC" w:rsidRPr="00F33DDC">
          <w:rPr>
            <w:rStyle w:val="Hyperlink"/>
          </w:rPr>
          <w:t>Medical Services Advisory Committee webpage</w:t>
        </w:r>
      </w:hyperlink>
      <w:r w:rsidR="00F33DDC">
        <w:t xml:space="preserve"> &lt;</w:t>
      </w:r>
      <w:r w:rsidRPr="00FA7A9A">
        <w:t>http://www.msac.gov.au/internet/msac/publishing.nsf/Content/C77B956C49CD6841CA25876D000392DF/$File/1699%20Final%20PSD_Jul2022.pdf</w:t>
      </w:r>
      <w:r w:rsidR="00F33DDC">
        <w:t>&gt;.</w:t>
      </w:r>
    </w:p>
  </w:footnote>
  <w:footnote w:id="156">
    <w:p w14:paraId="643DEB63" w14:textId="384A704D" w:rsidR="0072736E" w:rsidRPr="00B842F3" w:rsidRDefault="0072736E" w:rsidP="00E26AC7">
      <w:pPr>
        <w:pStyle w:val="FootnoteText"/>
      </w:pPr>
      <w:r w:rsidRPr="00B842F3">
        <w:rPr>
          <w:rStyle w:val="FootnoteReference"/>
          <w:b/>
        </w:rPr>
        <w:footnoteRef/>
      </w:r>
      <w:r w:rsidRPr="00B842F3">
        <w:t xml:space="preserve"> Hansen RP, Vedsted P, Sokolowski I, </w:t>
      </w:r>
      <w:r>
        <w:t>et al</w:t>
      </w:r>
      <w:r w:rsidR="00117648">
        <w:t>.</w:t>
      </w:r>
      <w:r w:rsidRPr="00B842F3">
        <w:t xml:space="preserve"> </w:t>
      </w:r>
      <w:r>
        <w:t>2011</w:t>
      </w:r>
      <w:r w:rsidR="00117648">
        <w:t>,</w:t>
      </w:r>
      <w:r w:rsidRPr="00B842F3">
        <w:t xml:space="preserve"> </w:t>
      </w:r>
      <w:r w:rsidR="00117648">
        <w:t>‘</w:t>
      </w:r>
      <w:r w:rsidRPr="00B842F3">
        <w:t>Time intervals from first symptom to treatment of cancer: a cohort study of 2,212 newly diagnosed cancer patients</w:t>
      </w:r>
      <w:r w:rsidR="00117648">
        <w:t>’,</w:t>
      </w:r>
      <w:r w:rsidRPr="00B842F3">
        <w:t xml:space="preserve"> </w:t>
      </w:r>
      <w:r w:rsidRPr="008823DA">
        <w:rPr>
          <w:i/>
          <w:iCs/>
        </w:rPr>
        <w:t>BMC Health Services Research</w:t>
      </w:r>
      <w:r w:rsidR="00117648">
        <w:t>,</w:t>
      </w:r>
      <w:r w:rsidRPr="00B842F3">
        <w:t xml:space="preserve"> 11(1):284.</w:t>
      </w:r>
    </w:p>
  </w:footnote>
  <w:footnote w:id="157">
    <w:p w14:paraId="5F28018E" w14:textId="6FCD8232" w:rsidR="0072736E" w:rsidRDefault="0072736E">
      <w:pPr>
        <w:pStyle w:val="FootnoteText"/>
      </w:pPr>
      <w:r>
        <w:rPr>
          <w:rStyle w:val="FootnoteReference"/>
        </w:rPr>
        <w:footnoteRef/>
      </w:r>
      <w:r>
        <w:t xml:space="preserve"> Optimal care pathways in practice refer to targets measured from the referral date, but the data is unavailable. Therefore, the diagnosis date as recorded in the VCR is used to report against Measure 12.1. </w:t>
      </w:r>
    </w:p>
  </w:footnote>
  <w:footnote w:id="158">
    <w:p w14:paraId="5F5A4D50" w14:textId="77777777" w:rsidR="0072736E" w:rsidRDefault="0072736E" w:rsidP="00E26AC7">
      <w:pPr>
        <w:pStyle w:val="FootnoteText"/>
      </w:pPr>
      <w:r w:rsidRPr="00B842F3">
        <w:rPr>
          <w:rStyle w:val="FootnoteReference"/>
        </w:rPr>
        <w:footnoteRef/>
      </w:r>
      <w:r w:rsidRPr="00B842F3">
        <w:t xml:space="preserve"> There are limitations to reporting against this measure</w:t>
      </w:r>
      <w:r>
        <w:t>,</w:t>
      </w:r>
      <w:r w:rsidRPr="00B842F3">
        <w:t xml:space="preserve"> namely</w:t>
      </w:r>
      <w:r>
        <w:t>:</w:t>
      </w:r>
      <w:r w:rsidRPr="00B842F3">
        <w:t xml:space="preserve"> </w:t>
      </w:r>
    </w:p>
    <w:p w14:paraId="2654D0CD" w14:textId="62DCD67A" w:rsidR="0072736E" w:rsidRDefault="0072736E" w:rsidP="00436A0E">
      <w:pPr>
        <w:pStyle w:val="FootnoteText"/>
        <w:numPr>
          <w:ilvl w:val="0"/>
          <w:numId w:val="59"/>
        </w:numPr>
        <w:rPr>
          <w:rFonts w:eastAsia="Times New Roman"/>
        </w:rPr>
      </w:pPr>
      <w:r>
        <w:t>P</w:t>
      </w:r>
      <w:r w:rsidRPr="00B842F3">
        <w:rPr>
          <w:rFonts w:eastAsia="Times New Roman"/>
        </w:rPr>
        <w:t xml:space="preserve">atients who could not be assigned to a tumour stream may have inaccurate treatment information in these results. These patients were flagged for surgery if they had an operation code that matched any of the surgery codes for any of the tumour streams. Operations unrelated to their diagnosis may have been counted as a treatment for these patients. Also, without specific surgery codes related to their diagnoses, some treatments may have been missed </w:t>
      </w:r>
      <w:r>
        <w:rPr>
          <w:rFonts w:eastAsia="Times New Roman"/>
        </w:rPr>
        <w:t>because</w:t>
      </w:r>
      <w:r w:rsidRPr="00B842F3">
        <w:rPr>
          <w:rFonts w:eastAsia="Times New Roman"/>
        </w:rPr>
        <w:t xml:space="preserve"> the surgery code </w:t>
      </w:r>
      <w:r>
        <w:rPr>
          <w:rFonts w:eastAsia="Times New Roman"/>
        </w:rPr>
        <w:t>wa</w:t>
      </w:r>
      <w:r w:rsidRPr="00B842F3">
        <w:rPr>
          <w:rFonts w:eastAsia="Times New Roman"/>
        </w:rPr>
        <w:t xml:space="preserve">s not in the currently available list of surgery codes. Chemotherapy and radiotherapy admissions were not matched by VAED diagnosis codes or </w:t>
      </w:r>
      <w:r w:rsidRPr="002178CC">
        <w:rPr>
          <w:rFonts w:eastAsia="Times New Roman"/>
        </w:rPr>
        <w:t>Victorian Radiotherapy Minimum Data Set</w:t>
      </w:r>
      <w:r w:rsidRPr="00B842F3" w:rsidDel="00DD6613">
        <w:rPr>
          <w:rFonts w:eastAsia="Times New Roman"/>
        </w:rPr>
        <w:t xml:space="preserve"> </w:t>
      </w:r>
      <w:r w:rsidRPr="00B842F3">
        <w:rPr>
          <w:rFonts w:eastAsia="Times New Roman"/>
        </w:rPr>
        <w:t>primary site, meaning that some treatments not specific to the diagnosis may have been included. However, if specific matching had been used, some treatments may have been missed for these individuals. Due to the small percentage of all non-metastatic patients that these individuals account for</w:t>
      </w:r>
      <w:r w:rsidRPr="00FA703E">
        <w:rPr>
          <w:rFonts w:eastAsia="Times New Roman"/>
        </w:rPr>
        <w:t xml:space="preserve"> </w:t>
      </w:r>
      <w:r w:rsidRPr="00B842F3">
        <w:rPr>
          <w:rFonts w:eastAsia="Times New Roman"/>
        </w:rPr>
        <w:t xml:space="preserve">(approximately </w:t>
      </w:r>
      <w:r w:rsidR="00312469">
        <w:rPr>
          <w:rFonts w:eastAsia="Times New Roman"/>
        </w:rPr>
        <w:t>3</w:t>
      </w:r>
      <w:r w:rsidR="0054537F">
        <w:rPr>
          <w:rFonts w:eastAsia="Times New Roman"/>
        </w:rPr>
        <w:t>%%</w:t>
      </w:r>
      <w:r w:rsidRPr="00B842F3">
        <w:rPr>
          <w:rFonts w:eastAsia="Times New Roman"/>
        </w:rPr>
        <w:t xml:space="preserve">), this is unlikely to </w:t>
      </w:r>
      <w:r>
        <w:rPr>
          <w:rFonts w:eastAsia="Times New Roman"/>
        </w:rPr>
        <w:t>affect</w:t>
      </w:r>
      <w:r w:rsidRPr="00B842F3">
        <w:rPr>
          <w:rFonts w:eastAsia="Times New Roman"/>
        </w:rPr>
        <w:t xml:space="preserve"> the overall results</w:t>
      </w:r>
      <w:r>
        <w:rPr>
          <w:rFonts w:eastAsia="Times New Roman"/>
        </w:rPr>
        <w:t>.</w:t>
      </w:r>
    </w:p>
    <w:p w14:paraId="1EDB210A" w14:textId="77777777" w:rsidR="0072736E" w:rsidRDefault="0072736E" w:rsidP="00436A0E">
      <w:pPr>
        <w:pStyle w:val="FootnoteText"/>
        <w:numPr>
          <w:ilvl w:val="0"/>
          <w:numId w:val="59"/>
        </w:numPr>
        <w:rPr>
          <w:rFonts w:eastAsia="Times New Roman"/>
        </w:rPr>
      </w:pPr>
      <w:r>
        <w:rPr>
          <w:rFonts w:eastAsia="Times New Roman"/>
        </w:rPr>
        <w:t>I</w:t>
      </w:r>
      <w:r w:rsidRPr="00B842F3">
        <w:rPr>
          <w:rFonts w:eastAsia="Times New Roman"/>
        </w:rPr>
        <w:t>t is not possible to tell whether the intent of surgery or chemotherapy was curative or palliative, and so some patients who were receiving palliative treatment may have been included</w:t>
      </w:r>
      <w:r>
        <w:rPr>
          <w:rFonts w:eastAsia="Times New Roman"/>
        </w:rPr>
        <w:t>.</w:t>
      </w:r>
    </w:p>
    <w:p w14:paraId="578F4AEF" w14:textId="77777777" w:rsidR="0072736E" w:rsidRPr="00B842F3" w:rsidRDefault="0072736E" w:rsidP="00436A0E">
      <w:pPr>
        <w:pStyle w:val="FootnoteText"/>
        <w:numPr>
          <w:ilvl w:val="0"/>
          <w:numId w:val="59"/>
        </w:numPr>
      </w:pPr>
      <w:r>
        <w:rPr>
          <w:rFonts w:eastAsia="Times New Roman"/>
        </w:rPr>
        <w:t>P</w:t>
      </w:r>
      <w:r w:rsidRPr="00B842F3">
        <w:rPr>
          <w:rFonts w:eastAsia="Times New Roman"/>
        </w:rPr>
        <w:t>atients who did not have an admitted episode in the VAED in the allocated timeframe could not be reclassified as metastatic at diagnosis. Some of these patients may have had metastatic disease and were then incorrectly included in the cohort.</w:t>
      </w:r>
    </w:p>
    <w:p w14:paraId="2F3A858C" w14:textId="77777777" w:rsidR="0072736E" w:rsidRDefault="0072736E" w:rsidP="001262B0">
      <w:pPr>
        <w:pStyle w:val="FootnoteText"/>
      </w:pPr>
    </w:p>
  </w:footnote>
  <w:footnote w:id="159">
    <w:p w14:paraId="5D17E90E" w14:textId="6406F05A" w:rsidR="00D23141" w:rsidRDefault="00D23141">
      <w:pPr>
        <w:pStyle w:val="FootnoteText"/>
      </w:pPr>
      <w:r>
        <w:rPr>
          <w:rStyle w:val="FootnoteReference"/>
        </w:rPr>
        <w:footnoteRef/>
      </w:r>
      <w:r>
        <w:t xml:space="preserve"> </w:t>
      </w:r>
      <w:r w:rsidRPr="00865A1C">
        <w:rPr>
          <w:color w:val="222222"/>
          <w:shd w:val="clear" w:color="auto" w:fill="FFFFFF"/>
        </w:rPr>
        <w:t xml:space="preserve">Khorana AA, Tullio K, Elson P, </w:t>
      </w:r>
      <w:r w:rsidR="00117648">
        <w:rPr>
          <w:color w:val="222222"/>
          <w:shd w:val="clear" w:color="auto" w:fill="FFFFFF"/>
        </w:rPr>
        <w:t>et al</w:t>
      </w:r>
      <w:r w:rsidRPr="00865A1C">
        <w:rPr>
          <w:color w:val="222222"/>
          <w:shd w:val="clear" w:color="auto" w:fill="FFFFFF"/>
        </w:rPr>
        <w:t>.</w:t>
      </w:r>
      <w:r w:rsidR="00117648">
        <w:rPr>
          <w:color w:val="222222"/>
          <w:shd w:val="clear" w:color="auto" w:fill="FFFFFF"/>
        </w:rPr>
        <w:t xml:space="preserve"> 2019,</w:t>
      </w:r>
      <w:r w:rsidRPr="00865A1C">
        <w:rPr>
          <w:color w:val="222222"/>
          <w:shd w:val="clear" w:color="auto" w:fill="FFFFFF"/>
        </w:rPr>
        <w:t xml:space="preserve"> </w:t>
      </w:r>
      <w:r w:rsidR="00117648">
        <w:rPr>
          <w:color w:val="222222"/>
          <w:shd w:val="clear" w:color="auto" w:fill="FFFFFF"/>
        </w:rPr>
        <w:t>‘</w:t>
      </w:r>
      <w:r w:rsidRPr="00865A1C">
        <w:rPr>
          <w:color w:val="222222"/>
          <w:shd w:val="clear" w:color="auto" w:fill="FFFFFF"/>
        </w:rPr>
        <w:t>Time to initial cancer treatment in the United States and association with survival over time: an observational study</w:t>
      </w:r>
      <w:r w:rsidR="00117648">
        <w:rPr>
          <w:color w:val="222222"/>
          <w:shd w:val="clear" w:color="auto" w:fill="FFFFFF"/>
        </w:rPr>
        <w:t>’,</w:t>
      </w:r>
      <w:r w:rsidRPr="00865A1C">
        <w:rPr>
          <w:color w:val="222222"/>
          <w:shd w:val="clear" w:color="auto" w:fill="FFFFFF"/>
        </w:rPr>
        <w:t xml:space="preserve"> </w:t>
      </w:r>
      <w:r w:rsidRPr="001262B0">
        <w:rPr>
          <w:i/>
          <w:iCs/>
          <w:color w:val="222222"/>
          <w:shd w:val="clear" w:color="auto" w:fill="FFFFFF"/>
        </w:rPr>
        <w:t xml:space="preserve">PloS </w:t>
      </w:r>
      <w:r w:rsidR="00865A1C" w:rsidRPr="001262B0">
        <w:rPr>
          <w:i/>
          <w:iCs/>
          <w:color w:val="222222"/>
          <w:shd w:val="clear" w:color="auto" w:fill="FFFFFF"/>
        </w:rPr>
        <w:t>O</w:t>
      </w:r>
      <w:r w:rsidRPr="001262B0">
        <w:rPr>
          <w:i/>
          <w:iCs/>
          <w:color w:val="222222"/>
          <w:shd w:val="clear" w:color="auto" w:fill="FFFFFF"/>
        </w:rPr>
        <w:t>ne</w:t>
      </w:r>
      <w:r w:rsidR="00117648">
        <w:rPr>
          <w:color w:val="222222"/>
          <w:shd w:val="clear" w:color="auto" w:fill="FFFFFF"/>
        </w:rPr>
        <w:t>,</w:t>
      </w:r>
      <w:r w:rsidRPr="00865A1C">
        <w:rPr>
          <w:color w:val="222222"/>
          <w:shd w:val="clear" w:color="auto" w:fill="FFFFFF"/>
        </w:rPr>
        <w:t xml:space="preserve"> 14(3):e0213209.</w:t>
      </w:r>
    </w:p>
  </w:footnote>
  <w:footnote w:id="160">
    <w:p w14:paraId="60A03BB2" w14:textId="72E8D452" w:rsidR="0072736E" w:rsidRDefault="0072736E">
      <w:pPr>
        <w:pStyle w:val="FootnoteText"/>
      </w:pPr>
      <w:r>
        <w:rPr>
          <w:rStyle w:val="FootnoteReference"/>
        </w:rPr>
        <w:footnoteRef/>
      </w:r>
      <w:r>
        <w:t xml:space="preserve"> For example, </w:t>
      </w:r>
      <w:r>
        <w:rPr>
          <w:lang w:val="en-GB"/>
        </w:rPr>
        <w:t>f</w:t>
      </w:r>
      <w:r w:rsidRPr="007F77CF">
        <w:rPr>
          <w:lang w:val="en-GB"/>
        </w:rPr>
        <w:t xml:space="preserve">or some cancers such as colorectal the risk of </w:t>
      </w:r>
      <w:r>
        <w:rPr>
          <w:lang w:val="en-GB"/>
        </w:rPr>
        <w:t xml:space="preserve">developing </w:t>
      </w:r>
      <w:r w:rsidRPr="007F77CF">
        <w:rPr>
          <w:lang w:val="en-GB"/>
        </w:rPr>
        <w:t>cancer in</w:t>
      </w:r>
      <w:r>
        <w:rPr>
          <w:lang w:val="en-GB"/>
        </w:rPr>
        <w:t xml:space="preserve"> </w:t>
      </w:r>
      <w:r w:rsidRPr="007F77CF">
        <w:rPr>
          <w:lang w:val="en-GB"/>
        </w:rPr>
        <w:t>people under the age of 40 years is gradually increasing</w:t>
      </w:r>
      <w:r>
        <w:rPr>
          <w:lang w:val="en-GB"/>
        </w:rPr>
        <w:t>.</w:t>
      </w:r>
    </w:p>
  </w:footnote>
  <w:footnote w:id="161">
    <w:p w14:paraId="4FDC2106" w14:textId="6BCA3C16" w:rsidR="0072736E" w:rsidRDefault="0072736E">
      <w:pPr>
        <w:pStyle w:val="FootnoteText"/>
      </w:pPr>
      <w:r>
        <w:rPr>
          <w:rStyle w:val="FootnoteReference"/>
        </w:rPr>
        <w:footnoteRef/>
      </w:r>
      <w:r>
        <w:t xml:space="preserve"> </w:t>
      </w:r>
      <w:r>
        <w:rPr>
          <w:color w:val="222222"/>
        </w:rPr>
        <w:t>Chu QD, Hill HC, Douglass HO, et al. 2002</w:t>
      </w:r>
      <w:r w:rsidR="00117648">
        <w:rPr>
          <w:color w:val="222222"/>
        </w:rPr>
        <w:t>,</w:t>
      </w:r>
      <w:r>
        <w:rPr>
          <w:color w:val="222222"/>
        </w:rPr>
        <w:t xml:space="preserve"> </w:t>
      </w:r>
      <w:r w:rsidR="00117648">
        <w:rPr>
          <w:color w:val="222222"/>
        </w:rPr>
        <w:t>‘</w:t>
      </w:r>
      <w:r>
        <w:rPr>
          <w:color w:val="222222"/>
        </w:rPr>
        <w:t>Predictive factors associated with long-term survival in patients with neuroendocrine tumors of the pancreas</w:t>
      </w:r>
      <w:r w:rsidR="00117648">
        <w:rPr>
          <w:color w:val="222222"/>
        </w:rPr>
        <w:t>’,</w:t>
      </w:r>
      <w:r>
        <w:rPr>
          <w:color w:val="222222"/>
        </w:rPr>
        <w:t xml:space="preserve"> </w:t>
      </w:r>
      <w:r w:rsidRPr="008D753F">
        <w:rPr>
          <w:i/>
          <w:color w:val="222222"/>
        </w:rPr>
        <w:t>Annals of Surgical Oncology</w:t>
      </w:r>
      <w:r w:rsidR="00117648">
        <w:rPr>
          <w:iCs/>
          <w:color w:val="222222"/>
        </w:rPr>
        <w:t>,</w:t>
      </w:r>
      <w:r>
        <w:rPr>
          <w:color w:val="222222"/>
        </w:rPr>
        <w:t xml:space="preserve"> 9(9):855</w:t>
      </w:r>
      <w:r w:rsidR="00117648">
        <w:rPr>
          <w:color w:val="222222"/>
        </w:rPr>
        <w:t>–8</w:t>
      </w:r>
      <w:r>
        <w:rPr>
          <w:color w:val="222222"/>
        </w:rPr>
        <w:t>62.</w:t>
      </w:r>
    </w:p>
  </w:footnote>
  <w:footnote w:id="162">
    <w:p w14:paraId="1CB210E4" w14:textId="383E34B9" w:rsidR="0072736E" w:rsidRDefault="0072736E">
      <w:pPr>
        <w:pStyle w:val="FootnoteText"/>
      </w:pPr>
      <w:r>
        <w:rPr>
          <w:rStyle w:val="FootnoteReference"/>
        </w:rPr>
        <w:footnoteRef/>
      </w:r>
      <w:r>
        <w:t xml:space="preserve"> </w:t>
      </w:r>
      <w:r>
        <w:rPr>
          <w:color w:val="222222"/>
        </w:rPr>
        <w:t>Anderson O, Ni Z, Møller H, et al. 2011</w:t>
      </w:r>
      <w:r w:rsidR="00117648">
        <w:rPr>
          <w:color w:val="222222"/>
        </w:rPr>
        <w:t>,</w:t>
      </w:r>
      <w:r>
        <w:rPr>
          <w:color w:val="222222"/>
        </w:rPr>
        <w:t xml:space="preserve"> </w:t>
      </w:r>
      <w:r w:rsidR="00117648">
        <w:rPr>
          <w:color w:val="222222"/>
        </w:rPr>
        <w:t>‘</w:t>
      </w:r>
      <w:r>
        <w:rPr>
          <w:color w:val="222222"/>
        </w:rPr>
        <w:t>Hospital volume and survival in oesophagectomy and gastrectomy for cancer</w:t>
      </w:r>
      <w:r w:rsidR="00117648">
        <w:rPr>
          <w:color w:val="222222"/>
        </w:rPr>
        <w:t>’,</w:t>
      </w:r>
      <w:r w:rsidRPr="00676EB9">
        <w:rPr>
          <w:iCs/>
          <w:color w:val="222222"/>
        </w:rPr>
        <w:t xml:space="preserve"> </w:t>
      </w:r>
      <w:r w:rsidRPr="008D753F">
        <w:rPr>
          <w:i/>
          <w:color w:val="222222"/>
        </w:rPr>
        <w:t>European Journal of Cancer</w:t>
      </w:r>
      <w:r w:rsidR="00117648">
        <w:rPr>
          <w:color w:val="222222"/>
        </w:rPr>
        <w:t xml:space="preserve">, </w:t>
      </w:r>
      <w:r>
        <w:rPr>
          <w:color w:val="222222"/>
        </w:rPr>
        <w:t>47(16):2408</w:t>
      </w:r>
      <w:r w:rsidR="00246747">
        <w:rPr>
          <w:color w:val="222222"/>
        </w:rPr>
        <w:t>–24</w:t>
      </w:r>
      <w:r>
        <w:rPr>
          <w:color w:val="222222"/>
        </w:rPr>
        <w:t>14.</w:t>
      </w:r>
    </w:p>
  </w:footnote>
  <w:footnote w:id="163">
    <w:p w14:paraId="23BAA75A" w14:textId="12FC8F32" w:rsidR="0072736E" w:rsidRDefault="0072736E">
      <w:pPr>
        <w:pStyle w:val="FootnoteText"/>
      </w:pPr>
      <w:r>
        <w:rPr>
          <w:rStyle w:val="FootnoteReference"/>
        </w:rPr>
        <w:footnoteRef/>
      </w:r>
      <w:r>
        <w:t xml:space="preserve"> </w:t>
      </w:r>
      <w:r w:rsidR="00251A06">
        <w:t>Refer to</w:t>
      </w:r>
      <w:r w:rsidR="005C7419">
        <w:t xml:space="preserve"> the</w:t>
      </w:r>
      <w:r w:rsidR="00251A06">
        <w:t xml:space="preserve"> </w:t>
      </w:r>
      <w:r w:rsidR="00251A06" w:rsidRPr="00A00853">
        <w:t>Cancer Institute NS</w:t>
      </w:r>
      <w:r w:rsidR="005C7419" w:rsidRPr="00A00853">
        <w:t>W website</w:t>
      </w:r>
      <w:r w:rsidR="00251A06">
        <w:t xml:space="preserve"> &lt;</w:t>
      </w:r>
      <w:r w:rsidR="00E56301" w:rsidRPr="00E56301">
        <w:t xml:space="preserve"> https://www.cancer.nsw.gov.au/what-we-do/supporting-cancer-care/specialist-cancer-centres/oesophageal-gastric-stomach-cancer-specialist-cent#:~:text=It%20is%20recommended%20that%20oesophagus%20and%20stomach%20cancer,the%20hospital-level%20distribution%20of%20oesophagectomies%20in%20NSW.%5B2%E2%80%93%207%5D</w:t>
      </w:r>
      <w:r w:rsidR="00E56301">
        <w:t xml:space="preserve"> </w:t>
      </w:r>
      <w:r w:rsidR="00251A06">
        <w:t>&gt;.</w:t>
      </w:r>
    </w:p>
  </w:footnote>
  <w:footnote w:id="164">
    <w:p w14:paraId="20C8EA35" w14:textId="2B0CEC55" w:rsidR="0072736E" w:rsidRPr="00FB0245" w:rsidRDefault="0072736E" w:rsidP="00FB0245">
      <w:pPr>
        <w:pStyle w:val="FootnoteText"/>
        <w:rPr>
          <w:rStyle w:val="FootnoteTextChar"/>
        </w:rPr>
      </w:pPr>
      <w:r w:rsidRPr="00FB0245">
        <w:rPr>
          <w:rStyle w:val="FootnoteReference"/>
        </w:rPr>
        <w:footnoteRef/>
      </w:r>
      <w:r w:rsidRPr="00FB0245">
        <w:rPr>
          <w:rStyle w:val="FootnoteReference"/>
        </w:rPr>
        <w:t xml:space="preserve"> </w:t>
      </w:r>
      <w:r w:rsidRPr="00FB0245">
        <w:rPr>
          <w:rStyle w:val="FootnoteTextChar"/>
        </w:rPr>
        <w:t>Du</w:t>
      </w:r>
      <w:r w:rsidRPr="00650387">
        <w:rPr>
          <w:rStyle w:val="FootnoteTextChar"/>
        </w:rPr>
        <w:t>ckett S</w:t>
      </w:r>
      <w:r>
        <w:rPr>
          <w:rStyle w:val="FootnoteTextChar"/>
        </w:rPr>
        <w:t>,</w:t>
      </w:r>
      <w:r w:rsidRPr="00650387">
        <w:rPr>
          <w:rStyle w:val="FootnoteTextChar"/>
        </w:rPr>
        <w:t xml:space="preserve"> et al. </w:t>
      </w:r>
      <w:r>
        <w:rPr>
          <w:rStyle w:val="FootnoteTextChar"/>
        </w:rPr>
        <w:t>2016</w:t>
      </w:r>
      <w:r w:rsidR="00251A06">
        <w:rPr>
          <w:rStyle w:val="FootnoteTextChar"/>
        </w:rPr>
        <w:t>,</w:t>
      </w:r>
      <w:r>
        <w:rPr>
          <w:rStyle w:val="FootnoteTextChar"/>
        </w:rPr>
        <w:t xml:space="preserve"> </w:t>
      </w:r>
      <w:r w:rsidRPr="008D753F">
        <w:rPr>
          <w:rStyle w:val="FootnoteTextChar"/>
          <w:i/>
          <w:iCs/>
        </w:rPr>
        <w:t xml:space="preserve">Targeting zero Supporting the Victorian hospital system to eliminate avoidable harm and strengthen quality of care </w:t>
      </w:r>
      <w:r w:rsidR="002A0ED1" w:rsidRPr="008D753F">
        <w:rPr>
          <w:rStyle w:val="FootnoteTextChar"/>
          <w:i/>
          <w:iCs/>
        </w:rPr>
        <w:t>–</w:t>
      </w:r>
      <w:r w:rsidRPr="008D753F">
        <w:rPr>
          <w:rStyle w:val="FootnoteTextChar"/>
          <w:i/>
          <w:iCs/>
        </w:rPr>
        <w:t xml:space="preserve"> Report of the Review of Hospital Safety and Quality Assurance in Victoria</w:t>
      </w:r>
      <w:r w:rsidR="00472AAB">
        <w:rPr>
          <w:rStyle w:val="FootnoteTextChar"/>
        </w:rPr>
        <w:t>,</w:t>
      </w:r>
      <w:r w:rsidRPr="00FB0245">
        <w:rPr>
          <w:rStyle w:val="FootnoteTextChar"/>
        </w:rPr>
        <w:t xml:space="preserve"> Victorian Government, Melbourne.</w:t>
      </w:r>
    </w:p>
  </w:footnote>
  <w:footnote w:id="165">
    <w:p w14:paraId="6DEE9A5C" w14:textId="4C7CE8AE" w:rsidR="0072736E" w:rsidRPr="00176EDB" w:rsidRDefault="0072736E" w:rsidP="00142364">
      <w:pPr>
        <w:pStyle w:val="FootnoteText"/>
        <w:rPr>
          <w:i/>
          <w:iCs/>
          <w:sz w:val="19"/>
          <w:szCs w:val="19"/>
        </w:rPr>
      </w:pPr>
      <w:r w:rsidRPr="00176EDB">
        <w:rPr>
          <w:rStyle w:val="FootnoteReference"/>
        </w:rPr>
        <w:footnoteRef/>
      </w:r>
      <w:r w:rsidRPr="00176EDB">
        <w:t xml:space="preserve"> Marshall K, Loeliger J 2012</w:t>
      </w:r>
      <w:r w:rsidR="00251A06">
        <w:t>,</w:t>
      </w:r>
      <w:r w:rsidRPr="00176EDB">
        <w:t xml:space="preserve"> </w:t>
      </w:r>
      <w:r w:rsidRPr="008D753F">
        <w:rPr>
          <w:i/>
          <w:iCs/>
        </w:rPr>
        <w:t>Investigating practices relating to malnutrition in Victorian cancer services – summary</w:t>
      </w:r>
      <w:r w:rsidRPr="00251A06">
        <w:rPr>
          <w:i/>
          <w:iCs/>
        </w:rPr>
        <w:t xml:space="preserve"> </w:t>
      </w:r>
      <w:r w:rsidRPr="008D753F">
        <w:rPr>
          <w:i/>
          <w:iCs/>
        </w:rPr>
        <w:t>report</w:t>
      </w:r>
      <w:r w:rsidRPr="00176EDB">
        <w:t>, Department of Health, State Government of Victoria, Melbourne.</w:t>
      </w:r>
    </w:p>
  </w:footnote>
  <w:footnote w:id="166">
    <w:p w14:paraId="3870FDB1" w14:textId="173C3943" w:rsidR="0072736E" w:rsidRPr="00176EDB" w:rsidRDefault="0072736E" w:rsidP="00142364">
      <w:pPr>
        <w:pStyle w:val="FootnoteText"/>
      </w:pPr>
      <w:r w:rsidRPr="00176EDB">
        <w:rPr>
          <w:rStyle w:val="FootnoteReference"/>
        </w:rPr>
        <w:footnoteRef/>
      </w:r>
      <w:r w:rsidRPr="00176EDB">
        <w:t xml:space="preserve"> </w:t>
      </w:r>
      <w:r w:rsidRPr="00342BB2">
        <w:t>Marshall KM</w:t>
      </w:r>
      <w:r w:rsidRPr="00E04AFC">
        <w:t>, Loeliger J, Nolte L, et al. 2019</w:t>
      </w:r>
      <w:r w:rsidR="00251A06">
        <w:t>,</w:t>
      </w:r>
      <w:r w:rsidRPr="00E04AFC">
        <w:t xml:space="preserve"> </w:t>
      </w:r>
      <w:r w:rsidR="00251A06">
        <w:t>‘</w:t>
      </w:r>
      <w:r w:rsidRPr="00E04AFC">
        <w:t>Prevalence of malnutrition and impact on clinical outcomes in cancer services: a comparison of two time points</w:t>
      </w:r>
      <w:r w:rsidR="00251A06">
        <w:t>’,</w:t>
      </w:r>
      <w:r w:rsidRPr="00E04AFC">
        <w:t xml:space="preserve"> </w:t>
      </w:r>
      <w:r w:rsidRPr="008D753F">
        <w:rPr>
          <w:i/>
        </w:rPr>
        <w:t>Clinical Nutrition</w:t>
      </w:r>
      <w:r w:rsidR="00251A06">
        <w:t>,</w:t>
      </w:r>
      <w:r w:rsidRPr="00E04AFC">
        <w:t xml:space="preserve"> 38(9):644</w:t>
      </w:r>
      <w:r w:rsidR="00251A06">
        <w:t>–</w:t>
      </w:r>
      <w:r w:rsidRPr="00E04AFC">
        <w:t>651.</w:t>
      </w:r>
    </w:p>
  </w:footnote>
  <w:footnote w:id="167">
    <w:p w14:paraId="2A08C1B7" w14:textId="413B1D07" w:rsidR="0072736E" w:rsidRDefault="0072736E" w:rsidP="00142364">
      <w:pPr>
        <w:pStyle w:val="FootnoteText"/>
      </w:pPr>
      <w:r w:rsidRPr="00176EDB">
        <w:rPr>
          <w:rStyle w:val="FootnoteReference"/>
        </w:rPr>
        <w:footnoteRef/>
      </w:r>
      <w:r w:rsidRPr="00176EDB">
        <w:t xml:space="preserve"> </w:t>
      </w:r>
      <w:r>
        <w:t>Ibid.</w:t>
      </w:r>
    </w:p>
  </w:footnote>
  <w:footnote w:id="168">
    <w:p w14:paraId="406E9E31" w14:textId="4E89C76D" w:rsidR="0072736E" w:rsidRDefault="0072736E" w:rsidP="00142364">
      <w:pPr>
        <w:pStyle w:val="FootnoteText"/>
      </w:pPr>
      <w:r>
        <w:rPr>
          <w:rStyle w:val="FootnoteReference"/>
        </w:rPr>
        <w:footnoteRef/>
      </w:r>
      <w:r>
        <w:t xml:space="preserve"> </w:t>
      </w:r>
      <w:r w:rsidR="006E5655">
        <w:t xml:space="preserve">Refer to the </w:t>
      </w:r>
      <w:r w:rsidR="006E5655" w:rsidRPr="004F4E89">
        <w:t>Peter MacCallum Cancer Centre website</w:t>
      </w:r>
      <w:r w:rsidR="006E5655">
        <w:t xml:space="preserve"> &lt;</w:t>
      </w:r>
      <w:r w:rsidRPr="00030871">
        <w:t>https://www.petermac.org/services/treatment/allied-health/nutrition/VCMC/cancer-malnutrition-point-prevalence-study-pps</w:t>
      </w:r>
      <w:r w:rsidR="006E5655">
        <w:t>&gt;</w:t>
      </w:r>
      <w:r>
        <w:t>.</w:t>
      </w:r>
    </w:p>
  </w:footnote>
  <w:footnote w:id="169">
    <w:p w14:paraId="2BE4127E" w14:textId="2B0CAEB9" w:rsidR="00967894" w:rsidRDefault="00967894">
      <w:pPr>
        <w:pStyle w:val="FootnoteText"/>
      </w:pPr>
      <w:r>
        <w:rPr>
          <w:rStyle w:val="FootnoteReference"/>
        </w:rPr>
        <w:footnoteRef/>
      </w:r>
      <w:r>
        <w:t xml:space="preserve"> </w:t>
      </w:r>
      <w:r w:rsidR="00A544BC">
        <w:t xml:space="preserve">Steer B, Graham K, Picken S, Kiss N, Simkiss L, Quade K, Loeliger J 2022, </w:t>
      </w:r>
      <w:r w:rsidR="00A544BC" w:rsidRPr="00A544BC">
        <w:rPr>
          <w:i/>
          <w:iCs/>
        </w:rPr>
        <w:t>Cancer Malnutrition Point Prevalence Study 2022 summary report</w:t>
      </w:r>
      <w:r w:rsidR="00A544BC">
        <w:t>, Victorian Cancer Malnutrition Collaborative (VCMC), Peter MacCallum Cancer Centre, Melbourne.</w:t>
      </w:r>
    </w:p>
  </w:footnote>
  <w:footnote w:id="170">
    <w:p w14:paraId="45821131" w14:textId="6B5042DA" w:rsidR="0072736E" w:rsidRDefault="0072736E">
      <w:pPr>
        <w:pStyle w:val="FootnoteText"/>
      </w:pPr>
      <w:r>
        <w:rPr>
          <w:rStyle w:val="FootnoteReference"/>
        </w:rPr>
        <w:footnoteRef/>
      </w:r>
      <w:r>
        <w:t xml:space="preserve"> </w:t>
      </w:r>
      <w:r w:rsidRPr="00B42CA0">
        <w:t>Schrager S, Phillips G, Burnside E 2017</w:t>
      </w:r>
      <w:r w:rsidR="006E5655">
        <w:t>,</w:t>
      </w:r>
      <w:r w:rsidRPr="00B42CA0">
        <w:t xml:space="preserve"> </w:t>
      </w:r>
      <w:r w:rsidR="006E5655">
        <w:t>‘</w:t>
      </w:r>
      <w:r w:rsidRPr="00B42CA0">
        <w:t>Shared decision making in cancer screening</w:t>
      </w:r>
      <w:r w:rsidR="006E5655">
        <w:t>’,</w:t>
      </w:r>
      <w:r w:rsidRPr="00B42CA0">
        <w:t xml:space="preserve"> </w:t>
      </w:r>
      <w:r w:rsidRPr="00BD7890">
        <w:rPr>
          <w:i/>
        </w:rPr>
        <w:t>Family Practice Management</w:t>
      </w:r>
      <w:r w:rsidR="006E5655">
        <w:t>,</w:t>
      </w:r>
      <w:r w:rsidRPr="00B42CA0">
        <w:t xml:space="preserve"> 24(3):5.</w:t>
      </w:r>
    </w:p>
  </w:footnote>
  <w:footnote w:id="171">
    <w:p w14:paraId="6E22E14E" w14:textId="50E179C8" w:rsidR="0072736E" w:rsidRDefault="0072736E">
      <w:pPr>
        <w:pStyle w:val="FootnoteText"/>
      </w:pPr>
      <w:r>
        <w:rPr>
          <w:rStyle w:val="FootnoteReference"/>
        </w:rPr>
        <w:footnoteRef/>
      </w:r>
      <w:r>
        <w:t xml:space="preserve"> </w:t>
      </w:r>
      <w:r>
        <w:rPr>
          <w:color w:val="222222"/>
        </w:rPr>
        <w:t>Kehl KL, Landrum MB, Arora NK, et al. 2015</w:t>
      </w:r>
      <w:r w:rsidR="006E5655">
        <w:rPr>
          <w:color w:val="222222"/>
        </w:rPr>
        <w:t>,</w:t>
      </w:r>
      <w:r>
        <w:rPr>
          <w:color w:val="222222"/>
        </w:rPr>
        <w:t xml:space="preserve"> </w:t>
      </w:r>
      <w:r w:rsidR="006E5655">
        <w:rPr>
          <w:color w:val="222222"/>
        </w:rPr>
        <w:t>‘</w:t>
      </w:r>
      <w:r>
        <w:rPr>
          <w:color w:val="222222"/>
        </w:rPr>
        <w:t>Shared decision making in cancer care: the association of actual and preferred decision roles with patient-reported quality</w:t>
      </w:r>
      <w:r w:rsidR="006E5655">
        <w:rPr>
          <w:color w:val="222222"/>
        </w:rPr>
        <w:t>’,</w:t>
      </w:r>
      <w:r>
        <w:rPr>
          <w:color w:val="222222"/>
        </w:rPr>
        <w:t xml:space="preserve"> </w:t>
      </w:r>
      <w:r w:rsidRPr="00BD7890">
        <w:rPr>
          <w:i/>
          <w:color w:val="222222"/>
        </w:rPr>
        <w:t>JAMA Oncology</w:t>
      </w:r>
      <w:r w:rsidR="006E5655">
        <w:rPr>
          <w:color w:val="222222"/>
        </w:rPr>
        <w:t>,</w:t>
      </w:r>
      <w:r>
        <w:rPr>
          <w:color w:val="222222"/>
        </w:rPr>
        <w:t xml:space="preserve"> 1(1):50.</w:t>
      </w:r>
    </w:p>
  </w:footnote>
  <w:footnote w:id="172">
    <w:p w14:paraId="36DED37E" w14:textId="1AAFC1C1" w:rsidR="0072736E" w:rsidRPr="008D6F6B" w:rsidRDefault="0072736E">
      <w:pPr>
        <w:pStyle w:val="FootnoteText"/>
      </w:pPr>
      <w:r>
        <w:rPr>
          <w:rStyle w:val="FootnoteReference"/>
        </w:rPr>
        <w:footnoteRef/>
      </w:r>
      <w:r>
        <w:t xml:space="preserve"> </w:t>
      </w:r>
      <w:r w:rsidRPr="008D6F6B">
        <w:rPr>
          <w:color w:val="333333"/>
        </w:rPr>
        <w:t xml:space="preserve">Prades J, </w:t>
      </w:r>
      <w:r w:rsidR="006E5655" w:rsidRPr="006E5655">
        <w:rPr>
          <w:color w:val="333333"/>
        </w:rPr>
        <w:t>Remue E, Elke van Hoof E,</w:t>
      </w:r>
      <w:r w:rsidR="006E5655">
        <w:rPr>
          <w:color w:val="333333"/>
        </w:rPr>
        <w:t xml:space="preserve"> </w:t>
      </w:r>
      <w:r w:rsidRPr="008D6F6B">
        <w:rPr>
          <w:color w:val="333333"/>
        </w:rPr>
        <w:t xml:space="preserve">et al. </w:t>
      </w:r>
      <w:r>
        <w:rPr>
          <w:color w:val="333333"/>
        </w:rPr>
        <w:t>2015</w:t>
      </w:r>
      <w:r w:rsidR="006E5655">
        <w:rPr>
          <w:color w:val="333333"/>
        </w:rPr>
        <w:t>,</w:t>
      </w:r>
      <w:r>
        <w:rPr>
          <w:color w:val="333333"/>
        </w:rPr>
        <w:t xml:space="preserve"> </w:t>
      </w:r>
      <w:r w:rsidR="006E5655">
        <w:rPr>
          <w:color w:val="333333"/>
        </w:rPr>
        <w:t>‘</w:t>
      </w:r>
      <w:r w:rsidRPr="008D6F6B">
        <w:rPr>
          <w:color w:val="333333"/>
        </w:rPr>
        <w:t>Is it worth reorganising cancer services on the basis of multidisciplinary teams (MDTs)? A systematic review of the objectives and organisation of MDTs and their impact on patient outcomes</w:t>
      </w:r>
      <w:r w:rsidR="006E5655">
        <w:rPr>
          <w:color w:val="333333"/>
        </w:rPr>
        <w:t>’,</w:t>
      </w:r>
      <w:r w:rsidRPr="008D6F6B">
        <w:rPr>
          <w:color w:val="333333"/>
        </w:rPr>
        <w:t xml:space="preserve"> </w:t>
      </w:r>
      <w:r w:rsidRPr="00B72115">
        <w:rPr>
          <w:i/>
          <w:iCs/>
          <w:color w:val="333333"/>
        </w:rPr>
        <w:t>Health Policy</w:t>
      </w:r>
      <w:r w:rsidR="006E5655">
        <w:rPr>
          <w:color w:val="333333"/>
        </w:rPr>
        <w:t>,</w:t>
      </w:r>
      <w:r w:rsidRPr="008D6F6B">
        <w:rPr>
          <w:color w:val="333333"/>
        </w:rPr>
        <w:t xml:space="preserve"> 119(4):464</w:t>
      </w:r>
      <w:r w:rsidR="006E5655">
        <w:rPr>
          <w:rStyle w:val="sr-only1"/>
          <w:color w:val="333333"/>
        </w:rPr>
        <w:t>–4</w:t>
      </w:r>
      <w:r w:rsidRPr="008D6F6B">
        <w:rPr>
          <w:color w:val="333333"/>
        </w:rPr>
        <w:t>74</w:t>
      </w:r>
      <w:r w:rsidR="006E5655">
        <w:rPr>
          <w:color w:val="333333"/>
        </w:rPr>
        <w:t>.</w:t>
      </w:r>
    </w:p>
  </w:footnote>
  <w:footnote w:id="173">
    <w:p w14:paraId="7417669A" w14:textId="2C9BE0C6" w:rsidR="0072736E" w:rsidRDefault="0072736E">
      <w:pPr>
        <w:pStyle w:val="FootnoteText"/>
      </w:pPr>
      <w:r>
        <w:rPr>
          <w:rStyle w:val="FootnoteReference"/>
        </w:rPr>
        <w:footnoteRef/>
      </w:r>
      <w:r>
        <w:t xml:space="preserve"> Department of Health and Human Services 2016</w:t>
      </w:r>
      <w:r w:rsidR="006E5655">
        <w:t>,</w:t>
      </w:r>
      <w:r>
        <w:t xml:space="preserve"> </w:t>
      </w:r>
      <w:r w:rsidRPr="00B72115">
        <w:rPr>
          <w:i/>
        </w:rPr>
        <w:t>Victoria’s end-of-life and palliative care framework: a guide for high-quality end-of-life care for all Victorians</w:t>
      </w:r>
      <w:r w:rsidR="006E5655">
        <w:rPr>
          <w:iCs/>
        </w:rPr>
        <w:t>,</w:t>
      </w:r>
      <w:r>
        <w:rPr>
          <w:iCs/>
        </w:rPr>
        <w:t xml:space="preserve"> State Government of Victoria, Melbourne.</w:t>
      </w:r>
    </w:p>
  </w:footnote>
  <w:footnote w:id="174">
    <w:p w14:paraId="3157C2B5" w14:textId="0FE02169" w:rsidR="0072736E" w:rsidRDefault="0072736E" w:rsidP="00253677">
      <w:pPr>
        <w:pStyle w:val="FootnoteText"/>
      </w:pPr>
      <w:r>
        <w:rPr>
          <w:rStyle w:val="FootnoteReference"/>
        </w:rPr>
        <w:footnoteRef/>
      </w:r>
      <w:r>
        <w:t xml:space="preserve"> Earle CC, Park ER, Lai B, et al. 2003</w:t>
      </w:r>
      <w:r w:rsidR="0086592D">
        <w:t>,</w:t>
      </w:r>
      <w:r>
        <w:t xml:space="preserve"> </w:t>
      </w:r>
      <w:r w:rsidR="0086592D">
        <w:t>‘</w:t>
      </w:r>
      <w:r>
        <w:t>Identifying potential indicators of the quality of end-of-life cancer care from administrative data</w:t>
      </w:r>
      <w:r w:rsidR="0086592D">
        <w:t>’,</w:t>
      </w:r>
      <w:r>
        <w:t xml:space="preserve"> </w:t>
      </w:r>
      <w:r w:rsidRPr="00B72115">
        <w:rPr>
          <w:i/>
          <w:iCs/>
        </w:rPr>
        <w:t>Journal of Clinical Oncology</w:t>
      </w:r>
      <w:r w:rsidR="0086592D">
        <w:t>,</w:t>
      </w:r>
      <w:r>
        <w:t xml:space="preserve"> 21(6):1133–1138.</w:t>
      </w:r>
    </w:p>
  </w:footnote>
  <w:footnote w:id="175">
    <w:p w14:paraId="2D3F902F" w14:textId="3BC9987D" w:rsidR="0072736E" w:rsidRDefault="0072736E">
      <w:pPr>
        <w:pStyle w:val="FootnoteText"/>
      </w:pPr>
      <w:r>
        <w:rPr>
          <w:rStyle w:val="FootnoteReference"/>
        </w:rPr>
        <w:footnoteRef/>
      </w:r>
      <w:r>
        <w:t xml:space="preserve"> Grunfeld E, Urquhart R, Mykhalovskiy E et al. 2008</w:t>
      </w:r>
      <w:r w:rsidR="0086592D">
        <w:t>,</w:t>
      </w:r>
      <w:r>
        <w:t xml:space="preserve"> </w:t>
      </w:r>
      <w:r w:rsidR="0086592D">
        <w:t>‘</w:t>
      </w:r>
      <w:r>
        <w:t>Toward population-based indicators of quality end-of-life care: testing stakeholder agreement</w:t>
      </w:r>
      <w:r w:rsidR="0086592D">
        <w:t>’,</w:t>
      </w:r>
      <w:r>
        <w:t xml:space="preserve"> </w:t>
      </w:r>
      <w:r w:rsidRPr="00B72115">
        <w:rPr>
          <w:i/>
          <w:iCs/>
        </w:rPr>
        <w:t>Cancer</w:t>
      </w:r>
      <w:r>
        <w:t xml:space="preserve"> 112(10):2301–2308.</w:t>
      </w:r>
    </w:p>
  </w:footnote>
  <w:footnote w:id="176">
    <w:p w14:paraId="4767E048" w14:textId="7E8BA780" w:rsidR="0072736E" w:rsidRDefault="0072736E">
      <w:pPr>
        <w:pStyle w:val="FootnoteText"/>
      </w:pPr>
      <w:r>
        <w:rPr>
          <w:rStyle w:val="FootnoteReference"/>
        </w:rPr>
        <w:footnoteRef/>
      </w:r>
      <w:r>
        <w:t xml:space="preserve"> </w:t>
      </w:r>
      <w:r w:rsidRPr="005F2F8D">
        <w:t>Wright AA</w:t>
      </w:r>
      <w:r>
        <w:t>,</w:t>
      </w:r>
      <w:r w:rsidRPr="005F2F8D">
        <w:t xml:space="preserve"> Zhang B</w:t>
      </w:r>
      <w:r>
        <w:t>,</w:t>
      </w:r>
      <w:r w:rsidRPr="005F2F8D">
        <w:t xml:space="preserve"> Ray A</w:t>
      </w:r>
      <w:r>
        <w:t>,</w:t>
      </w:r>
      <w:r w:rsidRPr="005F2F8D">
        <w:t xml:space="preserve"> et al.</w:t>
      </w:r>
      <w:r>
        <w:t xml:space="preserve"> 2008</w:t>
      </w:r>
      <w:r w:rsidR="0086592D">
        <w:t>,</w:t>
      </w:r>
      <w:r>
        <w:t xml:space="preserve"> </w:t>
      </w:r>
      <w:r w:rsidR="0086592D">
        <w:t>‘</w:t>
      </w:r>
      <w:r w:rsidRPr="005F2F8D">
        <w:t>Associations between end-of-life discussions, patient mental health, medical care near death, and caregiver bereavement adjustment</w:t>
      </w:r>
      <w:r w:rsidR="0086592D">
        <w:t>’,</w:t>
      </w:r>
      <w:r w:rsidRPr="005F2F8D">
        <w:t xml:space="preserve"> </w:t>
      </w:r>
      <w:r w:rsidRPr="00B72115">
        <w:rPr>
          <w:i/>
          <w:iCs/>
        </w:rPr>
        <w:t>JAMA</w:t>
      </w:r>
      <w:r w:rsidR="0086592D">
        <w:rPr>
          <w:i/>
          <w:iCs/>
        </w:rPr>
        <w:t>,</w:t>
      </w:r>
      <w:r w:rsidRPr="005F2F8D">
        <w:t xml:space="preserve"> 300(14):1665–1673.</w:t>
      </w:r>
    </w:p>
  </w:footnote>
  <w:footnote w:id="177">
    <w:p w14:paraId="76B34506" w14:textId="0E218BB9" w:rsidR="00522580" w:rsidRDefault="00522580">
      <w:pPr>
        <w:pStyle w:val="FootnoteText"/>
      </w:pPr>
      <w:r>
        <w:rPr>
          <w:rStyle w:val="FootnoteReference"/>
        </w:rPr>
        <w:footnoteRef/>
      </w:r>
      <w:r>
        <w:t xml:space="preserve"> </w:t>
      </w:r>
      <w:r w:rsidRPr="00522580">
        <w:rPr>
          <w:color w:val="111111"/>
          <w:shd w:val="clear" w:color="auto" w:fill="FFFFFF"/>
        </w:rPr>
        <w:t>Systemic anti-cancer treatment (SACT) is a broad term, including both conventional chemotherapy agents and biological agents such as </w:t>
      </w:r>
      <w:r w:rsidRPr="00522580">
        <w:rPr>
          <w:rStyle w:val="Strong"/>
          <w:b w:val="0"/>
          <w:bCs w:val="0"/>
          <w:color w:val="111111"/>
          <w:shd w:val="clear" w:color="auto" w:fill="FFFFFF"/>
        </w:rPr>
        <w:t>immunotherapy</w:t>
      </w:r>
      <w:r>
        <w:rPr>
          <w:color w:val="111111"/>
          <w:shd w:val="clear" w:color="auto" w:fill="FFFFFF"/>
        </w:rPr>
        <w:t>.</w:t>
      </w:r>
    </w:p>
  </w:footnote>
  <w:footnote w:id="178">
    <w:p w14:paraId="323DE595" w14:textId="187DF5E6" w:rsidR="0072736E" w:rsidRDefault="0072736E">
      <w:pPr>
        <w:pStyle w:val="FootnoteText"/>
      </w:pPr>
      <w:r>
        <w:rPr>
          <w:rStyle w:val="FootnoteReference"/>
        </w:rPr>
        <w:footnoteRef/>
      </w:r>
      <w:r>
        <w:t xml:space="preserve"> </w:t>
      </w:r>
      <w:r>
        <w:rPr>
          <w:rStyle w:val="citation"/>
          <w:lang w:val="en"/>
        </w:rPr>
        <w:t>Emanuel EJ, Young-Xu Y, Levinsky NG, et al. 2003</w:t>
      </w:r>
      <w:r w:rsidR="0086592D">
        <w:rPr>
          <w:rStyle w:val="citation"/>
          <w:lang w:val="en"/>
        </w:rPr>
        <w:t>,</w:t>
      </w:r>
      <w:r>
        <w:rPr>
          <w:rStyle w:val="citation"/>
          <w:lang w:val="en"/>
        </w:rPr>
        <w:t xml:space="preserve"> </w:t>
      </w:r>
      <w:r w:rsidR="0086592D">
        <w:rPr>
          <w:rStyle w:val="citation"/>
          <w:lang w:val="en"/>
        </w:rPr>
        <w:t>‘</w:t>
      </w:r>
      <w:r>
        <w:rPr>
          <w:rStyle w:val="citation"/>
          <w:lang w:val="en"/>
        </w:rPr>
        <w:t>Chemotherapy use among Medicare beneficiaries at the end of life</w:t>
      </w:r>
      <w:r w:rsidR="0086592D">
        <w:rPr>
          <w:rStyle w:val="citation"/>
          <w:lang w:val="en"/>
        </w:rPr>
        <w:t>’,</w:t>
      </w:r>
      <w:r>
        <w:rPr>
          <w:rStyle w:val="citation"/>
          <w:lang w:val="en"/>
        </w:rPr>
        <w:t xml:space="preserve"> </w:t>
      </w:r>
      <w:r w:rsidRPr="00186A8A">
        <w:rPr>
          <w:rStyle w:val="ref-journal"/>
          <w:i/>
          <w:iCs/>
          <w:lang w:val="en"/>
        </w:rPr>
        <w:t>Annals of Internal Medicine</w:t>
      </w:r>
      <w:r w:rsidR="0086592D">
        <w:rPr>
          <w:rStyle w:val="ref-journal"/>
          <w:lang w:val="en"/>
        </w:rPr>
        <w:t>,</w:t>
      </w:r>
      <w:r>
        <w:rPr>
          <w:rStyle w:val="citation"/>
          <w:lang w:val="en"/>
        </w:rPr>
        <w:t xml:space="preserve"> </w:t>
      </w:r>
      <w:r>
        <w:rPr>
          <w:lang w:val="en"/>
        </w:rPr>
        <w:t>138</w:t>
      </w:r>
      <w:r>
        <w:rPr>
          <w:rStyle w:val="citation"/>
          <w:lang w:val="en"/>
        </w:rPr>
        <w:t>:639</w:t>
      </w:r>
      <w:r w:rsidR="0086592D">
        <w:rPr>
          <w:rStyle w:val="citation"/>
          <w:lang w:val="en"/>
        </w:rPr>
        <w:t>–6</w:t>
      </w:r>
      <w:r>
        <w:rPr>
          <w:rStyle w:val="citation"/>
          <w:lang w:val="en"/>
        </w:rPr>
        <w:t>43.</w:t>
      </w:r>
    </w:p>
  </w:footnote>
  <w:footnote w:id="179">
    <w:p w14:paraId="7B00332A" w14:textId="0CE42763" w:rsidR="0072736E" w:rsidRDefault="0072736E">
      <w:pPr>
        <w:pStyle w:val="FootnoteText"/>
      </w:pPr>
      <w:r>
        <w:rPr>
          <w:rStyle w:val="FootnoteReference"/>
        </w:rPr>
        <w:footnoteRef/>
      </w:r>
      <w:r>
        <w:t xml:space="preserve"> </w:t>
      </w:r>
      <w:r>
        <w:rPr>
          <w:color w:val="222222"/>
        </w:rPr>
        <w:t>Rochigneux P, Raoul JL, Beaussant Y, et al. 2016</w:t>
      </w:r>
      <w:r w:rsidR="0086592D">
        <w:rPr>
          <w:color w:val="222222"/>
        </w:rPr>
        <w:t>,</w:t>
      </w:r>
      <w:r>
        <w:rPr>
          <w:color w:val="222222"/>
        </w:rPr>
        <w:t xml:space="preserve"> </w:t>
      </w:r>
      <w:r w:rsidR="0086592D">
        <w:rPr>
          <w:color w:val="222222"/>
        </w:rPr>
        <w:t>‘</w:t>
      </w:r>
      <w:r>
        <w:rPr>
          <w:color w:val="222222"/>
        </w:rPr>
        <w:t>Use of chemotherapy near the end of life: what factors matter?</w:t>
      </w:r>
      <w:r w:rsidR="0086592D">
        <w:rPr>
          <w:color w:val="222222"/>
        </w:rPr>
        <w:t>’</w:t>
      </w:r>
      <w:r>
        <w:rPr>
          <w:color w:val="222222"/>
        </w:rPr>
        <w:t xml:space="preserve"> </w:t>
      </w:r>
      <w:r w:rsidRPr="00186A8A">
        <w:rPr>
          <w:i/>
          <w:iCs/>
          <w:color w:val="222222"/>
        </w:rPr>
        <w:t>Annals of Oncology</w:t>
      </w:r>
      <w:r w:rsidR="0086592D">
        <w:rPr>
          <w:color w:val="222222"/>
        </w:rPr>
        <w:t xml:space="preserve">, </w:t>
      </w:r>
      <w:r>
        <w:rPr>
          <w:color w:val="222222"/>
        </w:rPr>
        <w:t>28(4):809</w:t>
      </w:r>
      <w:r w:rsidR="00246747">
        <w:rPr>
          <w:color w:val="222222"/>
        </w:rPr>
        <w:t>–8</w:t>
      </w:r>
      <w:r>
        <w:rPr>
          <w:color w:val="222222"/>
        </w:rPr>
        <w:t>17.</w:t>
      </w:r>
    </w:p>
  </w:footnote>
  <w:footnote w:id="180">
    <w:p w14:paraId="6D146E32" w14:textId="7F601FF5" w:rsidR="0072736E" w:rsidRDefault="0072736E">
      <w:pPr>
        <w:pStyle w:val="FootnoteText"/>
      </w:pPr>
      <w:r>
        <w:rPr>
          <w:rStyle w:val="FootnoteReference"/>
        </w:rPr>
        <w:footnoteRef/>
      </w:r>
      <w:r>
        <w:t xml:space="preserve"> </w:t>
      </w:r>
      <w:r>
        <w:rPr>
          <w:color w:val="222222"/>
        </w:rPr>
        <w:t>Guadagnolo BA, Liao KP, Elting L, et al. 2013</w:t>
      </w:r>
      <w:r w:rsidR="0086592D">
        <w:rPr>
          <w:color w:val="222222"/>
        </w:rPr>
        <w:t>,</w:t>
      </w:r>
      <w:r>
        <w:rPr>
          <w:color w:val="222222"/>
        </w:rPr>
        <w:t xml:space="preserve"> </w:t>
      </w:r>
      <w:r w:rsidR="0086592D">
        <w:rPr>
          <w:color w:val="222222"/>
        </w:rPr>
        <w:t>‘</w:t>
      </w:r>
      <w:r>
        <w:rPr>
          <w:color w:val="222222"/>
        </w:rPr>
        <w:t>Use of radiation therapy in the last 30 days of life among a large population-based cohort of elderly patients in the United States</w:t>
      </w:r>
      <w:r w:rsidR="0086592D">
        <w:rPr>
          <w:color w:val="222222"/>
        </w:rPr>
        <w:t>’,</w:t>
      </w:r>
      <w:r>
        <w:rPr>
          <w:color w:val="222222"/>
        </w:rPr>
        <w:t xml:space="preserve"> </w:t>
      </w:r>
      <w:r w:rsidRPr="00186A8A">
        <w:rPr>
          <w:i/>
          <w:iCs/>
          <w:color w:val="222222"/>
        </w:rPr>
        <w:t>Journal of Clinical Oncology</w:t>
      </w:r>
      <w:r w:rsidR="0086592D">
        <w:rPr>
          <w:color w:val="222222"/>
        </w:rPr>
        <w:t>,</w:t>
      </w:r>
      <w:r>
        <w:rPr>
          <w:color w:val="222222"/>
        </w:rPr>
        <w:t xml:space="preserve"> 31(1):80.</w:t>
      </w:r>
    </w:p>
  </w:footnote>
  <w:footnote w:id="181">
    <w:p w14:paraId="10470EAA" w14:textId="3F4C6EA9" w:rsidR="00BF2DAB" w:rsidRDefault="00BF2DAB">
      <w:pPr>
        <w:pStyle w:val="FootnoteText"/>
      </w:pPr>
      <w:r>
        <w:rPr>
          <w:rStyle w:val="FootnoteReference"/>
        </w:rPr>
        <w:footnoteRef/>
      </w:r>
      <w:r>
        <w:t xml:space="preserve"> </w:t>
      </w:r>
      <w:r w:rsidR="0086592D">
        <w:t xml:space="preserve">Refer to the </w:t>
      </w:r>
      <w:hyperlink r:id="rId11" w:anchor=":~:text=Survival" w:history="1">
        <w:r w:rsidR="0086592D" w:rsidRPr="0086592D">
          <w:rPr>
            <w:rStyle w:val="Hyperlink"/>
          </w:rPr>
          <w:t>Cancer Australia website</w:t>
        </w:r>
      </w:hyperlink>
      <w:r>
        <w:t xml:space="preserve"> </w:t>
      </w:r>
      <w:r w:rsidR="0086592D">
        <w:t>&lt;</w:t>
      </w:r>
      <w:r w:rsidRPr="00BF2DAB">
        <w:t>https://www.canceraustralia.gov.au/cancer-types/lung-cancer/statistics#:~:text=Survival</w:t>
      </w:r>
      <w:r w:rsidR="0086592D">
        <w:t>&gt;</w:t>
      </w:r>
      <w:r>
        <w:t>.</w:t>
      </w:r>
    </w:p>
  </w:footnote>
  <w:footnote w:id="182">
    <w:p w14:paraId="6A277233" w14:textId="3E9CEACB" w:rsidR="0072736E" w:rsidRDefault="0072736E" w:rsidP="00CE0FEE">
      <w:pPr>
        <w:pStyle w:val="FootnoteText"/>
      </w:pPr>
      <w:r>
        <w:rPr>
          <w:rStyle w:val="FootnoteReference"/>
        </w:rPr>
        <w:footnoteRef/>
      </w:r>
      <w:r>
        <w:t xml:space="preserve"> </w:t>
      </w:r>
      <w:r w:rsidR="00BF2DAB" w:rsidRPr="00BF2DAB">
        <w:rPr>
          <w:color w:val="202020"/>
          <w:shd w:val="clear" w:color="auto" w:fill="FFFFFF"/>
        </w:rPr>
        <w:t>Cancer Australia (Australian Government)</w:t>
      </w:r>
      <w:r w:rsidR="0086592D">
        <w:rPr>
          <w:color w:val="202020"/>
          <w:shd w:val="clear" w:color="auto" w:fill="FFFFFF"/>
        </w:rPr>
        <w:t>,</w:t>
      </w:r>
      <w:r w:rsidR="00BF2DAB" w:rsidRPr="00BF2DAB">
        <w:rPr>
          <w:color w:val="202020"/>
          <w:shd w:val="clear" w:color="auto" w:fill="FFFFFF"/>
        </w:rPr>
        <w:t xml:space="preserve"> </w:t>
      </w:r>
      <w:r w:rsidR="00BF2DAB" w:rsidRPr="00457BB6">
        <w:rPr>
          <w:i/>
          <w:iCs/>
          <w:color w:val="202020"/>
          <w:shd w:val="clear" w:color="auto" w:fill="FFFFFF"/>
        </w:rPr>
        <w:t>National cancer stage at diagnosis data</w:t>
      </w:r>
      <w:r w:rsidR="009C2137">
        <w:rPr>
          <w:color w:val="202020"/>
          <w:shd w:val="clear" w:color="auto" w:fill="FFFFFF"/>
        </w:rPr>
        <w:t>.</w:t>
      </w:r>
      <w:r w:rsidR="00BF2DAB" w:rsidRPr="00BF2DAB">
        <w:rPr>
          <w:color w:val="202020"/>
          <w:shd w:val="clear" w:color="auto" w:fill="FFFFFF"/>
        </w:rPr>
        <w:t xml:space="preserve"> Available from: </w:t>
      </w:r>
      <w:r w:rsidR="00BF2DAB" w:rsidRPr="00BF2DAB">
        <w:rPr>
          <w:shd w:val="clear" w:color="auto" w:fill="FFFFFF"/>
        </w:rPr>
        <w:t>https://ncci.canceraustralia.gov.au/cancer-types/lung-cancer</w:t>
      </w:r>
      <w:r w:rsidR="00BF2DAB" w:rsidRPr="00BF2DAB">
        <w:rPr>
          <w:color w:val="202020"/>
          <w:shd w:val="clear" w:color="auto" w:fill="FFFFFF"/>
        </w:rPr>
        <w:t>.</w:t>
      </w:r>
    </w:p>
    <w:p w14:paraId="5B4C61A5" w14:textId="7CFBFD0A" w:rsidR="0072736E" w:rsidRDefault="0072736E">
      <w:pPr>
        <w:pStyle w:val="FootnoteText"/>
      </w:pPr>
    </w:p>
  </w:footnote>
  <w:footnote w:id="183">
    <w:p w14:paraId="0E83A773" w14:textId="6B45B043" w:rsidR="0072736E" w:rsidRDefault="0072736E">
      <w:pPr>
        <w:pStyle w:val="FootnoteText"/>
      </w:pPr>
      <w:r>
        <w:rPr>
          <w:rStyle w:val="FootnoteReference"/>
        </w:rPr>
        <w:footnoteRef/>
      </w:r>
      <w:r>
        <w:t xml:space="preserve"> </w:t>
      </w:r>
      <w:r w:rsidR="0086592D">
        <w:t xml:space="preserve">Refer to the </w:t>
      </w:r>
      <w:hyperlink r:id="rId12" w:history="1">
        <w:r w:rsidR="0086592D" w:rsidRPr="0086592D">
          <w:rPr>
            <w:rStyle w:val="Hyperlink"/>
          </w:rPr>
          <w:t>Australian Pancreatic Cancer Genome Initiative website</w:t>
        </w:r>
      </w:hyperlink>
      <w:r>
        <w:t xml:space="preserve"> </w:t>
      </w:r>
      <w:r w:rsidR="0086592D">
        <w:t>&lt;</w:t>
      </w:r>
      <w:r w:rsidRPr="00B626FA">
        <w:t>http://www.pancreaticcancer.net.au/patients-pancreatic-cancer/statistics/</w:t>
      </w:r>
      <w:r w:rsidR="0086592D">
        <w:t>&gt;.</w:t>
      </w:r>
    </w:p>
  </w:footnote>
  <w:footnote w:id="184">
    <w:p w14:paraId="5DB85B9B" w14:textId="6B541CCC" w:rsidR="0072736E" w:rsidRPr="00F3402F" w:rsidRDefault="0072736E">
      <w:pPr>
        <w:pStyle w:val="FootnoteText"/>
      </w:pPr>
      <w:r w:rsidRPr="00F3402F">
        <w:rPr>
          <w:rStyle w:val="FootnoteReference"/>
        </w:rPr>
        <w:footnoteRef/>
      </w:r>
      <w:r w:rsidRPr="00F3402F">
        <w:t xml:space="preserve"> Vaughan S, Coward JI, Bast Jr RC, </w:t>
      </w:r>
      <w:r>
        <w:t>et al</w:t>
      </w:r>
      <w:r w:rsidRPr="00F3402F">
        <w:t xml:space="preserve">. </w:t>
      </w:r>
      <w:r>
        <w:t>2011</w:t>
      </w:r>
      <w:r w:rsidR="0086592D">
        <w:t>,</w:t>
      </w:r>
      <w:r>
        <w:t xml:space="preserve"> </w:t>
      </w:r>
      <w:r w:rsidR="0086592D">
        <w:t>‘</w:t>
      </w:r>
      <w:r w:rsidRPr="00F3402F">
        <w:t>Rethinking ovarian cancer: recommendations for improving outcomes</w:t>
      </w:r>
      <w:r w:rsidR="0086592D">
        <w:t>’,</w:t>
      </w:r>
      <w:r w:rsidRPr="00F3402F">
        <w:t xml:space="preserve"> </w:t>
      </w:r>
      <w:r w:rsidRPr="00457BB6">
        <w:rPr>
          <w:i/>
          <w:iCs/>
        </w:rPr>
        <w:t>Nature Reviews Cancer</w:t>
      </w:r>
      <w:r w:rsidR="0086592D">
        <w:t>,</w:t>
      </w:r>
      <w:r w:rsidRPr="00F3402F">
        <w:t xml:space="preserve"> 11(10):719.</w:t>
      </w:r>
    </w:p>
  </w:footnote>
  <w:footnote w:id="185">
    <w:p w14:paraId="41C9ECC8" w14:textId="665480B5" w:rsidR="0072736E" w:rsidRPr="00F3402F" w:rsidRDefault="0072736E" w:rsidP="00457BB6">
      <w:pPr>
        <w:pStyle w:val="FootnoteText"/>
      </w:pPr>
      <w:r w:rsidRPr="00F3402F">
        <w:rPr>
          <w:rStyle w:val="FootnoteReference"/>
          <w:sz w:val="16"/>
        </w:rPr>
        <w:footnoteRef/>
      </w:r>
      <w:r w:rsidRPr="00F3402F">
        <w:t xml:space="preserve"> </w:t>
      </w:r>
      <w:r w:rsidR="002224F4">
        <w:t xml:space="preserve">Refer to the </w:t>
      </w:r>
      <w:hyperlink r:id="rId13" w:history="1">
        <w:r w:rsidR="002224F4" w:rsidRPr="002224F4">
          <w:rPr>
            <w:rStyle w:val="Hyperlink"/>
          </w:rPr>
          <w:t>Ovarian Cancer Australia website</w:t>
        </w:r>
      </w:hyperlink>
      <w:r w:rsidR="00264621" w:rsidRPr="00C845E1">
        <w:t xml:space="preserve"> </w:t>
      </w:r>
      <w:r w:rsidR="002224F4">
        <w:t>&lt;</w:t>
      </w:r>
      <w:r w:rsidR="00264621" w:rsidRPr="00C845E1">
        <w:t>https://www.ovariancancer.net.au/page/67/about-ovarian-canceration</w:t>
      </w:r>
      <w:r w:rsidR="002224F4">
        <w:t>&gt;</w:t>
      </w:r>
      <w:r w:rsidR="00C845E1">
        <w:t>.</w:t>
      </w:r>
    </w:p>
  </w:footnote>
  <w:footnote w:id="186">
    <w:p w14:paraId="08BC6B24" w14:textId="4987F6EF" w:rsidR="0072736E" w:rsidRPr="00F3402F" w:rsidRDefault="0072736E">
      <w:pPr>
        <w:pStyle w:val="FootnoteText"/>
      </w:pPr>
      <w:r w:rsidRPr="00F3402F">
        <w:rPr>
          <w:rStyle w:val="FootnoteReference"/>
        </w:rPr>
        <w:footnoteRef/>
      </w:r>
      <w:r w:rsidRPr="00F3402F">
        <w:t xml:space="preserve"> </w:t>
      </w:r>
      <w:r w:rsidR="002224F4">
        <w:t xml:space="preserve">Refer to the </w:t>
      </w:r>
      <w:hyperlink r:id="rId14" w:history="1">
        <w:r w:rsidR="002224F4" w:rsidRPr="002224F4">
          <w:rPr>
            <w:rStyle w:val="Hyperlink"/>
          </w:rPr>
          <w:t>Cancer Australia website</w:t>
        </w:r>
      </w:hyperlink>
      <w:r>
        <w:t xml:space="preserve"> </w:t>
      </w:r>
      <w:r w:rsidR="002224F4">
        <w:t>&lt;</w:t>
      </w:r>
      <w:r w:rsidR="00C845E1" w:rsidRPr="00C845E1">
        <w:t>https://www.canceraustralia.gov.au/cancer-types/ovarian-cancer/statistics</w:t>
      </w:r>
      <w:r w:rsidR="002224F4">
        <w:t>&gt;</w:t>
      </w:r>
      <w:r w:rsidR="00C845E1">
        <w:t>.</w:t>
      </w:r>
    </w:p>
  </w:footnote>
  <w:footnote w:id="187">
    <w:p w14:paraId="7B6B6BF6" w14:textId="40B5CFC9" w:rsidR="0072736E" w:rsidRPr="008336E6" w:rsidRDefault="0072736E" w:rsidP="009B1B93">
      <w:pPr>
        <w:pStyle w:val="FootnoteText"/>
      </w:pPr>
      <w:r w:rsidRPr="009E2696">
        <w:rPr>
          <w:rStyle w:val="FootnoteReference"/>
        </w:rPr>
        <w:footnoteRef/>
      </w:r>
      <w:r>
        <w:t xml:space="preserve"> </w:t>
      </w:r>
      <w:r w:rsidRPr="008336E6">
        <w:t>World Cancer Research Fund / American Institute for Cancer Research</w:t>
      </w:r>
      <w:r>
        <w:t xml:space="preserve"> 2011</w:t>
      </w:r>
      <w:r w:rsidR="00D359F5">
        <w:t>,</w:t>
      </w:r>
      <w:r w:rsidRPr="008336E6">
        <w:t xml:space="preserve"> </w:t>
      </w:r>
      <w:r w:rsidRPr="00DD3D63">
        <w:rPr>
          <w:i/>
          <w:iCs/>
        </w:rPr>
        <w:t xml:space="preserve">Continuous </w:t>
      </w:r>
      <w:r w:rsidR="00D359F5" w:rsidRPr="00D359F5">
        <w:rPr>
          <w:i/>
          <w:iCs/>
        </w:rPr>
        <w:t>update project report. food, nutrition, physical activity, and the prevention of colorectal cancer</w:t>
      </w:r>
      <w:r w:rsidRPr="008336E6">
        <w:t xml:space="preserve">. </w:t>
      </w:r>
    </w:p>
  </w:footnote>
  <w:footnote w:id="188">
    <w:p w14:paraId="00DBB97A" w14:textId="0BB9F237" w:rsidR="0072736E" w:rsidRPr="005F7E72" w:rsidRDefault="0072736E" w:rsidP="009B1B93">
      <w:pPr>
        <w:pStyle w:val="FootnoteText"/>
        <w:rPr>
          <w:lang w:val="en-NZ"/>
        </w:rPr>
      </w:pPr>
      <w:r w:rsidRPr="009E2696">
        <w:rPr>
          <w:rStyle w:val="FootnoteReference"/>
        </w:rPr>
        <w:footnoteRef/>
      </w:r>
      <w:r w:rsidRPr="009E2696">
        <w:t xml:space="preserve"> </w:t>
      </w:r>
      <w:r w:rsidR="00D359F5">
        <w:t xml:space="preserve">Refer to the </w:t>
      </w:r>
      <w:hyperlink r:id="rId15" w:history="1">
        <w:r w:rsidR="00D359F5" w:rsidRPr="00D359F5">
          <w:rPr>
            <w:rStyle w:val="Hyperlink"/>
          </w:rPr>
          <w:t>Cancer Australia website</w:t>
        </w:r>
      </w:hyperlink>
      <w:r w:rsidRPr="006C50CE">
        <w:rPr>
          <w:sz w:val="20"/>
          <w:szCs w:val="20"/>
        </w:rPr>
        <w:t xml:space="preserve"> </w:t>
      </w:r>
      <w:r w:rsidR="00D359F5">
        <w:rPr>
          <w:sz w:val="20"/>
          <w:szCs w:val="20"/>
        </w:rPr>
        <w:t>&lt;</w:t>
      </w:r>
      <w:r w:rsidRPr="005F7E72">
        <w:t>https://ncci.canceraustralia.gov.au/outcomes/relative-survival-rate/relative-survival-stage-diagnosis-colorectal-cancer</w:t>
      </w:r>
      <w:r w:rsidR="00D359F5">
        <w:t>&gt;.</w:t>
      </w:r>
    </w:p>
  </w:footnote>
  <w:footnote w:id="189">
    <w:p w14:paraId="39F8C476" w14:textId="4A1A8AF7" w:rsidR="0072736E" w:rsidRDefault="0072736E">
      <w:pPr>
        <w:pStyle w:val="FootnoteText"/>
      </w:pPr>
      <w:r>
        <w:rPr>
          <w:rStyle w:val="FootnoteReference"/>
        </w:rPr>
        <w:footnoteRef/>
      </w:r>
      <w:r>
        <w:t xml:space="preserve"> </w:t>
      </w:r>
      <w:r w:rsidR="00D359F5">
        <w:t xml:space="preserve">Refer to the </w:t>
      </w:r>
      <w:hyperlink r:id="rId16" w:history="1">
        <w:r w:rsidR="00D359F5" w:rsidRPr="00D359F5">
          <w:rPr>
            <w:rStyle w:val="Hyperlink"/>
          </w:rPr>
          <w:t>Cancer Council website</w:t>
        </w:r>
      </w:hyperlink>
      <w:r>
        <w:t xml:space="preserve"> </w:t>
      </w:r>
      <w:r w:rsidR="00D359F5">
        <w:t>&lt;</w:t>
      </w:r>
      <w:r w:rsidRPr="006059EB">
        <w:t>https://www.cancer.org.au/about-cancer/types-of-cancer/brain-cancer.html</w:t>
      </w:r>
      <w:r w:rsidR="00D359F5">
        <w:t>&gt;.</w:t>
      </w:r>
    </w:p>
  </w:footnote>
  <w:footnote w:id="190">
    <w:p w14:paraId="0D2C67AE" w14:textId="209880B4" w:rsidR="0072736E" w:rsidRPr="00BF5AF1" w:rsidRDefault="0072736E" w:rsidP="00DD3D63">
      <w:pPr>
        <w:pStyle w:val="FootnoteText"/>
      </w:pPr>
      <w:r w:rsidRPr="00BF5AF1">
        <w:rPr>
          <w:rStyle w:val="FootnoteReference"/>
          <w:sz w:val="16"/>
        </w:rPr>
        <w:footnoteRef/>
      </w:r>
      <w:r w:rsidRPr="00BF5AF1">
        <w:t xml:space="preserve"> AIHW 2011</w:t>
      </w:r>
      <w:r w:rsidR="00D359F5">
        <w:t>,</w:t>
      </w:r>
      <w:r w:rsidRPr="00BF5AF1">
        <w:t xml:space="preserve"> </w:t>
      </w:r>
      <w:r w:rsidRPr="00DD3D63">
        <w:rPr>
          <w:i/>
          <w:iCs/>
        </w:rPr>
        <w:t>Cancer in adolescents and young adults in Australia</w:t>
      </w:r>
      <w:r w:rsidR="00D359F5">
        <w:t>,</w:t>
      </w:r>
      <w:r w:rsidRPr="00BF5AF1">
        <w:t xml:space="preserve"> Cancer series no. 62. Cat. no. CAN 59. AIHW</w:t>
      </w:r>
      <w:r>
        <w:t>, Canberra.</w:t>
      </w:r>
    </w:p>
  </w:footnote>
  <w:footnote w:id="191">
    <w:p w14:paraId="6CC9A730" w14:textId="27A155E1" w:rsidR="0072736E" w:rsidRDefault="0072736E">
      <w:pPr>
        <w:pStyle w:val="FootnoteText"/>
      </w:pPr>
      <w:r>
        <w:rPr>
          <w:rStyle w:val="FootnoteReference"/>
        </w:rPr>
        <w:footnoteRef/>
      </w:r>
      <w:r>
        <w:t xml:space="preserve"> </w:t>
      </w:r>
      <w:r w:rsidR="00901587">
        <w:t xml:space="preserve">Refer to the </w:t>
      </w:r>
      <w:hyperlink r:id="rId17" w:history="1">
        <w:r w:rsidR="00901587" w:rsidRPr="0017582D">
          <w:rPr>
            <w:rStyle w:val="Hyperlink"/>
          </w:rPr>
          <w:t>Cure Brain Cancer Foundation website</w:t>
        </w:r>
      </w:hyperlink>
      <w:r>
        <w:t xml:space="preserve"> </w:t>
      </w:r>
      <w:r w:rsidR="00901587">
        <w:t>&lt;</w:t>
      </w:r>
      <w:r w:rsidRPr="002945F6">
        <w:t>https://www.curebraincancer.org.au/page/8/facts-stats</w:t>
      </w:r>
      <w:r w:rsidR="00901587">
        <w:t>&gt;.</w:t>
      </w:r>
    </w:p>
  </w:footnote>
  <w:footnote w:id="192">
    <w:p w14:paraId="03C27E33" w14:textId="2065A30C" w:rsidR="00861D3E" w:rsidRPr="00861D3E" w:rsidRDefault="00861D3E">
      <w:pPr>
        <w:pStyle w:val="FootnoteText"/>
      </w:pPr>
      <w:r>
        <w:rPr>
          <w:rStyle w:val="FootnoteReference"/>
        </w:rPr>
        <w:footnoteRef/>
      </w:r>
      <w:r>
        <w:t xml:space="preserve"> </w:t>
      </w:r>
      <w:r w:rsidR="0017582D">
        <w:t>The includes</w:t>
      </w:r>
      <w:r w:rsidR="0017582D" w:rsidRPr="00861D3E">
        <w:rPr>
          <w:rFonts w:eastAsia="Times New Roman"/>
          <w:color w:val="212121"/>
          <w:shd w:val="clear" w:color="auto" w:fill="FFFFFF"/>
        </w:rPr>
        <w:t xml:space="preserve"> </w:t>
      </w:r>
      <w:r w:rsidRPr="00861D3E">
        <w:rPr>
          <w:rFonts w:eastAsia="Times New Roman"/>
          <w:color w:val="212121"/>
          <w:shd w:val="clear" w:color="auto" w:fill="FFFFFF"/>
        </w:rPr>
        <w:t>both lifestyle and environmental risk factors </w:t>
      </w:r>
      <w:r w:rsidRPr="00861D3E">
        <w:rPr>
          <w:rFonts w:eastAsia="Times New Roman"/>
          <w:i/>
          <w:iCs/>
          <w:color w:val="212121"/>
          <w:shd w:val="clear" w:color="auto" w:fill="FFFFFF"/>
        </w:rPr>
        <w:t>Helicobacter pylori</w:t>
      </w:r>
      <w:r w:rsidRPr="00861D3E">
        <w:rPr>
          <w:rFonts w:eastAsia="Times New Roman"/>
          <w:color w:val="212121"/>
          <w:shd w:val="clear" w:color="auto" w:fill="FFFFFF"/>
        </w:rPr>
        <w:t xml:space="preserve"> infection, low </w:t>
      </w:r>
      <w:r w:rsidR="00B44F8F">
        <w:rPr>
          <w:rFonts w:eastAsia="Times New Roman"/>
          <w:color w:val="212121"/>
          <w:shd w:val="clear" w:color="auto" w:fill="FFFFFF"/>
        </w:rPr>
        <w:t>SES</w:t>
      </w:r>
      <w:r w:rsidRPr="00861D3E">
        <w:rPr>
          <w:rFonts w:eastAsia="Times New Roman"/>
          <w:color w:val="212121"/>
          <w:shd w:val="clear" w:color="auto" w:fill="FFFFFF"/>
        </w:rPr>
        <w:t xml:space="preserve">, dietary factors, such as </w:t>
      </w:r>
      <w:r w:rsidRPr="00861D3E">
        <w:rPr>
          <w:rFonts w:eastAsia="Times New Roman"/>
          <w:shd w:val="clear" w:color="auto" w:fill="FFFFFF"/>
        </w:rPr>
        <w:t xml:space="preserve">high intake of salty and smoked food and low consumption of fruits and vegetables, fibre intake, in addition to tobacco smoking, alcohol use, low physical activity, obesity, radiation, gastroesophageal reflux disease, positive family history and inherited predisposition. </w:t>
      </w:r>
      <w:r w:rsidR="00FE0169">
        <w:rPr>
          <w:rFonts w:eastAsia="Times New Roman"/>
          <w:shd w:val="clear" w:color="auto" w:fill="FFFFFF"/>
        </w:rPr>
        <w:t xml:space="preserve">Refer to: </w:t>
      </w:r>
      <w:r w:rsidRPr="00861D3E">
        <w:rPr>
          <w:shd w:val="clear" w:color="auto" w:fill="FFFFFF"/>
        </w:rPr>
        <w:t>Jayasekara H, MacInnis RJ, Lujan</w:t>
      </w:r>
      <w:r w:rsidRPr="00861D3E">
        <w:rPr>
          <w:rFonts w:ascii="Cambria Math" w:hAnsi="Cambria Math" w:cs="Cambria Math"/>
          <w:shd w:val="clear" w:color="auto" w:fill="FFFFFF"/>
        </w:rPr>
        <w:t>‐</w:t>
      </w:r>
      <w:r w:rsidRPr="00861D3E">
        <w:rPr>
          <w:shd w:val="clear" w:color="auto" w:fill="FFFFFF"/>
        </w:rPr>
        <w:t xml:space="preserve">Barroso L, </w:t>
      </w:r>
      <w:r w:rsidR="0017582D">
        <w:rPr>
          <w:shd w:val="clear" w:color="auto" w:fill="FFFFFF"/>
        </w:rPr>
        <w:t>et al</w:t>
      </w:r>
      <w:r w:rsidRPr="00861D3E">
        <w:rPr>
          <w:shd w:val="clear" w:color="auto" w:fill="FFFFFF"/>
        </w:rPr>
        <w:t>.</w:t>
      </w:r>
      <w:r w:rsidR="00873662">
        <w:rPr>
          <w:shd w:val="clear" w:color="auto" w:fill="FFFFFF"/>
        </w:rPr>
        <w:t xml:space="preserve"> 2021</w:t>
      </w:r>
      <w:r w:rsidR="0017582D">
        <w:rPr>
          <w:shd w:val="clear" w:color="auto" w:fill="FFFFFF"/>
        </w:rPr>
        <w:t>,</w:t>
      </w:r>
      <w:r w:rsidRPr="00861D3E">
        <w:rPr>
          <w:shd w:val="clear" w:color="auto" w:fill="FFFFFF"/>
        </w:rPr>
        <w:t xml:space="preserve"> </w:t>
      </w:r>
      <w:r w:rsidR="0017582D">
        <w:rPr>
          <w:shd w:val="clear" w:color="auto" w:fill="FFFFFF"/>
        </w:rPr>
        <w:t>‘</w:t>
      </w:r>
      <w:r w:rsidRPr="00861D3E">
        <w:rPr>
          <w:shd w:val="clear" w:color="auto" w:fill="FFFFFF"/>
        </w:rPr>
        <w:t xml:space="preserve">Lifetime alcohol intake, drinking patterns over time and risk of stomach cancer: </w:t>
      </w:r>
      <w:r w:rsidR="0017582D">
        <w:rPr>
          <w:shd w:val="clear" w:color="auto" w:fill="FFFFFF"/>
        </w:rPr>
        <w:t>a</w:t>
      </w:r>
      <w:r w:rsidRPr="00861D3E">
        <w:rPr>
          <w:shd w:val="clear" w:color="auto" w:fill="FFFFFF"/>
        </w:rPr>
        <w:t xml:space="preserve"> pooled analysis of data from two prospective cohort studies</w:t>
      </w:r>
      <w:r w:rsidR="0017582D">
        <w:rPr>
          <w:shd w:val="clear" w:color="auto" w:fill="FFFFFF"/>
        </w:rPr>
        <w:t>’,</w:t>
      </w:r>
      <w:r w:rsidRPr="00861D3E">
        <w:rPr>
          <w:shd w:val="clear" w:color="auto" w:fill="FFFFFF"/>
        </w:rPr>
        <w:t xml:space="preserve"> </w:t>
      </w:r>
      <w:r w:rsidRPr="00DD3D63">
        <w:rPr>
          <w:i/>
          <w:iCs/>
          <w:shd w:val="clear" w:color="auto" w:fill="FFFFFF"/>
        </w:rPr>
        <w:t xml:space="preserve">International </w:t>
      </w:r>
      <w:r w:rsidR="00873662" w:rsidRPr="00DD3D63">
        <w:rPr>
          <w:i/>
          <w:iCs/>
          <w:shd w:val="clear" w:color="auto" w:fill="FFFFFF"/>
        </w:rPr>
        <w:t>J</w:t>
      </w:r>
      <w:r w:rsidRPr="00DD3D63">
        <w:rPr>
          <w:i/>
          <w:iCs/>
          <w:shd w:val="clear" w:color="auto" w:fill="FFFFFF"/>
        </w:rPr>
        <w:t xml:space="preserve">ournal of </w:t>
      </w:r>
      <w:r w:rsidR="00873662" w:rsidRPr="00DD3D63">
        <w:rPr>
          <w:i/>
          <w:iCs/>
          <w:shd w:val="clear" w:color="auto" w:fill="FFFFFF"/>
        </w:rPr>
        <w:t>C</w:t>
      </w:r>
      <w:r w:rsidRPr="00DD3D63">
        <w:rPr>
          <w:i/>
          <w:iCs/>
          <w:shd w:val="clear" w:color="auto" w:fill="FFFFFF"/>
        </w:rPr>
        <w:t>ancer</w:t>
      </w:r>
      <w:r w:rsidR="0017582D">
        <w:rPr>
          <w:shd w:val="clear" w:color="auto" w:fill="FFFFFF"/>
        </w:rPr>
        <w:t>,</w:t>
      </w:r>
      <w:r w:rsidRPr="00861D3E">
        <w:rPr>
          <w:shd w:val="clear" w:color="auto" w:fill="FFFFFF"/>
        </w:rPr>
        <w:t>148(11):2759</w:t>
      </w:r>
      <w:r w:rsidR="0017582D">
        <w:rPr>
          <w:shd w:val="clear" w:color="auto" w:fill="FFFFFF"/>
        </w:rPr>
        <w:t>–27</w:t>
      </w:r>
      <w:r w:rsidRPr="00861D3E">
        <w:rPr>
          <w:shd w:val="clear" w:color="auto" w:fill="FFFFFF"/>
        </w:rPr>
        <w:t>73.</w:t>
      </w:r>
    </w:p>
  </w:footnote>
  <w:footnote w:id="193">
    <w:p w14:paraId="408E77F2" w14:textId="7A3006CF" w:rsidR="0072736E" w:rsidRDefault="0072736E">
      <w:pPr>
        <w:pStyle w:val="FootnoteText"/>
      </w:pPr>
      <w:r>
        <w:rPr>
          <w:rStyle w:val="FootnoteReference"/>
        </w:rPr>
        <w:footnoteRef/>
      </w:r>
      <w:r>
        <w:t xml:space="preserve"> </w:t>
      </w:r>
      <w:r w:rsidR="0017582D">
        <w:t xml:space="preserve">Refer to the </w:t>
      </w:r>
      <w:hyperlink r:id="rId18" w:history="1">
        <w:r w:rsidR="0017582D" w:rsidRPr="0017582D">
          <w:rPr>
            <w:rStyle w:val="Hyperlink"/>
          </w:rPr>
          <w:t>Cancer Australia website</w:t>
        </w:r>
      </w:hyperlink>
      <w:r>
        <w:t xml:space="preserve"> </w:t>
      </w:r>
      <w:r w:rsidR="0017582D">
        <w:t>&lt;</w:t>
      </w:r>
      <w:r w:rsidR="00873662" w:rsidRPr="00873662">
        <w:t>https://www.canceraustralia.gov.au/cancer-types/stomach-cancer/statistics</w:t>
      </w:r>
      <w:r w:rsidR="0017582D">
        <w:t>&gt;</w:t>
      </w:r>
      <w:r w:rsidR="00873662">
        <w:t>.</w:t>
      </w:r>
    </w:p>
  </w:footnote>
  <w:footnote w:id="194">
    <w:p w14:paraId="63039F50" w14:textId="60DFA88B" w:rsidR="00F1758D" w:rsidRPr="00F66562" w:rsidRDefault="00F1758D" w:rsidP="00DD3D63">
      <w:pPr>
        <w:pStyle w:val="FootnoteText"/>
        <w:rPr>
          <w:color w:val="4D4D4F"/>
        </w:rPr>
      </w:pPr>
      <w:r>
        <w:rPr>
          <w:rStyle w:val="FootnoteReference"/>
        </w:rPr>
        <w:footnoteRef/>
      </w:r>
      <w:r>
        <w:t xml:space="preserve"> </w:t>
      </w:r>
      <w:r w:rsidR="00F66562" w:rsidRPr="00F66562">
        <w:rPr>
          <w:shd w:val="clear" w:color="auto" w:fill="FFFFFF"/>
        </w:rPr>
        <w:t>Jayasekara H, MacInnis RJ, Lujan</w:t>
      </w:r>
      <w:r w:rsidR="00F66562" w:rsidRPr="00F66562">
        <w:rPr>
          <w:rFonts w:ascii="Cambria Math" w:hAnsi="Cambria Math" w:cs="Cambria Math"/>
          <w:shd w:val="clear" w:color="auto" w:fill="FFFFFF"/>
        </w:rPr>
        <w:t>‐</w:t>
      </w:r>
      <w:r w:rsidR="00F66562" w:rsidRPr="00F66562">
        <w:rPr>
          <w:shd w:val="clear" w:color="auto" w:fill="FFFFFF"/>
        </w:rPr>
        <w:t xml:space="preserve">Barroso L, </w:t>
      </w:r>
      <w:r w:rsidR="0017582D">
        <w:rPr>
          <w:shd w:val="clear" w:color="auto" w:fill="FFFFFF"/>
        </w:rPr>
        <w:t>et al.</w:t>
      </w:r>
      <w:r w:rsidR="00F66562" w:rsidRPr="00F66562">
        <w:rPr>
          <w:shd w:val="clear" w:color="auto" w:fill="FFFFFF"/>
        </w:rPr>
        <w:t xml:space="preserve"> </w:t>
      </w:r>
      <w:r w:rsidR="00873662">
        <w:rPr>
          <w:shd w:val="clear" w:color="auto" w:fill="FFFFFF"/>
        </w:rPr>
        <w:t>2021</w:t>
      </w:r>
      <w:r w:rsidR="0017582D">
        <w:rPr>
          <w:shd w:val="clear" w:color="auto" w:fill="FFFFFF"/>
        </w:rPr>
        <w:t>,</w:t>
      </w:r>
      <w:r w:rsidR="00873662">
        <w:rPr>
          <w:shd w:val="clear" w:color="auto" w:fill="FFFFFF"/>
        </w:rPr>
        <w:t xml:space="preserve"> </w:t>
      </w:r>
      <w:r w:rsidR="0017582D">
        <w:rPr>
          <w:shd w:val="clear" w:color="auto" w:fill="FFFFFF"/>
        </w:rPr>
        <w:t>‘</w:t>
      </w:r>
      <w:r w:rsidR="00F66562" w:rsidRPr="00F66562">
        <w:rPr>
          <w:shd w:val="clear" w:color="auto" w:fill="FFFFFF"/>
        </w:rPr>
        <w:t>Lifetime alcohol intake, drinking patterns over time and risk of stomach cancer: A pooled analysis of data from two prospective cohort studies</w:t>
      </w:r>
      <w:r w:rsidR="0017582D">
        <w:rPr>
          <w:shd w:val="clear" w:color="auto" w:fill="FFFFFF"/>
        </w:rPr>
        <w:t>’,</w:t>
      </w:r>
      <w:r w:rsidR="00F66562" w:rsidRPr="00F66562">
        <w:rPr>
          <w:shd w:val="clear" w:color="auto" w:fill="FFFFFF"/>
        </w:rPr>
        <w:t xml:space="preserve"> </w:t>
      </w:r>
      <w:r w:rsidR="00F66562" w:rsidRPr="00DD3D63">
        <w:rPr>
          <w:i/>
          <w:iCs/>
          <w:shd w:val="clear" w:color="auto" w:fill="FFFFFF"/>
        </w:rPr>
        <w:t xml:space="preserve">International </w:t>
      </w:r>
      <w:r w:rsidR="00873662" w:rsidRPr="00DD3D63">
        <w:rPr>
          <w:i/>
          <w:iCs/>
          <w:shd w:val="clear" w:color="auto" w:fill="FFFFFF"/>
        </w:rPr>
        <w:t>J</w:t>
      </w:r>
      <w:r w:rsidR="00F66562" w:rsidRPr="00DD3D63">
        <w:rPr>
          <w:i/>
          <w:iCs/>
          <w:shd w:val="clear" w:color="auto" w:fill="FFFFFF"/>
        </w:rPr>
        <w:t xml:space="preserve">ournal of </w:t>
      </w:r>
      <w:r w:rsidR="00873662" w:rsidRPr="00DD3D63">
        <w:rPr>
          <w:i/>
          <w:iCs/>
          <w:shd w:val="clear" w:color="auto" w:fill="FFFFFF"/>
        </w:rPr>
        <w:t>C</w:t>
      </w:r>
      <w:r w:rsidR="00F66562" w:rsidRPr="00DD3D63">
        <w:rPr>
          <w:i/>
          <w:iCs/>
          <w:shd w:val="clear" w:color="auto" w:fill="FFFFFF"/>
        </w:rPr>
        <w:t>ancer</w:t>
      </w:r>
      <w:r w:rsidR="0017582D">
        <w:rPr>
          <w:shd w:val="clear" w:color="auto" w:fill="FFFFFF"/>
        </w:rPr>
        <w:t>,</w:t>
      </w:r>
      <w:r w:rsidR="00873662">
        <w:rPr>
          <w:shd w:val="clear" w:color="auto" w:fill="FFFFFF"/>
        </w:rPr>
        <w:t xml:space="preserve"> </w:t>
      </w:r>
      <w:r w:rsidR="00F66562" w:rsidRPr="00F66562">
        <w:rPr>
          <w:shd w:val="clear" w:color="auto" w:fill="FFFFFF"/>
        </w:rPr>
        <w:t>148(11):2759</w:t>
      </w:r>
      <w:r w:rsidR="0017582D">
        <w:rPr>
          <w:shd w:val="clear" w:color="auto" w:fill="FFFFFF"/>
        </w:rPr>
        <w:t>–27</w:t>
      </w:r>
      <w:r w:rsidR="00F66562" w:rsidRPr="00F66562">
        <w:rPr>
          <w:shd w:val="clear" w:color="auto" w:fill="FFFFFF"/>
        </w:rPr>
        <w:t>73.</w:t>
      </w:r>
    </w:p>
    <w:p w14:paraId="7EAE1CAC" w14:textId="61622867" w:rsidR="00F1758D" w:rsidRPr="00F66562" w:rsidRDefault="00F1758D">
      <w:pPr>
        <w:pStyle w:val="FootnoteText"/>
      </w:pPr>
    </w:p>
  </w:footnote>
  <w:footnote w:id="195">
    <w:p w14:paraId="1DAC8A64" w14:textId="5A7C6397" w:rsidR="006C746D" w:rsidRDefault="006C746D">
      <w:pPr>
        <w:pStyle w:val="FootnoteText"/>
      </w:pPr>
      <w:r>
        <w:rPr>
          <w:rStyle w:val="FootnoteReference"/>
        </w:rPr>
        <w:footnoteRef/>
      </w:r>
      <w:r>
        <w:t xml:space="preserve"> </w:t>
      </w:r>
      <w:r w:rsidR="00F150E9">
        <w:t xml:space="preserve">Refer to the </w:t>
      </w:r>
      <w:hyperlink r:id="rId19" w:history="1">
        <w:r w:rsidR="00F150E9" w:rsidRPr="00F150E9">
          <w:rPr>
            <w:rStyle w:val="Hyperlink"/>
          </w:rPr>
          <w:t>Leukaemia Foundation website</w:t>
        </w:r>
      </w:hyperlink>
      <w:r w:rsidR="00F150E9">
        <w:t xml:space="preserve"> &lt;</w:t>
      </w:r>
      <w:r w:rsidRPr="006C746D">
        <w:t>https://www.leukaemia.org.au/blood-cancer-information/types-of-blood-cancer/leukaemia/acute-myeloid-leukemia/</w:t>
      </w:r>
      <w:r w:rsidR="00F150E9">
        <w:t>&gt;</w:t>
      </w:r>
      <w:r>
        <w:t>.</w:t>
      </w:r>
    </w:p>
  </w:footnote>
  <w:footnote w:id="196">
    <w:p w14:paraId="0EE02BC8" w14:textId="32835B46" w:rsidR="0072736E" w:rsidRDefault="0072736E" w:rsidP="009B1B93">
      <w:pPr>
        <w:pStyle w:val="FootnoteText"/>
      </w:pPr>
      <w:r>
        <w:rPr>
          <w:rStyle w:val="FootnoteReference"/>
        </w:rPr>
        <w:footnoteRef/>
      </w:r>
      <w:r>
        <w:t xml:space="preserve"> </w:t>
      </w:r>
      <w:r w:rsidRPr="00DB4495">
        <w:t>Milligan DW</w:t>
      </w:r>
      <w:r>
        <w:t xml:space="preserve"> 2008</w:t>
      </w:r>
      <w:r w:rsidR="00F150E9">
        <w:t>,</w:t>
      </w:r>
      <w:r w:rsidRPr="00DB4495">
        <w:t xml:space="preserve"> </w:t>
      </w:r>
      <w:r w:rsidR="00F150E9">
        <w:t>‘</w:t>
      </w:r>
      <w:r w:rsidRPr="00DB4495">
        <w:t>Survival from adult leukaemia in England and Wales up to 2001</w:t>
      </w:r>
      <w:r w:rsidR="00F150E9">
        <w:t>’,</w:t>
      </w:r>
      <w:r w:rsidRPr="00DB4495">
        <w:t xml:space="preserve"> </w:t>
      </w:r>
      <w:r w:rsidRPr="00BE70E6">
        <w:rPr>
          <w:i/>
          <w:iCs/>
        </w:rPr>
        <w:t>British Journal of Cancer</w:t>
      </w:r>
      <w:r w:rsidR="00F150E9">
        <w:t>,</w:t>
      </w:r>
      <w:r>
        <w:t xml:space="preserve"> </w:t>
      </w:r>
      <w:r w:rsidRPr="00DB4495">
        <w:t>99: S119–20.</w:t>
      </w:r>
      <w:r>
        <w:t xml:space="preserve"> </w:t>
      </w:r>
    </w:p>
    <w:p w14:paraId="11C16AC3" w14:textId="071D6CB6" w:rsidR="0072736E" w:rsidRDefault="0072736E">
      <w:pPr>
        <w:pStyle w:val="FootnoteText"/>
      </w:pPr>
    </w:p>
  </w:footnote>
  <w:footnote w:id="197">
    <w:p w14:paraId="253BCA14" w14:textId="4D31E893" w:rsidR="0072736E" w:rsidRPr="00E44FE3" w:rsidRDefault="0072736E" w:rsidP="0089551F">
      <w:pPr>
        <w:pStyle w:val="FootnoteText"/>
        <w:spacing w:before="0" w:after="0" w:line="240" w:lineRule="auto"/>
      </w:pPr>
      <w:r>
        <w:rPr>
          <w:rStyle w:val="FootnoteReference"/>
        </w:rPr>
        <w:footnoteRef/>
      </w:r>
      <w:r>
        <w:t xml:space="preserve"> </w:t>
      </w:r>
      <w:r w:rsidRPr="00E44FE3">
        <w:rPr>
          <w:lang w:val="en"/>
        </w:rPr>
        <w:t>Australian Institute of Health and Welfare 2017</w:t>
      </w:r>
      <w:r w:rsidR="00F150E9">
        <w:rPr>
          <w:lang w:val="en"/>
        </w:rPr>
        <w:t>,</w:t>
      </w:r>
      <w:r w:rsidRPr="00E44FE3">
        <w:rPr>
          <w:lang w:val="en"/>
        </w:rPr>
        <w:t xml:space="preserve"> </w:t>
      </w:r>
      <w:r w:rsidRPr="007041EC">
        <w:rPr>
          <w:i/>
          <w:iCs/>
          <w:lang w:val="en"/>
        </w:rPr>
        <w:t>Cancer in Australia 2017</w:t>
      </w:r>
      <w:r w:rsidR="00F150E9">
        <w:rPr>
          <w:lang w:val="en"/>
        </w:rPr>
        <w:t>,</w:t>
      </w:r>
      <w:r w:rsidRPr="00E44FE3">
        <w:rPr>
          <w:lang w:val="en"/>
        </w:rPr>
        <w:t xml:space="preserve"> Cancer series no.101.Cat. no. CAN 100. AIHW</w:t>
      </w:r>
      <w:r>
        <w:rPr>
          <w:lang w:val="en"/>
        </w:rPr>
        <w:t>, Canberra</w:t>
      </w:r>
      <w:r w:rsidRPr="00E44FE3">
        <w:rPr>
          <w:lang w:val="en"/>
        </w:rPr>
        <w:t>.</w:t>
      </w:r>
    </w:p>
  </w:footnote>
  <w:footnote w:id="198">
    <w:p w14:paraId="0023AEF0" w14:textId="45ED4A55" w:rsidR="0072736E" w:rsidRPr="00110802" w:rsidRDefault="0072736E" w:rsidP="0089551F">
      <w:pPr>
        <w:pStyle w:val="FootnoteText"/>
        <w:spacing w:before="0" w:after="0" w:line="240" w:lineRule="auto"/>
      </w:pPr>
      <w:r w:rsidRPr="00110802">
        <w:rPr>
          <w:rStyle w:val="FootnoteReference"/>
        </w:rPr>
        <w:footnoteRef/>
      </w:r>
      <w:r w:rsidRPr="00110802">
        <w:t xml:space="preserve"> </w:t>
      </w:r>
      <w:r w:rsidR="00F150E9">
        <w:t xml:space="preserve">Refer to the </w:t>
      </w:r>
      <w:hyperlink r:id="rId20" w:history="1">
        <w:r w:rsidR="00F150E9" w:rsidRPr="00F150E9">
          <w:rPr>
            <w:rStyle w:val="Hyperlink"/>
          </w:rPr>
          <w:t>AIHW website</w:t>
        </w:r>
      </w:hyperlink>
      <w:r>
        <w:t xml:space="preserve"> </w:t>
      </w:r>
      <w:r w:rsidR="00F150E9">
        <w:t>&lt;</w:t>
      </w:r>
      <w:r w:rsidRPr="00110802">
        <w:t>https://www.aihw.gov.au/getmedia/7c42913d-295f-4bc9-9c24-4e44eff4a04a/aihw-aus-221.pdf.aspx?inline=true</w:t>
      </w:r>
      <w:r w:rsidR="00F150E9">
        <w:t>&gt;.</w:t>
      </w:r>
    </w:p>
  </w:footnote>
  <w:footnote w:id="199">
    <w:p w14:paraId="03DB306E" w14:textId="2DBC1313" w:rsidR="00174D0A" w:rsidRDefault="00174D0A">
      <w:pPr>
        <w:pStyle w:val="FootnoteText"/>
      </w:pPr>
      <w:r>
        <w:rPr>
          <w:rStyle w:val="FootnoteReference"/>
        </w:rPr>
        <w:footnoteRef/>
      </w:r>
      <w:r>
        <w:t xml:space="preserve"> </w:t>
      </w:r>
      <w:r w:rsidR="00F150E9">
        <w:t xml:space="preserve">Refer to the </w:t>
      </w:r>
      <w:hyperlink r:id="rId21" w:history="1">
        <w:r w:rsidR="00F150E9" w:rsidRPr="00F150E9">
          <w:rPr>
            <w:rStyle w:val="Hyperlink"/>
          </w:rPr>
          <w:t>Cancer Australia website</w:t>
        </w:r>
      </w:hyperlink>
      <w:r>
        <w:t xml:space="preserve"> </w:t>
      </w:r>
      <w:r w:rsidR="00F150E9">
        <w:t>&lt;</w:t>
      </w:r>
      <w:r w:rsidRPr="00174D0A">
        <w:t>https://ncci.canceraustralia.gov.au/outcomes/relative-survival-rate/5-year-relative-survival-diagnosis</w:t>
      </w:r>
      <w:r w:rsidR="00F150E9">
        <w:t>&gt;</w:t>
      </w:r>
      <w:r>
        <w:t>.</w:t>
      </w:r>
    </w:p>
  </w:footnote>
  <w:footnote w:id="200">
    <w:p w14:paraId="4416BC41" w14:textId="1F5226AF" w:rsidR="0072736E" w:rsidRPr="0089551F" w:rsidRDefault="0072736E" w:rsidP="007041EC">
      <w:pPr>
        <w:pStyle w:val="FootnoteText"/>
      </w:pPr>
      <w:r w:rsidRPr="00E44FE3">
        <w:rPr>
          <w:rStyle w:val="FootnoteReference"/>
          <w:sz w:val="16"/>
        </w:rPr>
        <w:footnoteRef/>
      </w:r>
      <w:r w:rsidRPr="00E44FE3">
        <w:t xml:space="preserve"> </w:t>
      </w:r>
      <w:r w:rsidRPr="008D2B37">
        <w:t>Australian Institute of Health and Welfare 2012</w:t>
      </w:r>
      <w:r w:rsidR="00F150E9">
        <w:t>,</w:t>
      </w:r>
      <w:r w:rsidRPr="007041EC">
        <w:rPr>
          <w:i/>
          <w:iCs/>
        </w:rPr>
        <w:t xml:space="preserve"> Cancer survival and prevalence in Australia: period estimates from 1982 to 2010</w:t>
      </w:r>
      <w:r w:rsidRPr="008D2B37">
        <w:t>. Cancer Series no. 69. Cat. no. CAN 65. AIHW</w:t>
      </w:r>
      <w:r>
        <w:t>, Canberra</w:t>
      </w:r>
      <w:r w:rsidRPr="008D2B37">
        <w:t xml:space="preserve">. </w:t>
      </w:r>
    </w:p>
  </w:footnote>
  <w:footnote w:id="201">
    <w:p w14:paraId="72B53205" w14:textId="29F21720" w:rsidR="0072736E" w:rsidRDefault="0072736E">
      <w:pPr>
        <w:pStyle w:val="FootnoteText"/>
      </w:pPr>
      <w:r>
        <w:rPr>
          <w:rStyle w:val="FootnoteReference"/>
        </w:rPr>
        <w:footnoteRef/>
      </w:r>
      <w:r>
        <w:t xml:space="preserve"> Cancer Australia</w:t>
      </w:r>
      <w:r w:rsidR="00F150E9">
        <w:t>,</w:t>
      </w:r>
      <w:r>
        <w:t xml:space="preserve"> </w:t>
      </w:r>
      <w:r w:rsidRPr="007041EC">
        <w:rPr>
          <w:i/>
          <w:iCs/>
          <w:color w:val="000000"/>
          <w:lang w:val="en"/>
        </w:rPr>
        <w:t>Lung cancer in Australia</w:t>
      </w:r>
      <w:r>
        <w:rPr>
          <w:color w:val="000000"/>
          <w:lang w:val="en"/>
        </w:rPr>
        <w:t xml:space="preserve">. Available from: </w:t>
      </w:r>
      <w:r w:rsidRPr="00021442">
        <w:rPr>
          <w:color w:val="000000"/>
          <w:lang w:val="en"/>
        </w:rPr>
        <w:t>https://lung-cancer.canceraustralia.gov.au/statistics</w:t>
      </w:r>
      <w:r w:rsidR="00F150E9">
        <w:rPr>
          <w:color w:val="000000"/>
          <w:lang w:val="en"/>
        </w:rPr>
        <w:t>.</w:t>
      </w:r>
    </w:p>
  </w:footnote>
  <w:footnote w:id="202">
    <w:p w14:paraId="7A538C1C" w14:textId="7EAF2DE5" w:rsidR="0025795C" w:rsidRDefault="0025795C">
      <w:pPr>
        <w:pStyle w:val="FootnoteText"/>
      </w:pPr>
      <w:r>
        <w:rPr>
          <w:rStyle w:val="FootnoteReference"/>
        </w:rPr>
        <w:footnoteRef/>
      </w:r>
      <w:r w:rsidR="00F150E9">
        <w:t xml:space="preserve"> Refer to the </w:t>
      </w:r>
      <w:hyperlink r:id="rId22" w:history="1">
        <w:r w:rsidR="00F150E9" w:rsidRPr="00F150E9">
          <w:rPr>
            <w:rStyle w:val="Hyperlink"/>
          </w:rPr>
          <w:t>AIHW website</w:t>
        </w:r>
      </w:hyperlink>
      <w:r w:rsidR="00C322AF">
        <w:t xml:space="preserve"> </w:t>
      </w:r>
      <w:r w:rsidR="00F150E9">
        <w:t>&lt;</w:t>
      </w:r>
      <w:r w:rsidRPr="0025795C">
        <w:t>https://www.aihw.gov.au/reports/cancer/cancer-data-in-australia/contents/about</w:t>
      </w:r>
      <w:r w:rsidR="00F150E9">
        <w:t>&gt;</w:t>
      </w:r>
      <w:r w:rsidR="00C322AF">
        <w:t>.</w:t>
      </w:r>
    </w:p>
  </w:footnote>
  <w:footnote w:id="203">
    <w:p w14:paraId="5666DBAA" w14:textId="4AA7434F" w:rsidR="00071BD6" w:rsidRDefault="00071BD6" w:rsidP="00071BD6">
      <w:pPr>
        <w:pStyle w:val="FootnoteText"/>
      </w:pPr>
      <w:r>
        <w:rPr>
          <w:rStyle w:val="FootnoteReference"/>
        </w:rPr>
        <w:footnoteRef/>
      </w:r>
      <w:r>
        <w:t xml:space="preserve"> </w:t>
      </w:r>
      <w:r w:rsidR="00F150E9">
        <w:t>Ibid.</w:t>
      </w:r>
    </w:p>
  </w:footnote>
  <w:footnote w:id="204">
    <w:p w14:paraId="38C7156C" w14:textId="5127B4D1" w:rsidR="00741BE7" w:rsidRDefault="00741BE7">
      <w:pPr>
        <w:pStyle w:val="FootnoteText"/>
      </w:pPr>
      <w:r>
        <w:rPr>
          <w:rStyle w:val="FootnoteReference"/>
        </w:rPr>
        <w:footnoteRef/>
      </w:r>
      <w:r>
        <w:t xml:space="preserve"> </w:t>
      </w:r>
      <w:r w:rsidR="00F150E9">
        <w:t>Ibid.</w:t>
      </w:r>
    </w:p>
  </w:footnote>
  <w:footnote w:id="205">
    <w:p w14:paraId="41F97006" w14:textId="7A71193D" w:rsidR="0072736E" w:rsidRPr="00D575DB" w:rsidRDefault="0072736E" w:rsidP="00D97A16">
      <w:pPr>
        <w:pStyle w:val="FootnoteText"/>
      </w:pPr>
      <w:r>
        <w:rPr>
          <w:rStyle w:val="FootnoteReference"/>
        </w:rPr>
        <w:footnoteRef/>
      </w:r>
      <w:r>
        <w:t xml:space="preserve"> </w:t>
      </w:r>
      <w:r w:rsidRPr="00D575DB">
        <w:t>Australian Institute of Health and Welfare 2018</w:t>
      </w:r>
      <w:r w:rsidR="00F150E9">
        <w:t>,</w:t>
      </w:r>
      <w:r w:rsidRPr="00D575DB">
        <w:t xml:space="preserve"> </w:t>
      </w:r>
      <w:r w:rsidRPr="00567EB1">
        <w:rPr>
          <w:i/>
          <w:iCs/>
        </w:rPr>
        <w:t>Colorectal and other digestive-tract cancers</w:t>
      </w:r>
      <w:r w:rsidRPr="00D575DB">
        <w:t>.</w:t>
      </w:r>
      <w:r>
        <w:t xml:space="preserve"> </w:t>
      </w:r>
      <w:r w:rsidRPr="00D575DB">
        <w:t>Cancer series no. 114. Cat. no. CAN 117. AIHW</w:t>
      </w:r>
      <w:r>
        <w:t>, Canberra</w:t>
      </w:r>
      <w:r w:rsidRPr="00D575DB">
        <w:t>.</w:t>
      </w:r>
    </w:p>
  </w:footnote>
  <w:footnote w:id="206">
    <w:p w14:paraId="02183041" w14:textId="22AAB086" w:rsidR="006F0684" w:rsidRDefault="0072736E" w:rsidP="006F0684">
      <w:pPr>
        <w:pStyle w:val="FootnoteText"/>
      </w:pPr>
      <w:r>
        <w:rPr>
          <w:rStyle w:val="FootnoteReference"/>
        </w:rPr>
        <w:footnoteRef/>
      </w:r>
      <w:r>
        <w:t xml:space="preserve"> </w:t>
      </w:r>
      <w:r w:rsidR="00F150E9">
        <w:t xml:space="preserve">Refer to the </w:t>
      </w:r>
      <w:hyperlink r:id="rId23" w:history="1">
        <w:r w:rsidR="00F150E9" w:rsidRPr="00F150E9">
          <w:rPr>
            <w:rStyle w:val="Hyperlink"/>
          </w:rPr>
          <w:t>AIHW website</w:t>
        </w:r>
      </w:hyperlink>
      <w:r w:rsidR="00F150E9">
        <w:t xml:space="preserve"> &lt;</w:t>
      </w:r>
      <w:r w:rsidR="006F0684" w:rsidRPr="0025795C">
        <w:t>https://www.aihw.gov.au/reports/cancer/cancer-data-in-australia/contents/about</w:t>
      </w:r>
      <w:r w:rsidR="00F150E9">
        <w:t>&gt;</w:t>
      </w:r>
      <w:r w:rsidR="006F0684">
        <w:t>.</w:t>
      </w:r>
    </w:p>
    <w:p w14:paraId="6B95CB9B" w14:textId="74FFE116" w:rsidR="0072736E" w:rsidRDefault="0072736E">
      <w:pPr>
        <w:pStyle w:val="FootnoteText"/>
      </w:pPr>
    </w:p>
    <w:p w14:paraId="1C137233" w14:textId="77777777" w:rsidR="006F0684" w:rsidRDefault="006F0684">
      <w:pPr>
        <w:pStyle w:val="FootnoteText"/>
      </w:pPr>
    </w:p>
  </w:footnote>
  <w:footnote w:id="207">
    <w:p w14:paraId="097CD250" w14:textId="15A98C4E" w:rsidR="0072736E" w:rsidRDefault="0072736E">
      <w:pPr>
        <w:pStyle w:val="FootnoteText"/>
      </w:pPr>
      <w:r>
        <w:rPr>
          <w:rStyle w:val="FootnoteReference"/>
        </w:rPr>
        <w:footnoteRef/>
      </w:r>
      <w:r>
        <w:t xml:space="preserve"> </w:t>
      </w:r>
      <w:r w:rsidR="00F150E9">
        <w:t xml:space="preserve">Refer to the </w:t>
      </w:r>
      <w:hyperlink r:id="rId24" w:history="1">
        <w:r w:rsidR="00F150E9" w:rsidRPr="00F150E9">
          <w:rPr>
            <w:rStyle w:val="Hyperlink"/>
          </w:rPr>
          <w:t>Cancer Australia website</w:t>
        </w:r>
      </w:hyperlink>
      <w:r w:rsidR="001B02F4">
        <w:t xml:space="preserve"> </w:t>
      </w:r>
      <w:r w:rsidR="00F150E9">
        <w:t>&lt;</w:t>
      </w:r>
      <w:r w:rsidR="001B02F4" w:rsidRPr="00EA4B33">
        <w:t>https://ncci.canceraustralia.gov.au/outcomes/relative-survival-rate/5-year-relative-survival</w:t>
      </w:r>
      <w:r w:rsidR="00F150E9">
        <w:t>&gt;.</w:t>
      </w:r>
    </w:p>
  </w:footnote>
  <w:footnote w:id="208">
    <w:p w14:paraId="6D7E143F" w14:textId="22B2868B" w:rsidR="00C960E2" w:rsidRDefault="00C960E2">
      <w:pPr>
        <w:pStyle w:val="FootnoteText"/>
      </w:pPr>
      <w:r>
        <w:rPr>
          <w:rStyle w:val="FootnoteReference"/>
        </w:rPr>
        <w:footnoteRef/>
      </w:r>
      <w:r>
        <w:t xml:space="preserve"> </w:t>
      </w:r>
      <w:r w:rsidR="00F150E9">
        <w:t xml:space="preserve">Refer to the </w:t>
      </w:r>
      <w:hyperlink r:id="rId25" w:history="1">
        <w:r w:rsidR="00F150E9" w:rsidRPr="00F150E9">
          <w:rPr>
            <w:rStyle w:val="Hyperlink"/>
          </w:rPr>
          <w:t>Cancer Australia website</w:t>
        </w:r>
      </w:hyperlink>
      <w:r w:rsidR="00F150E9">
        <w:t xml:space="preserve"> &lt;</w:t>
      </w:r>
      <w:r w:rsidRPr="00C960E2">
        <w:t>https://ncci.canceraustralia.gov.au/features/national-cancer-stage-diagnosis-data</w:t>
      </w:r>
      <w:r w:rsidR="00F150E9">
        <w:t>&gt;</w:t>
      </w:r>
      <w:r>
        <w:t>.</w:t>
      </w:r>
    </w:p>
  </w:footnote>
  <w:footnote w:id="209">
    <w:p w14:paraId="0A794652" w14:textId="77777777" w:rsidR="00F14126" w:rsidRDefault="00F14126" w:rsidP="00F14126">
      <w:pPr>
        <w:pStyle w:val="FootnoteText"/>
      </w:pPr>
      <w:r>
        <w:rPr>
          <w:rStyle w:val="FootnoteReference"/>
        </w:rPr>
        <w:footnoteRef/>
      </w:r>
      <w:r>
        <w:t xml:space="preserve"> Refer to the </w:t>
      </w:r>
      <w:hyperlink r:id="rId26" w:history="1">
        <w:r w:rsidRPr="00F150E9">
          <w:rPr>
            <w:rStyle w:val="Hyperlink"/>
          </w:rPr>
          <w:t>Cancer Australia website</w:t>
        </w:r>
      </w:hyperlink>
      <w:r>
        <w:t xml:space="preserve"> &lt;</w:t>
      </w:r>
      <w:r w:rsidRPr="00C960E2">
        <w:t>https://ncci.canceraustralia.gov.au/features/national-cancer-stage-diagnosis-data</w:t>
      </w:r>
      <w:r>
        <w:t>&gt;.</w:t>
      </w:r>
    </w:p>
  </w:footnote>
  <w:footnote w:id="210">
    <w:p w14:paraId="378209E3" w14:textId="6FEA2BEC" w:rsidR="0072736E" w:rsidRPr="00E8470B" w:rsidRDefault="0072736E" w:rsidP="000374B9">
      <w:pPr>
        <w:pStyle w:val="FootnoteText"/>
      </w:pPr>
      <w:r w:rsidRPr="00E8470B">
        <w:rPr>
          <w:rStyle w:val="FootnoteReference"/>
        </w:rPr>
        <w:footnoteRef/>
      </w:r>
      <w:r w:rsidRPr="00E8470B">
        <w:t xml:space="preserve"> </w:t>
      </w:r>
      <w:r>
        <w:t>Australian Commission on Safety and Quality in Health Care 2015</w:t>
      </w:r>
      <w:r w:rsidR="001D75C8">
        <w:t>,</w:t>
      </w:r>
      <w:r>
        <w:t xml:space="preserve"> </w:t>
      </w:r>
      <w:r w:rsidRPr="0039695B">
        <w:rPr>
          <w:i/>
          <w:iCs/>
        </w:rPr>
        <w:t>Vital signs 2015: The State of Safety and Quality in Australian Health Care</w:t>
      </w:r>
      <w:r w:rsidR="001D75C8">
        <w:t>,</w:t>
      </w:r>
      <w:r>
        <w:t xml:space="preserve"> </w:t>
      </w:r>
      <w:r w:rsidR="001D75C8">
        <w:t xml:space="preserve">ACSQHC, </w:t>
      </w:r>
      <w:r>
        <w:t>Sydney.</w:t>
      </w:r>
    </w:p>
  </w:footnote>
  <w:footnote w:id="211">
    <w:p w14:paraId="52AA7E42" w14:textId="2E476F94" w:rsidR="00A27ADB" w:rsidRDefault="00A27ADB">
      <w:pPr>
        <w:pStyle w:val="FootnoteText"/>
      </w:pPr>
      <w:r>
        <w:rPr>
          <w:rStyle w:val="FootnoteReference"/>
        </w:rPr>
        <w:footnoteRef/>
      </w:r>
      <w:r>
        <w:t xml:space="preserve"> </w:t>
      </w:r>
      <w:r w:rsidRPr="00A27ADB">
        <w:rPr>
          <w:color w:val="222222"/>
          <w:shd w:val="clear" w:color="auto" w:fill="FFFFFF"/>
        </w:rPr>
        <w:t xml:space="preserve">Lam CG, Howard SC, Bouffet E, </w:t>
      </w:r>
      <w:r w:rsidR="001D75C8">
        <w:rPr>
          <w:color w:val="222222"/>
          <w:shd w:val="clear" w:color="auto" w:fill="FFFFFF"/>
        </w:rPr>
        <w:t>et al</w:t>
      </w:r>
      <w:r w:rsidRPr="00A27ADB">
        <w:rPr>
          <w:color w:val="222222"/>
          <w:shd w:val="clear" w:color="auto" w:fill="FFFFFF"/>
        </w:rPr>
        <w:t>.</w:t>
      </w:r>
      <w:r w:rsidR="001D75C8">
        <w:rPr>
          <w:color w:val="222222"/>
          <w:shd w:val="clear" w:color="auto" w:fill="FFFFFF"/>
        </w:rPr>
        <w:t xml:space="preserve"> 2019,</w:t>
      </w:r>
      <w:r w:rsidRPr="00A27ADB">
        <w:rPr>
          <w:color w:val="222222"/>
          <w:shd w:val="clear" w:color="auto" w:fill="FFFFFF"/>
        </w:rPr>
        <w:t xml:space="preserve"> </w:t>
      </w:r>
      <w:r w:rsidR="001D75C8">
        <w:rPr>
          <w:color w:val="222222"/>
          <w:shd w:val="clear" w:color="auto" w:fill="FFFFFF"/>
        </w:rPr>
        <w:t>‘</w:t>
      </w:r>
      <w:r w:rsidRPr="00A27ADB">
        <w:rPr>
          <w:color w:val="222222"/>
          <w:shd w:val="clear" w:color="auto" w:fill="FFFFFF"/>
        </w:rPr>
        <w:t>Science and health for all children with cancer</w:t>
      </w:r>
      <w:r w:rsidR="001D75C8">
        <w:rPr>
          <w:color w:val="222222"/>
          <w:shd w:val="clear" w:color="auto" w:fill="FFFFFF"/>
        </w:rPr>
        <w:t>’,</w:t>
      </w:r>
      <w:r w:rsidRPr="00A27ADB">
        <w:rPr>
          <w:color w:val="222222"/>
          <w:shd w:val="clear" w:color="auto" w:fill="FFFFFF"/>
        </w:rPr>
        <w:t xml:space="preserve"> </w:t>
      </w:r>
      <w:r w:rsidRPr="00320172">
        <w:rPr>
          <w:i/>
          <w:iCs/>
          <w:color w:val="222222"/>
          <w:shd w:val="clear" w:color="auto" w:fill="FFFFFF"/>
        </w:rPr>
        <w:t>Science</w:t>
      </w:r>
      <w:r w:rsidR="001D75C8">
        <w:rPr>
          <w:color w:val="222222"/>
          <w:shd w:val="clear" w:color="auto" w:fill="FFFFFF"/>
        </w:rPr>
        <w:t>,</w:t>
      </w:r>
      <w:r w:rsidRPr="00A27ADB">
        <w:rPr>
          <w:color w:val="222222"/>
          <w:shd w:val="clear" w:color="auto" w:fill="FFFFFF"/>
        </w:rPr>
        <w:t xml:space="preserve"> 363(6432):1182</w:t>
      </w:r>
      <w:r w:rsidR="001D75C8">
        <w:rPr>
          <w:color w:val="222222"/>
          <w:shd w:val="clear" w:color="auto" w:fill="FFFFFF"/>
        </w:rPr>
        <w:t>–118</w:t>
      </w:r>
      <w:r w:rsidRPr="00A27ADB">
        <w:rPr>
          <w:color w:val="222222"/>
          <w:shd w:val="clear" w:color="auto" w:fill="FFFFFF"/>
        </w:rPr>
        <w:t>6.</w:t>
      </w:r>
    </w:p>
  </w:footnote>
  <w:footnote w:id="212">
    <w:p w14:paraId="0CB50610" w14:textId="0B84EC12" w:rsidR="000D185A" w:rsidRDefault="000D185A">
      <w:pPr>
        <w:pStyle w:val="FootnoteText"/>
      </w:pPr>
      <w:r>
        <w:rPr>
          <w:rStyle w:val="FootnoteReference"/>
        </w:rPr>
        <w:footnoteRef/>
      </w:r>
      <w:r>
        <w:t xml:space="preserve"> </w:t>
      </w:r>
      <w:r w:rsidR="001D75C8">
        <w:t xml:space="preserve">Refer to the </w:t>
      </w:r>
      <w:hyperlink r:id="rId27" w:history="1">
        <w:r w:rsidR="001D75C8" w:rsidRPr="001D75C8">
          <w:rPr>
            <w:rStyle w:val="Hyperlink"/>
          </w:rPr>
          <w:t>Cancer Council Victoria website</w:t>
        </w:r>
      </w:hyperlink>
      <w:r>
        <w:t xml:space="preserve"> </w:t>
      </w:r>
      <w:r w:rsidR="001D75C8">
        <w:t>&lt;</w:t>
      </w:r>
      <w:r w:rsidRPr="000D185A">
        <w:t>https://www.cancervic.org.au/cancer-information/children-teens-and-young-adults</w:t>
      </w:r>
      <w:r w:rsidR="001D75C8">
        <w:t>&gt;</w:t>
      </w:r>
      <w:r>
        <w:t>.</w:t>
      </w:r>
    </w:p>
  </w:footnote>
  <w:footnote w:id="213">
    <w:p w14:paraId="3FA9B09B" w14:textId="43A831CD" w:rsidR="0072736E" w:rsidRDefault="0072736E" w:rsidP="00514D56">
      <w:pPr>
        <w:pStyle w:val="FootnoteText"/>
        <w:spacing w:before="0" w:after="0" w:line="240" w:lineRule="auto"/>
      </w:pPr>
      <w:r>
        <w:rPr>
          <w:rStyle w:val="FootnoteReference"/>
        </w:rPr>
        <w:footnoteRef/>
      </w:r>
      <w:r>
        <w:t xml:space="preserve"> Note that each dataset is reported two years later and relates to a two</w:t>
      </w:r>
      <w:r w:rsidR="00D2246E">
        <w:t>–</w:t>
      </w:r>
      <w:r>
        <w:t>calendar year period.</w:t>
      </w:r>
    </w:p>
  </w:footnote>
  <w:footnote w:id="214">
    <w:p w14:paraId="6BE9068B" w14:textId="77777777" w:rsidR="0072736E" w:rsidRPr="00400315" w:rsidRDefault="0072736E" w:rsidP="00514D56">
      <w:pPr>
        <w:pStyle w:val="FootnoteText"/>
        <w:spacing w:before="0" w:after="0" w:line="240" w:lineRule="auto"/>
      </w:pPr>
      <w:r w:rsidRPr="00400315">
        <w:rPr>
          <w:rStyle w:val="FootnoteReference"/>
        </w:rPr>
        <w:footnoteRef/>
      </w:r>
      <w:r w:rsidRPr="00400315">
        <w:t xml:space="preserve"> For example, it is anticipated that screening participation may increase due to invitations being issued to screen and the option for under-screened women to self-collect an HPV sample.</w:t>
      </w:r>
    </w:p>
  </w:footnote>
  <w:footnote w:id="215">
    <w:p w14:paraId="65ACF356" w14:textId="1D45A841" w:rsidR="0072736E" w:rsidRPr="00400315" w:rsidRDefault="0072736E" w:rsidP="00514D56">
      <w:pPr>
        <w:pStyle w:val="FootnoteText"/>
        <w:spacing w:before="0" w:after="0" w:line="240" w:lineRule="auto"/>
      </w:pPr>
      <w:r w:rsidRPr="00400315">
        <w:rPr>
          <w:rStyle w:val="FootnoteReference"/>
        </w:rPr>
        <w:footnoteRef/>
      </w:r>
      <w:r w:rsidRPr="00400315">
        <w:t xml:space="preserve"> After a first cervical screening test, a negative result requires rescreening five years later. Pap tests were recommended every two years.</w:t>
      </w:r>
    </w:p>
  </w:footnote>
  <w:footnote w:id="216">
    <w:p w14:paraId="3700195D" w14:textId="0008AD55" w:rsidR="0072736E" w:rsidRPr="00400315" w:rsidRDefault="0072736E" w:rsidP="00DA60B4">
      <w:pPr>
        <w:pStyle w:val="FootnoteText"/>
      </w:pPr>
      <w:r w:rsidRPr="00400315">
        <w:rPr>
          <w:rStyle w:val="FootnoteReference"/>
        </w:rPr>
        <w:footnoteRef/>
      </w:r>
      <w:r w:rsidRPr="00400315">
        <w:t xml:space="preserve"> Target age range is now 25–74 years, changed from 18–69 years.</w:t>
      </w:r>
    </w:p>
    <w:p w14:paraId="19D9C693" w14:textId="77777777" w:rsidR="0072736E" w:rsidRPr="00400315" w:rsidRDefault="0072736E" w:rsidP="00514D56">
      <w:pPr>
        <w:pStyle w:val="FootnoteText"/>
      </w:pPr>
    </w:p>
  </w:footnote>
  <w:footnote w:id="217">
    <w:p w14:paraId="52A3BB4F" w14:textId="34F19D44" w:rsidR="0072736E" w:rsidRDefault="0072736E" w:rsidP="004F3934">
      <w:pPr>
        <w:pStyle w:val="FootnoteText"/>
        <w:spacing w:before="0" w:after="0" w:line="240" w:lineRule="auto"/>
      </w:pPr>
      <w:r>
        <w:rPr>
          <w:rStyle w:val="FootnoteReference"/>
        </w:rPr>
        <w:footnoteRef/>
      </w:r>
      <w:r>
        <w:t xml:space="preserve"> </w:t>
      </w:r>
      <w:r w:rsidRPr="00BB4E2E">
        <w:rPr>
          <w:color w:val="000000"/>
          <w:szCs w:val="20"/>
        </w:rPr>
        <w:t>The National Bowel Cancer Screening Program offers screening via a faecal occult blood test sent in a kit to eligible age groups through the mail. Participants with a positive test result are advised to discuss the result with their general practitioner</w:t>
      </w:r>
      <w:r>
        <w:rPr>
          <w:color w:val="000000"/>
          <w:szCs w:val="20"/>
        </w:rPr>
        <w:t>,</w:t>
      </w:r>
      <w:r w:rsidRPr="00BB4E2E">
        <w:rPr>
          <w:color w:val="000000"/>
          <w:szCs w:val="20"/>
        </w:rPr>
        <w:t xml:space="preserve"> who will generally refer them for a colonoscopy</w:t>
      </w:r>
      <w:r>
        <w:rPr>
          <w:color w:val="000000"/>
          <w:szCs w:val="20"/>
        </w:rPr>
        <w:t xml:space="preserve">. </w:t>
      </w:r>
      <w:r w:rsidRPr="00DF6A71">
        <w:t xml:space="preserve">The </w:t>
      </w:r>
      <w:r>
        <w:t>p</w:t>
      </w:r>
      <w:r w:rsidRPr="00DF6A71">
        <w:t>rogram is operated by the Australian Department of Health</w:t>
      </w:r>
      <w:r>
        <w:t>, which</w:t>
      </w:r>
      <w:r w:rsidRPr="00DF6A71">
        <w:t xml:space="preserve"> is responsible for contracting the pathology provider, contracting the Program Register and </w:t>
      </w:r>
      <w:r w:rsidRPr="00BB4E2E">
        <w:rPr>
          <w:color w:val="000000"/>
          <w:szCs w:val="20"/>
        </w:rPr>
        <w:t>program</w:t>
      </w:r>
      <w:r w:rsidRPr="00DF6A71">
        <w:t xml:space="preserve"> policy, quality and evaluation.</w:t>
      </w:r>
    </w:p>
    <w:p w14:paraId="6E55B198" w14:textId="3E049B50" w:rsidR="0072736E" w:rsidRPr="00220971" w:rsidRDefault="0072736E" w:rsidP="00521908">
      <w:pPr>
        <w:pStyle w:val="FootnoteText"/>
      </w:pPr>
      <w:r w:rsidRPr="00220971">
        <w:t xml:space="preserve">The Victorian Government undertakes </w:t>
      </w:r>
      <w:r w:rsidR="0038254E" w:rsidRPr="00220971">
        <w:t>several</w:t>
      </w:r>
      <w:r w:rsidRPr="00220971">
        <w:t xml:space="preserve"> initiatives </w:t>
      </w:r>
      <w:r w:rsidRPr="00220971">
        <w:rPr>
          <w:color w:val="000000"/>
        </w:rPr>
        <w:t>to</w:t>
      </w:r>
      <w:r w:rsidRPr="00220971">
        <w:t xml:space="preserve"> support the </w:t>
      </w:r>
      <w:r>
        <w:t>p</w:t>
      </w:r>
      <w:r w:rsidRPr="00220971">
        <w:t>rogram’s Victorian implementation, including funding to support timely access to colonoscopies in public health services, delivering the Victorian Participant Follow-Up Function, undertaking research, supporting education and training for health professionals, and initiatives to improve community awareness, primary care engagement and participation in bowel cancer screening.</w:t>
      </w:r>
    </w:p>
    <w:p w14:paraId="688B03A3" w14:textId="77777777" w:rsidR="0072736E" w:rsidRDefault="0072736E" w:rsidP="00521908">
      <w:pPr>
        <w:pStyle w:val="FootnoteText"/>
      </w:pPr>
    </w:p>
  </w:footnote>
  <w:footnote w:id="218">
    <w:p w14:paraId="74158A08" w14:textId="012FBDAB" w:rsidR="0072736E" w:rsidRDefault="0072736E" w:rsidP="00400315">
      <w:pPr>
        <w:pStyle w:val="FootnoteText"/>
      </w:pPr>
      <w:r>
        <w:rPr>
          <w:rStyle w:val="FootnoteReference"/>
        </w:rPr>
        <w:footnoteRef/>
      </w:r>
      <w:r>
        <w:t xml:space="preserve"> </w:t>
      </w:r>
      <w:r w:rsidRPr="00D14178">
        <w:t>It is important to note that this measure is limited to research specific to intervention clinical trials only.</w:t>
      </w:r>
      <w:r>
        <w:t xml:space="preserve"> </w:t>
      </w:r>
      <w:r w:rsidRPr="00D14178">
        <w:t>Hence, it does not include research relating to prevention, screening, supportive care or to basic science research not involving humans</w:t>
      </w:r>
      <w:r w:rsidR="00D964AD">
        <w:t xml:space="preserve"> </w:t>
      </w:r>
      <w:r w:rsidR="00D964AD" w:rsidRPr="00D964AD">
        <w:t>that is, it does not cover trials across the cancer continuum or trials in other settings.</w:t>
      </w:r>
    </w:p>
  </w:footnote>
  <w:footnote w:id="219">
    <w:p w14:paraId="61A7931E" w14:textId="3CD40370" w:rsidR="0072736E" w:rsidRDefault="0072736E" w:rsidP="0055351E">
      <w:pPr>
        <w:pStyle w:val="FootnoteText"/>
      </w:pPr>
      <w:r>
        <w:rPr>
          <w:rStyle w:val="FootnoteReference"/>
        </w:rPr>
        <w:footnoteRef/>
      </w:r>
      <w:r>
        <w:t xml:space="preserve"> </w:t>
      </w:r>
      <w:r w:rsidR="00896730">
        <w:t>Australian Commission on Safety and Quality in Health Care. The National Clinical Trials Governance Framework and user guide for health service organisations conducting clinical trials. Sydney: ACSQHC; 2022.</w:t>
      </w:r>
    </w:p>
  </w:footnote>
  <w:footnote w:id="220">
    <w:p w14:paraId="46D011A2" w14:textId="37D51D0A" w:rsidR="00DF6539" w:rsidRDefault="00DF6539">
      <w:pPr>
        <w:pStyle w:val="FootnoteText"/>
      </w:pPr>
      <w:r>
        <w:rPr>
          <w:rStyle w:val="FootnoteReference"/>
        </w:rPr>
        <w:footnoteRef/>
      </w:r>
      <w:r>
        <w:t xml:space="preserve"> Bayly M, Mitsopoulos E, Durkin S, </w:t>
      </w:r>
      <w:r w:rsidR="009C2137">
        <w:t>et al</w:t>
      </w:r>
      <w:r w:rsidR="001D75C8">
        <w:t>.</w:t>
      </w:r>
      <w:r w:rsidR="009C2137">
        <w:t xml:space="preserve"> 2022,</w:t>
      </w:r>
      <w:r>
        <w:t xml:space="preserve"> </w:t>
      </w:r>
      <w:r w:rsidRPr="00E03B57">
        <w:rPr>
          <w:i/>
          <w:iCs/>
        </w:rPr>
        <w:t>E-cigarette use and purchasing behaviour among Victorian adults: Findings from the 2018</w:t>
      </w:r>
      <w:r w:rsidR="00246747" w:rsidRPr="00E03B57">
        <w:rPr>
          <w:i/>
          <w:iCs/>
        </w:rPr>
        <w:t>–</w:t>
      </w:r>
      <w:r w:rsidRPr="00E03B57">
        <w:rPr>
          <w:i/>
          <w:iCs/>
        </w:rPr>
        <w:t>19 and 2022 Victorian Smoking and Health Surveys</w:t>
      </w:r>
      <w:r>
        <w:t>. Prepared for: Quit Victoria. Centre for Behavioural Research in Cancer, Cancer Council Victoria: Melbourne, Australia, October 2022. Available from: https://www.cancervic.org.au/downloads/cbrc/R22_MB_E-cigarette use and purchasing behaviour among Victorian adults.pdf</w:t>
      </w:r>
      <w:r w:rsidR="001D75C8">
        <w:t>.</w:t>
      </w:r>
    </w:p>
  </w:footnote>
  <w:footnote w:id="221">
    <w:p w14:paraId="26F7FDCA" w14:textId="2E082BFE" w:rsidR="00706F5A" w:rsidRDefault="00706F5A">
      <w:pPr>
        <w:pStyle w:val="FootnoteText"/>
      </w:pPr>
      <w:r>
        <w:rPr>
          <w:rStyle w:val="FootnoteReference"/>
        </w:rPr>
        <w:footnoteRef/>
      </w:r>
      <w:r>
        <w:t xml:space="preserve"> Accessed from: </w:t>
      </w:r>
      <w:r w:rsidRPr="00706F5A">
        <w:t>Nicotine vaping product access | Therapeutic Goods Administration (TGA)</w:t>
      </w:r>
      <w:r>
        <w:t>.</w:t>
      </w:r>
    </w:p>
  </w:footnote>
  <w:footnote w:id="222">
    <w:p w14:paraId="2D78223F" w14:textId="496BB4AA" w:rsidR="00A32DDD" w:rsidRPr="00A32DDD" w:rsidRDefault="00A32DDD" w:rsidP="00A32DDD">
      <w:pPr>
        <w:autoSpaceDE w:val="0"/>
        <w:autoSpaceDN w:val="0"/>
        <w:adjustRightInd w:val="0"/>
        <w:rPr>
          <w:rFonts w:ascii="Arial" w:hAnsi="Arial" w:cs="Arial"/>
          <w:color w:val="4D4D4F"/>
          <w:sz w:val="16"/>
          <w:szCs w:val="16"/>
        </w:rPr>
      </w:pPr>
      <w:r>
        <w:rPr>
          <w:rStyle w:val="FootnoteReference"/>
        </w:rPr>
        <w:footnoteRef/>
      </w:r>
      <w:r>
        <w:t xml:space="preserve"> </w:t>
      </w:r>
      <w:r w:rsidRPr="00F01CEF">
        <w:rPr>
          <w:rStyle w:val="FootnoteTextChar"/>
        </w:rPr>
        <w:t>Victorian Cancer Registry</w:t>
      </w:r>
      <w:r w:rsidR="00F01CEF">
        <w:rPr>
          <w:rStyle w:val="FootnoteTextChar"/>
        </w:rPr>
        <w:t xml:space="preserve"> 2022,</w:t>
      </w:r>
      <w:r w:rsidRPr="00F01CEF">
        <w:rPr>
          <w:rStyle w:val="FootnoteTextChar"/>
        </w:rPr>
        <w:t xml:space="preserve"> </w:t>
      </w:r>
      <w:r w:rsidRPr="00F01CEF">
        <w:rPr>
          <w:rStyle w:val="FootnoteTextChar"/>
          <w:i/>
          <w:iCs/>
        </w:rPr>
        <w:t>Cancer in Victoria, 2021</w:t>
      </w:r>
      <w:r w:rsidR="00F01CEF">
        <w:rPr>
          <w:rStyle w:val="FootnoteTextChar"/>
        </w:rPr>
        <w:t>,</w:t>
      </w:r>
      <w:r w:rsidRPr="00F01CEF">
        <w:rPr>
          <w:rStyle w:val="FootnoteTextChar"/>
        </w:rPr>
        <w:t xml:space="preserve"> Cancer Council Victoria, </w:t>
      </w:r>
      <w:r w:rsidR="00F01CEF">
        <w:rPr>
          <w:rStyle w:val="FootnoteTextChar"/>
        </w:rPr>
        <w:t>Melbourne</w:t>
      </w:r>
      <w:r w:rsidRPr="00F01CEF">
        <w:rPr>
          <w:rStyle w:val="FootnoteTextChar"/>
        </w:rPr>
        <w:t>.</w:t>
      </w:r>
    </w:p>
  </w:footnote>
  <w:footnote w:id="223">
    <w:p w14:paraId="202B37EC" w14:textId="445365B0" w:rsidR="0002112E" w:rsidRDefault="0002112E">
      <w:pPr>
        <w:pStyle w:val="FootnoteText"/>
      </w:pPr>
      <w:r>
        <w:rPr>
          <w:rStyle w:val="FootnoteReference"/>
        </w:rPr>
        <w:footnoteRef/>
      </w:r>
      <w:r>
        <w:t xml:space="preserve"> </w:t>
      </w:r>
      <w:r w:rsidRPr="0002112E">
        <w:rPr>
          <w:shd w:val="clear" w:color="auto" w:fill="FFFFFF"/>
        </w:rPr>
        <w:t xml:space="preserve">Saville M, Hawkes D, McLachlan E, </w:t>
      </w:r>
      <w:r w:rsidR="008166A7">
        <w:rPr>
          <w:shd w:val="clear" w:color="auto" w:fill="FFFFFF"/>
        </w:rPr>
        <w:t>et al</w:t>
      </w:r>
      <w:r w:rsidRPr="0002112E">
        <w:rPr>
          <w:shd w:val="clear" w:color="auto" w:fill="FFFFFF"/>
        </w:rPr>
        <w:t xml:space="preserve">. </w:t>
      </w:r>
      <w:r w:rsidR="008166A7">
        <w:rPr>
          <w:shd w:val="clear" w:color="auto" w:fill="FFFFFF"/>
        </w:rPr>
        <w:t xml:space="preserve">2018, </w:t>
      </w:r>
      <w:r w:rsidR="00F01CEF">
        <w:rPr>
          <w:shd w:val="clear" w:color="auto" w:fill="FFFFFF"/>
        </w:rPr>
        <w:t>‘</w:t>
      </w:r>
      <w:r w:rsidRPr="0002112E">
        <w:rPr>
          <w:shd w:val="clear" w:color="auto" w:fill="FFFFFF"/>
        </w:rPr>
        <w:t>Self-collection for under-screened women in a National Cervical Screening Program: pilot study</w:t>
      </w:r>
      <w:r w:rsidR="00F01CEF">
        <w:rPr>
          <w:shd w:val="clear" w:color="auto" w:fill="FFFFFF"/>
        </w:rPr>
        <w:t>’,</w:t>
      </w:r>
      <w:r w:rsidRPr="0002112E">
        <w:rPr>
          <w:shd w:val="clear" w:color="auto" w:fill="FFFFFF"/>
        </w:rPr>
        <w:t xml:space="preserve"> </w:t>
      </w:r>
      <w:r w:rsidRPr="00525315">
        <w:rPr>
          <w:i/>
          <w:iCs/>
          <w:shd w:val="clear" w:color="auto" w:fill="FFFFFF"/>
        </w:rPr>
        <w:t>Current Oncology</w:t>
      </w:r>
      <w:r w:rsidR="008166A7">
        <w:rPr>
          <w:shd w:val="clear" w:color="auto" w:fill="FFFFFF"/>
        </w:rPr>
        <w:t xml:space="preserve">, </w:t>
      </w:r>
      <w:r w:rsidRPr="0002112E">
        <w:rPr>
          <w:shd w:val="clear" w:color="auto" w:fill="FFFFFF"/>
        </w:rPr>
        <w:t>25(1):27</w:t>
      </w:r>
      <w:r w:rsidR="00F01CEF">
        <w:rPr>
          <w:shd w:val="clear" w:color="auto" w:fill="FFFFFF"/>
        </w:rPr>
        <w:t>–</w:t>
      </w:r>
      <w:r w:rsidRPr="0002112E">
        <w:rPr>
          <w:shd w:val="clear" w:color="auto" w:fill="FFFFFF"/>
        </w:rPr>
        <w:t>32.</w:t>
      </w:r>
    </w:p>
  </w:footnote>
  <w:footnote w:id="224">
    <w:p w14:paraId="2F2E6C66" w14:textId="21531C05" w:rsidR="0081317F" w:rsidRDefault="0081317F">
      <w:pPr>
        <w:pStyle w:val="FootnoteText"/>
      </w:pPr>
      <w:r>
        <w:rPr>
          <w:rStyle w:val="FootnoteReference"/>
        </w:rPr>
        <w:footnoteRef/>
      </w:r>
      <w:r>
        <w:t xml:space="preserve"> Shih STF</w:t>
      </w:r>
      <w:r w:rsidR="001D75C8">
        <w:t>,</w:t>
      </w:r>
      <w:r>
        <w:t xml:space="preserve"> Moodie M 2019</w:t>
      </w:r>
      <w:r w:rsidR="001D75C8">
        <w:t>,</w:t>
      </w:r>
      <w:r>
        <w:t xml:space="preserve"> </w:t>
      </w:r>
      <w:r w:rsidRPr="00E03B57">
        <w:rPr>
          <w:i/>
          <w:iCs/>
        </w:rPr>
        <w:t xml:space="preserve">Implementation of a Symptom and Urgent Review Clinic (SURC) </w:t>
      </w:r>
      <w:r w:rsidR="001D75C8" w:rsidRPr="001D75C8">
        <w:rPr>
          <w:i/>
          <w:iCs/>
        </w:rPr>
        <w:t>for cancer patients – an economic assessment</w:t>
      </w:r>
      <w:r>
        <w:t xml:space="preserve">. Deakin Health Economic, Institute of Health Transformation, Faculty of Health, Deakin University. Unpublished report, </w:t>
      </w:r>
      <w:r w:rsidR="001D75C8">
        <w:t xml:space="preserve">p. </w:t>
      </w:r>
      <w:r>
        <w:t>33.</w:t>
      </w:r>
    </w:p>
  </w:footnote>
  <w:footnote w:id="225">
    <w:p w14:paraId="5087D461" w14:textId="6047EB22" w:rsidR="005F58A3" w:rsidRDefault="005F58A3">
      <w:pPr>
        <w:pStyle w:val="FootnoteText"/>
      </w:pPr>
      <w:r>
        <w:rPr>
          <w:rStyle w:val="FootnoteReference"/>
        </w:rPr>
        <w:footnoteRef/>
      </w:r>
      <w:r>
        <w:t xml:space="preserve"> </w:t>
      </w:r>
      <w:r w:rsidR="001D75C8">
        <w:t xml:space="preserve">Refer to the </w:t>
      </w:r>
      <w:hyperlink r:id="rId28" w:anchor=":~:text=2016%20Victorians%20will%20be%20able%20to%20make%20advance,must%20be%20witnessed%20by%20a%20registered%20medical%20practitioner" w:history="1">
        <w:r w:rsidR="001D75C8" w:rsidRPr="001D75C8">
          <w:rPr>
            <w:rStyle w:val="Hyperlink"/>
          </w:rPr>
          <w:t>Cancer Council Victoria website</w:t>
        </w:r>
      </w:hyperlink>
      <w:r>
        <w:t xml:space="preserve"> </w:t>
      </w:r>
      <w:r w:rsidR="001D75C8">
        <w:t>&lt;</w:t>
      </w:r>
      <w:r w:rsidRPr="005F58A3">
        <w:t>https://www.cancervic.org.au/about/publications/newsletters/information-support-news-health-professionals/changes-to-advance-care-directives.html#:~:text=2016%20Victorians%20will%20be%20able%20to%20make%20advance,must%20be%20witnessed%20by%20a%20registered%20medical%20practitioner</w:t>
      </w:r>
      <w:r w:rsidR="001D75C8">
        <w:t>&gt;</w:t>
      </w:r>
      <w:r w:rsidRPr="005F58A3">
        <w:t>.</w:t>
      </w:r>
    </w:p>
  </w:footnote>
  <w:footnote w:id="226">
    <w:p w14:paraId="3CFD9216" w14:textId="3128A566" w:rsidR="00FC52AB" w:rsidRPr="00055C04" w:rsidRDefault="00FC52AB" w:rsidP="00EF412D">
      <w:pPr>
        <w:pStyle w:val="FootnoteText"/>
        <w:rPr>
          <w:color w:val="2A2736"/>
        </w:rPr>
      </w:pPr>
      <w:r>
        <w:rPr>
          <w:rStyle w:val="FootnoteReference"/>
        </w:rPr>
        <w:footnoteRef/>
      </w:r>
      <w:r>
        <w:t xml:space="preserve"> </w:t>
      </w:r>
      <w:r w:rsidRPr="00A36B31">
        <w:rPr>
          <w:shd w:val="clear" w:color="auto" w:fill="FFFFFF"/>
        </w:rPr>
        <w:t>Muthusamy A, Long D, Underhill CR 2021</w:t>
      </w:r>
      <w:r w:rsidR="001D75C8">
        <w:rPr>
          <w:shd w:val="clear" w:color="auto" w:fill="FFFFFF"/>
        </w:rPr>
        <w:t>,</w:t>
      </w:r>
      <w:r w:rsidRPr="00A36B31">
        <w:rPr>
          <w:shd w:val="clear" w:color="auto" w:fill="FFFFFF"/>
        </w:rPr>
        <w:t xml:space="preserve"> </w:t>
      </w:r>
      <w:r w:rsidR="001D75C8">
        <w:rPr>
          <w:shd w:val="clear" w:color="auto" w:fill="FFFFFF"/>
        </w:rPr>
        <w:t>‘</w:t>
      </w:r>
      <w:r w:rsidRPr="00A36B31">
        <w:rPr>
          <w:shd w:val="clear" w:color="auto" w:fill="FFFFFF"/>
        </w:rPr>
        <w:t>Improving recruitment to clinical trials for regional and rural cancer patients through a regionally based clinical trials network</w:t>
      </w:r>
      <w:r w:rsidR="001D75C8">
        <w:rPr>
          <w:shd w:val="clear" w:color="auto" w:fill="FFFFFF"/>
        </w:rPr>
        <w:t>’,</w:t>
      </w:r>
      <w:r w:rsidRPr="00A36B31">
        <w:rPr>
          <w:shd w:val="clear" w:color="auto" w:fill="FFFFFF"/>
        </w:rPr>
        <w:t xml:space="preserve"> </w:t>
      </w:r>
      <w:r w:rsidRPr="00525315">
        <w:rPr>
          <w:i/>
          <w:iCs/>
          <w:shd w:val="clear" w:color="auto" w:fill="FFFFFF"/>
        </w:rPr>
        <w:t>Medical Journal of Australia</w:t>
      </w:r>
      <w:r w:rsidR="001D75C8">
        <w:rPr>
          <w:shd w:val="clear" w:color="auto" w:fill="FFFFFF"/>
        </w:rPr>
        <w:t>,</w:t>
      </w:r>
      <w:r w:rsidRPr="00A36B31">
        <w:rPr>
          <w:shd w:val="clear" w:color="auto" w:fill="FFFFFF"/>
        </w:rPr>
        <w:t xml:space="preserve"> 214(10): </w:t>
      </w:r>
      <w:r w:rsidRPr="00A36B31">
        <w:t>doi: 10.5694/mja2.51078</w:t>
      </w:r>
      <w:r w:rsidR="00FB13C4">
        <w:t>.</w:t>
      </w:r>
    </w:p>
  </w:footnote>
  <w:footnote w:id="227">
    <w:p w14:paraId="77E966B2" w14:textId="6C0C610F" w:rsidR="00245443" w:rsidRDefault="00245443" w:rsidP="00245443">
      <w:pPr>
        <w:pStyle w:val="FootnoteText"/>
      </w:pPr>
      <w:r>
        <w:rPr>
          <w:rStyle w:val="FootnoteReference"/>
        </w:rPr>
        <w:footnoteRef/>
      </w:r>
      <w:r>
        <w:t xml:space="preserve"> Underhill C 2022</w:t>
      </w:r>
      <w:r w:rsidR="001D75C8">
        <w:t>,</w:t>
      </w:r>
      <w:r>
        <w:t xml:space="preserve"> </w:t>
      </w:r>
      <w:r w:rsidRPr="00525315">
        <w:rPr>
          <w:i/>
          <w:iCs/>
        </w:rPr>
        <w:t>Achieving equitable access to cancer care and clinical trials in regional Australia: a networked approach to expand capacity and implement COSA teletrials models</w:t>
      </w:r>
      <w:r>
        <w:t xml:space="preserve">. </w:t>
      </w:r>
      <w:r w:rsidR="00477333">
        <w:t>Unpublished</w:t>
      </w:r>
      <w:r>
        <w:t xml:space="preserve"> abstract presented at the Clinical On</w:t>
      </w:r>
      <w:r w:rsidR="005D6DC5">
        <w:t>c</w:t>
      </w:r>
      <w:r>
        <w:t>ology Society of Australia Annual Scientific meeting 1</w:t>
      </w:r>
      <w:r w:rsidR="001D75C8">
        <w:t>–</w:t>
      </w:r>
      <w:r>
        <w:t>4 November 2022, Brisbane</w:t>
      </w:r>
      <w:r w:rsidR="001D75C8">
        <w:t>. Available from</w:t>
      </w:r>
      <w:r w:rsidR="003709F1">
        <w:t>:</w:t>
      </w:r>
      <w:r>
        <w:t xml:space="preserve"> </w:t>
      </w:r>
      <w:r w:rsidRPr="00245443">
        <w:t>http://cosa-2022.p.asnevents.com.au/days/2022-11-03/abstract/84032</w:t>
      </w:r>
      <w:r w:rsidR="001D75C8">
        <w:t>.</w:t>
      </w:r>
    </w:p>
  </w:footnote>
  <w:footnote w:id="228">
    <w:p w14:paraId="16171940" w14:textId="259AF65A" w:rsidR="006070DD" w:rsidRDefault="006070DD">
      <w:pPr>
        <w:pStyle w:val="FootnoteText"/>
      </w:pPr>
      <w:r>
        <w:rPr>
          <w:rStyle w:val="FootnoteReference"/>
        </w:rPr>
        <w:footnoteRef/>
      </w:r>
      <w:r>
        <w:t xml:space="preserve"> </w:t>
      </w:r>
      <w:r w:rsidRPr="006070DD">
        <w:t>Lotfi-Jam KL, O</w:t>
      </w:r>
      <w:r w:rsidR="007D7863">
        <w:t>’</w:t>
      </w:r>
      <w:r w:rsidRPr="006070DD">
        <w:t xml:space="preserve">Reilly C, Feng C, </w:t>
      </w:r>
      <w:r w:rsidR="009B51FB">
        <w:t>et al</w:t>
      </w:r>
      <w:r w:rsidRPr="006070DD">
        <w:t xml:space="preserve">. </w:t>
      </w:r>
      <w:r w:rsidR="009B51FB">
        <w:t>2019, ‘</w:t>
      </w:r>
      <w:r w:rsidRPr="006070DD">
        <w:t>Increasing bowel cancer screening participation: integrating population-wide, primary care and more targeted approaches</w:t>
      </w:r>
      <w:r w:rsidR="009B51FB">
        <w:t>’,</w:t>
      </w:r>
      <w:r w:rsidRPr="006070DD">
        <w:t xml:space="preserve"> </w:t>
      </w:r>
      <w:r w:rsidRPr="00151BCF">
        <w:rPr>
          <w:i/>
          <w:iCs/>
        </w:rPr>
        <w:t>Public Health Res</w:t>
      </w:r>
      <w:r w:rsidR="009B51FB">
        <w:rPr>
          <w:i/>
          <w:iCs/>
        </w:rPr>
        <w:t>earch and</w:t>
      </w:r>
      <w:r w:rsidRPr="00151BCF">
        <w:rPr>
          <w:i/>
          <w:iCs/>
        </w:rPr>
        <w:t xml:space="preserve"> Pract</w:t>
      </w:r>
      <w:r w:rsidR="009B51FB">
        <w:rPr>
          <w:i/>
          <w:iCs/>
        </w:rPr>
        <w:t>ice</w:t>
      </w:r>
      <w:r w:rsidR="009B51FB">
        <w:t>,</w:t>
      </w:r>
      <w:r w:rsidRPr="006070DD">
        <w:t xml:space="preserve"> 29(2):2921916.</w:t>
      </w:r>
    </w:p>
  </w:footnote>
  <w:footnote w:id="229">
    <w:p w14:paraId="04E559E5" w14:textId="6EDA8E74" w:rsidR="001A54E6" w:rsidRDefault="001A54E6" w:rsidP="001A54E6">
      <w:pPr>
        <w:pStyle w:val="FootnoteText"/>
      </w:pPr>
      <w:r>
        <w:rPr>
          <w:rStyle w:val="FootnoteReference"/>
        </w:rPr>
        <w:footnoteRef/>
      </w:r>
      <w:r>
        <w:t xml:space="preserve"> Australian Institute of Health and Welfare</w:t>
      </w:r>
      <w:r w:rsidR="00AF0C01">
        <w:t xml:space="preserve"> 2019</w:t>
      </w:r>
      <w:r w:rsidR="009B51FB">
        <w:t>,</w:t>
      </w:r>
      <w:r>
        <w:t xml:space="preserve"> </w:t>
      </w:r>
      <w:r w:rsidRPr="00151BCF">
        <w:rPr>
          <w:i/>
          <w:iCs/>
        </w:rPr>
        <w:t>National Bowel Cancer Screening Program: monitoring report 2019</w:t>
      </w:r>
      <w:r w:rsidR="00AF0C01">
        <w:t xml:space="preserve">, </w:t>
      </w:r>
      <w:r>
        <w:t>AIHW</w:t>
      </w:r>
      <w:r w:rsidR="00AF0C01">
        <w:t>,</w:t>
      </w:r>
      <w:r>
        <w:t xml:space="preserve"> Canberra. Available from: </w:t>
      </w:r>
      <w:r w:rsidR="00AF0C01" w:rsidRPr="00151BCF">
        <w:t>www.aihw.gov.au/getmedia/840c72ff-a0e6-40cb9b42-f68bfae112d2/aihw-can-125.pdf.aspx?inline=tru</w:t>
      </w:r>
      <w:r w:rsidR="009B51FB">
        <w:t>.</w:t>
      </w:r>
    </w:p>
  </w:footnote>
  <w:footnote w:id="230">
    <w:p w14:paraId="6DFB56F8" w14:textId="5922678F" w:rsidR="00083C7F" w:rsidRDefault="00083C7F">
      <w:pPr>
        <w:pStyle w:val="FootnoteText"/>
      </w:pPr>
      <w:r>
        <w:rPr>
          <w:rStyle w:val="FootnoteReference"/>
        </w:rPr>
        <w:footnoteRef/>
      </w:r>
      <w:r>
        <w:t xml:space="preserve"> Prasad V</w:t>
      </w:r>
      <w:r w:rsidR="009B51FB">
        <w:t xml:space="preserve"> 2013,</w:t>
      </w:r>
      <w:r>
        <w:t xml:space="preserve"> </w:t>
      </w:r>
      <w:r w:rsidR="009B51FB">
        <w:t>‘</w:t>
      </w:r>
      <w:r>
        <w:t>Powering cancer screening for overall mortality</w:t>
      </w:r>
      <w:r w:rsidR="009B51FB">
        <w:t>’,</w:t>
      </w:r>
      <w:r>
        <w:t xml:space="preserve"> Ecancermedicalscience</w:t>
      </w:r>
      <w:r w:rsidR="009B51FB">
        <w:t xml:space="preserve">, </w:t>
      </w:r>
      <w:r>
        <w:t>7:ed27.</w:t>
      </w:r>
    </w:p>
  </w:footnote>
  <w:footnote w:id="231">
    <w:p w14:paraId="6CD5A1AB" w14:textId="2E6E8D9E" w:rsidR="00D15A70" w:rsidRDefault="00D15A70">
      <w:pPr>
        <w:pStyle w:val="FootnoteText"/>
      </w:pPr>
      <w:r>
        <w:rPr>
          <w:rStyle w:val="FootnoteReference"/>
        </w:rPr>
        <w:footnoteRef/>
      </w:r>
      <w:r>
        <w:t xml:space="preserve"> </w:t>
      </w:r>
      <w:r>
        <w:rPr>
          <w:rFonts w:ascii="Helvetica" w:hAnsi="Helvetica" w:cs="Helvetica"/>
          <w:color w:val="000000"/>
          <w:shd w:val="clear" w:color="auto" w:fill="FFFFFF"/>
        </w:rPr>
        <w:t>Cancer Council Victoria</w:t>
      </w:r>
      <w:r w:rsidR="009B51FB">
        <w:rPr>
          <w:rFonts w:ascii="Helvetica" w:hAnsi="Helvetica" w:cs="Helvetica"/>
          <w:color w:val="000000"/>
          <w:shd w:val="clear" w:color="auto" w:fill="FFFFFF"/>
        </w:rPr>
        <w:t>,</w:t>
      </w:r>
      <w:r>
        <w:rPr>
          <w:rFonts w:ascii="Helvetica" w:hAnsi="Helvetica" w:cs="Helvetica"/>
          <w:color w:val="000000"/>
          <w:shd w:val="clear" w:color="auto" w:fill="FFFFFF"/>
        </w:rPr>
        <w:t xml:space="preserve"> </w:t>
      </w:r>
      <w:r w:rsidRPr="00D4020E">
        <w:rPr>
          <w:rFonts w:ascii="Helvetica" w:hAnsi="Helvetica" w:cs="Helvetica"/>
          <w:i/>
          <w:iCs/>
          <w:color w:val="000000"/>
          <w:shd w:val="clear" w:color="auto" w:fill="FFFFFF"/>
        </w:rPr>
        <w:t>Hepatitis B &amp; liver cancer</w:t>
      </w:r>
      <w:r>
        <w:rPr>
          <w:rFonts w:ascii="Helvetica" w:hAnsi="Helvetica" w:cs="Helvetica"/>
          <w:color w:val="000000"/>
          <w:shd w:val="clear" w:color="auto" w:fill="FFFFFF"/>
        </w:rPr>
        <w:t>. Available from: </w:t>
      </w:r>
      <w:r w:rsidR="009C2137" w:rsidRPr="00D4020E">
        <w:t>www.cancervic.org.au/for-health-professionals/community-health-professionals/hepatitis-b-and-liver-cancer</w:t>
      </w:r>
      <w:r>
        <w:rPr>
          <w:rFonts w:ascii="Helvetica" w:hAnsi="Helvetica" w:cs="Helvetica"/>
          <w:color w:val="000000"/>
          <w:shd w:val="clear" w:color="auto" w:fill="FFFFFF"/>
        </w:rPr>
        <w:t>.</w:t>
      </w:r>
    </w:p>
  </w:footnote>
  <w:footnote w:id="232">
    <w:p w14:paraId="6ECBEAC5" w14:textId="623BA2B7" w:rsidR="00EA19CB" w:rsidRDefault="00EA19CB">
      <w:pPr>
        <w:pStyle w:val="FootnoteText"/>
      </w:pPr>
      <w:r>
        <w:rPr>
          <w:rStyle w:val="FootnoteReference"/>
        </w:rPr>
        <w:footnoteRef/>
      </w:r>
      <w:r>
        <w:t xml:space="preserve"> </w:t>
      </w:r>
      <w:r w:rsidRPr="00EA19CB">
        <w:rPr>
          <w:color w:val="222222"/>
          <w:shd w:val="clear" w:color="auto" w:fill="FFFFFF"/>
        </w:rPr>
        <w:t xml:space="preserve">MacLachlan JH, Romero N, Higgins N, </w:t>
      </w:r>
      <w:r w:rsidR="009C2137">
        <w:rPr>
          <w:color w:val="222222"/>
          <w:shd w:val="clear" w:color="auto" w:fill="FFFFFF"/>
        </w:rPr>
        <w:t>et al</w:t>
      </w:r>
      <w:r w:rsidRPr="00EA19CB">
        <w:rPr>
          <w:color w:val="222222"/>
          <w:shd w:val="clear" w:color="auto" w:fill="FFFFFF"/>
        </w:rPr>
        <w:t>.</w:t>
      </w:r>
      <w:r w:rsidR="009C2137">
        <w:rPr>
          <w:color w:val="222222"/>
          <w:shd w:val="clear" w:color="auto" w:fill="FFFFFF"/>
        </w:rPr>
        <w:t xml:space="preserve"> 2020,</w:t>
      </w:r>
      <w:r w:rsidRPr="00EA19CB">
        <w:rPr>
          <w:color w:val="222222"/>
          <w:shd w:val="clear" w:color="auto" w:fill="FFFFFF"/>
        </w:rPr>
        <w:t xml:space="preserve"> </w:t>
      </w:r>
      <w:r w:rsidR="009C2137">
        <w:rPr>
          <w:color w:val="222222"/>
          <w:shd w:val="clear" w:color="auto" w:fill="FFFFFF"/>
        </w:rPr>
        <w:t>‘</w:t>
      </w:r>
      <w:r w:rsidRPr="00EA19CB">
        <w:rPr>
          <w:color w:val="222222"/>
          <w:shd w:val="clear" w:color="auto" w:fill="FFFFFF"/>
        </w:rPr>
        <w:t>Epidemiology of chronic hepatitis B and C in Victoria, Australia: insights and impacts from enhanced surveillance</w:t>
      </w:r>
      <w:r w:rsidR="009C2137">
        <w:rPr>
          <w:color w:val="222222"/>
          <w:shd w:val="clear" w:color="auto" w:fill="FFFFFF"/>
        </w:rPr>
        <w:t>’,</w:t>
      </w:r>
      <w:r w:rsidRPr="00EA19CB">
        <w:rPr>
          <w:color w:val="222222"/>
          <w:shd w:val="clear" w:color="auto" w:fill="FFFFFF"/>
        </w:rPr>
        <w:t xml:space="preserve"> </w:t>
      </w:r>
      <w:r w:rsidRPr="00D4020E">
        <w:rPr>
          <w:i/>
          <w:iCs/>
          <w:color w:val="222222"/>
          <w:shd w:val="clear" w:color="auto" w:fill="FFFFFF"/>
        </w:rPr>
        <w:t>Australian and New Zealand Journal of Public Health</w:t>
      </w:r>
      <w:r w:rsidR="009C2137">
        <w:rPr>
          <w:color w:val="222222"/>
          <w:shd w:val="clear" w:color="auto" w:fill="FFFFFF"/>
        </w:rPr>
        <w:t xml:space="preserve">, </w:t>
      </w:r>
      <w:r w:rsidRPr="00EA19CB">
        <w:rPr>
          <w:color w:val="222222"/>
          <w:shd w:val="clear" w:color="auto" w:fill="FFFFFF"/>
        </w:rPr>
        <w:t>44(1):59</w:t>
      </w:r>
      <w:r w:rsidR="009C2137">
        <w:rPr>
          <w:color w:val="222222"/>
          <w:shd w:val="clear" w:color="auto" w:fill="FFFFFF"/>
        </w:rPr>
        <w:t>–</w:t>
      </w:r>
      <w:r w:rsidRPr="00EA19CB">
        <w:rPr>
          <w:color w:val="222222"/>
          <w:shd w:val="clear" w:color="auto" w:fill="FFFFFF"/>
        </w:rPr>
        <w:t>64</w:t>
      </w:r>
      <w:r>
        <w:rPr>
          <w:color w:val="222222"/>
          <w:sz w:val="20"/>
          <w:szCs w:val="20"/>
          <w:shd w:val="clear" w:color="auto" w:fill="FFFFFF"/>
        </w:rPr>
        <w:t>.</w:t>
      </w:r>
    </w:p>
  </w:footnote>
  <w:footnote w:id="233">
    <w:p w14:paraId="1D260689" w14:textId="7D76E633" w:rsidR="00C278FF" w:rsidRDefault="00C278FF">
      <w:pPr>
        <w:pStyle w:val="FootnoteText"/>
      </w:pPr>
      <w:r>
        <w:rPr>
          <w:rStyle w:val="FootnoteReference"/>
        </w:rPr>
        <w:footnoteRef/>
      </w:r>
      <w:r>
        <w:t xml:space="preserve"> </w:t>
      </w:r>
      <w:r w:rsidRPr="00C278FF">
        <w:rPr>
          <w:color w:val="222222"/>
          <w:shd w:val="clear" w:color="auto" w:fill="FFFFFF"/>
        </w:rPr>
        <w:t xml:space="preserve">Hall MT, Simms KT, Lew JB, </w:t>
      </w:r>
      <w:r w:rsidR="008505F2">
        <w:rPr>
          <w:color w:val="222222"/>
          <w:shd w:val="clear" w:color="auto" w:fill="FFFFFF"/>
        </w:rPr>
        <w:t>et al</w:t>
      </w:r>
      <w:r w:rsidRPr="00C278FF">
        <w:rPr>
          <w:color w:val="222222"/>
          <w:shd w:val="clear" w:color="auto" w:fill="FFFFFF"/>
        </w:rPr>
        <w:t xml:space="preserve">. </w:t>
      </w:r>
      <w:r w:rsidR="008505F2">
        <w:rPr>
          <w:color w:val="222222"/>
          <w:shd w:val="clear" w:color="auto" w:fill="FFFFFF"/>
        </w:rPr>
        <w:t xml:space="preserve">2019, </w:t>
      </w:r>
      <w:r w:rsidR="009B51FB">
        <w:rPr>
          <w:color w:val="222222"/>
          <w:shd w:val="clear" w:color="auto" w:fill="FFFFFF"/>
        </w:rPr>
        <w:t>‘</w:t>
      </w:r>
      <w:r w:rsidRPr="00C278FF">
        <w:rPr>
          <w:color w:val="222222"/>
          <w:shd w:val="clear" w:color="auto" w:fill="FFFFFF"/>
        </w:rPr>
        <w:t>The projected timeframe until cervical cancer elimination in Australia: a modelling study</w:t>
      </w:r>
      <w:r w:rsidR="009B51FB">
        <w:rPr>
          <w:color w:val="222222"/>
          <w:shd w:val="clear" w:color="auto" w:fill="FFFFFF"/>
        </w:rPr>
        <w:t>’,</w:t>
      </w:r>
      <w:r w:rsidRPr="00C278FF">
        <w:rPr>
          <w:color w:val="222222"/>
          <w:shd w:val="clear" w:color="auto" w:fill="FFFFFF"/>
        </w:rPr>
        <w:t xml:space="preserve"> </w:t>
      </w:r>
      <w:r w:rsidRPr="008B286A">
        <w:rPr>
          <w:i/>
          <w:iCs/>
          <w:color w:val="222222"/>
          <w:shd w:val="clear" w:color="auto" w:fill="FFFFFF"/>
        </w:rPr>
        <w:t>The Lancet Public Health</w:t>
      </w:r>
      <w:r w:rsidR="008505F2">
        <w:rPr>
          <w:color w:val="222222"/>
          <w:shd w:val="clear" w:color="auto" w:fill="FFFFFF"/>
        </w:rPr>
        <w:t>,</w:t>
      </w:r>
      <w:r w:rsidRPr="00C278FF">
        <w:rPr>
          <w:color w:val="222222"/>
          <w:shd w:val="clear" w:color="auto" w:fill="FFFFFF"/>
        </w:rPr>
        <w:t xml:space="preserve"> 4(1):e19</w:t>
      </w:r>
      <w:r w:rsidR="008505F2">
        <w:rPr>
          <w:color w:val="222222"/>
          <w:shd w:val="clear" w:color="auto" w:fill="FFFFFF"/>
        </w:rPr>
        <w:t>–</w:t>
      </w:r>
      <w:r w:rsidRPr="00C278FF">
        <w:rPr>
          <w:color w:val="222222"/>
          <w:shd w:val="clear" w:color="auto" w:fill="FFFFFF"/>
        </w:rPr>
        <w:t>27</w:t>
      </w:r>
      <w:r>
        <w:rPr>
          <w:color w:val="222222"/>
          <w:sz w:val="20"/>
          <w:szCs w:val="20"/>
          <w:shd w:val="clear" w:color="auto" w:fill="FFFFFF"/>
        </w:rPr>
        <w:t>.</w:t>
      </w:r>
    </w:p>
  </w:footnote>
  <w:footnote w:id="234">
    <w:p w14:paraId="12A5E370" w14:textId="77777777" w:rsidR="00482C38" w:rsidRDefault="00482C38" w:rsidP="00482C38">
      <w:pPr>
        <w:pStyle w:val="FootnoteText"/>
      </w:pPr>
      <w:r>
        <w:rPr>
          <w:rStyle w:val="FootnoteReference"/>
        </w:rPr>
        <w:footnoteRef/>
      </w:r>
      <w:r>
        <w:t xml:space="preserve"> Access from </w:t>
      </w:r>
      <w:r w:rsidRPr="006057BC">
        <w:t>https://www.who.int/publications/i/item/9789240014107</w:t>
      </w:r>
      <w:r>
        <w:t>.</w:t>
      </w:r>
    </w:p>
  </w:footnote>
  <w:footnote w:id="235">
    <w:p w14:paraId="498E3817" w14:textId="05EE4472" w:rsidR="00B92D66" w:rsidRDefault="00B92D66">
      <w:pPr>
        <w:pStyle w:val="FootnoteText"/>
      </w:pPr>
      <w:r>
        <w:rPr>
          <w:rStyle w:val="FootnoteReference"/>
        </w:rPr>
        <w:footnoteRef/>
      </w:r>
      <w:r>
        <w:t xml:space="preserve"> Australian Institute of Health and Welfare 2022</w:t>
      </w:r>
      <w:r w:rsidR="009B51FB">
        <w:t>,</w:t>
      </w:r>
      <w:r>
        <w:t xml:space="preserve"> </w:t>
      </w:r>
      <w:r w:rsidRPr="008B286A">
        <w:rPr>
          <w:i/>
          <w:iCs/>
        </w:rPr>
        <w:t>National Cervical Screening Program monitoring report 2022</w:t>
      </w:r>
      <w:r w:rsidR="009B51FB">
        <w:t>, AIHW, Canberra.</w:t>
      </w:r>
      <w:r>
        <w:t xml:space="preserve"> </w:t>
      </w:r>
    </w:p>
  </w:footnote>
  <w:footnote w:id="236">
    <w:p w14:paraId="2E905951" w14:textId="548E148C" w:rsidR="00500963" w:rsidRDefault="00500963">
      <w:pPr>
        <w:pStyle w:val="FootnoteText"/>
      </w:pPr>
      <w:r>
        <w:rPr>
          <w:rStyle w:val="FootnoteReference"/>
        </w:rPr>
        <w:footnoteRef/>
      </w:r>
      <w:r>
        <w:t xml:space="preserve"> </w:t>
      </w:r>
      <w:r w:rsidRPr="00500963">
        <w:t xml:space="preserve">Whop LJ, Butler TL, Lee N, </w:t>
      </w:r>
      <w:r w:rsidR="009B51FB">
        <w:t>et al</w:t>
      </w:r>
      <w:r w:rsidRPr="00500963">
        <w:t xml:space="preserve">. </w:t>
      </w:r>
      <w:r>
        <w:t>2022</w:t>
      </w:r>
      <w:r w:rsidR="009B51FB">
        <w:t>,</w:t>
      </w:r>
      <w:r>
        <w:t xml:space="preserve"> </w:t>
      </w:r>
      <w:r w:rsidR="009B51FB">
        <w:t>‘</w:t>
      </w:r>
      <w:r w:rsidRPr="00500963">
        <w:t>Aboriginal and Torres Strait Islander women's views of cervical screening by self</w:t>
      </w:r>
      <w:r w:rsidRPr="00500963">
        <w:rPr>
          <w:rFonts w:ascii="Cambria Math" w:hAnsi="Cambria Math" w:cs="Cambria Math"/>
        </w:rPr>
        <w:t>‐</w:t>
      </w:r>
      <w:r w:rsidRPr="00500963">
        <w:t>collection: a qualitative study</w:t>
      </w:r>
      <w:r w:rsidR="009B51FB">
        <w:t>’,</w:t>
      </w:r>
      <w:r w:rsidRPr="00500963">
        <w:t xml:space="preserve"> </w:t>
      </w:r>
      <w:r w:rsidRPr="008B286A">
        <w:rPr>
          <w:i/>
          <w:iCs/>
        </w:rPr>
        <w:t>Australian and New Zealand Journal of Public Health</w:t>
      </w:r>
      <w:r w:rsidR="008505F2">
        <w:t>,</w:t>
      </w:r>
      <w:r>
        <w:t xml:space="preserve"> </w:t>
      </w:r>
      <w:r w:rsidRPr="00500963">
        <w:t>46(2):161</w:t>
      </w:r>
      <w:r w:rsidR="009B51FB">
        <w:t>–16</w:t>
      </w:r>
      <w:r w:rsidRPr="00500963">
        <w:t>9.</w:t>
      </w:r>
    </w:p>
  </w:footnote>
  <w:footnote w:id="237">
    <w:p w14:paraId="021C7BA8" w14:textId="3609B622" w:rsidR="008C49E2" w:rsidRDefault="008C49E2" w:rsidP="008C49E2">
      <w:pPr>
        <w:pStyle w:val="FootnoteText"/>
      </w:pPr>
      <w:r>
        <w:rPr>
          <w:rStyle w:val="FootnoteReference"/>
        </w:rPr>
        <w:footnoteRef/>
      </w:r>
      <w:r>
        <w:t xml:space="preserve"> </w:t>
      </w:r>
      <w:r w:rsidR="008166A7">
        <w:t xml:space="preserve">Refer to the </w:t>
      </w:r>
      <w:hyperlink r:id="rId29" w:history="1">
        <w:r w:rsidR="008166A7" w:rsidRPr="000F389F">
          <w:rPr>
            <w:rStyle w:val="Hyperlink"/>
          </w:rPr>
          <w:t xml:space="preserve">BreastScreen </w:t>
        </w:r>
        <w:r w:rsidR="000F389F" w:rsidRPr="000F389F">
          <w:rPr>
            <w:rStyle w:val="Hyperlink"/>
          </w:rPr>
          <w:t>Victoria</w:t>
        </w:r>
        <w:r w:rsidR="008166A7" w:rsidRPr="000F389F">
          <w:rPr>
            <w:rStyle w:val="Hyperlink"/>
          </w:rPr>
          <w:t xml:space="preserve"> website</w:t>
        </w:r>
      </w:hyperlink>
      <w:r>
        <w:t xml:space="preserve"> </w:t>
      </w:r>
      <w:r w:rsidR="008166A7">
        <w:t>&lt;</w:t>
      </w:r>
      <w:r w:rsidRPr="00F046FC">
        <w:t>https://www.breastscreen.org.au/about-us/publications/annual-reports/2021-2022-annual-report/</w:t>
      </w:r>
      <w:r w:rsidR="008166A7">
        <w:t>&gt;</w:t>
      </w:r>
      <w:r>
        <w:t>.</w:t>
      </w:r>
    </w:p>
  </w:footnote>
  <w:footnote w:id="238">
    <w:p w14:paraId="25E3E616" w14:textId="2574745B" w:rsidR="00845AA1" w:rsidRDefault="00845AA1" w:rsidP="00845AA1">
      <w:pPr>
        <w:pStyle w:val="FootnoteText"/>
      </w:pPr>
      <w:r>
        <w:rPr>
          <w:rStyle w:val="FootnoteReference"/>
        </w:rPr>
        <w:footnoteRef/>
      </w:r>
      <w:r>
        <w:t xml:space="preserve"> </w:t>
      </w:r>
      <w:r w:rsidRPr="00BB2CF0">
        <w:t>The term ‘specialist palliative care’ refers to clinicians who have specialist qualifications in palliative care and the designated specialist palliative care sector funded to provide care for those with the most complex end-of-life and palliative care needs (</w:t>
      </w:r>
      <w:r w:rsidR="00F10866">
        <w:t>Source</w:t>
      </w:r>
      <w:r w:rsidRPr="00BB2CF0">
        <w:t>: Department of Health and Human Services 2016</w:t>
      </w:r>
      <w:r w:rsidR="00F10866">
        <w:t>,</w:t>
      </w:r>
      <w:r w:rsidRPr="00BB2CF0">
        <w:t xml:space="preserve"> </w:t>
      </w:r>
      <w:r w:rsidRPr="008B286A">
        <w:rPr>
          <w:i/>
        </w:rPr>
        <w:t>Victoria’s end-of-life and palliative care framework: a guide for high-quality end-of-life care for all Victorians</w:t>
      </w:r>
      <w:r w:rsidR="00F10866">
        <w:rPr>
          <w:iCs/>
        </w:rPr>
        <w:t>,</w:t>
      </w:r>
      <w:r w:rsidRPr="00BB2CF0">
        <w:rPr>
          <w:iCs/>
        </w:rPr>
        <w:t xml:space="preserve"> State Government of Victoria, Melbourne).</w:t>
      </w:r>
    </w:p>
  </w:footnote>
  <w:footnote w:id="239">
    <w:p w14:paraId="32FEA55F" w14:textId="51AAEA8C" w:rsidR="00845AA1" w:rsidRDefault="00845AA1" w:rsidP="00845AA1">
      <w:pPr>
        <w:pStyle w:val="FootnoteText"/>
      </w:pPr>
      <w:r>
        <w:rPr>
          <w:rStyle w:val="FootnoteReference"/>
        </w:rPr>
        <w:footnoteRef/>
      </w:r>
      <w:r>
        <w:t xml:space="preserve"> Australian Institute of Health and Welfare 2022</w:t>
      </w:r>
      <w:r w:rsidR="000F389F">
        <w:t>,</w:t>
      </w:r>
      <w:r w:rsidR="006B604E">
        <w:t xml:space="preserve"> </w:t>
      </w:r>
      <w:r w:rsidRPr="008B286A">
        <w:rPr>
          <w:i/>
          <w:iCs/>
        </w:rPr>
        <w:t>Palliative care services in Australia</w:t>
      </w:r>
      <w:r>
        <w:t xml:space="preserve">. </w:t>
      </w:r>
      <w:r w:rsidR="008166A7">
        <w:t>Available from:</w:t>
      </w:r>
      <w:r>
        <w:t xml:space="preserve"> </w:t>
      </w:r>
      <w:r w:rsidRPr="00667193">
        <w:t>https://www.aihw.gov.au/reports/palliative-care-services/palliative-care-services-in-australia/pdf-documents</w:t>
      </w:r>
      <w:r w:rsidR="000F389F">
        <w:t>.</w:t>
      </w:r>
    </w:p>
  </w:footnote>
  <w:footnote w:id="240">
    <w:p w14:paraId="5DE7B832" w14:textId="41F2336B" w:rsidR="00D144A6" w:rsidRPr="00D144A6" w:rsidRDefault="00D144A6" w:rsidP="00F7160F">
      <w:pPr>
        <w:pStyle w:val="FootnoteText"/>
        <w:rPr>
          <w:color w:val="2A2736"/>
        </w:rPr>
      </w:pPr>
      <w:r>
        <w:rPr>
          <w:rStyle w:val="FootnoteReference"/>
        </w:rPr>
        <w:footnoteRef/>
      </w:r>
      <w:r>
        <w:t xml:space="preserve"> </w:t>
      </w:r>
      <w:r w:rsidRPr="00D144A6">
        <w:t>Whiteman DC, Webb PM, Green AC, et al. 2015</w:t>
      </w:r>
      <w:r w:rsidR="000F389F">
        <w:t>,</w:t>
      </w:r>
      <w:r w:rsidRPr="00D144A6">
        <w:t xml:space="preserve"> </w:t>
      </w:r>
      <w:r w:rsidR="000F389F">
        <w:t>‘</w:t>
      </w:r>
      <w:r w:rsidRPr="00D144A6">
        <w:t>Cancers in Australia in 2010 attributable to modifiable factors: summary and conclusions</w:t>
      </w:r>
      <w:r w:rsidR="000F389F">
        <w:t>’,</w:t>
      </w:r>
      <w:r w:rsidRPr="00D144A6">
        <w:t xml:space="preserve"> </w:t>
      </w:r>
      <w:r w:rsidRPr="00F7160F">
        <w:rPr>
          <w:i/>
          <w:iCs/>
        </w:rPr>
        <w:t>Australian and New Zealand Journal of Public Health</w:t>
      </w:r>
      <w:r w:rsidR="000F389F">
        <w:t>,</w:t>
      </w:r>
      <w:r w:rsidRPr="00D144A6">
        <w:t xml:space="preserve"> 39(5):477</w:t>
      </w:r>
      <w:r w:rsidR="000F389F">
        <w:t>–4</w:t>
      </w:r>
      <w:r w:rsidRPr="00D144A6">
        <w:t>84.</w:t>
      </w:r>
    </w:p>
  </w:footnote>
  <w:footnote w:id="241">
    <w:p w14:paraId="76B756A1" w14:textId="76722117" w:rsidR="00B731E9" w:rsidRDefault="00B731E9" w:rsidP="00B731E9">
      <w:pPr>
        <w:pStyle w:val="FootnoteText"/>
      </w:pPr>
      <w:r>
        <w:rPr>
          <w:rStyle w:val="FootnoteReference"/>
        </w:rPr>
        <w:footnoteRef/>
      </w:r>
      <w:r>
        <w:t xml:space="preserve"> Department of Health 2021</w:t>
      </w:r>
      <w:r w:rsidR="008166A7">
        <w:t>,</w:t>
      </w:r>
      <w:r>
        <w:t xml:space="preserve"> </w:t>
      </w:r>
      <w:r w:rsidRPr="00F7160F">
        <w:rPr>
          <w:i/>
          <w:iCs/>
        </w:rPr>
        <w:t xml:space="preserve">National </w:t>
      </w:r>
      <w:r w:rsidR="00F924DB" w:rsidRPr="00F7160F">
        <w:rPr>
          <w:i/>
          <w:iCs/>
        </w:rPr>
        <w:t>Preventive</w:t>
      </w:r>
      <w:r w:rsidRPr="00F7160F">
        <w:rPr>
          <w:i/>
          <w:iCs/>
        </w:rPr>
        <w:t xml:space="preserve"> </w:t>
      </w:r>
      <w:r w:rsidR="00F924DB" w:rsidRPr="00F7160F">
        <w:rPr>
          <w:i/>
          <w:iCs/>
        </w:rPr>
        <w:t>Health</w:t>
      </w:r>
      <w:r w:rsidRPr="00F7160F">
        <w:rPr>
          <w:i/>
          <w:iCs/>
        </w:rPr>
        <w:t xml:space="preserve"> </w:t>
      </w:r>
      <w:r w:rsidR="00F924DB">
        <w:rPr>
          <w:i/>
          <w:iCs/>
        </w:rPr>
        <w:t>S</w:t>
      </w:r>
      <w:r w:rsidRPr="00F7160F">
        <w:rPr>
          <w:i/>
          <w:iCs/>
        </w:rPr>
        <w:t>trategy 2021</w:t>
      </w:r>
      <w:r w:rsidR="008166A7" w:rsidRPr="00F7160F">
        <w:rPr>
          <w:i/>
          <w:iCs/>
        </w:rPr>
        <w:t>–</w:t>
      </w:r>
      <w:r w:rsidRPr="00F7160F">
        <w:rPr>
          <w:i/>
          <w:iCs/>
        </w:rPr>
        <w:t>2030</w:t>
      </w:r>
      <w:r>
        <w:t xml:space="preserve">. Available from: </w:t>
      </w:r>
      <w:r w:rsidRPr="0050758C">
        <w:t>https://www.health.gov.au/resources/publications/national-preventive-health-strategy-2021-2030?language=en</w:t>
      </w:r>
      <w:r w:rsidR="000F389F">
        <w:t>.</w:t>
      </w:r>
    </w:p>
  </w:footnote>
  <w:footnote w:id="242">
    <w:p w14:paraId="6A61E854" w14:textId="6B1B1EFB" w:rsidR="0064259F" w:rsidRPr="0064259F" w:rsidRDefault="0064259F">
      <w:pPr>
        <w:pStyle w:val="FootnoteText"/>
      </w:pPr>
      <w:r>
        <w:rPr>
          <w:rStyle w:val="FootnoteReference"/>
        </w:rPr>
        <w:footnoteRef/>
      </w:r>
      <w:r>
        <w:t xml:space="preserve"> Retrieved from </w:t>
      </w:r>
      <w:r w:rsidR="00742F92" w:rsidRPr="00742F92">
        <w:t>https://www.vaccho.org.au/wp-content/uploads/2023/05/VACCHO_Victorian-Aboriginal-Cancer-Journey-Strategy-2023-2028_Web.pdf</w:t>
      </w:r>
      <w:r w:rsidR="00742F92">
        <w:t>.</w:t>
      </w:r>
      <w:r w:rsidR="00742F92" w:rsidRPr="0064259F">
        <w:t xml:space="preserve"> </w:t>
      </w:r>
    </w:p>
  </w:footnote>
  <w:footnote w:id="243">
    <w:p w14:paraId="195BE396" w14:textId="29FCF1A1" w:rsidR="00BF3E19" w:rsidRDefault="00BF3E19">
      <w:pPr>
        <w:pStyle w:val="FootnoteText"/>
      </w:pPr>
      <w:r>
        <w:rPr>
          <w:rStyle w:val="FootnoteReference"/>
        </w:rPr>
        <w:footnoteRef/>
      </w:r>
      <w:r>
        <w:t xml:space="preserve"> </w:t>
      </w:r>
      <w:bookmarkStart w:id="1222" w:name="_Hlk137125545"/>
      <w:r>
        <w:t xml:space="preserve">The </w:t>
      </w:r>
      <w:r w:rsidRPr="00BF3E19">
        <w:rPr>
          <w:i/>
          <w:iCs/>
        </w:rPr>
        <w:t>Aboriginal Cancer Journey Strategy</w:t>
      </w:r>
      <w:r w:rsidRPr="00BF3E19">
        <w:t xml:space="preserve"> aligns with the Department’s Operational Plan 2022-2023 and the Aboriginal Health and Wellbeing Partnership Forum’s priority, “supporting cultural safety in the mainstream health service system”</w:t>
      </w:r>
      <w:r>
        <w:t>.</w:t>
      </w:r>
      <w:bookmarkEnd w:id="1222"/>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C7036" w14:textId="18B143DD" w:rsidR="00AE57BF" w:rsidRPr="006B604E" w:rsidRDefault="006B604E">
    <w:pPr>
      <w:pStyle w:val="Header"/>
      <w:rPr>
        <w:b/>
        <w:bCs/>
      </w:rPr>
    </w:pPr>
    <w:r w:rsidRPr="00097D6E">
      <w:rPr>
        <w:b/>
        <w:bCs/>
      </w:rPr>
      <w:t>Victorian cancer plan monitoring and evaluation framework</w:t>
    </w:r>
    <w:r>
      <w:rPr>
        <w:b/>
        <w:bCs/>
      </w:rPr>
      <w:t>:</w:t>
    </w:r>
    <w:r w:rsidRPr="00097D6E">
      <w:rPr>
        <w:b/>
        <w:bCs/>
      </w:rPr>
      <w:t xml:space="preserve"> </w:t>
    </w:r>
    <w:r>
      <w:rPr>
        <w:b/>
        <w:bCs/>
      </w:rPr>
      <w:t>b</w:t>
    </w:r>
    <w:r w:rsidRPr="00097D6E">
      <w:rPr>
        <w:b/>
        <w:bCs/>
      </w:rPr>
      <w:t xml:space="preserve">aseline </w:t>
    </w:r>
    <w:r>
      <w:rPr>
        <w:b/>
        <w:bCs/>
      </w:rPr>
      <w:t>p</w:t>
    </w:r>
    <w:r w:rsidRPr="00097D6E">
      <w:rPr>
        <w:b/>
        <w:bCs/>
      </w:rPr>
      <w:t xml:space="preserve">rogress </w:t>
    </w:r>
    <w:r w:rsidRPr="006B604E">
      <w:rPr>
        <w:b/>
        <w:bCs/>
      </w:rPr>
      <w:t>report</w:t>
    </w:r>
    <w:r w:rsidR="00573C66" w:rsidRPr="006B604E">
      <w:rPr>
        <w:b/>
        <w:bCs/>
      </w:rPr>
      <w:ptab w:relativeTo="margin" w:alignment="right" w:leader="none"/>
    </w:r>
    <w:r w:rsidR="00573C66" w:rsidRPr="006B604E">
      <w:rPr>
        <w:b/>
        <w:bCs/>
      </w:rPr>
      <w:fldChar w:fldCharType="begin"/>
    </w:r>
    <w:r w:rsidR="00573C66" w:rsidRPr="006B604E">
      <w:rPr>
        <w:b/>
        <w:bCs/>
      </w:rPr>
      <w:instrText xml:space="preserve"> PAGE </w:instrText>
    </w:r>
    <w:r w:rsidR="00573C66" w:rsidRPr="006B604E">
      <w:rPr>
        <w:b/>
        <w:bCs/>
      </w:rPr>
      <w:fldChar w:fldCharType="separate"/>
    </w:r>
    <w:r w:rsidR="00573C66" w:rsidRPr="006B604E">
      <w:rPr>
        <w:b/>
        <w:bCs/>
      </w:rPr>
      <w:t>7</w:t>
    </w:r>
    <w:r w:rsidR="00573C66" w:rsidRPr="006B604E">
      <w:rPr>
        <w:b/>
        <w:bCs/>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BF97C" w14:textId="6651A581" w:rsidR="00573C66" w:rsidRPr="00097D6E" w:rsidRDefault="00573C66">
    <w:pPr>
      <w:pStyle w:val="Header"/>
      <w:rPr>
        <w:b/>
        <w:bCs/>
      </w:rPr>
    </w:pPr>
    <w:r w:rsidRPr="00097D6E">
      <w:rPr>
        <w:b/>
        <w:bCs/>
      </w:rPr>
      <w:t xml:space="preserve">Victorian </w:t>
    </w:r>
    <w:r w:rsidR="00097D6E" w:rsidRPr="00097D6E">
      <w:rPr>
        <w:b/>
        <w:bCs/>
      </w:rPr>
      <w:t>cancer plan monitoring and evaluation framework</w:t>
    </w:r>
    <w:r w:rsidR="00097D6E">
      <w:rPr>
        <w:b/>
        <w:bCs/>
      </w:rPr>
      <w:t>:</w:t>
    </w:r>
    <w:r w:rsidR="00097D6E" w:rsidRPr="00097D6E">
      <w:rPr>
        <w:b/>
        <w:bCs/>
      </w:rPr>
      <w:t xml:space="preserve"> </w:t>
    </w:r>
    <w:r w:rsidR="00097D6E">
      <w:rPr>
        <w:b/>
        <w:bCs/>
      </w:rPr>
      <w:t>b</w:t>
    </w:r>
    <w:r w:rsidR="00097D6E" w:rsidRPr="00097D6E">
      <w:rPr>
        <w:b/>
        <w:bCs/>
      </w:rPr>
      <w:t xml:space="preserve">aseline </w:t>
    </w:r>
    <w:r w:rsidR="00097D6E">
      <w:rPr>
        <w:b/>
        <w:bCs/>
      </w:rPr>
      <w:t>p</w:t>
    </w:r>
    <w:r w:rsidRPr="00097D6E">
      <w:rPr>
        <w:b/>
        <w:bCs/>
      </w:rPr>
      <w:t xml:space="preserve">rogress </w:t>
    </w:r>
    <w:r w:rsidR="00097D6E">
      <w:rPr>
        <w:b/>
        <w:bCs/>
      </w:rPr>
      <w:t>r</w:t>
    </w:r>
    <w:r w:rsidRPr="00097D6E">
      <w:rPr>
        <w:b/>
        <w:bCs/>
      </w:rPr>
      <w:t>eport</w:t>
    </w:r>
    <w:r w:rsidRPr="00097D6E">
      <w:rPr>
        <w:b/>
        <w:bCs/>
      </w:rPr>
      <w:ptab w:relativeTo="margin" w:alignment="right" w:leader="none"/>
    </w:r>
    <w:r w:rsidRPr="00097D6E">
      <w:rPr>
        <w:b/>
        <w:bCs/>
      </w:rPr>
      <w:fldChar w:fldCharType="begin"/>
    </w:r>
    <w:r w:rsidRPr="00097D6E">
      <w:rPr>
        <w:b/>
        <w:bCs/>
      </w:rPr>
      <w:instrText xml:space="preserve"> PAGE </w:instrText>
    </w:r>
    <w:r w:rsidRPr="00097D6E">
      <w:rPr>
        <w:b/>
        <w:bCs/>
      </w:rPr>
      <w:fldChar w:fldCharType="separate"/>
    </w:r>
    <w:r w:rsidRPr="00097D6E">
      <w:rPr>
        <w:b/>
        <w:bCs/>
      </w:rPr>
      <w:t>3</w:t>
    </w:r>
    <w:r w:rsidRPr="00097D6E">
      <w:rPr>
        <w:b/>
        <w:bC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12C14" w14:textId="77777777" w:rsidR="00A03FC2" w:rsidRDefault="00A03FC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A27AE" w14:textId="26D99FE7" w:rsidR="0072736E" w:rsidRPr="00557456" w:rsidRDefault="006B604E" w:rsidP="00557456">
    <w:pPr>
      <w:pStyle w:val="Header"/>
      <w:rPr>
        <w:b/>
        <w:bCs/>
      </w:rPr>
    </w:pPr>
    <w:r w:rsidRPr="00097D6E">
      <w:rPr>
        <w:b/>
        <w:bCs/>
      </w:rPr>
      <w:t>Victorian cancer plan monitoring and evaluation framework</w:t>
    </w:r>
    <w:r>
      <w:rPr>
        <w:b/>
        <w:bCs/>
      </w:rPr>
      <w:t>:</w:t>
    </w:r>
    <w:r w:rsidRPr="00097D6E">
      <w:rPr>
        <w:b/>
        <w:bCs/>
      </w:rPr>
      <w:t xml:space="preserve"> </w:t>
    </w:r>
    <w:r w:rsidR="00445528">
      <w:rPr>
        <w:b/>
        <w:bCs/>
      </w:rPr>
      <w:t xml:space="preserve">2023 </w:t>
    </w:r>
    <w:r>
      <w:rPr>
        <w:b/>
        <w:bCs/>
      </w:rPr>
      <w:t>p</w:t>
    </w:r>
    <w:r w:rsidRPr="00097D6E">
      <w:rPr>
        <w:b/>
        <w:bCs/>
      </w:rPr>
      <w:t xml:space="preserve">rogress </w:t>
    </w:r>
    <w:r>
      <w:rPr>
        <w:b/>
        <w:bCs/>
      </w:rPr>
      <w:t>r</w:t>
    </w:r>
    <w:r w:rsidRPr="00097D6E">
      <w:rPr>
        <w:b/>
        <w:bCs/>
      </w:rPr>
      <w:t>eport</w:t>
    </w:r>
    <w:r w:rsidR="00573C66" w:rsidRPr="007D6E53">
      <w:rPr>
        <w:b/>
        <w:bCs/>
      </w:rPr>
      <w:ptab w:relativeTo="margin" w:alignment="right" w:leader="none"/>
    </w:r>
    <w:r w:rsidR="00573C66" w:rsidRPr="007D6E53">
      <w:rPr>
        <w:b/>
        <w:bCs/>
      </w:rPr>
      <w:fldChar w:fldCharType="begin"/>
    </w:r>
    <w:r w:rsidR="00573C66" w:rsidRPr="007D6E53">
      <w:rPr>
        <w:b/>
        <w:bCs/>
      </w:rPr>
      <w:instrText xml:space="preserve"> PAGE </w:instrText>
    </w:r>
    <w:r w:rsidR="00573C66" w:rsidRPr="007D6E53">
      <w:rPr>
        <w:b/>
        <w:bCs/>
      </w:rPr>
      <w:fldChar w:fldCharType="separate"/>
    </w:r>
    <w:r w:rsidR="00573C66" w:rsidRPr="007D6E53">
      <w:rPr>
        <w:b/>
        <w:bCs/>
      </w:rPr>
      <w:t>7</w:t>
    </w:r>
    <w:r w:rsidR="00573C66" w:rsidRPr="007D6E53">
      <w:rPr>
        <w:b/>
        <w:bCs/>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8C632" w14:textId="0A48DF46" w:rsidR="00573C66" w:rsidRPr="007D6E53" w:rsidRDefault="006B604E" w:rsidP="00573C66">
    <w:pPr>
      <w:pStyle w:val="Header"/>
      <w:rPr>
        <w:b/>
        <w:bCs/>
      </w:rPr>
    </w:pPr>
    <w:r w:rsidRPr="00097D6E">
      <w:rPr>
        <w:b/>
        <w:bCs/>
      </w:rPr>
      <w:t>Victorian cancer plan monitoring and evaluation framework</w:t>
    </w:r>
    <w:r>
      <w:rPr>
        <w:b/>
        <w:bCs/>
      </w:rPr>
      <w:t>:</w:t>
    </w:r>
    <w:r w:rsidRPr="00097D6E">
      <w:rPr>
        <w:b/>
        <w:bCs/>
      </w:rPr>
      <w:t xml:space="preserve"> </w:t>
    </w:r>
    <w:r w:rsidR="00445528">
      <w:rPr>
        <w:b/>
        <w:bCs/>
      </w:rPr>
      <w:t xml:space="preserve">2023 </w:t>
    </w:r>
    <w:r>
      <w:rPr>
        <w:b/>
        <w:bCs/>
      </w:rPr>
      <w:t>p</w:t>
    </w:r>
    <w:r w:rsidRPr="00097D6E">
      <w:rPr>
        <w:b/>
        <w:bCs/>
      </w:rPr>
      <w:t xml:space="preserve">rogress </w:t>
    </w:r>
    <w:r>
      <w:rPr>
        <w:b/>
        <w:bCs/>
      </w:rPr>
      <w:t>r</w:t>
    </w:r>
    <w:r w:rsidRPr="00097D6E">
      <w:rPr>
        <w:b/>
        <w:bCs/>
      </w:rPr>
      <w:t>eport</w:t>
    </w:r>
    <w:r w:rsidR="00573C66" w:rsidRPr="007D6E53">
      <w:rPr>
        <w:b/>
        <w:bCs/>
      </w:rPr>
      <w:ptab w:relativeTo="margin" w:alignment="right" w:leader="none"/>
    </w:r>
    <w:r w:rsidR="00573C66" w:rsidRPr="007D6E53">
      <w:rPr>
        <w:b/>
        <w:bCs/>
      </w:rPr>
      <w:fldChar w:fldCharType="begin"/>
    </w:r>
    <w:r w:rsidR="00573C66" w:rsidRPr="007D6E53">
      <w:rPr>
        <w:b/>
        <w:bCs/>
      </w:rPr>
      <w:instrText xml:space="preserve"> PAGE </w:instrText>
    </w:r>
    <w:r w:rsidR="00573C66" w:rsidRPr="007D6E53">
      <w:rPr>
        <w:b/>
        <w:bCs/>
      </w:rPr>
      <w:fldChar w:fldCharType="separate"/>
    </w:r>
    <w:r w:rsidR="00573C66" w:rsidRPr="007D6E53">
      <w:rPr>
        <w:b/>
        <w:bCs/>
      </w:rPr>
      <w:t>7</w:t>
    </w:r>
    <w:r w:rsidR="00573C66" w:rsidRPr="007D6E53">
      <w:rPr>
        <w:b/>
        <w:bCs/>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068DE" w14:textId="63853785" w:rsidR="0072736E" w:rsidRDefault="0072736E">
    <w:pPr>
      <w:pStyle w:val="Header"/>
    </w:pPr>
    <w:r>
      <w:rPr>
        <w:noProof/>
        <w:lang w:val="en-NZ" w:eastAsia="en-NZ"/>
      </w:rPr>
      <mc:AlternateContent>
        <mc:Choice Requires="wps">
          <w:drawing>
            <wp:anchor distT="0" distB="0" distL="114300" distR="114300" simplePos="0" relativeHeight="251658240" behindDoc="1" locked="0" layoutInCell="0" allowOverlap="1" wp14:anchorId="7D4EB20B" wp14:editId="49953ED8">
              <wp:simplePos x="0" y="0"/>
              <wp:positionH relativeFrom="margin">
                <wp:align>center</wp:align>
              </wp:positionH>
              <wp:positionV relativeFrom="margin">
                <wp:align>center</wp:align>
              </wp:positionV>
              <wp:extent cx="9648825" cy="685800"/>
              <wp:effectExtent l="0" t="3248025" r="0" b="3181350"/>
              <wp:wrapNone/>
              <wp:docPr id="349"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9648825" cy="6858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883DCAF" w14:textId="77777777" w:rsidR="0072736E" w:rsidRDefault="0072736E" w:rsidP="000668A2">
                          <w:pPr>
                            <w:jc w:val="center"/>
                            <w:rPr>
                              <w:sz w:val="24"/>
                              <w:szCs w:val="24"/>
                            </w:rPr>
                          </w:pPr>
                          <w:r>
                            <w:rPr>
                              <w:rFonts w:ascii="Arial" w:hAnsi="Arial" w:cs="Arial"/>
                              <w:color w:val="A6A6A6" w:themeColor="background1" w:themeShade="A6"/>
                              <w:sz w:val="96"/>
                              <w:szCs w:val="96"/>
                              <w14:textFill>
                                <w14:solidFill>
                                  <w14:schemeClr w14:val="bg1">
                                    <w14:alpha w14:val="50000"/>
                                    <w14:lumMod w14:val="65000"/>
                                  </w14:schemeClr>
                                </w14:solidFill>
                              </w14:textFill>
                            </w:rPr>
                            <w:t>DRAFT - NOT FOR CIRCULATION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D4EB20B" id="_x0000_t202" coordsize="21600,21600" o:spt="202" path="m,l,21600r21600,l21600,xe">
              <v:stroke joinstyle="miter"/>
              <v:path gradientshapeok="t" o:connecttype="rect"/>
            </v:shapetype>
            <v:shape id="Text Box 349" o:spid="_x0000_s1052" type="#_x0000_t202" style="position:absolute;margin-left:0;margin-top:0;width:759.75pt;height:54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" o:allowincell="f" filled="f" stroked="f">
              <v:stroke joinstyle="round"/>
              <o:lock v:ext="edit" shapetype="t"/>
              <v:textbox style="mso-fit-shape-to-text:t">
                <w:txbxContent>
                  <w:p w14:paraId="2883DCAF" w14:textId="77777777" w:rsidR="0072736E" w:rsidRDefault="0072736E" w:rsidP="000668A2">
                    <w:pPr>
                      <w:jc w:val="center"/>
                      <w:rPr>
                        <w:sz w:val="24"/>
                        <w:szCs w:val="24"/>
                      </w:rPr>
                    </w:pPr>
                    <w:r>
                      <w:rPr>
                        <w:rFonts w:ascii="Arial" w:hAnsi="Arial" w:cs="Arial"/>
                        <w:color w:val="A6A6A6" w:themeColor="background1" w:themeShade="A6"/>
                        <w:sz w:val="96"/>
                        <w:szCs w:val="96"/>
                        <w14:textFill>
                          <w14:solidFill>
                            <w14:schemeClr w14:val="bg1">
                              <w14:alpha w14:val="50000"/>
                              <w14:lumMod w14:val="65000"/>
                            </w14:schemeClr>
                          </w14:solidFill>
                        </w14:textFill>
                      </w:rPr>
                      <w:t>DRAFT - NOT FOR CIRCULATION</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06715"/>
    <w:multiLevelType w:val="multilevel"/>
    <w:tmpl w:val="8A86A6B0"/>
    <w:lvl w:ilvl="0">
      <w:start w:val="1"/>
      <w:numFmt w:val="bullet"/>
      <w:lvlText w:val=""/>
      <w:lvlJc w:val="left"/>
      <w:pPr>
        <w:ind w:left="284" w:hanging="284"/>
      </w:pPr>
      <w:rPr>
        <w:rFonts w:ascii="Symbol" w:hAnsi="Symbol" w:hint="default"/>
      </w:rPr>
    </w:lvl>
    <w:lvl w:ilvl="1">
      <w:start w:val="1"/>
      <w:numFmt w:val="bullet"/>
      <w:lvlRestart w:val="0"/>
      <w:lvlText w:val=""/>
      <w:lvlJc w:val="left"/>
      <w:pPr>
        <w:ind w:left="284" w:hanging="284"/>
      </w:pPr>
      <w:rPr>
        <w:rFonts w:ascii="Symbol" w:hAnsi="Symbol" w:hint="default"/>
      </w:rPr>
    </w:lvl>
    <w:lvl w:ilvl="2">
      <w:start w:val="1"/>
      <w:numFmt w:val="bullet"/>
      <w:lvlRestart w:val="0"/>
      <w:lvlText w:val="–"/>
      <w:lvlJc w:val="left"/>
      <w:pPr>
        <w:ind w:left="567" w:hanging="283"/>
      </w:pPr>
      <w:rPr>
        <w:rFonts w:hint="default"/>
      </w:rPr>
    </w:lvl>
    <w:lvl w:ilvl="3">
      <w:start w:val="1"/>
      <w:numFmt w:val="bullet"/>
      <w:lvlRestart w:val="0"/>
      <w:lvlText w:val="–"/>
      <w:lvlJc w:val="left"/>
      <w:pPr>
        <w:ind w:left="567" w:hanging="283"/>
      </w:pPr>
      <w:rPr>
        <w:rFonts w:hint="default"/>
      </w:rPr>
    </w:lvl>
    <w:lvl w:ilvl="4">
      <w:start w:val="1"/>
      <w:numFmt w:val="bullet"/>
      <w:lvlRestart w:val="0"/>
      <w:lvlText w:val=""/>
      <w:lvlJc w:val="left"/>
      <w:pPr>
        <w:ind w:left="680" w:hanging="283"/>
      </w:pPr>
      <w:rPr>
        <w:rFonts w:ascii="Symbol" w:hAnsi="Symbol" w:hint="default"/>
      </w:rPr>
    </w:lvl>
    <w:lvl w:ilvl="5">
      <w:start w:val="1"/>
      <w:numFmt w:val="bullet"/>
      <w:lvlRestart w:val="0"/>
      <w:lvlText w:val=""/>
      <w:lvlJc w:val="left"/>
      <w:pPr>
        <w:ind w:left="680" w:hanging="283"/>
      </w:pPr>
      <w:rPr>
        <w:rFonts w:ascii="Symbol" w:hAnsi="Symbol" w:hint="default"/>
      </w:rPr>
    </w:lvl>
    <w:lvl w:ilvl="6">
      <w:start w:val="1"/>
      <w:numFmt w:val="bullet"/>
      <w:lvlRestart w:val="0"/>
      <w:lvlText w:val=""/>
      <w:lvlJc w:val="left"/>
      <w:pPr>
        <w:ind w:left="227" w:hanging="227"/>
      </w:pPr>
      <w:rPr>
        <w:rFonts w:ascii="Symbol" w:hAnsi="Symbol"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 w15:restartNumberingAfterBreak="0">
    <w:nsid w:val="03F450B6"/>
    <w:multiLevelType w:val="hybridMultilevel"/>
    <w:tmpl w:val="DF3A4B10"/>
    <w:lvl w:ilvl="0" w:tplc="0C090003">
      <w:start w:val="1"/>
      <w:numFmt w:val="bullet"/>
      <w:lvlText w:val="o"/>
      <w:lvlJc w:val="left"/>
      <w:pPr>
        <w:ind w:left="10000" w:hanging="360"/>
      </w:pPr>
      <w:rPr>
        <w:rFonts w:ascii="Courier New" w:hAnsi="Courier New" w:cs="Courier New" w:hint="default"/>
      </w:rPr>
    </w:lvl>
    <w:lvl w:ilvl="1" w:tplc="0C090003" w:tentative="1">
      <w:start w:val="1"/>
      <w:numFmt w:val="bullet"/>
      <w:lvlText w:val="o"/>
      <w:lvlJc w:val="left"/>
      <w:pPr>
        <w:ind w:left="10720" w:hanging="360"/>
      </w:pPr>
      <w:rPr>
        <w:rFonts w:ascii="Courier New" w:hAnsi="Courier New" w:cs="Courier New" w:hint="default"/>
      </w:rPr>
    </w:lvl>
    <w:lvl w:ilvl="2" w:tplc="0C090005" w:tentative="1">
      <w:start w:val="1"/>
      <w:numFmt w:val="bullet"/>
      <w:lvlText w:val=""/>
      <w:lvlJc w:val="left"/>
      <w:pPr>
        <w:ind w:left="11440" w:hanging="360"/>
      </w:pPr>
      <w:rPr>
        <w:rFonts w:ascii="Wingdings" w:hAnsi="Wingdings" w:hint="default"/>
      </w:rPr>
    </w:lvl>
    <w:lvl w:ilvl="3" w:tplc="0C090001" w:tentative="1">
      <w:start w:val="1"/>
      <w:numFmt w:val="bullet"/>
      <w:lvlText w:val=""/>
      <w:lvlJc w:val="left"/>
      <w:pPr>
        <w:ind w:left="12160" w:hanging="360"/>
      </w:pPr>
      <w:rPr>
        <w:rFonts w:ascii="Symbol" w:hAnsi="Symbol" w:hint="default"/>
      </w:rPr>
    </w:lvl>
    <w:lvl w:ilvl="4" w:tplc="0C090003" w:tentative="1">
      <w:start w:val="1"/>
      <w:numFmt w:val="bullet"/>
      <w:lvlText w:val="o"/>
      <w:lvlJc w:val="left"/>
      <w:pPr>
        <w:ind w:left="12880" w:hanging="360"/>
      </w:pPr>
      <w:rPr>
        <w:rFonts w:ascii="Courier New" w:hAnsi="Courier New" w:cs="Courier New" w:hint="default"/>
      </w:rPr>
    </w:lvl>
    <w:lvl w:ilvl="5" w:tplc="0C090005" w:tentative="1">
      <w:start w:val="1"/>
      <w:numFmt w:val="bullet"/>
      <w:lvlText w:val=""/>
      <w:lvlJc w:val="left"/>
      <w:pPr>
        <w:ind w:left="13600" w:hanging="360"/>
      </w:pPr>
      <w:rPr>
        <w:rFonts w:ascii="Wingdings" w:hAnsi="Wingdings" w:hint="default"/>
      </w:rPr>
    </w:lvl>
    <w:lvl w:ilvl="6" w:tplc="0C090001" w:tentative="1">
      <w:start w:val="1"/>
      <w:numFmt w:val="bullet"/>
      <w:lvlText w:val=""/>
      <w:lvlJc w:val="left"/>
      <w:pPr>
        <w:ind w:left="14320" w:hanging="360"/>
      </w:pPr>
      <w:rPr>
        <w:rFonts w:ascii="Symbol" w:hAnsi="Symbol" w:hint="default"/>
      </w:rPr>
    </w:lvl>
    <w:lvl w:ilvl="7" w:tplc="0C090003" w:tentative="1">
      <w:start w:val="1"/>
      <w:numFmt w:val="bullet"/>
      <w:lvlText w:val="o"/>
      <w:lvlJc w:val="left"/>
      <w:pPr>
        <w:ind w:left="15040" w:hanging="360"/>
      </w:pPr>
      <w:rPr>
        <w:rFonts w:ascii="Courier New" w:hAnsi="Courier New" w:cs="Courier New" w:hint="default"/>
      </w:rPr>
    </w:lvl>
    <w:lvl w:ilvl="8" w:tplc="0C090005" w:tentative="1">
      <w:start w:val="1"/>
      <w:numFmt w:val="bullet"/>
      <w:lvlText w:val=""/>
      <w:lvlJc w:val="left"/>
      <w:pPr>
        <w:ind w:left="15760" w:hanging="360"/>
      </w:pPr>
      <w:rPr>
        <w:rFonts w:ascii="Wingdings" w:hAnsi="Wingdings" w:hint="default"/>
      </w:rPr>
    </w:lvl>
  </w:abstractNum>
  <w:abstractNum w:abstractNumId="2" w15:restartNumberingAfterBreak="0">
    <w:nsid w:val="04D80273"/>
    <w:multiLevelType w:val="hybridMultilevel"/>
    <w:tmpl w:val="C5D29D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6A69B8"/>
    <w:multiLevelType w:val="hybridMultilevel"/>
    <w:tmpl w:val="762E225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58C6BAF"/>
    <w:multiLevelType w:val="hybridMultilevel"/>
    <w:tmpl w:val="CBC26C1E"/>
    <w:lvl w:ilvl="0" w:tplc="D00E64DE">
      <w:start w:val="5"/>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7267F61"/>
    <w:multiLevelType w:val="hybridMultilevel"/>
    <w:tmpl w:val="2A72A162"/>
    <w:lvl w:ilvl="0" w:tplc="9994549A">
      <w:start w:val="2"/>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7270B3F"/>
    <w:multiLevelType w:val="hybridMultilevel"/>
    <w:tmpl w:val="85E2D03C"/>
    <w:lvl w:ilvl="0" w:tplc="F80455A8">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7353C98"/>
    <w:multiLevelType w:val="hybridMultilevel"/>
    <w:tmpl w:val="ADDC7F10"/>
    <w:lvl w:ilvl="0" w:tplc="D796254E">
      <w:start w:val="1"/>
      <w:numFmt w:val="upperLetter"/>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8" w15:restartNumberingAfterBreak="0">
    <w:nsid w:val="090B2671"/>
    <w:multiLevelType w:val="multilevel"/>
    <w:tmpl w:val="C7BAC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B78196D"/>
    <w:multiLevelType w:val="multilevel"/>
    <w:tmpl w:val="1B284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B8D43DB"/>
    <w:multiLevelType w:val="multilevel"/>
    <w:tmpl w:val="B33A2DBC"/>
    <w:numStyleLink w:val="ZZNumbersdigit"/>
  </w:abstractNum>
  <w:abstractNum w:abstractNumId="11" w15:restartNumberingAfterBreak="0">
    <w:nsid w:val="12631230"/>
    <w:multiLevelType w:val="hybridMultilevel"/>
    <w:tmpl w:val="3B023900"/>
    <w:lvl w:ilvl="0" w:tplc="F9D4DF86">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 w15:restartNumberingAfterBreak="0">
    <w:nsid w:val="13305ED0"/>
    <w:multiLevelType w:val="hybridMultilevel"/>
    <w:tmpl w:val="327E95EC"/>
    <w:lvl w:ilvl="0" w:tplc="142AD5F2">
      <w:start w:val="2"/>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5726280"/>
    <w:multiLevelType w:val="hybridMultilevel"/>
    <w:tmpl w:val="EDA21FB0"/>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5910F73"/>
    <w:multiLevelType w:val="multilevel"/>
    <w:tmpl w:val="C6787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8EF5042"/>
    <w:multiLevelType w:val="hybridMultilevel"/>
    <w:tmpl w:val="503A1B12"/>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15:restartNumberingAfterBreak="0">
    <w:nsid w:val="1A321691"/>
    <w:multiLevelType w:val="hybridMultilevel"/>
    <w:tmpl w:val="194001AE"/>
    <w:lvl w:ilvl="0" w:tplc="F9D4DF86">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1C4249E8"/>
    <w:multiLevelType w:val="multilevel"/>
    <w:tmpl w:val="37368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2177C2B"/>
    <w:multiLevelType w:val="hybridMultilevel"/>
    <w:tmpl w:val="AA66C0A6"/>
    <w:lvl w:ilvl="0" w:tplc="093218CA">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5445A32"/>
    <w:multiLevelType w:val="hybridMultilevel"/>
    <w:tmpl w:val="7ECA7DE4"/>
    <w:lvl w:ilvl="0" w:tplc="0C090015">
      <w:start w:val="1"/>
      <w:numFmt w:val="upperLetter"/>
      <w:lvlText w:val="%1."/>
      <w:lvlJc w:val="left"/>
      <w:pPr>
        <w:ind w:left="2062"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57D778B"/>
    <w:multiLevelType w:val="hybridMultilevel"/>
    <w:tmpl w:val="FE164558"/>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BCD6CE42">
      <w:start w:val="1"/>
      <w:numFmt w:val="upperLetter"/>
      <w:lvlText w:val="%3."/>
      <w:lvlJc w:val="left"/>
      <w:pPr>
        <w:ind w:left="2700" w:hanging="360"/>
      </w:pPr>
      <w:rPr>
        <w:rFonts w:hint="default"/>
      </w:r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1" w15:restartNumberingAfterBreak="0">
    <w:nsid w:val="27EA7523"/>
    <w:multiLevelType w:val="hybridMultilevel"/>
    <w:tmpl w:val="282C68E2"/>
    <w:lvl w:ilvl="0" w:tplc="ED382AC0">
      <w:start w:val="3"/>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9490176"/>
    <w:multiLevelType w:val="hybridMultilevel"/>
    <w:tmpl w:val="4D8C453C"/>
    <w:lvl w:ilvl="0" w:tplc="5B121A1E">
      <w:start w:val="5"/>
      <w:numFmt w:val="upperLetter"/>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29B9695F"/>
    <w:multiLevelType w:val="hybridMultilevel"/>
    <w:tmpl w:val="82DA5912"/>
    <w:lvl w:ilvl="0" w:tplc="16BA5842">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4" w15:restartNumberingAfterBreak="0">
    <w:nsid w:val="29BA73DE"/>
    <w:multiLevelType w:val="hybridMultilevel"/>
    <w:tmpl w:val="96E4484C"/>
    <w:lvl w:ilvl="0" w:tplc="FADA22A4">
      <w:start w:val="4"/>
      <w:numFmt w:val="upperLetter"/>
      <w:lvlText w:val="%1."/>
      <w:lvlJc w:val="left"/>
      <w:pPr>
        <w:ind w:left="2061" w:hanging="360"/>
      </w:pPr>
      <w:rPr>
        <w:rFonts w:hint="default"/>
      </w:rPr>
    </w:lvl>
    <w:lvl w:ilvl="1" w:tplc="14090019">
      <w:start w:val="1"/>
      <w:numFmt w:val="lowerLetter"/>
      <w:lvlText w:val="%2."/>
      <w:lvlJc w:val="left"/>
      <w:pPr>
        <w:ind w:left="2781" w:hanging="360"/>
      </w:pPr>
    </w:lvl>
    <w:lvl w:ilvl="2" w:tplc="1409001B" w:tentative="1">
      <w:start w:val="1"/>
      <w:numFmt w:val="lowerRoman"/>
      <w:lvlText w:val="%3."/>
      <w:lvlJc w:val="right"/>
      <w:pPr>
        <w:ind w:left="3501" w:hanging="180"/>
      </w:pPr>
    </w:lvl>
    <w:lvl w:ilvl="3" w:tplc="1409000F" w:tentative="1">
      <w:start w:val="1"/>
      <w:numFmt w:val="decimal"/>
      <w:lvlText w:val="%4."/>
      <w:lvlJc w:val="left"/>
      <w:pPr>
        <w:ind w:left="4221" w:hanging="360"/>
      </w:pPr>
    </w:lvl>
    <w:lvl w:ilvl="4" w:tplc="14090019" w:tentative="1">
      <w:start w:val="1"/>
      <w:numFmt w:val="lowerLetter"/>
      <w:lvlText w:val="%5."/>
      <w:lvlJc w:val="left"/>
      <w:pPr>
        <w:ind w:left="4941" w:hanging="360"/>
      </w:pPr>
    </w:lvl>
    <w:lvl w:ilvl="5" w:tplc="1409001B" w:tentative="1">
      <w:start w:val="1"/>
      <w:numFmt w:val="lowerRoman"/>
      <w:lvlText w:val="%6."/>
      <w:lvlJc w:val="right"/>
      <w:pPr>
        <w:ind w:left="5661" w:hanging="180"/>
      </w:pPr>
    </w:lvl>
    <w:lvl w:ilvl="6" w:tplc="1409000F" w:tentative="1">
      <w:start w:val="1"/>
      <w:numFmt w:val="decimal"/>
      <w:lvlText w:val="%7."/>
      <w:lvlJc w:val="left"/>
      <w:pPr>
        <w:ind w:left="6381" w:hanging="360"/>
      </w:pPr>
    </w:lvl>
    <w:lvl w:ilvl="7" w:tplc="14090019" w:tentative="1">
      <w:start w:val="1"/>
      <w:numFmt w:val="lowerLetter"/>
      <w:lvlText w:val="%8."/>
      <w:lvlJc w:val="left"/>
      <w:pPr>
        <w:ind w:left="7101" w:hanging="360"/>
      </w:pPr>
    </w:lvl>
    <w:lvl w:ilvl="8" w:tplc="1409001B" w:tentative="1">
      <w:start w:val="1"/>
      <w:numFmt w:val="lowerRoman"/>
      <w:lvlText w:val="%9."/>
      <w:lvlJc w:val="right"/>
      <w:pPr>
        <w:ind w:left="7821" w:hanging="180"/>
      </w:pPr>
    </w:lvl>
  </w:abstractNum>
  <w:abstractNum w:abstractNumId="25" w15:restartNumberingAfterBreak="0">
    <w:nsid w:val="2F9B15E0"/>
    <w:multiLevelType w:val="hybridMultilevel"/>
    <w:tmpl w:val="DCD808A4"/>
    <w:lvl w:ilvl="0" w:tplc="A52297FE">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6" w15:restartNumberingAfterBreak="0">
    <w:nsid w:val="2FE23B29"/>
    <w:multiLevelType w:val="hybridMultilevel"/>
    <w:tmpl w:val="6D607864"/>
    <w:lvl w:ilvl="0" w:tplc="093218CA">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21B7E51"/>
    <w:multiLevelType w:val="hybridMultilevel"/>
    <w:tmpl w:val="2050EB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72373E7"/>
    <w:multiLevelType w:val="hybridMultilevel"/>
    <w:tmpl w:val="80B0848A"/>
    <w:lvl w:ilvl="0" w:tplc="88687150">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9" w15:restartNumberingAfterBreak="0">
    <w:nsid w:val="39037806"/>
    <w:multiLevelType w:val="hybridMultilevel"/>
    <w:tmpl w:val="DED04DEE"/>
    <w:lvl w:ilvl="0" w:tplc="1E644F1E">
      <w:start w:val="3"/>
      <w:numFmt w:val="upperLetter"/>
      <w:lvlText w:val="%1."/>
      <w:lvlJc w:val="left"/>
      <w:pPr>
        <w:ind w:left="720" w:hanging="360"/>
      </w:pPr>
      <w:rPr>
        <w:rFonts w:ascii="Arial Bold" w:hAnsi="Arial Bold" w:hint="default"/>
        <w:b/>
        <w:i w:val="0"/>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39CC035B"/>
    <w:multiLevelType w:val="hybridMultilevel"/>
    <w:tmpl w:val="F4226AA8"/>
    <w:lvl w:ilvl="0" w:tplc="63C01516">
      <w:start w:val="7"/>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39CC144A"/>
    <w:multiLevelType w:val="hybridMultilevel"/>
    <w:tmpl w:val="9D80D44E"/>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3C4303A5"/>
    <w:multiLevelType w:val="multilevel"/>
    <w:tmpl w:val="4B4E7622"/>
    <w:styleLink w:val="ZZNumbers"/>
    <w:lvl w:ilvl="0">
      <w:start w:val="1"/>
      <w:numFmt w:val="decimal"/>
      <w:pStyle w:val="DHHSnumberdigit"/>
      <w:lvlText w:val="%1."/>
      <w:lvlJc w:val="left"/>
      <w:pPr>
        <w:tabs>
          <w:tab w:val="num" w:pos="397"/>
        </w:tabs>
        <w:ind w:left="397" w:hanging="397"/>
      </w:pPr>
      <w:rPr>
        <w:rFonts w:hint="default"/>
      </w:rPr>
    </w:lvl>
    <w:lvl w:ilvl="1">
      <w:start w:val="1"/>
      <w:numFmt w:val="decimal"/>
      <w:lvlRestart w:val="0"/>
      <w:pStyle w:val="DHHSnumberdigitindent"/>
      <w:lvlText w:val="%2."/>
      <w:lvlJc w:val="left"/>
      <w:pPr>
        <w:tabs>
          <w:tab w:val="num" w:pos="794"/>
        </w:tabs>
        <w:ind w:left="794" w:hanging="397"/>
      </w:pPr>
      <w:rPr>
        <w:rFonts w:hint="default"/>
      </w:rPr>
    </w:lvl>
    <w:lvl w:ilvl="2">
      <w:start w:val="1"/>
      <w:numFmt w:val="lowerLetter"/>
      <w:lvlRestart w:val="0"/>
      <w:pStyle w:val="DHHSnumberloweralpha"/>
      <w:lvlText w:val="(%3)"/>
      <w:lvlJc w:val="left"/>
      <w:pPr>
        <w:tabs>
          <w:tab w:val="num" w:pos="397"/>
        </w:tabs>
        <w:ind w:left="397" w:hanging="397"/>
      </w:pPr>
      <w:rPr>
        <w:rFonts w:hint="default"/>
      </w:rPr>
    </w:lvl>
    <w:lvl w:ilvl="3">
      <w:start w:val="1"/>
      <w:numFmt w:val="lowerLetter"/>
      <w:lvlRestart w:val="0"/>
      <w:pStyle w:val="DHHSnumberloweralphaindent"/>
      <w:lvlText w:val="(%4)"/>
      <w:lvlJc w:val="left"/>
      <w:pPr>
        <w:tabs>
          <w:tab w:val="num" w:pos="794"/>
        </w:tabs>
        <w:ind w:left="794" w:hanging="397"/>
      </w:pPr>
      <w:rPr>
        <w:rFonts w:hint="default"/>
      </w:rPr>
    </w:lvl>
    <w:lvl w:ilvl="4">
      <w:start w:val="1"/>
      <w:numFmt w:val="lowerRoman"/>
      <w:lvlRestart w:val="0"/>
      <w:pStyle w:val="DHHSnumberlowerroman"/>
      <w:lvlText w:val="(%5)"/>
      <w:lvlJc w:val="left"/>
      <w:pPr>
        <w:tabs>
          <w:tab w:val="num" w:pos="397"/>
        </w:tabs>
        <w:ind w:left="397" w:hanging="397"/>
      </w:pPr>
      <w:rPr>
        <w:rFonts w:hint="default"/>
      </w:rPr>
    </w:lvl>
    <w:lvl w:ilvl="5">
      <w:start w:val="1"/>
      <w:numFmt w:val="lowerRoman"/>
      <w:lvlRestart w:val="0"/>
      <w:pStyle w:val="DHHSnumberlowerromanindent"/>
      <w:lvlText w:val="(%6)"/>
      <w:lvlJc w:val="left"/>
      <w:pPr>
        <w:tabs>
          <w:tab w:val="num" w:pos="794"/>
        </w:tabs>
        <w:ind w:left="794" w:hanging="397"/>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right"/>
      <w:pPr>
        <w:ind w:left="0" w:firstLine="0"/>
      </w:pPr>
      <w:rPr>
        <w:rFonts w:hint="default"/>
      </w:rPr>
    </w:lvl>
  </w:abstractNum>
  <w:abstractNum w:abstractNumId="33" w15:restartNumberingAfterBreak="0">
    <w:nsid w:val="3E6C68D4"/>
    <w:multiLevelType w:val="multilevel"/>
    <w:tmpl w:val="B33A2DBC"/>
    <w:styleLink w:val="ZZNumbersdigit"/>
    <w:lvl w:ilvl="0">
      <w:start w:val="1"/>
      <w:numFmt w:val="decimal"/>
      <w:pStyle w:val="Numberdigit"/>
      <w:lvlText w:val="%1."/>
      <w:lvlJc w:val="left"/>
      <w:pPr>
        <w:tabs>
          <w:tab w:val="num" w:pos="397"/>
        </w:tabs>
        <w:ind w:left="397" w:hanging="397"/>
      </w:pPr>
      <w:rPr>
        <w:rFonts w:hint="default"/>
      </w:rPr>
    </w:lvl>
    <w:lvl w:ilvl="1">
      <w:start w:val="1"/>
      <w:numFmt w:val="decimal"/>
      <w:pStyle w:val="Numberdigitindent"/>
      <w:lvlText w:val="%2."/>
      <w:lvlJc w:val="left"/>
      <w:pPr>
        <w:tabs>
          <w:tab w:val="num" w:pos="794"/>
        </w:tabs>
        <w:ind w:left="794" w:hanging="397"/>
      </w:pPr>
      <w:rPr>
        <w:rFonts w:hint="default"/>
      </w:rPr>
    </w:lvl>
    <w:lvl w:ilvl="2">
      <w:start w:val="1"/>
      <w:numFmt w:val="bullet"/>
      <w:lvlRestart w:val="0"/>
      <w:pStyle w:val="Bulletafternumbers1"/>
      <w:lvlText w:val="•"/>
      <w:lvlJc w:val="left"/>
      <w:pPr>
        <w:ind w:left="794" w:hanging="397"/>
      </w:pPr>
      <w:rPr>
        <w:rFonts w:ascii="Arial Bold" w:hAnsi="Arial Bold" w:hint="default"/>
        <w:color w:val="auto"/>
      </w:rPr>
    </w:lvl>
    <w:lvl w:ilvl="3">
      <w:start w:val="1"/>
      <w:numFmt w:val="bullet"/>
      <w:lvlRestart w:val="0"/>
      <w:pStyle w:val="Bulletafternumbers2"/>
      <w:lvlText w:val="–"/>
      <w:lvlJc w:val="left"/>
      <w:pPr>
        <w:ind w:left="1191" w:hanging="397"/>
      </w:pPr>
      <w:rPr>
        <w:rFonts w:ascii="Arial Bold" w:hAnsi="Arial Bold"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tabs>
          <w:tab w:val="num" w:pos="0"/>
        </w:tabs>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right"/>
      <w:pPr>
        <w:ind w:left="0" w:firstLine="0"/>
      </w:pPr>
      <w:rPr>
        <w:rFonts w:hint="default"/>
      </w:rPr>
    </w:lvl>
  </w:abstractNum>
  <w:abstractNum w:abstractNumId="34" w15:restartNumberingAfterBreak="0">
    <w:nsid w:val="442A380E"/>
    <w:multiLevelType w:val="multilevel"/>
    <w:tmpl w:val="49BE5DFC"/>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35" w15:restartNumberingAfterBreak="0">
    <w:nsid w:val="45C2583B"/>
    <w:multiLevelType w:val="hybridMultilevel"/>
    <w:tmpl w:val="7FBE3BBC"/>
    <w:lvl w:ilvl="0" w:tplc="88687150">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6" w15:restartNumberingAfterBreak="0">
    <w:nsid w:val="473B7359"/>
    <w:multiLevelType w:val="hybridMultilevel"/>
    <w:tmpl w:val="FBBAC9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7956D42"/>
    <w:multiLevelType w:val="hybridMultilevel"/>
    <w:tmpl w:val="CFDCEB16"/>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8" w15:restartNumberingAfterBreak="0">
    <w:nsid w:val="48010536"/>
    <w:multiLevelType w:val="hybridMultilevel"/>
    <w:tmpl w:val="1396AD0A"/>
    <w:lvl w:ilvl="0" w:tplc="8DB28632">
      <w:start w:val="7"/>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48D718FF"/>
    <w:multiLevelType w:val="hybridMultilevel"/>
    <w:tmpl w:val="2F02B1AC"/>
    <w:lvl w:ilvl="0" w:tplc="88687150">
      <w:start w:val="5"/>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0" w15:restartNumberingAfterBreak="0">
    <w:nsid w:val="4B5E07EE"/>
    <w:multiLevelType w:val="hybridMultilevel"/>
    <w:tmpl w:val="E0CECBBC"/>
    <w:lvl w:ilvl="0" w:tplc="F550B392">
      <w:start w:val="7"/>
      <w:numFmt w:val="upperLetter"/>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4CC96D75"/>
    <w:multiLevelType w:val="hybridMultilevel"/>
    <w:tmpl w:val="CC567EBA"/>
    <w:lvl w:ilvl="0" w:tplc="7BDC3DFE">
      <w:start w:val="5"/>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2" w15:restartNumberingAfterBreak="0">
    <w:nsid w:val="4E363794"/>
    <w:multiLevelType w:val="hybridMultilevel"/>
    <w:tmpl w:val="94BC8A6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4F257A71"/>
    <w:multiLevelType w:val="hybridMultilevel"/>
    <w:tmpl w:val="C2F856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FBD4D27"/>
    <w:multiLevelType w:val="hybridMultilevel"/>
    <w:tmpl w:val="87EE268A"/>
    <w:lvl w:ilvl="0" w:tplc="24AC4F04">
      <w:start w:val="6"/>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53B16F54"/>
    <w:multiLevelType w:val="hybridMultilevel"/>
    <w:tmpl w:val="61B6FEAC"/>
    <w:lvl w:ilvl="0" w:tplc="C16A88DA">
      <w:start w:val="4"/>
      <w:numFmt w:val="upperLetter"/>
      <w:lvlText w:val="%1."/>
      <w:lvlJc w:val="left"/>
      <w:pPr>
        <w:ind w:left="4754" w:hanging="360"/>
      </w:pPr>
      <w:rPr>
        <w:rFonts w:hint="default"/>
      </w:rPr>
    </w:lvl>
    <w:lvl w:ilvl="1" w:tplc="0C090019" w:tentative="1">
      <w:start w:val="1"/>
      <w:numFmt w:val="lowerLetter"/>
      <w:lvlText w:val="%2."/>
      <w:lvlJc w:val="left"/>
      <w:pPr>
        <w:ind w:left="3779" w:hanging="360"/>
      </w:pPr>
    </w:lvl>
    <w:lvl w:ilvl="2" w:tplc="0C09001B" w:tentative="1">
      <w:start w:val="1"/>
      <w:numFmt w:val="lowerRoman"/>
      <w:lvlText w:val="%3."/>
      <w:lvlJc w:val="right"/>
      <w:pPr>
        <w:ind w:left="4499" w:hanging="180"/>
      </w:pPr>
    </w:lvl>
    <w:lvl w:ilvl="3" w:tplc="0C09000F" w:tentative="1">
      <w:start w:val="1"/>
      <w:numFmt w:val="decimal"/>
      <w:lvlText w:val="%4."/>
      <w:lvlJc w:val="left"/>
      <w:pPr>
        <w:ind w:left="5219" w:hanging="360"/>
      </w:pPr>
    </w:lvl>
    <w:lvl w:ilvl="4" w:tplc="0C090019" w:tentative="1">
      <w:start w:val="1"/>
      <w:numFmt w:val="lowerLetter"/>
      <w:lvlText w:val="%5."/>
      <w:lvlJc w:val="left"/>
      <w:pPr>
        <w:ind w:left="5939" w:hanging="360"/>
      </w:pPr>
    </w:lvl>
    <w:lvl w:ilvl="5" w:tplc="0C09001B" w:tentative="1">
      <w:start w:val="1"/>
      <w:numFmt w:val="lowerRoman"/>
      <w:lvlText w:val="%6."/>
      <w:lvlJc w:val="right"/>
      <w:pPr>
        <w:ind w:left="6659" w:hanging="180"/>
      </w:pPr>
    </w:lvl>
    <w:lvl w:ilvl="6" w:tplc="0C09000F" w:tentative="1">
      <w:start w:val="1"/>
      <w:numFmt w:val="decimal"/>
      <w:lvlText w:val="%7."/>
      <w:lvlJc w:val="left"/>
      <w:pPr>
        <w:ind w:left="7379" w:hanging="360"/>
      </w:pPr>
    </w:lvl>
    <w:lvl w:ilvl="7" w:tplc="0C090019" w:tentative="1">
      <w:start w:val="1"/>
      <w:numFmt w:val="lowerLetter"/>
      <w:lvlText w:val="%8."/>
      <w:lvlJc w:val="left"/>
      <w:pPr>
        <w:ind w:left="8099" w:hanging="360"/>
      </w:pPr>
    </w:lvl>
    <w:lvl w:ilvl="8" w:tplc="0C09001B" w:tentative="1">
      <w:start w:val="1"/>
      <w:numFmt w:val="lowerRoman"/>
      <w:lvlText w:val="%9."/>
      <w:lvlJc w:val="right"/>
      <w:pPr>
        <w:ind w:left="8819" w:hanging="180"/>
      </w:pPr>
    </w:lvl>
  </w:abstractNum>
  <w:abstractNum w:abstractNumId="46" w15:restartNumberingAfterBreak="0">
    <w:nsid w:val="54BA1E5A"/>
    <w:multiLevelType w:val="multilevel"/>
    <w:tmpl w:val="82C2F15C"/>
    <w:styleLink w:val="ZZBullets"/>
    <w:lvl w:ilvl="0">
      <w:start w:val="1"/>
      <w:numFmt w:val="bullet"/>
      <w:pStyle w:val="Bullet1"/>
      <w:lvlText w:val="•"/>
      <w:lvlJc w:val="left"/>
      <w:pPr>
        <w:ind w:left="284" w:hanging="284"/>
      </w:pPr>
      <w:rPr>
        <w:rFonts w:ascii="Calibri" w:hAnsi="Calibri" w:hint="default"/>
      </w:rPr>
    </w:lvl>
    <w:lvl w:ilvl="1">
      <w:start w:val="1"/>
      <w:numFmt w:val="bullet"/>
      <w:lvlRestart w:val="0"/>
      <w:pStyle w:val="DHHSbullet1lastline"/>
      <w:lvlText w:val="•"/>
      <w:lvlJc w:val="left"/>
      <w:pPr>
        <w:ind w:left="284" w:hanging="284"/>
      </w:pPr>
      <w:rPr>
        <w:rFonts w:ascii="Calibri" w:hAnsi="Calibri" w:hint="default"/>
      </w:rPr>
    </w:lvl>
    <w:lvl w:ilvl="2">
      <w:start w:val="1"/>
      <w:numFmt w:val="bullet"/>
      <w:lvlRestart w:val="0"/>
      <w:pStyle w:val="Bullet2"/>
      <w:lvlText w:val="–"/>
      <w:lvlJc w:val="left"/>
      <w:pPr>
        <w:ind w:left="567" w:hanging="283"/>
      </w:pPr>
      <w:rPr>
        <w:rFonts w:ascii="Arial" w:hAnsi="Arial" w:hint="default"/>
      </w:rPr>
    </w:lvl>
    <w:lvl w:ilvl="3">
      <w:start w:val="1"/>
      <w:numFmt w:val="bullet"/>
      <w:lvlRestart w:val="0"/>
      <w:pStyle w:val="DHHSbullet2lastline"/>
      <w:lvlText w:val="–"/>
      <w:lvlJc w:val="left"/>
      <w:pPr>
        <w:ind w:left="567" w:hanging="283"/>
      </w:pPr>
      <w:rPr>
        <w:rFonts w:ascii="Arial" w:hAnsi="Arial" w:hint="default"/>
      </w:rPr>
    </w:lvl>
    <w:lvl w:ilvl="4">
      <w:start w:val="1"/>
      <w:numFmt w:val="bullet"/>
      <w:lvlRestart w:val="0"/>
      <w:pStyle w:val="DHHSbulletindent"/>
      <w:lvlText w:val="•"/>
      <w:lvlJc w:val="left"/>
      <w:pPr>
        <w:ind w:left="680" w:hanging="283"/>
      </w:pPr>
      <w:rPr>
        <w:rFonts w:ascii="Calibri" w:hAnsi="Calibri" w:hint="default"/>
      </w:rPr>
    </w:lvl>
    <w:lvl w:ilvl="5">
      <w:start w:val="1"/>
      <w:numFmt w:val="bullet"/>
      <w:lvlRestart w:val="0"/>
      <w:pStyle w:val="DHHSbulletindentlastline"/>
      <w:lvlText w:val="•"/>
      <w:lvlJc w:val="left"/>
      <w:pPr>
        <w:ind w:left="680" w:hanging="283"/>
      </w:pPr>
      <w:rPr>
        <w:rFonts w:ascii="Calibri" w:hAnsi="Calibri" w:hint="default"/>
      </w:rPr>
    </w:lvl>
    <w:lvl w:ilvl="6">
      <w:start w:val="1"/>
      <w:numFmt w:val="bullet"/>
      <w:lvlRestart w:val="0"/>
      <w:pStyle w:val="Tablebullet"/>
      <w:lvlText w:val="•"/>
      <w:lvlJc w:val="left"/>
      <w:pPr>
        <w:ind w:left="227" w:hanging="227"/>
      </w:pPr>
      <w:rPr>
        <w:rFonts w:ascii="Calibri" w:hAnsi="Calibri"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47" w15:restartNumberingAfterBreak="0">
    <w:nsid w:val="54DF3D49"/>
    <w:multiLevelType w:val="hybridMultilevel"/>
    <w:tmpl w:val="95D472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5581764A"/>
    <w:multiLevelType w:val="hybridMultilevel"/>
    <w:tmpl w:val="2D883914"/>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56151943"/>
    <w:multiLevelType w:val="hybridMultilevel"/>
    <w:tmpl w:val="9384DB30"/>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0" w15:restartNumberingAfterBreak="0">
    <w:nsid w:val="568A390F"/>
    <w:multiLevelType w:val="hybridMultilevel"/>
    <w:tmpl w:val="93AEFFD2"/>
    <w:lvl w:ilvl="0" w:tplc="9EE2AD3C">
      <w:start w:val="2"/>
      <w:numFmt w:val="upperLetter"/>
      <w:lvlText w:val="%1."/>
      <w:lvlJc w:val="left"/>
      <w:pPr>
        <w:ind w:left="5322" w:hanging="360"/>
      </w:pPr>
      <w:rPr>
        <w:rFonts w:ascii="Arial Bold" w:hAnsi="Arial Bold" w:hint="default"/>
        <w:b/>
        <w:i w:val="0"/>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57005D9B"/>
    <w:multiLevelType w:val="hybridMultilevel"/>
    <w:tmpl w:val="074063AC"/>
    <w:lvl w:ilvl="0" w:tplc="51663814">
      <w:start w:val="4"/>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5B313F05"/>
    <w:multiLevelType w:val="hybridMultilevel"/>
    <w:tmpl w:val="2034AF2E"/>
    <w:lvl w:ilvl="0" w:tplc="DF24FA24">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5B773F74"/>
    <w:multiLevelType w:val="hybridMultilevel"/>
    <w:tmpl w:val="7C9627BA"/>
    <w:lvl w:ilvl="0" w:tplc="515A6F7C">
      <w:start w:val="1"/>
      <w:numFmt w:val="upperLetter"/>
      <w:lvlText w:val="%1."/>
      <w:lvlJc w:val="left"/>
      <w:pPr>
        <w:ind w:left="2487" w:hanging="360"/>
      </w:pPr>
      <w:rPr>
        <w:rFonts w:ascii="Arial Bold" w:hAnsi="Arial Bold" w:hint="default"/>
        <w:b/>
      </w:rPr>
    </w:lvl>
    <w:lvl w:ilvl="1" w:tplc="0C090019" w:tentative="1">
      <w:start w:val="1"/>
      <w:numFmt w:val="lowerLetter"/>
      <w:lvlText w:val="%2."/>
      <w:lvlJc w:val="left"/>
      <w:pPr>
        <w:ind w:left="2999" w:hanging="360"/>
      </w:pPr>
    </w:lvl>
    <w:lvl w:ilvl="2" w:tplc="0C09001B" w:tentative="1">
      <w:start w:val="1"/>
      <w:numFmt w:val="lowerRoman"/>
      <w:lvlText w:val="%3."/>
      <w:lvlJc w:val="right"/>
      <w:pPr>
        <w:ind w:left="3719" w:hanging="180"/>
      </w:pPr>
    </w:lvl>
    <w:lvl w:ilvl="3" w:tplc="0C09000F" w:tentative="1">
      <w:start w:val="1"/>
      <w:numFmt w:val="decimal"/>
      <w:lvlText w:val="%4."/>
      <w:lvlJc w:val="left"/>
      <w:pPr>
        <w:ind w:left="4439" w:hanging="360"/>
      </w:pPr>
    </w:lvl>
    <w:lvl w:ilvl="4" w:tplc="0C090019" w:tentative="1">
      <w:start w:val="1"/>
      <w:numFmt w:val="lowerLetter"/>
      <w:lvlText w:val="%5."/>
      <w:lvlJc w:val="left"/>
      <w:pPr>
        <w:ind w:left="5159" w:hanging="360"/>
      </w:pPr>
    </w:lvl>
    <w:lvl w:ilvl="5" w:tplc="0C09001B" w:tentative="1">
      <w:start w:val="1"/>
      <w:numFmt w:val="lowerRoman"/>
      <w:lvlText w:val="%6."/>
      <w:lvlJc w:val="right"/>
      <w:pPr>
        <w:ind w:left="5879" w:hanging="180"/>
      </w:pPr>
    </w:lvl>
    <w:lvl w:ilvl="6" w:tplc="0C09000F" w:tentative="1">
      <w:start w:val="1"/>
      <w:numFmt w:val="decimal"/>
      <w:lvlText w:val="%7."/>
      <w:lvlJc w:val="left"/>
      <w:pPr>
        <w:ind w:left="6599" w:hanging="360"/>
      </w:pPr>
    </w:lvl>
    <w:lvl w:ilvl="7" w:tplc="0C090019" w:tentative="1">
      <w:start w:val="1"/>
      <w:numFmt w:val="lowerLetter"/>
      <w:lvlText w:val="%8."/>
      <w:lvlJc w:val="left"/>
      <w:pPr>
        <w:ind w:left="7319" w:hanging="360"/>
      </w:pPr>
    </w:lvl>
    <w:lvl w:ilvl="8" w:tplc="0C09001B" w:tentative="1">
      <w:start w:val="1"/>
      <w:numFmt w:val="lowerRoman"/>
      <w:lvlText w:val="%9."/>
      <w:lvlJc w:val="right"/>
      <w:pPr>
        <w:ind w:left="8039" w:hanging="180"/>
      </w:pPr>
    </w:lvl>
  </w:abstractNum>
  <w:abstractNum w:abstractNumId="54" w15:restartNumberingAfterBreak="0">
    <w:nsid w:val="5B9D514D"/>
    <w:multiLevelType w:val="hybridMultilevel"/>
    <w:tmpl w:val="DF6A70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60283589"/>
    <w:multiLevelType w:val="hybridMultilevel"/>
    <w:tmpl w:val="1B48DB28"/>
    <w:lvl w:ilvl="0" w:tplc="AF863334">
      <w:start w:val="3"/>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604C0F5C"/>
    <w:multiLevelType w:val="hybridMultilevel"/>
    <w:tmpl w:val="D870E5B2"/>
    <w:lvl w:ilvl="0" w:tplc="207462B8">
      <w:start w:val="3"/>
      <w:numFmt w:val="upperLetter"/>
      <w:lvlText w:val="%1."/>
      <w:lvlJc w:val="left"/>
      <w:pPr>
        <w:ind w:left="270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66F6337C"/>
    <w:multiLevelType w:val="hybridMultilevel"/>
    <w:tmpl w:val="3702A5AA"/>
    <w:lvl w:ilvl="0" w:tplc="A52297FE">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8" w15:restartNumberingAfterBreak="0">
    <w:nsid w:val="6E2A0394"/>
    <w:multiLevelType w:val="hybridMultilevel"/>
    <w:tmpl w:val="1DE8D146"/>
    <w:lvl w:ilvl="0" w:tplc="14090015">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9" w15:restartNumberingAfterBreak="0">
    <w:nsid w:val="6E770EB9"/>
    <w:multiLevelType w:val="hybridMultilevel"/>
    <w:tmpl w:val="B690616E"/>
    <w:lvl w:ilvl="0" w:tplc="5DB08E48">
      <w:start w:val="2"/>
      <w:numFmt w:val="upperLetter"/>
      <w:lvlText w:val="%1."/>
      <w:lvlJc w:val="left"/>
      <w:pPr>
        <w:ind w:left="1494" w:hanging="360"/>
      </w:pPr>
      <w:rPr>
        <w:rFonts w:hint="default"/>
      </w:rPr>
    </w:lvl>
    <w:lvl w:ilvl="1" w:tplc="14090019" w:tentative="1">
      <w:start w:val="1"/>
      <w:numFmt w:val="lowerLetter"/>
      <w:lvlText w:val="%2."/>
      <w:lvlJc w:val="left"/>
      <w:pPr>
        <w:ind w:left="2214" w:hanging="360"/>
      </w:pPr>
    </w:lvl>
    <w:lvl w:ilvl="2" w:tplc="1409001B" w:tentative="1">
      <w:start w:val="1"/>
      <w:numFmt w:val="lowerRoman"/>
      <w:lvlText w:val="%3."/>
      <w:lvlJc w:val="right"/>
      <w:pPr>
        <w:ind w:left="2934" w:hanging="180"/>
      </w:pPr>
    </w:lvl>
    <w:lvl w:ilvl="3" w:tplc="1409000F" w:tentative="1">
      <w:start w:val="1"/>
      <w:numFmt w:val="decimal"/>
      <w:lvlText w:val="%4."/>
      <w:lvlJc w:val="left"/>
      <w:pPr>
        <w:ind w:left="3654" w:hanging="360"/>
      </w:pPr>
    </w:lvl>
    <w:lvl w:ilvl="4" w:tplc="14090019" w:tentative="1">
      <w:start w:val="1"/>
      <w:numFmt w:val="lowerLetter"/>
      <w:lvlText w:val="%5."/>
      <w:lvlJc w:val="left"/>
      <w:pPr>
        <w:ind w:left="4374" w:hanging="360"/>
      </w:pPr>
    </w:lvl>
    <w:lvl w:ilvl="5" w:tplc="1409001B" w:tentative="1">
      <w:start w:val="1"/>
      <w:numFmt w:val="lowerRoman"/>
      <w:lvlText w:val="%6."/>
      <w:lvlJc w:val="right"/>
      <w:pPr>
        <w:ind w:left="5094" w:hanging="180"/>
      </w:pPr>
    </w:lvl>
    <w:lvl w:ilvl="6" w:tplc="1409000F" w:tentative="1">
      <w:start w:val="1"/>
      <w:numFmt w:val="decimal"/>
      <w:lvlText w:val="%7."/>
      <w:lvlJc w:val="left"/>
      <w:pPr>
        <w:ind w:left="5814" w:hanging="360"/>
      </w:pPr>
    </w:lvl>
    <w:lvl w:ilvl="7" w:tplc="14090019" w:tentative="1">
      <w:start w:val="1"/>
      <w:numFmt w:val="lowerLetter"/>
      <w:lvlText w:val="%8."/>
      <w:lvlJc w:val="left"/>
      <w:pPr>
        <w:ind w:left="6534" w:hanging="360"/>
      </w:pPr>
    </w:lvl>
    <w:lvl w:ilvl="8" w:tplc="1409001B" w:tentative="1">
      <w:start w:val="1"/>
      <w:numFmt w:val="lowerRoman"/>
      <w:lvlText w:val="%9."/>
      <w:lvlJc w:val="right"/>
      <w:pPr>
        <w:ind w:left="7254" w:hanging="180"/>
      </w:pPr>
    </w:lvl>
  </w:abstractNum>
  <w:abstractNum w:abstractNumId="60" w15:restartNumberingAfterBreak="0">
    <w:nsid w:val="6FC536AF"/>
    <w:multiLevelType w:val="hybridMultilevel"/>
    <w:tmpl w:val="AA7609D8"/>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72B611D8"/>
    <w:multiLevelType w:val="hybridMultilevel"/>
    <w:tmpl w:val="8ED8596C"/>
    <w:lvl w:ilvl="0" w:tplc="FB64F7D0">
      <w:start w:val="3"/>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7435794A"/>
    <w:multiLevelType w:val="hybridMultilevel"/>
    <w:tmpl w:val="48DEDD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745110AD"/>
    <w:multiLevelType w:val="hybridMultilevel"/>
    <w:tmpl w:val="BA328BD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4" w15:restartNumberingAfterBreak="0">
    <w:nsid w:val="77012800"/>
    <w:multiLevelType w:val="multilevel"/>
    <w:tmpl w:val="25B293C4"/>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79904DBB"/>
    <w:multiLevelType w:val="hybridMultilevel"/>
    <w:tmpl w:val="30C43FE0"/>
    <w:lvl w:ilvl="0" w:tplc="E9F2A70A">
      <w:start w:val="1"/>
      <w:numFmt w:val="upperLetter"/>
      <w:lvlText w:val="%1."/>
      <w:lvlJc w:val="left"/>
      <w:pPr>
        <w:ind w:left="720" w:hanging="360"/>
      </w:pPr>
      <w:rPr>
        <w:rFonts w:ascii="Arial Bold" w:hAnsi="Arial Bold"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79E51CDC"/>
    <w:multiLevelType w:val="hybridMultilevel"/>
    <w:tmpl w:val="22D804DC"/>
    <w:lvl w:ilvl="0" w:tplc="B7ACE0CE">
      <w:start w:val="2"/>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7A3D3AFC"/>
    <w:multiLevelType w:val="hybridMultilevel"/>
    <w:tmpl w:val="7F740EE6"/>
    <w:lvl w:ilvl="0" w:tplc="4B300028">
      <w:start w:val="1"/>
      <w:numFmt w:val="bullet"/>
      <w:lvlText w:val="•"/>
      <w:lvlJc w:val="left"/>
      <w:pPr>
        <w:ind w:left="284" w:hanging="284"/>
      </w:pPr>
      <w:rPr>
        <w:rFonts w:ascii="Times New Roman" w:hAnsi="Times New Roman" w:hint="default"/>
        <w:b w:val="0"/>
        <w:i w:val="0"/>
        <w:color w:val="auto"/>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pStyle w:val="DHHStablebulletinden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ABF40C9"/>
    <w:multiLevelType w:val="hybridMultilevel"/>
    <w:tmpl w:val="4CCEE526"/>
    <w:lvl w:ilvl="0" w:tplc="D64CAD04">
      <w:start w:val="5"/>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9" w15:restartNumberingAfterBreak="0">
    <w:nsid w:val="7D310E40"/>
    <w:multiLevelType w:val="hybridMultilevel"/>
    <w:tmpl w:val="D9C26E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7DA462D9"/>
    <w:multiLevelType w:val="hybridMultilevel"/>
    <w:tmpl w:val="5868DEB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7DD9359E"/>
    <w:multiLevelType w:val="hybridMultilevel"/>
    <w:tmpl w:val="7F52122A"/>
    <w:lvl w:ilvl="0" w:tplc="76087196">
      <w:start w:val="3"/>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7E0265F8"/>
    <w:multiLevelType w:val="hybridMultilevel"/>
    <w:tmpl w:val="3926BEC6"/>
    <w:lvl w:ilvl="0" w:tplc="7F84480A">
      <w:start w:val="3"/>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16cid:durableId="774524325">
    <w:abstractNumId w:val="46"/>
  </w:num>
  <w:num w:numId="2" w16cid:durableId="146942100">
    <w:abstractNumId w:val="32"/>
  </w:num>
  <w:num w:numId="3" w16cid:durableId="238096409">
    <w:abstractNumId w:val="19"/>
  </w:num>
  <w:num w:numId="4" w16cid:durableId="749889756">
    <w:abstractNumId w:val="29"/>
  </w:num>
  <w:num w:numId="5" w16cid:durableId="2145928672">
    <w:abstractNumId w:val="6"/>
  </w:num>
  <w:num w:numId="6" w16cid:durableId="1240479264">
    <w:abstractNumId w:val="26"/>
  </w:num>
  <w:num w:numId="7" w16cid:durableId="876619822">
    <w:abstractNumId w:val="18"/>
  </w:num>
  <w:num w:numId="8" w16cid:durableId="955865382">
    <w:abstractNumId w:val="65"/>
  </w:num>
  <w:num w:numId="9" w16cid:durableId="1451314558">
    <w:abstractNumId w:val="50"/>
  </w:num>
  <w:num w:numId="10" w16cid:durableId="1773238208">
    <w:abstractNumId w:val="22"/>
  </w:num>
  <w:num w:numId="11" w16cid:durableId="686178425">
    <w:abstractNumId w:val="40"/>
  </w:num>
  <w:num w:numId="12" w16cid:durableId="1083798964">
    <w:abstractNumId w:val="58"/>
  </w:num>
  <w:num w:numId="13" w16cid:durableId="356009128">
    <w:abstractNumId w:val="24"/>
  </w:num>
  <w:num w:numId="14" w16cid:durableId="1058630689">
    <w:abstractNumId w:val="25"/>
  </w:num>
  <w:num w:numId="15" w16cid:durableId="151340594">
    <w:abstractNumId w:val="57"/>
  </w:num>
  <w:num w:numId="16" w16cid:durableId="1948809850">
    <w:abstractNumId w:val="39"/>
  </w:num>
  <w:num w:numId="17" w16cid:durableId="1558321311">
    <w:abstractNumId w:val="28"/>
  </w:num>
  <w:num w:numId="18" w16cid:durableId="586109555">
    <w:abstractNumId w:val="35"/>
  </w:num>
  <w:num w:numId="19" w16cid:durableId="1839734144">
    <w:abstractNumId w:val="59"/>
  </w:num>
  <w:num w:numId="20" w16cid:durableId="1825002334">
    <w:abstractNumId w:val="41"/>
  </w:num>
  <w:num w:numId="21" w16cid:durableId="1602369503">
    <w:abstractNumId w:val="11"/>
  </w:num>
  <w:num w:numId="22" w16cid:durableId="1658415940">
    <w:abstractNumId w:val="16"/>
  </w:num>
  <w:num w:numId="23" w16cid:durableId="867911661">
    <w:abstractNumId w:val="72"/>
  </w:num>
  <w:num w:numId="24" w16cid:durableId="1369914051">
    <w:abstractNumId w:val="23"/>
  </w:num>
  <w:num w:numId="25" w16cid:durableId="1030374943">
    <w:abstractNumId w:val="68"/>
  </w:num>
  <w:num w:numId="26" w16cid:durableId="1690109016">
    <w:abstractNumId w:val="67"/>
  </w:num>
  <w:num w:numId="27" w16cid:durableId="1277174990">
    <w:abstractNumId w:val="20"/>
  </w:num>
  <w:num w:numId="28" w16cid:durableId="1087265613">
    <w:abstractNumId w:val="60"/>
  </w:num>
  <w:num w:numId="29" w16cid:durableId="1767572294">
    <w:abstractNumId w:val="13"/>
  </w:num>
  <w:num w:numId="30" w16cid:durableId="1425690520">
    <w:abstractNumId w:val="48"/>
  </w:num>
  <w:num w:numId="31" w16cid:durableId="1012755090">
    <w:abstractNumId w:val="45"/>
  </w:num>
  <w:num w:numId="32" w16cid:durableId="2071152738">
    <w:abstractNumId w:val="38"/>
  </w:num>
  <w:num w:numId="33" w16cid:durableId="1709060328">
    <w:abstractNumId w:val="12"/>
  </w:num>
  <w:num w:numId="34" w16cid:durableId="889193319">
    <w:abstractNumId w:val="30"/>
  </w:num>
  <w:num w:numId="35" w16cid:durableId="1533767500">
    <w:abstractNumId w:val="4"/>
  </w:num>
  <w:num w:numId="36" w16cid:durableId="1566717517">
    <w:abstractNumId w:val="56"/>
  </w:num>
  <w:num w:numId="37" w16cid:durableId="1611625057">
    <w:abstractNumId w:val="7"/>
  </w:num>
  <w:num w:numId="38" w16cid:durableId="1730570937">
    <w:abstractNumId w:val="31"/>
  </w:num>
  <w:num w:numId="39" w16cid:durableId="2108259639">
    <w:abstractNumId w:val="53"/>
  </w:num>
  <w:num w:numId="40" w16cid:durableId="964045558">
    <w:abstractNumId w:val="71"/>
  </w:num>
  <w:num w:numId="41" w16cid:durableId="970476736">
    <w:abstractNumId w:val="61"/>
  </w:num>
  <w:num w:numId="42" w16cid:durableId="420639005">
    <w:abstractNumId w:val="52"/>
  </w:num>
  <w:num w:numId="43" w16cid:durableId="1322201097">
    <w:abstractNumId w:val="55"/>
  </w:num>
  <w:num w:numId="44" w16cid:durableId="1585263257">
    <w:abstractNumId w:val="66"/>
  </w:num>
  <w:num w:numId="45" w16cid:durableId="1264460092">
    <w:abstractNumId w:val="51"/>
  </w:num>
  <w:num w:numId="46" w16cid:durableId="608584616">
    <w:abstractNumId w:val="5"/>
  </w:num>
  <w:num w:numId="47" w16cid:durableId="1089234562">
    <w:abstractNumId w:val="44"/>
  </w:num>
  <w:num w:numId="48" w16cid:durableId="2438304">
    <w:abstractNumId w:val="2"/>
  </w:num>
  <w:num w:numId="49" w16cid:durableId="721563427">
    <w:abstractNumId w:val="54"/>
  </w:num>
  <w:num w:numId="50" w16cid:durableId="233008087">
    <w:abstractNumId w:val="62"/>
  </w:num>
  <w:num w:numId="51" w16cid:durableId="1911958350">
    <w:abstractNumId w:val="70"/>
  </w:num>
  <w:num w:numId="52" w16cid:durableId="2114934837">
    <w:abstractNumId w:val="42"/>
  </w:num>
  <w:num w:numId="53" w16cid:durableId="529562770">
    <w:abstractNumId w:val="3"/>
  </w:num>
  <w:num w:numId="54" w16cid:durableId="69816850">
    <w:abstractNumId w:val="49"/>
  </w:num>
  <w:num w:numId="55" w16cid:durableId="373626331">
    <w:abstractNumId w:val="1"/>
  </w:num>
  <w:num w:numId="56" w16cid:durableId="1700668499">
    <w:abstractNumId w:val="15"/>
  </w:num>
  <w:num w:numId="57" w16cid:durableId="1168211231">
    <w:abstractNumId w:val="43"/>
  </w:num>
  <w:num w:numId="58" w16cid:durableId="1401366791">
    <w:abstractNumId w:val="21"/>
  </w:num>
  <w:num w:numId="59" w16cid:durableId="491146261">
    <w:abstractNumId w:val="27"/>
  </w:num>
  <w:num w:numId="60" w16cid:durableId="575553604">
    <w:abstractNumId w:val="32"/>
    <w:lvlOverride w:ilvl="0">
      <w:startOverride w:val="4"/>
    </w:lvlOverride>
  </w:num>
  <w:num w:numId="61" w16cid:durableId="486282556">
    <w:abstractNumId w:val="32"/>
    <w:lvlOverride w:ilvl="0">
      <w:startOverride w:val="15"/>
    </w:lvlOverride>
  </w:num>
  <w:num w:numId="62" w16cid:durableId="899512260">
    <w:abstractNumId w:val="33"/>
  </w:num>
  <w:num w:numId="63" w16cid:durableId="77575287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447235044">
    <w:abstractNumId w:val="17"/>
  </w:num>
  <w:num w:numId="65" w16cid:durableId="737560656">
    <w:abstractNumId w:val="64"/>
  </w:num>
  <w:num w:numId="66" w16cid:durableId="1337265165">
    <w:abstractNumId w:val="8"/>
  </w:num>
  <w:num w:numId="67" w16cid:durableId="1279797413">
    <w:abstractNumId w:val="34"/>
  </w:num>
  <w:num w:numId="68" w16cid:durableId="16563498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862203992">
    <w:abstractNumId w:val="9"/>
  </w:num>
  <w:num w:numId="70" w16cid:durableId="1026104690">
    <w:abstractNumId w:val="14"/>
  </w:num>
  <w:num w:numId="71" w16cid:durableId="649599444">
    <w:abstractNumId w:val="63"/>
  </w:num>
  <w:num w:numId="72" w16cid:durableId="1173300266">
    <w:abstractNumId w:val="0"/>
  </w:num>
  <w:num w:numId="73" w16cid:durableId="108428087">
    <w:abstractNumId w:val="36"/>
  </w:num>
  <w:num w:numId="74" w16cid:durableId="1364288814">
    <w:abstractNumId w:val="47"/>
  </w:num>
  <w:num w:numId="75" w16cid:durableId="106897659">
    <w:abstractNumId w:val="69"/>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050" strokecolor="red">
      <v:stroke dashstyle="1 1" color="red" weight="1.25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7CA2"/>
    <w:rsid w:val="00000145"/>
    <w:rsid w:val="00000417"/>
    <w:rsid w:val="00000AFE"/>
    <w:rsid w:val="000010B0"/>
    <w:rsid w:val="000011CD"/>
    <w:rsid w:val="00001803"/>
    <w:rsid w:val="00001DB4"/>
    <w:rsid w:val="000020B4"/>
    <w:rsid w:val="000023CE"/>
    <w:rsid w:val="00002990"/>
    <w:rsid w:val="00002B0A"/>
    <w:rsid w:val="00002B61"/>
    <w:rsid w:val="00002DE3"/>
    <w:rsid w:val="00002F8A"/>
    <w:rsid w:val="0000370B"/>
    <w:rsid w:val="00003C13"/>
    <w:rsid w:val="00003CC1"/>
    <w:rsid w:val="00003D2E"/>
    <w:rsid w:val="00003EEA"/>
    <w:rsid w:val="00003F72"/>
    <w:rsid w:val="00004101"/>
    <w:rsid w:val="000043F1"/>
    <w:rsid w:val="000044C4"/>
    <w:rsid w:val="000045E0"/>
    <w:rsid w:val="000048AC"/>
    <w:rsid w:val="00005270"/>
    <w:rsid w:val="0000529A"/>
    <w:rsid w:val="00005B40"/>
    <w:rsid w:val="00005DF2"/>
    <w:rsid w:val="00006337"/>
    <w:rsid w:val="00006389"/>
    <w:rsid w:val="0000642A"/>
    <w:rsid w:val="0000647E"/>
    <w:rsid w:val="000064C8"/>
    <w:rsid w:val="0000669D"/>
    <w:rsid w:val="00006D02"/>
    <w:rsid w:val="00006F11"/>
    <w:rsid w:val="00007151"/>
    <w:rsid w:val="000071C1"/>
    <w:rsid w:val="00007297"/>
    <w:rsid w:val="000075DA"/>
    <w:rsid w:val="0000761E"/>
    <w:rsid w:val="00007714"/>
    <w:rsid w:val="000077F5"/>
    <w:rsid w:val="00007E4B"/>
    <w:rsid w:val="00007EAB"/>
    <w:rsid w:val="0001046D"/>
    <w:rsid w:val="00010817"/>
    <w:rsid w:val="00010B88"/>
    <w:rsid w:val="00010D6D"/>
    <w:rsid w:val="0001118F"/>
    <w:rsid w:val="0001176F"/>
    <w:rsid w:val="00011A20"/>
    <w:rsid w:val="00011A63"/>
    <w:rsid w:val="00011DCC"/>
    <w:rsid w:val="0001203C"/>
    <w:rsid w:val="000120C4"/>
    <w:rsid w:val="0001257D"/>
    <w:rsid w:val="0001258D"/>
    <w:rsid w:val="0001268B"/>
    <w:rsid w:val="0001276D"/>
    <w:rsid w:val="00012942"/>
    <w:rsid w:val="00012BD5"/>
    <w:rsid w:val="00012C9D"/>
    <w:rsid w:val="00012F34"/>
    <w:rsid w:val="000137BB"/>
    <w:rsid w:val="00013831"/>
    <w:rsid w:val="00013F59"/>
    <w:rsid w:val="000141D6"/>
    <w:rsid w:val="0001449F"/>
    <w:rsid w:val="000144FD"/>
    <w:rsid w:val="00014551"/>
    <w:rsid w:val="00014807"/>
    <w:rsid w:val="00014A8F"/>
    <w:rsid w:val="00014FC4"/>
    <w:rsid w:val="000156A9"/>
    <w:rsid w:val="00015902"/>
    <w:rsid w:val="00015980"/>
    <w:rsid w:val="0001598F"/>
    <w:rsid w:val="00015CCA"/>
    <w:rsid w:val="00016061"/>
    <w:rsid w:val="0001606C"/>
    <w:rsid w:val="000171B6"/>
    <w:rsid w:val="00017268"/>
    <w:rsid w:val="0001726E"/>
    <w:rsid w:val="0002001B"/>
    <w:rsid w:val="00020068"/>
    <w:rsid w:val="000203A9"/>
    <w:rsid w:val="0002086A"/>
    <w:rsid w:val="00020AAB"/>
    <w:rsid w:val="00020CB1"/>
    <w:rsid w:val="00020DA5"/>
    <w:rsid w:val="00021116"/>
    <w:rsid w:val="0002112E"/>
    <w:rsid w:val="00021151"/>
    <w:rsid w:val="00021442"/>
    <w:rsid w:val="0002155B"/>
    <w:rsid w:val="00021687"/>
    <w:rsid w:val="00021882"/>
    <w:rsid w:val="00021AC6"/>
    <w:rsid w:val="00021B91"/>
    <w:rsid w:val="00021DF0"/>
    <w:rsid w:val="000221F1"/>
    <w:rsid w:val="00022269"/>
    <w:rsid w:val="00022353"/>
    <w:rsid w:val="000223A4"/>
    <w:rsid w:val="00022463"/>
    <w:rsid w:val="00022551"/>
    <w:rsid w:val="0002267E"/>
    <w:rsid w:val="00022E60"/>
    <w:rsid w:val="00022EAC"/>
    <w:rsid w:val="00022F12"/>
    <w:rsid w:val="00023006"/>
    <w:rsid w:val="000235E5"/>
    <w:rsid w:val="00023893"/>
    <w:rsid w:val="00023A8D"/>
    <w:rsid w:val="00023AF1"/>
    <w:rsid w:val="00023F04"/>
    <w:rsid w:val="000243BF"/>
    <w:rsid w:val="000252CC"/>
    <w:rsid w:val="000256BC"/>
    <w:rsid w:val="00026018"/>
    <w:rsid w:val="0002609B"/>
    <w:rsid w:val="00026C19"/>
    <w:rsid w:val="00026C25"/>
    <w:rsid w:val="00026CF2"/>
    <w:rsid w:val="00026F03"/>
    <w:rsid w:val="00027D0D"/>
    <w:rsid w:val="00030167"/>
    <w:rsid w:val="000303B7"/>
    <w:rsid w:val="000303EC"/>
    <w:rsid w:val="00030415"/>
    <w:rsid w:val="00030441"/>
    <w:rsid w:val="000304CC"/>
    <w:rsid w:val="00030566"/>
    <w:rsid w:val="000305B1"/>
    <w:rsid w:val="0003066C"/>
    <w:rsid w:val="00030769"/>
    <w:rsid w:val="00030858"/>
    <w:rsid w:val="00030871"/>
    <w:rsid w:val="000308D7"/>
    <w:rsid w:val="00030D99"/>
    <w:rsid w:val="00030FA4"/>
    <w:rsid w:val="00031263"/>
    <w:rsid w:val="00031306"/>
    <w:rsid w:val="0003161B"/>
    <w:rsid w:val="00031662"/>
    <w:rsid w:val="00031EF3"/>
    <w:rsid w:val="000320F5"/>
    <w:rsid w:val="00032255"/>
    <w:rsid w:val="000322A7"/>
    <w:rsid w:val="00032403"/>
    <w:rsid w:val="00032411"/>
    <w:rsid w:val="00032528"/>
    <w:rsid w:val="0003262B"/>
    <w:rsid w:val="00032AFE"/>
    <w:rsid w:val="00032DCB"/>
    <w:rsid w:val="00032EC2"/>
    <w:rsid w:val="00032FFA"/>
    <w:rsid w:val="00033149"/>
    <w:rsid w:val="0003369A"/>
    <w:rsid w:val="000337CD"/>
    <w:rsid w:val="00033BEF"/>
    <w:rsid w:val="00033D08"/>
    <w:rsid w:val="00033E05"/>
    <w:rsid w:val="00033F86"/>
    <w:rsid w:val="00034047"/>
    <w:rsid w:val="00034774"/>
    <w:rsid w:val="00034AD2"/>
    <w:rsid w:val="00034E3E"/>
    <w:rsid w:val="00034FCF"/>
    <w:rsid w:val="00035168"/>
    <w:rsid w:val="000351B4"/>
    <w:rsid w:val="00035975"/>
    <w:rsid w:val="000359D8"/>
    <w:rsid w:val="00035A52"/>
    <w:rsid w:val="00035EC2"/>
    <w:rsid w:val="00035ED0"/>
    <w:rsid w:val="00036373"/>
    <w:rsid w:val="000363A0"/>
    <w:rsid w:val="000364D9"/>
    <w:rsid w:val="00036AD7"/>
    <w:rsid w:val="00036F09"/>
    <w:rsid w:val="000374B9"/>
    <w:rsid w:val="000374E0"/>
    <w:rsid w:val="0003766E"/>
    <w:rsid w:val="00037B79"/>
    <w:rsid w:val="00037BA4"/>
    <w:rsid w:val="0004014D"/>
    <w:rsid w:val="00040638"/>
    <w:rsid w:val="000409F4"/>
    <w:rsid w:val="00040A58"/>
    <w:rsid w:val="00040A98"/>
    <w:rsid w:val="00040C59"/>
    <w:rsid w:val="00040E97"/>
    <w:rsid w:val="00041570"/>
    <w:rsid w:val="0004174A"/>
    <w:rsid w:val="0004176E"/>
    <w:rsid w:val="00041A04"/>
    <w:rsid w:val="00041C71"/>
    <w:rsid w:val="00041D59"/>
    <w:rsid w:val="00041F61"/>
    <w:rsid w:val="000420D4"/>
    <w:rsid w:val="00042281"/>
    <w:rsid w:val="00042760"/>
    <w:rsid w:val="0004297C"/>
    <w:rsid w:val="00042A9B"/>
    <w:rsid w:val="000434E1"/>
    <w:rsid w:val="000435CB"/>
    <w:rsid w:val="00043698"/>
    <w:rsid w:val="000436BF"/>
    <w:rsid w:val="000437D1"/>
    <w:rsid w:val="00043FC4"/>
    <w:rsid w:val="000444A1"/>
    <w:rsid w:val="00044780"/>
    <w:rsid w:val="00044B95"/>
    <w:rsid w:val="00044C6F"/>
    <w:rsid w:val="00044CCE"/>
    <w:rsid w:val="00044D48"/>
    <w:rsid w:val="00045111"/>
    <w:rsid w:val="000453BE"/>
    <w:rsid w:val="000459C3"/>
    <w:rsid w:val="00045BDA"/>
    <w:rsid w:val="00045BF4"/>
    <w:rsid w:val="00045CED"/>
    <w:rsid w:val="00045D97"/>
    <w:rsid w:val="00046773"/>
    <w:rsid w:val="00046B55"/>
    <w:rsid w:val="00046C76"/>
    <w:rsid w:val="000472BF"/>
    <w:rsid w:val="000472EE"/>
    <w:rsid w:val="00047715"/>
    <w:rsid w:val="00047FE2"/>
    <w:rsid w:val="000500ED"/>
    <w:rsid w:val="00050234"/>
    <w:rsid w:val="00050894"/>
    <w:rsid w:val="00050A5D"/>
    <w:rsid w:val="00050A6B"/>
    <w:rsid w:val="00050DDD"/>
    <w:rsid w:val="00050FFC"/>
    <w:rsid w:val="0005105F"/>
    <w:rsid w:val="0005126E"/>
    <w:rsid w:val="0005127F"/>
    <w:rsid w:val="00051292"/>
    <w:rsid w:val="000512BC"/>
    <w:rsid w:val="000517B8"/>
    <w:rsid w:val="00051D53"/>
    <w:rsid w:val="0005234A"/>
    <w:rsid w:val="000524D6"/>
    <w:rsid w:val="00052B6B"/>
    <w:rsid w:val="00052C99"/>
    <w:rsid w:val="00052DE1"/>
    <w:rsid w:val="00053042"/>
    <w:rsid w:val="000530A4"/>
    <w:rsid w:val="0005355F"/>
    <w:rsid w:val="00053BF7"/>
    <w:rsid w:val="00053C56"/>
    <w:rsid w:val="00053EA5"/>
    <w:rsid w:val="00054148"/>
    <w:rsid w:val="00054169"/>
    <w:rsid w:val="0005472E"/>
    <w:rsid w:val="0005485D"/>
    <w:rsid w:val="00054A74"/>
    <w:rsid w:val="00054C8B"/>
    <w:rsid w:val="00055272"/>
    <w:rsid w:val="00055784"/>
    <w:rsid w:val="00055846"/>
    <w:rsid w:val="00055C04"/>
    <w:rsid w:val="00056105"/>
    <w:rsid w:val="000561B1"/>
    <w:rsid w:val="000563A9"/>
    <w:rsid w:val="000564D2"/>
    <w:rsid w:val="00056522"/>
    <w:rsid w:val="00056DCB"/>
    <w:rsid w:val="00057063"/>
    <w:rsid w:val="00057AC2"/>
    <w:rsid w:val="00057ACE"/>
    <w:rsid w:val="00057E3B"/>
    <w:rsid w:val="00060131"/>
    <w:rsid w:val="000602C8"/>
    <w:rsid w:val="000607EC"/>
    <w:rsid w:val="00060D02"/>
    <w:rsid w:val="00060D3A"/>
    <w:rsid w:val="00060E93"/>
    <w:rsid w:val="00060EBB"/>
    <w:rsid w:val="0006117E"/>
    <w:rsid w:val="000612B7"/>
    <w:rsid w:val="00061321"/>
    <w:rsid w:val="00061556"/>
    <w:rsid w:val="00061905"/>
    <w:rsid w:val="00061C75"/>
    <w:rsid w:val="000621AF"/>
    <w:rsid w:val="00062495"/>
    <w:rsid w:val="0006298E"/>
    <w:rsid w:val="000629C5"/>
    <w:rsid w:val="00062B22"/>
    <w:rsid w:val="00063A3A"/>
    <w:rsid w:val="00063AAF"/>
    <w:rsid w:val="00063F59"/>
    <w:rsid w:val="00064275"/>
    <w:rsid w:val="000643B1"/>
    <w:rsid w:val="00064936"/>
    <w:rsid w:val="00064A4F"/>
    <w:rsid w:val="00064BF2"/>
    <w:rsid w:val="00064C5E"/>
    <w:rsid w:val="00064D18"/>
    <w:rsid w:val="000650FF"/>
    <w:rsid w:val="0006568D"/>
    <w:rsid w:val="00065D2D"/>
    <w:rsid w:val="000660D0"/>
    <w:rsid w:val="000660FA"/>
    <w:rsid w:val="000664F2"/>
    <w:rsid w:val="000666E7"/>
    <w:rsid w:val="000668A2"/>
    <w:rsid w:val="00066963"/>
    <w:rsid w:val="00066EC9"/>
    <w:rsid w:val="000671B2"/>
    <w:rsid w:val="000673D9"/>
    <w:rsid w:val="000675AF"/>
    <w:rsid w:val="0006797C"/>
    <w:rsid w:val="00067E72"/>
    <w:rsid w:val="00070018"/>
    <w:rsid w:val="0007013E"/>
    <w:rsid w:val="000702FC"/>
    <w:rsid w:val="00070320"/>
    <w:rsid w:val="00070335"/>
    <w:rsid w:val="00070376"/>
    <w:rsid w:val="00070496"/>
    <w:rsid w:val="0007061A"/>
    <w:rsid w:val="0007076D"/>
    <w:rsid w:val="0007079F"/>
    <w:rsid w:val="00070958"/>
    <w:rsid w:val="0007104F"/>
    <w:rsid w:val="000711F0"/>
    <w:rsid w:val="000712CB"/>
    <w:rsid w:val="00071BD6"/>
    <w:rsid w:val="00071C19"/>
    <w:rsid w:val="00071E04"/>
    <w:rsid w:val="00071ED1"/>
    <w:rsid w:val="0007204F"/>
    <w:rsid w:val="000729A2"/>
    <w:rsid w:val="00072A7D"/>
    <w:rsid w:val="00072CD1"/>
    <w:rsid w:val="00072ECF"/>
    <w:rsid w:val="00072F5E"/>
    <w:rsid w:val="000734F8"/>
    <w:rsid w:val="000736B8"/>
    <w:rsid w:val="00073722"/>
    <w:rsid w:val="00073A3B"/>
    <w:rsid w:val="00073EF2"/>
    <w:rsid w:val="00073F01"/>
    <w:rsid w:val="0007406C"/>
    <w:rsid w:val="000741D3"/>
    <w:rsid w:val="00074361"/>
    <w:rsid w:val="0007466C"/>
    <w:rsid w:val="00074A8D"/>
    <w:rsid w:val="00074C6E"/>
    <w:rsid w:val="00075064"/>
    <w:rsid w:val="00075131"/>
    <w:rsid w:val="000751FE"/>
    <w:rsid w:val="000752C0"/>
    <w:rsid w:val="000752EB"/>
    <w:rsid w:val="0007539F"/>
    <w:rsid w:val="00075528"/>
    <w:rsid w:val="00075922"/>
    <w:rsid w:val="00075A4C"/>
    <w:rsid w:val="000760F7"/>
    <w:rsid w:val="0007611D"/>
    <w:rsid w:val="000763F2"/>
    <w:rsid w:val="000765DF"/>
    <w:rsid w:val="00076615"/>
    <w:rsid w:val="00076CBC"/>
    <w:rsid w:val="00077486"/>
    <w:rsid w:val="000776CD"/>
    <w:rsid w:val="00077C25"/>
    <w:rsid w:val="00077D9B"/>
    <w:rsid w:val="00077DF2"/>
    <w:rsid w:val="0008023D"/>
    <w:rsid w:val="00080432"/>
    <w:rsid w:val="000805D1"/>
    <w:rsid w:val="0008094A"/>
    <w:rsid w:val="00080A60"/>
    <w:rsid w:val="00080B5E"/>
    <w:rsid w:val="00081116"/>
    <w:rsid w:val="000811CE"/>
    <w:rsid w:val="00081375"/>
    <w:rsid w:val="000817CB"/>
    <w:rsid w:val="000817EC"/>
    <w:rsid w:val="00081B22"/>
    <w:rsid w:val="00081B7E"/>
    <w:rsid w:val="00082103"/>
    <w:rsid w:val="00082813"/>
    <w:rsid w:val="0008281C"/>
    <w:rsid w:val="00082929"/>
    <w:rsid w:val="00082EB2"/>
    <w:rsid w:val="00082FB2"/>
    <w:rsid w:val="000835E0"/>
    <w:rsid w:val="00083613"/>
    <w:rsid w:val="000836BA"/>
    <w:rsid w:val="000836FA"/>
    <w:rsid w:val="00083C7F"/>
    <w:rsid w:val="00083C98"/>
    <w:rsid w:val="00083EAB"/>
    <w:rsid w:val="00083EF6"/>
    <w:rsid w:val="000840C8"/>
    <w:rsid w:val="0008418F"/>
    <w:rsid w:val="0008428D"/>
    <w:rsid w:val="000843CA"/>
    <w:rsid w:val="000847BD"/>
    <w:rsid w:val="00084840"/>
    <w:rsid w:val="000849EE"/>
    <w:rsid w:val="00084A01"/>
    <w:rsid w:val="00084AC6"/>
    <w:rsid w:val="00084B5F"/>
    <w:rsid w:val="00084BF1"/>
    <w:rsid w:val="00084C89"/>
    <w:rsid w:val="00084CEA"/>
    <w:rsid w:val="00085298"/>
    <w:rsid w:val="0008530A"/>
    <w:rsid w:val="0008542B"/>
    <w:rsid w:val="000858D8"/>
    <w:rsid w:val="00085959"/>
    <w:rsid w:val="00085B3B"/>
    <w:rsid w:val="0008604E"/>
    <w:rsid w:val="000863AD"/>
    <w:rsid w:val="000863CA"/>
    <w:rsid w:val="00086691"/>
    <w:rsid w:val="000868D0"/>
    <w:rsid w:val="00086B8B"/>
    <w:rsid w:val="00086F82"/>
    <w:rsid w:val="00087368"/>
    <w:rsid w:val="000873EF"/>
    <w:rsid w:val="00087406"/>
    <w:rsid w:val="00087424"/>
    <w:rsid w:val="0008768D"/>
    <w:rsid w:val="0008788C"/>
    <w:rsid w:val="000879F5"/>
    <w:rsid w:val="000879F9"/>
    <w:rsid w:val="00087AE7"/>
    <w:rsid w:val="00087C7F"/>
    <w:rsid w:val="00087E81"/>
    <w:rsid w:val="00087E9C"/>
    <w:rsid w:val="00087F40"/>
    <w:rsid w:val="0009006B"/>
    <w:rsid w:val="000900A7"/>
    <w:rsid w:val="000901C3"/>
    <w:rsid w:val="00090403"/>
    <w:rsid w:val="00090906"/>
    <w:rsid w:val="00090C8D"/>
    <w:rsid w:val="00090DCE"/>
    <w:rsid w:val="00090EEF"/>
    <w:rsid w:val="000913CA"/>
    <w:rsid w:val="00091548"/>
    <w:rsid w:val="00091C86"/>
    <w:rsid w:val="00091D6E"/>
    <w:rsid w:val="00091D8F"/>
    <w:rsid w:val="00091DEE"/>
    <w:rsid w:val="00092501"/>
    <w:rsid w:val="0009269B"/>
    <w:rsid w:val="00092BC1"/>
    <w:rsid w:val="00092BF1"/>
    <w:rsid w:val="00092CC4"/>
    <w:rsid w:val="00092D68"/>
    <w:rsid w:val="00092DFA"/>
    <w:rsid w:val="0009320F"/>
    <w:rsid w:val="0009357C"/>
    <w:rsid w:val="00093601"/>
    <w:rsid w:val="0009378C"/>
    <w:rsid w:val="000942B7"/>
    <w:rsid w:val="00094392"/>
    <w:rsid w:val="00094459"/>
    <w:rsid w:val="000944E6"/>
    <w:rsid w:val="0009470B"/>
    <w:rsid w:val="000947C7"/>
    <w:rsid w:val="000948E8"/>
    <w:rsid w:val="00094928"/>
    <w:rsid w:val="00094A4B"/>
    <w:rsid w:val="00094A7D"/>
    <w:rsid w:val="00094EA9"/>
    <w:rsid w:val="000950ED"/>
    <w:rsid w:val="00095270"/>
    <w:rsid w:val="0009530B"/>
    <w:rsid w:val="00095416"/>
    <w:rsid w:val="00095509"/>
    <w:rsid w:val="00095703"/>
    <w:rsid w:val="000959FB"/>
    <w:rsid w:val="00095A40"/>
    <w:rsid w:val="00095D71"/>
    <w:rsid w:val="0009611A"/>
    <w:rsid w:val="00096152"/>
    <w:rsid w:val="00096213"/>
    <w:rsid w:val="00096307"/>
    <w:rsid w:val="00096778"/>
    <w:rsid w:val="00096952"/>
    <w:rsid w:val="00096A50"/>
    <w:rsid w:val="00096D46"/>
    <w:rsid w:val="00097043"/>
    <w:rsid w:val="00097085"/>
    <w:rsid w:val="000970D5"/>
    <w:rsid w:val="00097697"/>
    <w:rsid w:val="0009792F"/>
    <w:rsid w:val="00097CD6"/>
    <w:rsid w:val="00097D6E"/>
    <w:rsid w:val="00097DE4"/>
    <w:rsid w:val="000A000D"/>
    <w:rsid w:val="000A00D9"/>
    <w:rsid w:val="000A02A5"/>
    <w:rsid w:val="000A0E66"/>
    <w:rsid w:val="000A0F8A"/>
    <w:rsid w:val="000A1331"/>
    <w:rsid w:val="000A1374"/>
    <w:rsid w:val="000A13BC"/>
    <w:rsid w:val="000A1419"/>
    <w:rsid w:val="000A14D0"/>
    <w:rsid w:val="000A14EB"/>
    <w:rsid w:val="000A16A9"/>
    <w:rsid w:val="000A1CEE"/>
    <w:rsid w:val="000A1F60"/>
    <w:rsid w:val="000A1FF2"/>
    <w:rsid w:val="000A2164"/>
    <w:rsid w:val="000A218A"/>
    <w:rsid w:val="000A231E"/>
    <w:rsid w:val="000A23B9"/>
    <w:rsid w:val="000A26F5"/>
    <w:rsid w:val="000A29D8"/>
    <w:rsid w:val="000A2A52"/>
    <w:rsid w:val="000A2E63"/>
    <w:rsid w:val="000A33FC"/>
    <w:rsid w:val="000A3605"/>
    <w:rsid w:val="000A37BC"/>
    <w:rsid w:val="000A3C47"/>
    <w:rsid w:val="000A3EC2"/>
    <w:rsid w:val="000A3EE1"/>
    <w:rsid w:val="000A3F6A"/>
    <w:rsid w:val="000A3FA4"/>
    <w:rsid w:val="000A4534"/>
    <w:rsid w:val="000A4538"/>
    <w:rsid w:val="000A4C4E"/>
    <w:rsid w:val="000A522B"/>
    <w:rsid w:val="000A59CD"/>
    <w:rsid w:val="000A6123"/>
    <w:rsid w:val="000A672B"/>
    <w:rsid w:val="000A7042"/>
    <w:rsid w:val="000A7270"/>
    <w:rsid w:val="000A7CF7"/>
    <w:rsid w:val="000B0283"/>
    <w:rsid w:val="000B03D6"/>
    <w:rsid w:val="000B05AA"/>
    <w:rsid w:val="000B07E5"/>
    <w:rsid w:val="000B0836"/>
    <w:rsid w:val="000B08F0"/>
    <w:rsid w:val="000B1472"/>
    <w:rsid w:val="000B14C2"/>
    <w:rsid w:val="000B16BB"/>
    <w:rsid w:val="000B1800"/>
    <w:rsid w:val="000B1825"/>
    <w:rsid w:val="000B1907"/>
    <w:rsid w:val="000B1C1A"/>
    <w:rsid w:val="000B1E09"/>
    <w:rsid w:val="000B1E9E"/>
    <w:rsid w:val="000B1FD4"/>
    <w:rsid w:val="000B2031"/>
    <w:rsid w:val="000B2341"/>
    <w:rsid w:val="000B260B"/>
    <w:rsid w:val="000B2A65"/>
    <w:rsid w:val="000B3032"/>
    <w:rsid w:val="000B3792"/>
    <w:rsid w:val="000B3888"/>
    <w:rsid w:val="000B3ADF"/>
    <w:rsid w:val="000B4004"/>
    <w:rsid w:val="000B44C5"/>
    <w:rsid w:val="000B4578"/>
    <w:rsid w:val="000B4CBC"/>
    <w:rsid w:val="000B4D2D"/>
    <w:rsid w:val="000B4DC2"/>
    <w:rsid w:val="000B4EF1"/>
    <w:rsid w:val="000B5515"/>
    <w:rsid w:val="000B5629"/>
    <w:rsid w:val="000B56A9"/>
    <w:rsid w:val="000B57B0"/>
    <w:rsid w:val="000B5F7D"/>
    <w:rsid w:val="000B60EA"/>
    <w:rsid w:val="000B6357"/>
    <w:rsid w:val="000B64EF"/>
    <w:rsid w:val="000B6886"/>
    <w:rsid w:val="000B6910"/>
    <w:rsid w:val="000B6F19"/>
    <w:rsid w:val="000B70A5"/>
    <w:rsid w:val="000B718C"/>
    <w:rsid w:val="000B73FE"/>
    <w:rsid w:val="000B7662"/>
    <w:rsid w:val="000B7840"/>
    <w:rsid w:val="000B7B9D"/>
    <w:rsid w:val="000B7BAB"/>
    <w:rsid w:val="000B7E29"/>
    <w:rsid w:val="000C0607"/>
    <w:rsid w:val="000C0958"/>
    <w:rsid w:val="000C0D69"/>
    <w:rsid w:val="000C0DC1"/>
    <w:rsid w:val="000C1052"/>
    <w:rsid w:val="000C10A4"/>
    <w:rsid w:val="000C10F4"/>
    <w:rsid w:val="000C1122"/>
    <w:rsid w:val="000C1451"/>
    <w:rsid w:val="000C1466"/>
    <w:rsid w:val="000C188D"/>
    <w:rsid w:val="000C1985"/>
    <w:rsid w:val="000C1EAE"/>
    <w:rsid w:val="000C2043"/>
    <w:rsid w:val="000C2334"/>
    <w:rsid w:val="000C2505"/>
    <w:rsid w:val="000C2C40"/>
    <w:rsid w:val="000C2D93"/>
    <w:rsid w:val="000C2E9F"/>
    <w:rsid w:val="000C2EAE"/>
    <w:rsid w:val="000C2F6F"/>
    <w:rsid w:val="000C30AD"/>
    <w:rsid w:val="000C33EB"/>
    <w:rsid w:val="000C3859"/>
    <w:rsid w:val="000C38D5"/>
    <w:rsid w:val="000C395B"/>
    <w:rsid w:val="000C3BB6"/>
    <w:rsid w:val="000C3F2C"/>
    <w:rsid w:val="000C4075"/>
    <w:rsid w:val="000C4225"/>
    <w:rsid w:val="000C457C"/>
    <w:rsid w:val="000C468D"/>
    <w:rsid w:val="000C483D"/>
    <w:rsid w:val="000C4B9C"/>
    <w:rsid w:val="000C4D19"/>
    <w:rsid w:val="000C52C7"/>
    <w:rsid w:val="000C590B"/>
    <w:rsid w:val="000C5AEE"/>
    <w:rsid w:val="000C5AF3"/>
    <w:rsid w:val="000C5C5E"/>
    <w:rsid w:val="000C6242"/>
    <w:rsid w:val="000C63D4"/>
    <w:rsid w:val="000C64B7"/>
    <w:rsid w:val="000C655C"/>
    <w:rsid w:val="000C668A"/>
    <w:rsid w:val="000C68DB"/>
    <w:rsid w:val="000C692F"/>
    <w:rsid w:val="000C6C7C"/>
    <w:rsid w:val="000C6CA7"/>
    <w:rsid w:val="000C6DC8"/>
    <w:rsid w:val="000C6F0C"/>
    <w:rsid w:val="000C6F25"/>
    <w:rsid w:val="000C716F"/>
    <w:rsid w:val="000C746E"/>
    <w:rsid w:val="000C76AF"/>
    <w:rsid w:val="000C7786"/>
    <w:rsid w:val="000C78CC"/>
    <w:rsid w:val="000C7EB3"/>
    <w:rsid w:val="000D01A2"/>
    <w:rsid w:val="000D0262"/>
    <w:rsid w:val="000D02D3"/>
    <w:rsid w:val="000D0524"/>
    <w:rsid w:val="000D0C6E"/>
    <w:rsid w:val="000D0E82"/>
    <w:rsid w:val="000D10A3"/>
    <w:rsid w:val="000D1680"/>
    <w:rsid w:val="000D16B5"/>
    <w:rsid w:val="000D185A"/>
    <w:rsid w:val="000D1A38"/>
    <w:rsid w:val="000D21D2"/>
    <w:rsid w:val="000D23D4"/>
    <w:rsid w:val="000D26CA"/>
    <w:rsid w:val="000D29BC"/>
    <w:rsid w:val="000D2A8E"/>
    <w:rsid w:val="000D2B39"/>
    <w:rsid w:val="000D2C32"/>
    <w:rsid w:val="000D3734"/>
    <w:rsid w:val="000D3B16"/>
    <w:rsid w:val="000D3CDA"/>
    <w:rsid w:val="000D3E59"/>
    <w:rsid w:val="000D3EC8"/>
    <w:rsid w:val="000D405B"/>
    <w:rsid w:val="000D46AF"/>
    <w:rsid w:val="000D478B"/>
    <w:rsid w:val="000D4808"/>
    <w:rsid w:val="000D4B35"/>
    <w:rsid w:val="000D4D11"/>
    <w:rsid w:val="000D5156"/>
    <w:rsid w:val="000D5501"/>
    <w:rsid w:val="000D5851"/>
    <w:rsid w:val="000D59AA"/>
    <w:rsid w:val="000D5A35"/>
    <w:rsid w:val="000D5A8A"/>
    <w:rsid w:val="000D6582"/>
    <w:rsid w:val="000D6900"/>
    <w:rsid w:val="000D6915"/>
    <w:rsid w:val="000D6B89"/>
    <w:rsid w:val="000D6BFC"/>
    <w:rsid w:val="000D6CB4"/>
    <w:rsid w:val="000D6D4B"/>
    <w:rsid w:val="000D6E12"/>
    <w:rsid w:val="000D6E35"/>
    <w:rsid w:val="000D713E"/>
    <w:rsid w:val="000D720B"/>
    <w:rsid w:val="000D750F"/>
    <w:rsid w:val="000D77CF"/>
    <w:rsid w:val="000D786C"/>
    <w:rsid w:val="000D79A4"/>
    <w:rsid w:val="000D7F80"/>
    <w:rsid w:val="000E069B"/>
    <w:rsid w:val="000E06BB"/>
    <w:rsid w:val="000E0882"/>
    <w:rsid w:val="000E08B7"/>
    <w:rsid w:val="000E0925"/>
    <w:rsid w:val="000E096B"/>
    <w:rsid w:val="000E09DB"/>
    <w:rsid w:val="000E0B55"/>
    <w:rsid w:val="000E0C1C"/>
    <w:rsid w:val="000E130D"/>
    <w:rsid w:val="000E14CA"/>
    <w:rsid w:val="000E15D3"/>
    <w:rsid w:val="000E18F5"/>
    <w:rsid w:val="000E1959"/>
    <w:rsid w:val="000E1A87"/>
    <w:rsid w:val="000E2112"/>
    <w:rsid w:val="000E2681"/>
    <w:rsid w:val="000E2842"/>
    <w:rsid w:val="000E2B07"/>
    <w:rsid w:val="000E2D70"/>
    <w:rsid w:val="000E2E8A"/>
    <w:rsid w:val="000E2F83"/>
    <w:rsid w:val="000E2FB5"/>
    <w:rsid w:val="000E31D2"/>
    <w:rsid w:val="000E3280"/>
    <w:rsid w:val="000E3513"/>
    <w:rsid w:val="000E3833"/>
    <w:rsid w:val="000E3852"/>
    <w:rsid w:val="000E3A6B"/>
    <w:rsid w:val="000E3F97"/>
    <w:rsid w:val="000E427A"/>
    <w:rsid w:val="000E465C"/>
    <w:rsid w:val="000E4827"/>
    <w:rsid w:val="000E491D"/>
    <w:rsid w:val="000E4A68"/>
    <w:rsid w:val="000E501F"/>
    <w:rsid w:val="000E507A"/>
    <w:rsid w:val="000E50E9"/>
    <w:rsid w:val="000E5401"/>
    <w:rsid w:val="000E574F"/>
    <w:rsid w:val="000E598B"/>
    <w:rsid w:val="000E6199"/>
    <w:rsid w:val="000E637E"/>
    <w:rsid w:val="000E6681"/>
    <w:rsid w:val="000E6714"/>
    <w:rsid w:val="000E683B"/>
    <w:rsid w:val="000E6AFF"/>
    <w:rsid w:val="000E6DBD"/>
    <w:rsid w:val="000E6F72"/>
    <w:rsid w:val="000E7186"/>
    <w:rsid w:val="000E754C"/>
    <w:rsid w:val="000F0121"/>
    <w:rsid w:val="000F0185"/>
    <w:rsid w:val="000F02E7"/>
    <w:rsid w:val="000F0326"/>
    <w:rsid w:val="000F0478"/>
    <w:rsid w:val="000F06E2"/>
    <w:rsid w:val="000F0890"/>
    <w:rsid w:val="000F0A50"/>
    <w:rsid w:val="000F1A1A"/>
    <w:rsid w:val="000F1CF2"/>
    <w:rsid w:val="000F1D93"/>
    <w:rsid w:val="000F20C7"/>
    <w:rsid w:val="000F22EF"/>
    <w:rsid w:val="000F2601"/>
    <w:rsid w:val="000F2659"/>
    <w:rsid w:val="000F2CCB"/>
    <w:rsid w:val="000F33A3"/>
    <w:rsid w:val="000F33B5"/>
    <w:rsid w:val="000F35A4"/>
    <w:rsid w:val="000F389F"/>
    <w:rsid w:val="000F38F0"/>
    <w:rsid w:val="000F3AF7"/>
    <w:rsid w:val="000F3CCE"/>
    <w:rsid w:val="000F3EC0"/>
    <w:rsid w:val="000F412A"/>
    <w:rsid w:val="000F42DB"/>
    <w:rsid w:val="000F43FD"/>
    <w:rsid w:val="000F453C"/>
    <w:rsid w:val="000F467A"/>
    <w:rsid w:val="000F46BB"/>
    <w:rsid w:val="000F5082"/>
    <w:rsid w:val="000F52F5"/>
    <w:rsid w:val="000F53B2"/>
    <w:rsid w:val="000F59D0"/>
    <w:rsid w:val="000F5DFE"/>
    <w:rsid w:val="000F5E59"/>
    <w:rsid w:val="000F5F8B"/>
    <w:rsid w:val="000F627C"/>
    <w:rsid w:val="000F6400"/>
    <w:rsid w:val="000F6507"/>
    <w:rsid w:val="000F67AD"/>
    <w:rsid w:val="000F7818"/>
    <w:rsid w:val="000F78BF"/>
    <w:rsid w:val="000F7CF8"/>
    <w:rsid w:val="000F7D1E"/>
    <w:rsid w:val="001003DB"/>
    <w:rsid w:val="001004A4"/>
    <w:rsid w:val="0010091F"/>
    <w:rsid w:val="00100B26"/>
    <w:rsid w:val="00100EFC"/>
    <w:rsid w:val="00101A1A"/>
    <w:rsid w:val="001027F4"/>
    <w:rsid w:val="00102879"/>
    <w:rsid w:val="00102C33"/>
    <w:rsid w:val="00102C89"/>
    <w:rsid w:val="00103099"/>
    <w:rsid w:val="0010317F"/>
    <w:rsid w:val="001032F2"/>
    <w:rsid w:val="0010332B"/>
    <w:rsid w:val="00103595"/>
    <w:rsid w:val="00103A14"/>
    <w:rsid w:val="00103D5E"/>
    <w:rsid w:val="00103D87"/>
    <w:rsid w:val="00103F17"/>
    <w:rsid w:val="00103F37"/>
    <w:rsid w:val="00104043"/>
    <w:rsid w:val="001047C3"/>
    <w:rsid w:val="00104832"/>
    <w:rsid w:val="00104B8F"/>
    <w:rsid w:val="00104EA7"/>
    <w:rsid w:val="0010571B"/>
    <w:rsid w:val="00105791"/>
    <w:rsid w:val="0010585A"/>
    <w:rsid w:val="001058B1"/>
    <w:rsid w:val="00105DE1"/>
    <w:rsid w:val="00105F15"/>
    <w:rsid w:val="00105FAD"/>
    <w:rsid w:val="00106046"/>
    <w:rsid w:val="0010620A"/>
    <w:rsid w:val="0010621B"/>
    <w:rsid w:val="0010632F"/>
    <w:rsid w:val="001065ED"/>
    <w:rsid w:val="00106BCF"/>
    <w:rsid w:val="00106C87"/>
    <w:rsid w:val="00106DEA"/>
    <w:rsid w:val="0010700D"/>
    <w:rsid w:val="001074A0"/>
    <w:rsid w:val="00107561"/>
    <w:rsid w:val="0010782E"/>
    <w:rsid w:val="00107A1C"/>
    <w:rsid w:val="00107E15"/>
    <w:rsid w:val="00110003"/>
    <w:rsid w:val="0011026C"/>
    <w:rsid w:val="001104A4"/>
    <w:rsid w:val="001104D4"/>
    <w:rsid w:val="00110802"/>
    <w:rsid w:val="0011089F"/>
    <w:rsid w:val="00110AA9"/>
    <w:rsid w:val="00110B61"/>
    <w:rsid w:val="00111318"/>
    <w:rsid w:val="00111333"/>
    <w:rsid w:val="00111416"/>
    <w:rsid w:val="0011155B"/>
    <w:rsid w:val="00111615"/>
    <w:rsid w:val="0011171F"/>
    <w:rsid w:val="00111969"/>
    <w:rsid w:val="00111A6A"/>
    <w:rsid w:val="00111FCF"/>
    <w:rsid w:val="001122EB"/>
    <w:rsid w:val="001124A7"/>
    <w:rsid w:val="00112A28"/>
    <w:rsid w:val="00112EAE"/>
    <w:rsid w:val="001132C5"/>
    <w:rsid w:val="00113A48"/>
    <w:rsid w:val="00113DEB"/>
    <w:rsid w:val="00114099"/>
    <w:rsid w:val="00114124"/>
    <w:rsid w:val="00114CD8"/>
    <w:rsid w:val="001150F9"/>
    <w:rsid w:val="0011512D"/>
    <w:rsid w:val="0011517D"/>
    <w:rsid w:val="00115497"/>
    <w:rsid w:val="0011574A"/>
    <w:rsid w:val="001159C0"/>
    <w:rsid w:val="00115F33"/>
    <w:rsid w:val="001161B8"/>
    <w:rsid w:val="001162EB"/>
    <w:rsid w:val="001165C0"/>
    <w:rsid w:val="001166F3"/>
    <w:rsid w:val="00116824"/>
    <w:rsid w:val="00116A1D"/>
    <w:rsid w:val="00116C63"/>
    <w:rsid w:val="00116F07"/>
    <w:rsid w:val="00117024"/>
    <w:rsid w:val="0011718E"/>
    <w:rsid w:val="0011721D"/>
    <w:rsid w:val="00117359"/>
    <w:rsid w:val="001175A7"/>
    <w:rsid w:val="00117648"/>
    <w:rsid w:val="00117CDC"/>
    <w:rsid w:val="0012040B"/>
    <w:rsid w:val="001205F1"/>
    <w:rsid w:val="0012063F"/>
    <w:rsid w:val="00120C34"/>
    <w:rsid w:val="00120F05"/>
    <w:rsid w:val="00121806"/>
    <w:rsid w:val="00121BF1"/>
    <w:rsid w:val="00121E82"/>
    <w:rsid w:val="00121EF1"/>
    <w:rsid w:val="00122507"/>
    <w:rsid w:val="001229BD"/>
    <w:rsid w:val="00122B20"/>
    <w:rsid w:val="00122CE4"/>
    <w:rsid w:val="00122D8D"/>
    <w:rsid w:val="0012302B"/>
    <w:rsid w:val="0012318B"/>
    <w:rsid w:val="00123195"/>
    <w:rsid w:val="00123214"/>
    <w:rsid w:val="001233A9"/>
    <w:rsid w:val="001233BB"/>
    <w:rsid w:val="001234BE"/>
    <w:rsid w:val="001238F1"/>
    <w:rsid w:val="00123DB0"/>
    <w:rsid w:val="001242C2"/>
    <w:rsid w:val="0012430F"/>
    <w:rsid w:val="00124708"/>
    <w:rsid w:val="00124BDE"/>
    <w:rsid w:val="00124D21"/>
    <w:rsid w:val="00124ECA"/>
    <w:rsid w:val="0012510C"/>
    <w:rsid w:val="0012533E"/>
    <w:rsid w:val="001253B5"/>
    <w:rsid w:val="00125449"/>
    <w:rsid w:val="00125811"/>
    <w:rsid w:val="00125C73"/>
    <w:rsid w:val="00125F5A"/>
    <w:rsid w:val="0012609A"/>
    <w:rsid w:val="001262B0"/>
    <w:rsid w:val="001263A2"/>
    <w:rsid w:val="00126782"/>
    <w:rsid w:val="001268BD"/>
    <w:rsid w:val="00126D03"/>
    <w:rsid w:val="00127285"/>
    <w:rsid w:val="001276D5"/>
    <w:rsid w:val="00127A78"/>
    <w:rsid w:val="00127A8B"/>
    <w:rsid w:val="00127C61"/>
    <w:rsid w:val="00130037"/>
    <w:rsid w:val="001302A3"/>
    <w:rsid w:val="00130914"/>
    <w:rsid w:val="00130A87"/>
    <w:rsid w:val="00130F4C"/>
    <w:rsid w:val="0013151C"/>
    <w:rsid w:val="001319F3"/>
    <w:rsid w:val="00131C2C"/>
    <w:rsid w:val="00131E58"/>
    <w:rsid w:val="00132071"/>
    <w:rsid w:val="0013211D"/>
    <w:rsid w:val="0013232B"/>
    <w:rsid w:val="00132632"/>
    <w:rsid w:val="0013283D"/>
    <w:rsid w:val="001329EB"/>
    <w:rsid w:val="00132BC9"/>
    <w:rsid w:val="00132BE0"/>
    <w:rsid w:val="00133135"/>
    <w:rsid w:val="001332D7"/>
    <w:rsid w:val="00133980"/>
    <w:rsid w:val="00133EB3"/>
    <w:rsid w:val="001346BA"/>
    <w:rsid w:val="001346FC"/>
    <w:rsid w:val="00134779"/>
    <w:rsid w:val="00134BE5"/>
    <w:rsid w:val="00134EE0"/>
    <w:rsid w:val="00134FEC"/>
    <w:rsid w:val="00135365"/>
    <w:rsid w:val="0013544F"/>
    <w:rsid w:val="00135551"/>
    <w:rsid w:val="00135898"/>
    <w:rsid w:val="00135A8F"/>
    <w:rsid w:val="00135BFD"/>
    <w:rsid w:val="00135CB6"/>
    <w:rsid w:val="00135D95"/>
    <w:rsid w:val="00136040"/>
    <w:rsid w:val="001362B4"/>
    <w:rsid w:val="00136324"/>
    <w:rsid w:val="00136651"/>
    <w:rsid w:val="00136923"/>
    <w:rsid w:val="00136A64"/>
    <w:rsid w:val="00136D74"/>
    <w:rsid w:val="001375DF"/>
    <w:rsid w:val="00137674"/>
    <w:rsid w:val="001376AA"/>
    <w:rsid w:val="00137A53"/>
    <w:rsid w:val="00137DE9"/>
    <w:rsid w:val="0014019F"/>
    <w:rsid w:val="00140242"/>
    <w:rsid w:val="00140282"/>
    <w:rsid w:val="00140949"/>
    <w:rsid w:val="00140B39"/>
    <w:rsid w:val="00140FC7"/>
    <w:rsid w:val="00141028"/>
    <w:rsid w:val="001410DA"/>
    <w:rsid w:val="001412D1"/>
    <w:rsid w:val="00141D41"/>
    <w:rsid w:val="00141D7D"/>
    <w:rsid w:val="00141D95"/>
    <w:rsid w:val="00141DB3"/>
    <w:rsid w:val="00142364"/>
    <w:rsid w:val="001423E3"/>
    <w:rsid w:val="00142424"/>
    <w:rsid w:val="001425FE"/>
    <w:rsid w:val="0014283C"/>
    <w:rsid w:val="0014328E"/>
    <w:rsid w:val="00143762"/>
    <w:rsid w:val="001438B6"/>
    <w:rsid w:val="00143AA5"/>
    <w:rsid w:val="00143B38"/>
    <w:rsid w:val="00143D63"/>
    <w:rsid w:val="00143E3A"/>
    <w:rsid w:val="00144036"/>
    <w:rsid w:val="001440D7"/>
    <w:rsid w:val="00144413"/>
    <w:rsid w:val="001444D5"/>
    <w:rsid w:val="00144685"/>
    <w:rsid w:val="00144774"/>
    <w:rsid w:val="00144DB7"/>
    <w:rsid w:val="00144F21"/>
    <w:rsid w:val="0014503D"/>
    <w:rsid w:val="001454CF"/>
    <w:rsid w:val="0014573E"/>
    <w:rsid w:val="00145EE8"/>
    <w:rsid w:val="0014605D"/>
    <w:rsid w:val="001465A8"/>
    <w:rsid w:val="00146660"/>
    <w:rsid w:val="001468C9"/>
    <w:rsid w:val="00146CC8"/>
    <w:rsid w:val="001470DD"/>
    <w:rsid w:val="0014722B"/>
    <w:rsid w:val="001475B0"/>
    <w:rsid w:val="001475EA"/>
    <w:rsid w:val="001476BE"/>
    <w:rsid w:val="001477D2"/>
    <w:rsid w:val="00147BF5"/>
    <w:rsid w:val="00147C28"/>
    <w:rsid w:val="00147DE1"/>
    <w:rsid w:val="0015028D"/>
    <w:rsid w:val="001504F5"/>
    <w:rsid w:val="0015057E"/>
    <w:rsid w:val="00151293"/>
    <w:rsid w:val="00151343"/>
    <w:rsid w:val="00151410"/>
    <w:rsid w:val="001517BD"/>
    <w:rsid w:val="00151BCF"/>
    <w:rsid w:val="00152265"/>
    <w:rsid w:val="00152D30"/>
    <w:rsid w:val="00153172"/>
    <w:rsid w:val="0015371C"/>
    <w:rsid w:val="0015373A"/>
    <w:rsid w:val="00153CCA"/>
    <w:rsid w:val="00153D18"/>
    <w:rsid w:val="00153D2F"/>
    <w:rsid w:val="00153DC3"/>
    <w:rsid w:val="00153FA2"/>
    <w:rsid w:val="0015403C"/>
    <w:rsid w:val="00154334"/>
    <w:rsid w:val="0015444C"/>
    <w:rsid w:val="00154533"/>
    <w:rsid w:val="00154C52"/>
    <w:rsid w:val="00154ED7"/>
    <w:rsid w:val="00154F9C"/>
    <w:rsid w:val="00155792"/>
    <w:rsid w:val="00156048"/>
    <w:rsid w:val="00156156"/>
    <w:rsid w:val="001563B2"/>
    <w:rsid w:val="001563F2"/>
    <w:rsid w:val="0015670E"/>
    <w:rsid w:val="00156751"/>
    <w:rsid w:val="00156827"/>
    <w:rsid w:val="00156B6E"/>
    <w:rsid w:val="00156DB0"/>
    <w:rsid w:val="0015706E"/>
    <w:rsid w:val="001577FE"/>
    <w:rsid w:val="0015788C"/>
    <w:rsid w:val="00157DA7"/>
    <w:rsid w:val="00157F27"/>
    <w:rsid w:val="00157FB8"/>
    <w:rsid w:val="00160602"/>
    <w:rsid w:val="001606C1"/>
    <w:rsid w:val="00160750"/>
    <w:rsid w:val="00160810"/>
    <w:rsid w:val="00160874"/>
    <w:rsid w:val="00160C1F"/>
    <w:rsid w:val="00160CAC"/>
    <w:rsid w:val="00160F7A"/>
    <w:rsid w:val="001611A9"/>
    <w:rsid w:val="0016129F"/>
    <w:rsid w:val="00161899"/>
    <w:rsid w:val="00161F25"/>
    <w:rsid w:val="001621CE"/>
    <w:rsid w:val="0016248F"/>
    <w:rsid w:val="001626B2"/>
    <w:rsid w:val="00162984"/>
    <w:rsid w:val="00162AD2"/>
    <w:rsid w:val="00163029"/>
    <w:rsid w:val="001631CC"/>
    <w:rsid w:val="00163280"/>
    <w:rsid w:val="00163D8F"/>
    <w:rsid w:val="00163EEB"/>
    <w:rsid w:val="00164257"/>
    <w:rsid w:val="001646E9"/>
    <w:rsid w:val="001647DC"/>
    <w:rsid w:val="00164B03"/>
    <w:rsid w:val="0016538D"/>
    <w:rsid w:val="001653ED"/>
    <w:rsid w:val="00165441"/>
    <w:rsid w:val="0016552D"/>
    <w:rsid w:val="0016569F"/>
    <w:rsid w:val="00165DC1"/>
    <w:rsid w:val="00165E6D"/>
    <w:rsid w:val="00165F80"/>
    <w:rsid w:val="00166260"/>
    <w:rsid w:val="001662F0"/>
    <w:rsid w:val="0016639C"/>
    <w:rsid w:val="001663FC"/>
    <w:rsid w:val="00166522"/>
    <w:rsid w:val="00166C30"/>
    <w:rsid w:val="00166CDB"/>
    <w:rsid w:val="00166E64"/>
    <w:rsid w:val="00167018"/>
    <w:rsid w:val="001673DD"/>
    <w:rsid w:val="0016755F"/>
    <w:rsid w:val="0017025C"/>
    <w:rsid w:val="00170304"/>
    <w:rsid w:val="00170433"/>
    <w:rsid w:val="00170972"/>
    <w:rsid w:val="001709D1"/>
    <w:rsid w:val="00170FBB"/>
    <w:rsid w:val="0017106B"/>
    <w:rsid w:val="00171158"/>
    <w:rsid w:val="001712A7"/>
    <w:rsid w:val="00171324"/>
    <w:rsid w:val="001713AF"/>
    <w:rsid w:val="00171689"/>
    <w:rsid w:val="00171D3F"/>
    <w:rsid w:val="0017210B"/>
    <w:rsid w:val="00172114"/>
    <w:rsid w:val="00172399"/>
    <w:rsid w:val="0017248D"/>
    <w:rsid w:val="001725EE"/>
    <w:rsid w:val="00172AF2"/>
    <w:rsid w:val="00172E05"/>
    <w:rsid w:val="00172E68"/>
    <w:rsid w:val="0017304D"/>
    <w:rsid w:val="001731D1"/>
    <w:rsid w:val="001733AC"/>
    <w:rsid w:val="00173626"/>
    <w:rsid w:val="00173B0E"/>
    <w:rsid w:val="00173C6B"/>
    <w:rsid w:val="00173D10"/>
    <w:rsid w:val="00173E24"/>
    <w:rsid w:val="00174322"/>
    <w:rsid w:val="00174469"/>
    <w:rsid w:val="00174ABC"/>
    <w:rsid w:val="00174C8A"/>
    <w:rsid w:val="00174D02"/>
    <w:rsid w:val="00174D0A"/>
    <w:rsid w:val="00174F09"/>
    <w:rsid w:val="0017516C"/>
    <w:rsid w:val="00175171"/>
    <w:rsid w:val="001755BF"/>
    <w:rsid w:val="0017582D"/>
    <w:rsid w:val="001759EA"/>
    <w:rsid w:val="00175CA5"/>
    <w:rsid w:val="00175D1C"/>
    <w:rsid w:val="00175D38"/>
    <w:rsid w:val="0017614A"/>
    <w:rsid w:val="001768D5"/>
    <w:rsid w:val="00176AC9"/>
    <w:rsid w:val="00176EDB"/>
    <w:rsid w:val="00177037"/>
    <w:rsid w:val="00177578"/>
    <w:rsid w:val="001776F6"/>
    <w:rsid w:val="0017772F"/>
    <w:rsid w:val="00177C48"/>
    <w:rsid w:val="00180022"/>
    <w:rsid w:val="0018009A"/>
    <w:rsid w:val="001802EB"/>
    <w:rsid w:val="0018035B"/>
    <w:rsid w:val="00180548"/>
    <w:rsid w:val="00180816"/>
    <w:rsid w:val="00181288"/>
    <w:rsid w:val="00181340"/>
    <w:rsid w:val="0018135C"/>
    <w:rsid w:val="0018176D"/>
    <w:rsid w:val="001817CD"/>
    <w:rsid w:val="0018188A"/>
    <w:rsid w:val="001818DF"/>
    <w:rsid w:val="001818EC"/>
    <w:rsid w:val="00181C26"/>
    <w:rsid w:val="00181C44"/>
    <w:rsid w:val="0018235E"/>
    <w:rsid w:val="00182491"/>
    <w:rsid w:val="001824D3"/>
    <w:rsid w:val="0018264E"/>
    <w:rsid w:val="001827D9"/>
    <w:rsid w:val="00182975"/>
    <w:rsid w:val="001829A6"/>
    <w:rsid w:val="00182E10"/>
    <w:rsid w:val="00182E9B"/>
    <w:rsid w:val="0018304E"/>
    <w:rsid w:val="001831CF"/>
    <w:rsid w:val="001837D6"/>
    <w:rsid w:val="001838D0"/>
    <w:rsid w:val="00183B00"/>
    <w:rsid w:val="00183E12"/>
    <w:rsid w:val="00183E70"/>
    <w:rsid w:val="001842E9"/>
    <w:rsid w:val="001846C6"/>
    <w:rsid w:val="00184925"/>
    <w:rsid w:val="00184986"/>
    <w:rsid w:val="00184997"/>
    <w:rsid w:val="00184C7F"/>
    <w:rsid w:val="00184DE4"/>
    <w:rsid w:val="00184F0F"/>
    <w:rsid w:val="0018518E"/>
    <w:rsid w:val="00185321"/>
    <w:rsid w:val="00185482"/>
    <w:rsid w:val="00185523"/>
    <w:rsid w:val="001859BD"/>
    <w:rsid w:val="00185CF7"/>
    <w:rsid w:val="00185F4F"/>
    <w:rsid w:val="001863A9"/>
    <w:rsid w:val="0018654B"/>
    <w:rsid w:val="0018675E"/>
    <w:rsid w:val="00186A8A"/>
    <w:rsid w:val="00186E8F"/>
    <w:rsid w:val="00186FD9"/>
    <w:rsid w:val="001871B8"/>
    <w:rsid w:val="0018768C"/>
    <w:rsid w:val="0018796E"/>
    <w:rsid w:val="0019005D"/>
    <w:rsid w:val="00190292"/>
    <w:rsid w:val="0019040D"/>
    <w:rsid w:val="001906E6"/>
    <w:rsid w:val="001908B7"/>
    <w:rsid w:val="00190E5A"/>
    <w:rsid w:val="00190FBF"/>
    <w:rsid w:val="00190FC7"/>
    <w:rsid w:val="0019172F"/>
    <w:rsid w:val="00191860"/>
    <w:rsid w:val="001919AC"/>
    <w:rsid w:val="00191FF4"/>
    <w:rsid w:val="001926B4"/>
    <w:rsid w:val="00192BA0"/>
    <w:rsid w:val="00192D11"/>
    <w:rsid w:val="0019318B"/>
    <w:rsid w:val="001936B4"/>
    <w:rsid w:val="00193786"/>
    <w:rsid w:val="00193C20"/>
    <w:rsid w:val="00193E54"/>
    <w:rsid w:val="00193EDF"/>
    <w:rsid w:val="001940DA"/>
    <w:rsid w:val="00194231"/>
    <w:rsid w:val="00194931"/>
    <w:rsid w:val="00194FA0"/>
    <w:rsid w:val="0019568B"/>
    <w:rsid w:val="00195EB8"/>
    <w:rsid w:val="00196444"/>
    <w:rsid w:val="00196812"/>
    <w:rsid w:val="00196A19"/>
    <w:rsid w:val="00196CFA"/>
    <w:rsid w:val="00197303"/>
    <w:rsid w:val="0019730E"/>
    <w:rsid w:val="0019741C"/>
    <w:rsid w:val="001977CC"/>
    <w:rsid w:val="00197A29"/>
    <w:rsid w:val="00197B36"/>
    <w:rsid w:val="00197BA9"/>
    <w:rsid w:val="001A0103"/>
    <w:rsid w:val="001A0377"/>
    <w:rsid w:val="001A0777"/>
    <w:rsid w:val="001A08DF"/>
    <w:rsid w:val="001A0A14"/>
    <w:rsid w:val="001A107D"/>
    <w:rsid w:val="001A1094"/>
    <w:rsid w:val="001A1368"/>
    <w:rsid w:val="001A1580"/>
    <w:rsid w:val="001A179C"/>
    <w:rsid w:val="001A17B2"/>
    <w:rsid w:val="001A17EA"/>
    <w:rsid w:val="001A2081"/>
    <w:rsid w:val="001A20CD"/>
    <w:rsid w:val="001A22AA"/>
    <w:rsid w:val="001A2A05"/>
    <w:rsid w:val="001A2E70"/>
    <w:rsid w:val="001A360E"/>
    <w:rsid w:val="001A37B6"/>
    <w:rsid w:val="001A3EE9"/>
    <w:rsid w:val="001A48DB"/>
    <w:rsid w:val="001A4B20"/>
    <w:rsid w:val="001A4D7F"/>
    <w:rsid w:val="001A4DDB"/>
    <w:rsid w:val="001A5166"/>
    <w:rsid w:val="001A548F"/>
    <w:rsid w:val="001A54E6"/>
    <w:rsid w:val="001A555A"/>
    <w:rsid w:val="001A5CC8"/>
    <w:rsid w:val="001A5EC4"/>
    <w:rsid w:val="001A60B7"/>
    <w:rsid w:val="001A61BA"/>
    <w:rsid w:val="001A6274"/>
    <w:rsid w:val="001A63CE"/>
    <w:rsid w:val="001A6E4F"/>
    <w:rsid w:val="001A6EA9"/>
    <w:rsid w:val="001A6F9C"/>
    <w:rsid w:val="001A7758"/>
    <w:rsid w:val="001A7849"/>
    <w:rsid w:val="001A7980"/>
    <w:rsid w:val="001A7A18"/>
    <w:rsid w:val="001A7B58"/>
    <w:rsid w:val="001A7CFC"/>
    <w:rsid w:val="001A7DD7"/>
    <w:rsid w:val="001A7E8F"/>
    <w:rsid w:val="001A7EB7"/>
    <w:rsid w:val="001A7F40"/>
    <w:rsid w:val="001B00F7"/>
    <w:rsid w:val="001B02F4"/>
    <w:rsid w:val="001B03FD"/>
    <w:rsid w:val="001B0702"/>
    <w:rsid w:val="001B0C8C"/>
    <w:rsid w:val="001B0F6E"/>
    <w:rsid w:val="001B1237"/>
    <w:rsid w:val="001B1248"/>
    <w:rsid w:val="001B1565"/>
    <w:rsid w:val="001B166D"/>
    <w:rsid w:val="001B1C08"/>
    <w:rsid w:val="001B1E27"/>
    <w:rsid w:val="001B23BA"/>
    <w:rsid w:val="001B2440"/>
    <w:rsid w:val="001B28B5"/>
    <w:rsid w:val="001B2917"/>
    <w:rsid w:val="001B2975"/>
    <w:rsid w:val="001B297A"/>
    <w:rsid w:val="001B298C"/>
    <w:rsid w:val="001B2EA2"/>
    <w:rsid w:val="001B2F98"/>
    <w:rsid w:val="001B3060"/>
    <w:rsid w:val="001B32EC"/>
    <w:rsid w:val="001B37CF"/>
    <w:rsid w:val="001B3D9A"/>
    <w:rsid w:val="001B41B1"/>
    <w:rsid w:val="001B41C3"/>
    <w:rsid w:val="001B4613"/>
    <w:rsid w:val="001B465B"/>
    <w:rsid w:val="001B492D"/>
    <w:rsid w:val="001B49A1"/>
    <w:rsid w:val="001B4D1D"/>
    <w:rsid w:val="001B4F43"/>
    <w:rsid w:val="001B50BF"/>
    <w:rsid w:val="001B573C"/>
    <w:rsid w:val="001B5792"/>
    <w:rsid w:val="001B5858"/>
    <w:rsid w:val="001B634D"/>
    <w:rsid w:val="001B641B"/>
    <w:rsid w:val="001B6629"/>
    <w:rsid w:val="001B66DD"/>
    <w:rsid w:val="001B69BA"/>
    <w:rsid w:val="001B6C52"/>
    <w:rsid w:val="001B7076"/>
    <w:rsid w:val="001B70D5"/>
    <w:rsid w:val="001B79DB"/>
    <w:rsid w:val="001B7C36"/>
    <w:rsid w:val="001C0198"/>
    <w:rsid w:val="001C04D2"/>
    <w:rsid w:val="001C0748"/>
    <w:rsid w:val="001C0E54"/>
    <w:rsid w:val="001C106C"/>
    <w:rsid w:val="001C122D"/>
    <w:rsid w:val="001C196C"/>
    <w:rsid w:val="001C1A14"/>
    <w:rsid w:val="001C1E0C"/>
    <w:rsid w:val="001C20E4"/>
    <w:rsid w:val="001C239B"/>
    <w:rsid w:val="001C23FB"/>
    <w:rsid w:val="001C2761"/>
    <w:rsid w:val="001C29E9"/>
    <w:rsid w:val="001C2FA3"/>
    <w:rsid w:val="001C366C"/>
    <w:rsid w:val="001C36E6"/>
    <w:rsid w:val="001C3996"/>
    <w:rsid w:val="001C39EF"/>
    <w:rsid w:val="001C3A47"/>
    <w:rsid w:val="001C3A98"/>
    <w:rsid w:val="001C3E1E"/>
    <w:rsid w:val="001C46B9"/>
    <w:rsid w:val="001C48DC"/>
    <w:rsid w:val="001C49C2"/>
    <w:rsid w:val="001C4A8A"/>
    <w:rsid w:val="001C5005"/>
    <w:rsid w:val="001C527B"/>
    <w:rsid w:val="001C5B7A"/>
    <w:rsid w:val="001C5EC8"/>
    <w:rsid w:val="001C62E9"/>
    <w:rsid w:val="001C672C"/>
    <w:rsid w:val="001C6CEF"/>
    <w:rsid w:val="001C7443"/>
    <w:rsid w:val="001C75D2"/>
    <w:rsid w:val="001C7617"/>
    <w:rsid w:val="001C78A1"/>
    <w:rsid w:val="001C7E71"/>
    <w:rsid w:val="001C7EBF"/>
    <w:rsid w:val="001D02F2"/>
    <w:rsid w:val="001D038E"/>
    <w:rsid w:val="001D087E"/>
    <w:rsid w:val="001D0B42"/>
    <w:rsid w:val="001D0B8B"/>
    <w:rsid w:val="001D0BDF"/>
    <w:rsid w:val="001D0E4C"/>
    <w:rsid w:val="001D0FB8"/>
    <w:rsid w:val="001D12CA"/>
    <w:rsid w:val="001D1467"/>
    <w:rsid w:val="001D1605"/>
    <w:rsid w:val="001D1666"/>
    <w:rsid w:val="001D16F2"/>
    <w:rsid w:val="001D1768"/>
    <w:rsid w:val="001D19E1"/>
    <w:rsid w:val="001D25E0"/>
    <w:rsid w:val="001D25E9"/>
    <w:rsid w:val="001D26EC"/>
    <w:rsid w:val="001D2A82"/>
    <w:rsid w:val="001D2CA3"/>
    <w:rsid w:val="001D2F78"/>
    <w:rsid w:val="001D2F92"/>
    <w:rsid w:val="001D3250"/>
    <w:rsid w:val="001D32D0"/>
    <w:rsid w:val="001D3330"/>
    <w:rsid w:val="001D35CE"/>
    <w:rsid w:val="001D393B"/>
    <w:rsid w:val="001D3A37"/>
    <w:rsid w:val="001D3FC9"/>
    <w:rsid w:val="001D4492"/>
    <w:rsid w:val="001D48DF"/>
    <w:rsid w:val="001D4982"/>
    <w:rsid w:val="001D4B45"/>
    <w:rsid w:val="001D548E"/>
    <w:rsid w:val="001D569B"/>
    <w:rsid w:val="001D5A02"/>
    <w:rsid w:val="001D5D7D"/>
    <w:rsid w:val="001D5D92"/>
    <w:rsid w:val="001D6153"/>
    <w:rsid w:val="001D6230"/>
    <w:rsid w:val="001D6235"/>
    <w:rsid w:val="001D6632"/>
    <w:rsid w:val="001D6992"/>
    <w:rsid w:val="001D6A55"/>
    <w:rsid w:val="001D6AF1"/>
    <w:rsid w:val="001D6BC6"/>
    <w:rsid w:val="001D71F2"/>
    <w:rsid w:val="001D73E2"/>
    <w:rsid w:val="001D74C0"/>
    <w:rsid w:val="001D7544"/>
    <w:rsid w:val="001D75C8"/>
    <w:rsid w:val="001D7730"/>
    <w:rsid w:val="001D7839"/>
    <w:rsid w:val="001D7926"/>
    <w:rsid w:val="001D7DF7"/>
    <w:rsid w:val="001D7F4D"/>
    <w:rsid w:val="001E03C2"/>
    <w:rsid w:val="001E059E"/>
    <w:rsid w:val="001E0A62"/>
    <w:rsid w:val="001E0EA3"/>
    <w:rsid w:val="001E0ED4"/>
    <w:rsid w:val="001E0F10"/>
    <w:rsid w:val="001E151A"/>
    <w:rsid w:val="001E1827"/>
    <w:rsid w:val="001E1B5B"/>
    <w:rsid w:val="001E1DBD"/>
    <w:rsid w:val="001E1F58"/>
    <w:rsid w:val="001E2189"/>
    <w:rsid w:val="001E2585"/>
    <w:rsid w:val="001E2779"/>
    <w:rsid w:val="001E28CA"/>
    <w:rsid w:val="001E2940"/>
    <w:rsid w:val="001E297F"/>
    <w:rsid w:val="001E2CFE"/>
    <w:rsid w:val="001E2E96"/>
    <w:rsid w:val="001E2FF3"/>
    <w:rsid w:val="001E3569"/>
    <w:rsid w:val="001E38A7"/>
    <w:rsid w:val="001E3E37"/>
    <w:rsid w:val="001E3F72"/>
    <w:rsid w:val="001E4045"/>
    <w:rsid w:val="001E420B"/>
    <w:rsid w:val="001E4268"/>
    <w:rsid w:val="001E42D4"/>
    <w:rsid w:val="001E4600"/>
    <w:rsid w:val="001E4684"/>
    <w:rsid w:val="001E4995"/>
    <w:rsid w:val="001E4A60"/>
    <w:rsid w:val="001E4B26"/>
    <w:rsid w:val="001E4DC1"/>
    <w:rsid w:val="001E559E"/>
    <w:rsid w:val="001E5738"/>
    <w:rsid w:val="001E5B01"/>
    <w:rsid w:val="001E5C3A"/>
    <w:rsid w:val="001E5CDD"/>
    <w:rsid w:val="001E6097"/>
    <w:rsid w:val="001E64B6"/>
    <w:rsid w:val="001E6559"/>
    <w:rsid w:val="001E6651"/>
    <w:rsid w:val="001E670B"/>
    <w:rsid w:val="001E7083"/>
    <w:rsid w:val="001E7221"/>
    <w:rsid w:val="001E72C2"/>
    <w:rsid w:val="001E730C"/>
    <w:rsid w:val="001E73C8"/>
    <w:rsid w:val="001E7A85"/>
    <w:rsid w:val="001E7BC8"/>
    <w:rsid w:val="001F0076"/>
    <w:rsid w:val="001F03E2"/>
    <w:rsid w:val="001F0789"/>
    <w:rsid w:val="001F07D1"/>
    <w:rsid w:val="001F09DC"/>
    <w:rsid w:val="001F0A90"/>
    <w:rsid w:val="001F0F45"/>
    <w:rsid w:val="001F13DE"/>
    <w:rsid w:val="001F1584"/>
    <w:rsid w:val="001F1EA2"/>
    <w:rsid w:val="001F251D"/>
    <w:rsid w:val="001F26D9"/>
    <w:rsid w:val="001F2796"/>
    <w:rsid w:val="001F27C4"/>
    <w:rsid w:val="001F2931"/>
    <w:rsid w:val="001F3237"/>
    <w:rsid w:val="001F33A5"/>
    <w:rsid w:val="001F378D"/>
    <w:rsid w:val="001F3DBA"/>
    <w:rsid w:val="001F43E6"/>
    <w:rsid w:val="001F4443"/>
    <w:rsid w:val="001F481A"/>
    <w:rsid w:val="001F4CC3"/>
    <w:rsid w:val="001F4EB7"/>
    <w:rsid w:val="001F5326"/>
    <w:rsid w:val="001F55C0"/>
    <w:rsid w:val="001F5655"/>
    <w:rsid w:val="001F5BB6"/>
    <w:rsid w:val="001F5C93"/>
    <w:rsid w:val="001F5CED"/>
    <w:rsid w:val="001F5D0E"/>
    <w:rsid w:val="001F6206"/>
    <w:rsid w:val="001F63F2"/>
    <w:rsid w:val="001F659E"/>
    <w:rsid w:val="001F6AB3"/>
    <w:rsid w:val="001F6D34"/>
    <w:rsid w:val="001F7109"/>
    <w:rsid w:val="001F727B"/>
    <w:rsid w:val="001F746B"/>
    <w:rsid w:val="001F74C6"/>
    <w:rsid w:val="001F750A"/>
    <w:rsid w:val="001F7570"/>
    <w:rsid w:val="001F76CD"/>
    <w:rsid w:val="001F771E"/>
    <w:rsid w:val="001F783B"/>
    <w:rsid w:val="001F785D"/>
    <w:rsid w:val="001F789F"/>
    <w:rsid w:val="001F7B7B"/>
    <w:rsid w:val="001F7BE6"/>
    <w:rsid w:val="001F7E28"/>
    <w:rsid w:val="001F7F17"/>
    <w:rsid w:val="00200068"/>
    <w:rsid w:val="0020011E"/>
    <w:rsid w:val="00200384"/>
    <w:rsid w:val="00200587"/>
    <w:rsid w:val="0020074A"/>
    <w:rsid w:val="0020081C"/>
    <w:rsid w:val="002009A3"/>
    <w:rsid w:val="00200E86"/>
    <w:rsid w:val="00201047"/>
    <w:rsid w:val="0020126C"/>
    <w:rsid w:val="002014FD"/>
    <w:rsid w:val="0020154F"/>
    <w:rsid w:val="00201743"/>
    <w:rsid w:val="00201A0D"/>
    <w:rsid w:val="00201ABE"/>
    <w:rsid w:val="00201CD8"/>
    <w:rsid w:val="00202769"/>
    <w:rsid w:val="002028D2"/>
    <w:rsid w:val="002028DB"/>
    <w:rsid w:val="00202D2C"/>
    <w:rsid w:val="00203020"/>
    <w:rsid w:val="00203100"/>
    <w:rsid w:val="00203122"/>
    <w:rsid w:val="00203193"/>
    <w:rsid w:val="00203210"/>
    <w:rsid w:val="002032E9"/>
    <w:rsid w:val="002038A2"/>
    <w:rsid w:val="00203B34"/>
    <w:rsid w:val="00203D63"/>
    <w:rsid w:val="00203EDE"/>
    <w:rsid w:val="002042EF"/>
    <w:rsid w:val="0020440A"/>
    <w:rsid w:val="00204469"/>
    <w:rsid w:val="00204CD5"/>
    <w:rsid w:val="002055B2"/>
    <w:rsid w:val="002056DE"/>
    <w:rsid w:val="00205723"/>
    <w:rsid w:val="00205849"/>
    <w:rsid w:val="00205895"/>
    <w:rsid w:val="00205983"/>
    <w:rsid w:val="00205D23"/>
    <w:rsid w:val="002063B2"/>
    <w:rsid w:val="002067F4"/>
    <w:rsid w:val="0020692D"/>
    <w:rsid w:val="002069B8"/>
    <w:rsid w:val="002069D4"/>
    <w:rsid w:val="00206E9F"/>
    <w:rsid w:val="0020710D"/>
    <w:rsid w:val="00207780"/>
    <w:rsid w:val="00207DCB"/>
    <w:rsid w:val="00207E24"/>
    <w:rsid w:val="00210051"/>
    <w:rsid w:val="0021019F"/>
    <w:rsid w:val="0021023F"/>
    <w:rsid w:val="00210343"/>
    <w:rsid w:val="002105B4"/>
    <w:rsid w:val="002106D3"/>
    <w:rsid w:val="00210914"/>
    <w:rsid w:val="00210B21"/>
    <w:rsid w:val="002110DA"/>
    <w:rsid w:val="0021137D"/>
    <w:rsid w:val="002117C8"/>
    <w:rsid w:val="00211930"/>
    <w:rsid w:val="00211A7E"/>
    <w:rsid w:val="00211A95"/>
    <w:rsid w:val="00211D54"/>
    <w:rsid w:val="00211E45"/>
    <w:rsid w:val="00212266"/>
    <w:rsid w:val="0021258B"/>
    <w:rsid w:val="00212AB3"/>
    <w:rsid w:val="00212B3F"/>
    <w:rsid w:val="00213772"/>
    <w:rsid w:val="002139F1"/>
    <w:rsid w:val="00213C62"/>
    <w:rsid w:val="00213D7F"/>
    <w:rsid w:val="00214247"/>
    <w:rsid w:val="00214454"/>
    <w:rsid w:val="00214875"/>
    <w:rsid w:val="00214CAA"/>
    <w:rsid w:val="00215280"/>
    <w:rsid w:val="002153BD"/>
    <w:rsid w:val="00215497"/>
    <w:rsid w:val="00215602"/>
    <w:rsid w:val="00215790"/>
    <w:rsid w:val="0021594A"/>
    <w:rsid w:val="00215D8F"/>
    <w:rsid w:val="00215F0C"/>
    <w:rsid w:val="002161B1"/>
    <w:rsid w:val="00216238"/>
    <w:rsid w:val="002162E8"/>
    <w:rsid w:val="00216341"/>
    <w:rsid w:val="0021650A"/>
    <w:rsid w:val="00216563"/>
    <w:rsid w:val="00216728"/>
    <w:rsid w:val="00216938"/>
    <w:rsid w:val="00216BFF"/>
    <w:rsid w:val="00216CCF"/>
    <w:rsid w:val="00216D5A"/>
    <w:rsid w:val="00216F79"/>
    <w:rsid w:val="00217095"/>
    <w:rsid w:val="0021729B"/>
    <w:rsid w:val="002173BA"/>
    <w:rsid w:val="00217426"/>
    <w:rsid w:val="00217563"/>
    <w:rsid w:val="002178CC"/>
    <w:rsid w:val="00217A4B"/>
    <w:rsid w:val="00217B16"/>
    <w:rsid w:val="00217F28"/>
    <w:rsid w:val="00217F9B"/>
    <w:rsid w:val="0022026C"/>
    <w:rsid w:val="00220335"/>
    <w:rsid w:val="002204EE"/>
    <w:rsid w:val="0022057C"/>
    <w:rsid w:val="00220749"/>
    <w:rsid w:val="0022084E"/>
    <w:rsid w:val="00220971"/>
    <w:rsid w:val="00220A9B"/>
    <w:rsid w:val="00220BDD"/>
    <w:rsid w:val="00220D8C"/>
    <w:rsid w:val="00220DEE"/>
    <w:rsid w:val="00220DFB"/>
    <w:rsid w:val="00220F6B"/>
    <w:rsid w:val="00221080"/>
    <w:rsid w:val="0022133D"/>
    <w:rsid w:val="00221468"/>
    <w:rsid w:val="002216EE"/>
    <w:rsid w:val="002218C7"/>
    <w:rsid w:val="00221F87"/>
    <w:rsid w:val="00222245"/>
    <w:rsid w:val="00222342"/>
    <w:rsid w:val="00222435"/>
    <w:rsid w:val="0022245C"/>
    <w:rsid w:val="002224F4"/>
    <w:rsid w:val="002224F7"/>
    <w:rsid w:val="002226C1"/>
    <w:rsid w:val="002229F0"/>
    <w:rsid w:val="002231F6"/>
    <w:rsid w:val="002234BF"/>
    <w:rsid w:val="002239BB"/>
    <w:rsid w:val="00223B73"/>
    <w:rsid w:val="00223B98"/>
    <w:rsid w:val="00223D80"/>
    <w:rsid w:val="0022422C"/>
    <w:rsid w:val="00224322"/>
    <w:rsid w:val="00224728"/>
    <w:rsid w:val="00224734"/>
    <w:rsid w:val="00224B57"/>
    <w:rsid w:val="00224B68"/>
    <w:rsid w:val="00224D14"/>
    <w:rsid w:val="00224E0A"/>
    <w:rsid w:val="00224E46"/>
    <w:rsid w:val="00224E75"/>
    <w:rsid w:val="00224E79"/>
    <w:rsid w:val="00225049"/>
    <w:rsid w:val="002250AE"/>
    <w:rsid w:val="002257B5"/>
    <w:rsid w:val="00225E24"/>
    <w:rsid w:val="00225E28"/>
    <w:rsid w:val="0022610E"/>
    <w:rsid w:val="00226448"/>
    <w:rsid w:val="002264F4"/>
    <w:rsid w:val="00226EB6"/>
    <w:rsid w:val="00227157"/>
    <w:rsid w:val="002271F4"/>
    <w:rsid w:val="002271FB"/>
    <w:rsid w:val="0022724E"/>
    <w:rsid w:val="00227689"/>
    <w:rsid w:val="0022786E"/>
    <w:rsid w:val="00227B4F"/>
    <w:rsid w:val="00227E82"/>
    <w:rsid w:val="002301E4"/>
    <w:rsid w:val="00230666"/>
    <w:rsid w:val="002309DC"/>
    <w:rsid w:val="00230CF1"/>
    <w:rsid w:val="00230F5E"/>
    <w:rsid w:val="00231153"/>
    <w:rsid w:val="002311CF"/>
    <w:rsid w:val="00231924"/>
    <w:rsid w:val="00231A1F"/>
    <w:rsid w:val="00231BB9"/>
    <w:rsid w:val="00231C2D"/>
    <w:rsid w:val="00231F28"/>
    <w:rsid w:val="002321D7"/>
    <w:rsid w:val="002321F3"/>
    <w:rsid w:val="002323CF"/>
    <w:rsid w:val="00232454"/>
    <w:rsid w:val="0023252E"/>
    <w:rsid w:val="0023256C"/>
    <w:rsid w:val="002325A0"/>
    <w:rsid w:val="00233167"/>
    <w:rsid w:val="002333F6"/>
    <w:rsid w:val="002335BF"/>
    <w:rsid w:val="00233AB5"/>
    <w:rsid w:val="00233ED0"/>
    <w:rsid w:val="00234142"/>
    <w:rsid w:val="00234BC5"/>
    <w:rsid w:val="00234D77"/>
    <w:rsid w:val="00234E6F"/>
    <w:rsid w:val="00234F14"/>
    <w:rsid w:val="002350EC"/>
    <w:rsid w:val="002355FF"/>
    <w:rsid w:val="0023579D"/>
    <w:rsid w:val="0023604A"/>
    <w:rsid w:val="00236090"/>
    <w:rsid w:val="0023639E"/>
    <w:rsid w:val="00236478"/>
    <w:rsid w:val="00236561"/>
    <w:rsid w:val="00236A79"/>
    <w:rsid w:val="00236B39"/>
    <w:rsid w:val="00236B3E"/>
    <w:rsid w:val="00236D5F"/>
    <w:rsid w:val="0023736B"/>
    <w:rsid w:val="00237444"/>
    <w:rsid w:val="00237902"/>
    <w:rsid w:val="00237D90"/>
    <w:rsid w:val="00237EDE"/>
    <w:rsid w:val="002401DC"/>
    <w:rsid w:val="002402B6"/>
    <w:rsid w:val="0024079A"/>
    <w:rsid w:val="00240A54"/>
    <w:rsid w:val="00240AD7"/>
    <w:rsid w:val="00240DD1"/>
    <w:rsid w:val="00241328"/>
    <w:rsid w:val="00241773"/>
    <w:rsid w:val="00241AFC"/>
    <w:rsid w:val="00241BD9"/>
    <w:rsid w:val="00241C31"/>
    <w:rsid w:val="00241D1E"/>
    <w:rsid w:val="00241D7B"/>
    <w:rsid w:val="00241FA8"/>
    <w:rsid w:val="002420AB"/>
    <w:rsid w:val="002426D7"/>
    <w:rsid w:val="0024290B"/>
    <w:rsid w:val="0024292D"/>
    <w:rsid w:val="002429C2"/>
    <w:rsid w:val="00242AE0"/>
    <w:rsid w:val="00242DA9"/>
    <w:rsid w:val="0024329C"/>
    <w:rsid w:val="00243356"/>
    <w:rsid w:val="002433BD"/>
    <w:rsid w:val="00243670"/>
    <w:rsid w:val="00243831"/>
    <w:rsid w:val="00243AC4"/>
    <w:rsid w:val="00243BCB"/>
    <w:rsid w:val="00243CD9"/>
    <w:rsid w:val="00243D27"/>
    <w:rsid w:val="00243E9C"/>
    <w:rsid w:val="00243F72"/>
    <w:rsid w:val="002440FD"/>
    <w:rsid w:val="00244561"/>
    <w:rsid w:val="002447BB"/>
    <w:rsid w:val="002447E3"/>
    <w:rsid w:val="00244A5A"/>
    <w:rsid w:val="00245443"/>
    <w:rsid w:val="00245615"/>
    <w:rsid w:val="00245781"/>
    <w:rsid w:val="00245F54"/>
    <w:rsid w:val="00246533"/>
    <w:rsid w:val="002465BD"/>
    <w:rsid w:val="00246747"/>
    <w:rsid w:val="002469F6"/>
    <w:rsid w:val="00246BC0"/>
    <w:rsid w:val="00246BDF"/>
    <w:rsid w:val="00246D16"/>
    <w:rsid w:val="00247731"/>
    <w:rsid w:val="002478E4"/>
    <w:rsid w:val="00247BF7"/>
    <w:rsid w:val="00247D94"/>
    <w:rsid w:val="00247E13"/>
    <w:rsid w:val="00250113"/>
    <w:rsid w:val="0025061D"/>
    <w:rsid w:val="002506D5"/>
    <w:rsid w:val="00250729"/>
    <w:rsid w:val="0025072F"/>
    <w:rsid w:val="002507B8"/>
    <w:rsid w:val="00250AED"/>
    <w:rsid w:val="00250B15"/>
    <w:rsid w:val="00250B73"/>
    <w:rsid w:val="002517F7"/>
    <w:rsid w:val="00251A06"/>
    <w:rsid w:val="00251A71"/>
    <w:rsid w:val="00251A7A"/>
    <w:rsid w:val="00251E7C"/>
    <w:rsid w:val="002522DB"/>
    <w:rsid w:val="002523CC"/>
    <w:rsid w:val="002524AD"/>
    <w:rsid w:val="0025274B"/>
    <w:rsid w:val="00252892"/>
    <w:rsid w:val="002528CF"/>
    <w:rsid w:val="00252B32"/>
    <w:rsid w:val="00252E58"/>
    <w:rsid w:val="00253009"/>
    <w:rsid w:val="0025343B"/>
    <w:rsid w:val="00253677"/>
    <w:rsid w:val="00253965"/>
    <w:rsid w:val="002539F6"/>
    <w:rsid w:val="00253ABF"/>
    <w:rsid w:val="00253AFC"/>
    <w:rsid w:val="00253C45"/>
    <w:rsid w:val="00253F79"/>
    <w:rsid w:val="00253F89"/>
    <w:rsid w:val="00254188"/>
    <w:rsid w:val="002542D2"/>
    <w:rsid w:val="002542E7"/>
    <w:rsid w:val="00254613"/>
    <w:rsid w:val="00254875"/>
    <w:rsid w:val="002549DE"/>
    <w:rsid w:val="00254FA1"/>
    <w:rsid w:val="002552A1"/>
    <w:rsid w:val="00255692"/>
    <w:rsid w:val="002558E3"/>
    <w:rsid w:val="00255D04"/>
    <w:rsid w:val="00255D0C"/>
    <w:rsid w:val="00255D7F"/>
    <w:rsid w:val="00255EA6"/>
    <w:rsid w:val="0025634E"/>
    <w:rsid w:val="002563DA"/>
    <w:rsid w:val="002565FB"/>
    <w:rsid w:val="0025684B"/>
    <w:rsid w:val="00256A0B"/>
    <w:rsid w:val="00256A55"/>
    <w:rsid w:val="002570C6"/>
    <w:rsid w:val="0025795C"/>
    <w:rsid w:val="00257A40"/>
    <w:rsid w:val="00257B06"/>
    <w:rsid w:val="00257DE8"/>
    <w:rsid w:val="00257E75"/>
    <w:rsid w:val="00257F3A"/>
    <w:rsid w:val="00260135"/>
    <w:rsid w:val="00260221"/>
    <w:rsid w:val="00260916"/>
    <w:rsid w:val="002611AC"/>
    <w:rsid w:val="00261346"/>
    <w:rsid w:val="0026138F"/>
    <w:rsid w:val="002613D6"/>
    <w:rsid w:val="002614E3"/>
    <w:rsid w:val="00261AAD"/>
    <w:rsid w:val="00261ADA"/>
    <w:rsid w:val="00261D7C"/>
    <w:rsid w:val="00262625"/>
    <w:rsid w:val="002626A6"/>
    <w:rsid w:val="002627CE"/>
    <w:rsid w:val="0026303F"/>
    <w:rsid w:val="00263552"/>
    <w:rsid w:val="002635C2"/>
    <w:rsid w:val="00264621"/>
    <w:rsid w:val="002647B7"/>
    <w:rsid w:val="002649EC"/>
    <w:rsid w:val="00264A32"/>
    <w:rsid w:val="00264BB9"/>
    <w:rsid w:val="002650C3"/>
    <w:rsid w:val="00265845"/>
    <w:rsid w:val="00265932"/>
    <w:rsid w:val="00265BAB"/>
    <w:rsid w:val="00265CE0"/>
    <w:rsid w:val="0026629B"/>
    <w:rsid w:val="002664F4"/>
    <w:rsid w:val="002668C9"/>
    <w:rsid w:val="00266A30"/>
    <w:rsid w:val="00266A9F"/>
    <w:rsid w:val="00266B48"/>
    <w:rsid w:val="00266C16"/>
    <w:rsid w:val="00266E82"/>
    <w:rsid w:val="00266EC2"/>
    <w:rsid w:val="0026718F"/>
    <w:rsid w:val="002677DD"/>
    <w:rsid w:val="002679D5"/>
    <w:rsid w:val="00267ACD"/>
    <w:rsid w:val="002700E8"/>
    <w:rsid w:val="0027021A"/>
    <w:rsid w:val="0027051D"/>
    <w:rsid w:val="00270951"/>
    <w:rsid w:val="00270C3E"/>
    <w:rsid w:val="00270FF0"/>
    <w:rsid w:val="002710B6"/>
    <w:rsid w:val="002714EF"/>
    <w:rsid w:val="002714FD"/>
    <w:rsid w:val="002715C2"/>
    <w:rsid w:val="0027160E"/>
    <w:rsid w:val="00271690"/>
    <w:rsid w:val="00271982"/>
    <w:rsid w:val="00271ACF"/>
    <w:rsid w:val="00271CB6"/>
    <w:rsid w:val="00271D98"/>
    <w:rsid w:val="00271EA0"/>
    <w:rsid w:val="00271F80"/>
    <w:rsid w:val="0027246E"/>
    <w:rsid w:val="00272C4F"/>
    <w:rsid w:val="00272C5B"/>
    <w:rsid w:val="00273997"/>
    <w:rsid w:val="00273D6F"/>
    <w:rsid w:val="002742C2"/>
    <w:rsid w:val="0027436E"/>
    <w:rsid w:val="002744F6"/>
    <w:rsid w:val="00274CDA"/>
    <w:rsid w:val="00275261"/>
    <w:rsid w:val="0027535C"/>
    <w:rsid w:val="002753D4"/>
    <w:rsid w:val="0027553F"/>
    <w:rsid w:val="002759A5"/>
    <w:rsid w:val="00275B25"/>
    <w:rsid w:val="00275B2D"/>
    <w:rsid w:val="00275DB3"/>
    <w:rsid w:val="00275ECC"/>
    <w:rsid w:val="00275F94"/>
    <w:rsid w:val="0027612E"/>
    <w:rsid w:val="00276720"/>
    <w:rsid w:val="00276764"/>
    <w:rsid w:val="002769E7"/>
    <w:rsid w:val="00276C51"/>
    <w:rsid w:val="00276C8B"/>
    <w:rsid w:val="00277309"/>
    <w:rsid w:val="002773DE"/>
    <w:rsid w:val="002774CA"/>
    <w:rsid w:val="00277747"/>
    <w:rsid w:val="00277924"/>
    <w:rsid w:val="00277D04"/>
    <w:rsid w:val="00281443"/>
    <w:rsid w:val="002814C6"/>
    <w:rsid w:val="00281B9C"/>
    <w:rsid w:val="00281BBF"/>
    <w:rsid w:val="00281C92"/>
    <w:rsid w:val="00281D3D"/>
    <w:rsid w:val="0028206C"/>
    <w:rsid w:val="002821C3"/>
    <w:rsid w:val="00282381"/>
    <w:rsid w:val="0028251D"/>
    <w:rsid w:val="002825B9"/>
    <w:rsid w:val="00282821"/>
    <w:rsid w:val="002829A1"/>
    <w:rsid w:val="00282A8B"/>
    <w:rsid w:val="00282E6D"/>
    <w:rsid w:val="00283003"/>
    <w:rsid w:val="0028366E"/>
    <w:rsid w:val="00283B33"/>
    <w:rsid w:val="002840C5"/>
    <w:rsid w:val="002840D5"/>
    <w:rsid w:val="00284311"/>
    <w:rsid w:val="0028433F"/>
    <w:rsid w:val="002847B8"/>
    <w:rsid w:val="00284C9B"/>
    <w:rsid w:val="00284F8D"/>
    <w:rsid w:val="00285939"/>
    <w:rsid w:val="00285ABC"/>
    <w:rsid w:val="00285B0E"/>
    <w:rsid w:val="00285D7C"/>
    <w:rsid w:val="00285E7D"/>
    <w:rsid w:val="00285F4D"/>
    <w:rsid w:val="00286191"/>
    <w:rsid w:val="0028622F"/>
    <w:rsid w:val="0028681D"/>
    <w:rsid w:val="002868B0"/>
    <w:rsid w:val="00286B20"/>
    <w:rsid w:val="00286BC7"/>
    <w:rsid w:val="00287003"/>
    <w:rsid w:val="0028702E"/>
    <w:rsid w:val="002876E9"/>
    <w:rsid w:val="002877D6"/>
    <w:rsid w:val="002877F8"/>
    <w:rsid w:val="002878D0"/>
    <w:rsid w:val="00287A01"/>
    <w:rsid w:val="00287A8B"/>
    <w:rsid w:val="00287B86"/>
    <w:rsid w:val="00287C65"/>
    <w:rsid w:val="002900A0"/>
    <w:rsid w:val="002901EF"/>
    <w:rsid w:val="00290240"/>
    <w:rsid w:val="00290701"/>
    <w:rsid w:val="0029085C"/>
    <w:rsid w:val="0029087F"/>
    <w:rsid w:val="00290910"/>
    <w:rsid w:val="00290A1E"/>
    <w:rsid w:val="00290DAC"/>
    <w:rsid w:val="00291153"/>
    <w:rsid w:val="0029115D"/>
    <w:rsid w:val="0029123F"/>
    <w:rsid w:val="0029146A"/>
    <w:rsid w:val="002914E3"/>
    <w:rsid w:val="00291674"/>
    <w:rsid w:val="00291990"/>
    <w:rsid w:val="002919D4"/>
    <w:rsid w:val="002919F1"/>
    <w:rsid w:val="00291C2A"/>
    <w:rsid w:val="00291D11"/>
    <w:rsid w:val="00291E24"/>
    <w:rsid w:val="00292107"/>
    <w:rsid w:val="00292145"/>
    <w:rsid w:val="002922EA"/>
    <w:rsid w:val="0029250E"/>
    <w:rsid w:val="00292629"/>
    <w:rsid w:val="002926BD"/>
    <w:rsid w:val="00292722"/>
    <w:rsid w:val="00292767"/>
    <w:rsid w:val="00292875"/>
    <w:rsid w:val="00292AED"/>
    <w:rsid w:val="00292D29"/>
    <w:rsid w:val="00292FFE"/>
    <w:rsid w:val="002930D1"/>
    <w:rsid w:val="00293159"/>
    <w:rsid w:val="0029347E"/>
    <w:rsid w:val="002939B6"/>
    <w:rsid w:val="00293D06"/>
    <w:rsid w:val="00294239"/>
    <w:rsid w:val="002943D9"/>
    <w:rsid w:val="002944F6"/>
    <w:rsid w:val="002945F6"/>
    <w:rsid w:val="00294625"/>
    <w:rsid w:val="00294960"/>
    <w:rsid w:val="00294AD4"/>
    <w:rsid w:val="00294F08"/>
    <w:rsid w:val="00294F50"/>
    <w:rsid w:val="002952AF"/>
    <w:rsid w:val="00295402"/>
    <w:rsid w:val="0029574E"/>
    <w:rsid w:val="0029595E"/>
    <w:rsid w:val="00295BF9"/>
    <w:rsid w:val="00295CAC"/>
    <w:rsid w:val="00295EA8"/>
    <w:rsid w:val="00296313"/>
    <w:rsid w:val="002963FB"/>
    <w:rsid w:val="0029650E"/>
    <w:rsid w:val="00296704"/>
    <w:rsid w:val="00296847"/>
    <w:rsid w:val="00296C82"/>
    <w:rsid w:val="00296CC1"/>
    <w:rsid w:val="00297031"/>
    <w:rsid w:val="00297266"/>
    <w:rsid w:val="00297A6A"/>
    <w:rsid w:val="00297CEA"/>
    <w:rsid w:val="00297D32"/>
    <w:rsid w:val="002A0183"/>
    <w:rsid w:val="002A01DA"/>
    <w:rsid w:val="002A0209"/>
    <w:rsid w:val="002A04B9"/>
    <w:rsid w:val="002A05E7"/>
    <w:rsid w:val="002A07D6"/>
    <w:rsid w:val="002A0979"/>
    <w:rsid w:val="002A0A49"/>
    <w:rsid w:val="002A0C12"/>
    <w:rsid w:val="002A0ED1"/>
    <w:rsid w:val="002A11C4"/>
    <w:rsid w:val="002A141B"/>
    <w:rsid w:val="002A1488"/>
    <w:rsid w:val="002A16B7"/>
    <w:rsid w:val="002A1AB5"/>
    <w:rsid w:val="002A1B10"/>
    <w:rsid w:val="002A1E26"/>
    <w:rsid w:val="002A1E64"/>
    <w:rsid w:val="002A203A"/>
    <w:rsid w:val="002A2045"/>
    <w:rsid w:val="002A26B6"/>
    <w:rsid w:val="002A298F"/>
    <w:rsid w:val="002A2CBF"/>
    <w:rsid w:val="002A2CDB"/>
    <w:rsid w:val="002A2DE5"/>
    <w:rsid w:val="002A2F3E"/>
    <w:rsid w:val="002A30C7"/>
    <w:rsid w:val="002A3187"/>
    <w:rsid w:val="002A31DF"/>
    <w:rsid w:val="002A325F"/>
    <w:rsid w:val="002A3663"/>
    <w:rsid w:val="002A3B05"/>
    <w:rsid w:val="002A3B2F"/>
    <w:rsid w:val="002A3B6C"/>
    <w:rsid w:val="002A4108"/>
    <w:rsid w:val="002A4118"/>
    <w:rsid w:val="002A465D"/>
    <w:rsid w:val="002A4749"/>
    <w:rsid w:val="002A4985"/>
    <w:rsid w:val="002A4DF0"/>
    <w:rsid w:val="002A5389"/>
    <w:rsid w:val="002A542F"/>
    <w:rsid w:val="002A5B70"/>
    <w:rsid w:val="002A5C96"/>
    <w:rsid w:val="002A66B6"/>
    <w:rsid w:val="002A6890"/>
    <w:rsid w:val="002A6A4E"/>
    <w:rsid w:val="002A6B82"/>
    <w:rsid w:val="002A6DBB"/>
    <w:rsid w:val="002A6F3D"/>
    <w:rsid w:val="002A7064"/>
    <w:rsid w:val="002A7392"/>
    <w:rsid w:val="002A7473"/>
    <w:rsid w:val="002A7554"/>
    <w:rsid w:val="002A75F0"/>
    <w:rsid w:val="002A7654"/>
    <w:rsid w:val="002A769F"/>
    <w:rsid w:val="002A78D2"/>
    <w:rsid w:val="002A7C6A"/>
    <w:rsid w:val="002A7DC1"/>
    <w:rsid w:val="002A7E7F"/>
    <w:rsid w:val="002B025B"/>
    <w:rsid w:val="002B06B5"/>
    <w:rsid w:val="002B07A5"/>
    <w:rsid w:val="002B0958"/>
    <w:rsid w:val="002B0CEB"/>
    <w:rsid w:val="002B0E30"/>
    <w:rsid w:val="002B0EFF"/>
    <w:rsid w:val="002B101E"/>
    <w:rsid w:val="002B1185"/>
    <w:rsid w:val="002B172D"/>
    <w:rsid w:val="002B1898"/>
    <w:rsid w:val="002B1931"/>
    <w:rsid w:val="002B1964"/>
    <w:rsid w:val="002B1AA8"/>
    <w:rsid w:val="002B1AC4"/>
    <w:rsid w:val="002B1B90"/>
    <w:rsid w:val="002B21BA"/>
    <w:rsid w:val="002B228B"/>
    <w:rsid w:val="002B2645"/>
    <w:rsid w:val="002B2797"/>
    <w:rsid w:val="002B2C8E"/>
    <w:rsid w:val="002B2D99"/>
    <w:rsid w:val="002B2F39"/>
    <w:rsid w:val="002B2F7C"/>
    <w:rsid w:val="002B3108"/>
    <w:rsid w:val="002B32E3"/>
    <w:rsid w:val="002B33CB"/>
    <w:rsid w:val="002B372B"/>
    <w:rsid w:val="002B378A"/>
    <w:rsid w:val="002B3AB9"/>
    <w:rsid w:val="002B40A3"/>
    <w:rsid w:val="002B446D"/>
    <w:rsid w:val="002B505E"/>
    <w:rsid w:val="002B5134"/>
    <w:rsid w:val="002B5312"/>
    <w:rsid w:val="002B599E"/>
    <w:rsid w:val="002B59C4"/>
    <w:rsid w:val="002B5A85"/>
    <w:rsid w:val="002B5C13"/>
    <w:rsid w:val="002B5D93"/>
    <w:rsid w:val="002B5F84"/>
    <w:rsid w:val="002B625E"/>
    <w:rsid w:val="002B63A7"/>
    <w:rsid w:val="002B6945"/>
    <w:rsid w:val="002B6A3B"/>
    <w:rsid w:val="002B6C13"/>
    <w:rsid w:val="002B7010"/>
    <w:rsid w:val="002B76D1"/>
    <w:rsid w:val="002B78C1"/>
    <w:rsid w:val="002B7CD8"/>
    <w:rsid w:val="002B7E54"/>
    <w:rsid w:val="002B7EFB"/>
    <w:rsid w:val="002B7FBD"/>
    <w:rsid w:val="002C011A"/>
    <w:rsid w:val="002C0166"/>
    <w:rsid w:val="002C0203"/>
    <w:rsid w:val="002C060B"/>
    <w:rsid w:val="002C081B"/>
    <w:rsid w:val="002C0D82"/>
    <w:rsid w:val="002C0D9D"/>
    <w:rsid w:val="002C0D9E"/>
    <w:rsid w:val="002C0F8D"/>
    <w:rsid w:val="002C1155"/>
    <w:rsid w:val="002C1282"/>
    <w:rsid w:val="002C1468"/>
    <w:rsid w:val="002C1892"/>
    <w:rsid w:val="002C1AA0"/>
    <w:rsid w:val="002C1BB4"/>
    <w:rsid w:val="002C1CD5"/>
    <w:rsid w:val="002C21C8"/>
    <w:rsid w:val="002C2248"/>
    <w:rsid w:val="002C224C"/>
    <w:rsid w:val="002C2485"/>
    <w:rsid w:val="002C2643"/>
    <w:rsid w:val="002C2B8E"/>
    <w:rsid w:val="002C2FB3"/>
    <w:rsid w:val="002C35B2"/>
    <w:rsid w:val="002C380C"/>
    <w:rsid w:val="002C3CC9"/>
    <w:rsid w:val="002C3D5D"/>
    <w:rsid w:val="002C3DA3"/>
    <w:rsid w:val="002C3E08"/>
    <w:rsid w:val="002C4073"/>
    <w:rsid w:val="002C40B2"/>
    <w:rsid w:val="002C4154"/>
    <w:rsid w:val="002C4464"/>
    <w:rsid w:val="002C46BC"/>
    <w:rsid w:val="002C54F7"/>
    <w:rsid w:val="002C5543"/>
    <w:rsid w:val="002C5967"/>
    <w:rsid w:val="002C59D7"/>
    <w:rsid w:val="002C5E88"/>
    <w:rsid w:val="002C5ECA"/>
    <w:rsid w:val="002C627A"/>
    <w:rsid w:val="002C6473"/>
    <w:rsid w:val="002C64B3"/>
    <w:rsid w:val="002C68F2"/>
    <w:rsid w:val="002C6BE4"/>
    <w:rsid w:val="002C6C38"/>
    <w:rsid w:val="002C6E14"/>
    <w:rsid w:val="002C70FF"/>
    <w:rsid w:val="002C7886"/>
    <w:rsid w:val="002C7F85"/>
    <w:rsid w:val="002C7FB7"/>
    <w:rsid w:val="002D0545"/>
    <w:rsid w:val="002D0EEF"/>
    <w:rsid w:val="002D0F7F"/>
    <w:rsid w:val="002D1024"/>
    <w:rsid w:val="002D1216"/>
    <w:rsid w:val="002D1253"/>
    <w:rsid w:val="002D1563"/>
    <w:rsid w:val="002D18F5"/>
    <w:rsid w:val="002D198D"/>
    <w:rsid w:val="002D1BDE"/>
    <w:rsid w:val="002D21A4"/>
    <w:rsid w:val="002D22CC"/>
    <w:rsid w:val="002D2634"/>
    <w:rsid w:val="002D2A9A"/>
    <w:rsid w:val="002D2F81"/>
    <w:rsid w:val="002D3138"/>
    <w:rsid w:val="002D3468"/>
    <w:rsid w:val="002D3B91"/>
    <w:rsid w:val="002D3BE5"/>
    <w:rsid w:val="002D3C9C"/>
    <w:rsid w:val="002D3FF9"/>
    <w:rsid w:val="002D43AC"/>
    <w:rsid w:val="002D49BD"/>
    <w:rsid w:val="002D4B75"/>
    <w:rsid w:val="002D4BD8"/>
    <w:rsid w:val="002D4F68"/>
    <w:rsid w:val="002D515F"/>
    <w:rsid w:val="002D583B"/>
    <w:rsid w:val="002D5848"/>
    <w:rsid w:val="002D6DC3"/>
    <w:rsid w:val="002D6EAD"/>
    <w:rsid w:val="002D7027"/>
    <w:rsid w:val="002D7036"/>
    <w:rsid w:val="002D70E8"/>
    <w:rsid w:val="002D7186"/>
    <w:rsid w:val="002D748D"/>
    <w:rsid w:val="002D74D9"/>
    <w:rsid w:val="002D7989"/>
    <w:rsid w:val="002E008F"/>
    <w:rsid w:val="002E00D9"/>
    <w:rsid w:val="002E0198"/>
    <w:rsid w:val="002E0564"/>
    <w:rsid w:val="002E06E1"/>
    <w:rsid w:val="002E08FF"/>
    <w:rsid w:val="002E0FDC"/>
    <w:rsid w:val="002E11A5"/>
    <w:rsid w:val="002E15F6"/>
    <w:rsid w:val="002E1906"/>
    <w:rsid w:val="002E1B32"/>
    <w:rsid w:val="002E1BFD"/>
    <w:rsid w:val="002E1D26"/>
    <w:rsid w:val="002E1D7C"/>
    <w:rsid w:val="002E1E72"/>
    <w:rsid w:val="002E21DF"/>
    <w:rsid w:val="002E2574"/>
    <w:rsid w:val="002E2748"/>
    <w:rsid w:val="002E2A0A"/>
    <w:rsid w:val="002E2FE7"/>
    <w:rsid w:val="002E3042"/>
    <w:rsid w:val="002E3087"/>
    <w:rsid w:val="002E356D"/>
    <w:rsid w:val="002E35B3"/>
    <w:rsid w:val="002E3878"/>
    <w:rsid w:val="002E4058"/>
    <w:rsid w:val="002E4350"/>
    <w:rsid w:val="002E4CC2"/>
    <w:rsid w:val="002E4F36"/>
    <w:rsid w:val="002E57D1"/>
    <w:rsid w:val="002E5ABD"/>
    <w:rsid w:val="002E5E49"/>
    <w:rsid w:val="002E65CA"/>
    <w:rsid w:val="002E6632"/>
    <w:rsid w:val="002E694A"/>
    <w:rsid w:val="002E6961"/>
    <w:rsid w:val="002E6B06"/>
    <w:rsid w:val="002E6D80"/>
    <w:rsid w:val="002E73A7"/>
    <w:rsid w:val="002E75FE"/>
    <w:rsid w:val="002E76C0"/>
    <w:rsid w:val="002E781D"/>
    <w:rsid w:val="002E7952"/>
    <w:rsid w:val="002E7B0D"/>
    <w:rsid w:val="002F01F8"/>
    <w:rsid w:val="002F04F5"/>
    <w:rsid w:val="002F05F2"/>
    <w:rsid w:val="002F0966"/>
    <w:rsid w:val="002F0DFA"/>
    <w:rsid w:val="002F18A7"/>
    <w:rsid w:val="002F1AF0"/>
    <w:rsid w:val="002F1BA7"/>
    <w:rsid w:val="002F1CCD"/>
    <w:rsid w:val="002F1CEE"/>
    <w:rsid w:val="002F1EB3"/>
    <w:rsid w:val="002F2156"/>
    <w:rsid w:val="002F2828"/>
    <w:rsid w:val="002F2A2F"/>
    <w:rsid w:val="002F2A7E"/>
    <w:rsid w:val="002F2AC6"/>
    <w:rsid w:val="002F2C6B"/>
    <w:rsid w:val="002F2C81"/>
    <w:rsid w:val="002F2EDE"/>
    <w:rsid w:val="002F313A"/>
    <w:rsid w:val="002F32FF"/>
    <w:rsid w:val="002F35F3"/>
    <w:rsid w:val="002F360E"/>
    <w:rsid w:val="002F3AF5"/>
    <w:rsid w:val="002F3B64"/>
    <w:rsid w:val="002F3C20"/>
    <w:rsid w:val="002F3F42"/>
    <w:rsid w:val="002F3FCB"/>
    <w:rsid w:val="002F4455"/>
    <w:rsid w:val="002F449B"/>
    <w:rsid w:val="002F48B4"/>
    <w:rsid w:val="002F48B6"/>
    <w:rsid w:val="002F4B66"/>
    <w:rsid w:val="002F4C90"/>
    <w:rsid w:val="002F4D86"/>
    <w:rsid w:val="002F4ECE"/>
    <w:rsid w:val="002F4F8A"/>
    <w:rsid w:val="002F5896"/>
    <w:rsid w:val="002F59A4"/>
    <w:rsid w:val="002F5A71"/>
    <w:rsid w:val="002F5B4A"/>
    <w:rsid w:val="002F5C47"/>
    <w:rsid w:val="002F5CE9"/>
    <w:rsid w:val="002F5D69"/>
    <w:rsid w:val="002F6093"/>
    <w:rsid w:val="002F61B7"/>
    <w:rsid w:val="002F631D"/>
    <w:rsid w:val="002F6401"/>
    <w:rsid w:val="002F66D4"/>
    <w:rsid w:val="002F6740"/>
    <w:rsid w:val="002F68B6"/>
    <w:rsid w:val="002F6949"/>
    <w:rsid w:val="002F69D1"/>
    <w:rsid w:val="002F6FAA"/>
    <w:rsid w:val="002F77A1"/>
    <w:rsid w:val="002F7917"/>
    <w:rsid w:val="002F7AF6"/>
    <w:rsid w:val="002F7C77"/>
    <w:rsid w:val="00300181"/>
    <w:rsid w:val="00300235"/>
    <w:rsid w:val="00300363"/>
    <w:rsid w:val="003004BC"/>
    <w:rsid w:val="00300509"/>
    <w:rsid w:val="00300554"/>
    <w:rsid w:val="0030060B"/>
    <w:rsid w:val="00300938"/>
    <w:rsid w:val="003009B2"/>
    <w:rsid w:val="00300C89"/>
    <w:rsid w:val="00300CB3"/>
    <w:rsid w:val="00300E46"/>
    <w:rsid w:val="00300EB2"/>
    <w:rsid w:val="00300EF1"/>
    <w:rsid w:val="003015DF"/>
    <w:rsid w:val="00301B95"/>
    <w:rsid w:val="00301DC5"/>
    <w:rsid w:val="00301EC4"/>
    <w:rsid w:val="003022D7"/>
    <w:rsid w:val="00302334"/>
    <w:rsid w:val="00302403"/>
    <w:rsid w:val="00302689"/>
    <w:rsid w:val="00302979"/>
    <w:rsid w:val="00302C38"/>
    <w:rsid w:val="00302C58"/>
    <w:rsid w:val="00303167"/>
    <w:rsid w:val="003031A4"/>
    <w:rsid w:val="00303233"/>
    <w:rsid w:val="00303308"/>
    <w:rsid w:val="00303683"/>
    <w:rsid w:val="00303884"/>
    <w:rsid w:val="003038CF"/>
    <w:rsid w:val="0030394B"/>
    <w:rsid w:val="00303B15"/>
    <w:rsid w:val="00303EE5"/>
    <w:rsid w:val="003040E3"/>
    <w:rsid w:val="0030427A"/>
    <w:rsid w:val="0030435A"/>
    <w:rsid w:val="003046C3"/>
    <w:rsid w:val="003049DB"/>
    <w:rsid w:val="00304B28"/>
    <w:rsid w:val="00304C2C"/>
    <w:rsid w:val="00304C4A"/>
    <w:rsid w:val="00304DF4"/>
    <w:rsid w:val="00304EF6"/>
    <w:rsid w:val="00305305"/>
    <w:rsid w:val="00305664"/>
    <w:rsid w:val="00305AAC"/>
    <w:rsid w:val="00305F43"/>
    <w:rsid w:val="003063E0"/>
    <w:rsid w:val="00306F5B"/>
    <w:rsid w:val="003072C6"/>
    <w:rsid w:val="003074F5"/>
    <w:rsid w:val="00307506"/>
    <w:rsid w:val="00307E76"/>
    <w:rsid w:val="00307E82"/>
    <w:rsid w:val="00307F9A"/>
    <w:rsid w:val="00310090"/>
    <w:rsid w:val="003103CB"/>
    <w:rsid w:val="0031077F"/>
    <w:rsid w:val="003107C5"/>
    <w:rsid w:val="0031092B"/>
    <w:rsid w:val="00310D8E"/>
    <w:rsid w:val="00311922"/>
    <w:rsid w:val="00311A24"/>
    <w:rsid w:val="00311C86"/>
    <w:rsid w:val="0031214E"/>
    <w:rsid w:val="003121BD"/>
    <w:rsid w:val="003122EB"/>
    <w:rsid w:val="0031242E"/>
    <w:rsid w:val="00312469"/>
    <w:rsid w:val="003124F4"/>
    <w:rsid w:val="00312683"/>
    <w:rsid w:val="003126BA"/>
    <w:rsid w:val="003127BF"/>
    <w:rsid w:val="003127E3"/>
    <w:rsid w:val="00312A6C"/>
    <w:rsid w:val="00312EB4"/>
    <w:rsid w:val="00312EC7"/>
    <w:rsid w:val="00313494"/>
    <w:rsid w:val="003134EB"/>
    <w:rsid w:val="00313880"/>
    <w:rsid w:val="003138C3"/>
    <w:rsid w:val="003139FF"/>
    <w:rsid w:val="00314164"/>
    <w:rsid w:val="00314350"/>
    <w:rsid w:val="00314A5E"/>
    <w:rsid w:val="00314AED"/>
    <w:rsid w:val="00314B88"/>
    <w:rsid w:val="00314DD8"/>
    <w:rsid w:val="0031529D"/>
    <w:rsid w:val="00315A2B"/>
    <w:rsid w:val="00315A3C"/>
    <w:rsid w:val="00315BBD"/>
    <w:rsid w:val="00315CF6"/>
    <w:rsid w:val="00315FAF"/>
    <w:rsid w:val="003161C6"/>
    <w:rsid w:val="00316478"/>
    <w:rsid w:val="00316695"/>
    <w:rsid w:val="00316762"/>
    <w:rsid w:val="00316A60"/>
    <w:rsid w:val="00316A97"/>
    <w:rsid w:val="00316ABA"/>
    <w:rsid w:val="00316C54"/>
    <w:rsid w:val="003172B3"/>
    <w:rsid w:val="00317418"/>
    <w:rsid w:val="0031753A"/>
    <w:rsid w:val="00317614"/>
    <w:rsid w:val="003176C9"/>
    <w:rsid w:val="00317801"/>
    <w:rsid w:val="00317888"/>
    <w:rsid w:val="00317F84"/>
    <w:rsid w:val="0032004F"/>
    <w:rsid w:val="00320089"/>
    <w:rsid w:val="00320172"/>
    <w:rsid w:val="00320293"/>
    <w:rsid w:val="0032059C"/>
    <w:rsid w:val="00320A8F"/>
    <w:rsid w:val="00320BBA"/>
    <w:rsid w:val="00320D61"/>
    <w:rsid w:val="00320DEB"/>
    <w:rsid w:val="00320E5D"/>
    <w:rsid w:val="00320FAA"/>
    <w:rsid w:val="00321145"/>
    <w:rsid w:val="0032128E"/>
    <w:rsid w:val="003215D7"/>
    <w:rsid w:val="003216AB"/>
    <w:rsid w:val="003219F3"/>
    <w:rsid w:val="00321BE4"/>
    <w:rsid w:val="003221A8"/>
    <w:rsid w:val="003223C7"/>
    <w:rsid w:val="0032280B"/>
    <w:rsid w:val="00322C89"/>
    <w:rsid w:val="00322CC2"/>
    <w:rsid w:val="0032316E"/>
    <w:rsid w:val="00323202"/>
    <w:rsid w:val="003234C0"/>
    <w:rsid w:val="003236A5"/>
    <w:rsid w:val="00323791"/>
    <w:rsid w:val="00323990"/>
    <w:rsid w:val="00323ADD"/>
    <w:rsid w:val="00323C12"/>
    <w:rsid w:val="0032411A"/>
    <w:rsid w:val="003245E5"/>
    <w:rsid w:val="00324C87"/>
    <w:rsid w:val="00324CFD"/>
    <w:rsid w:val="00324D97"/>
    <w:rsid w:val="00324E77"/>
    <w:rsid w:val="00324E8B"/>
    <w:rsid w:val="00324ECA"/>
    <w:rsid w:val="00325252"/>
    <w:rsid w:val="00325562"/>
    <w:rsid w:val="00325BDF"/>
    <w:rsid w:val="00325CB9"/>
    <w:rsid w:val="00325D71"/>
    <w:rsid w:val="00325F43"/>
    <w:rsid w:val="00325F77"/>
    <w:rsid w:val="00325F9E"/>
    <w:rsid w:val="00326456"/>
    <w:rsid w:val="00326640"/>
    <w:rsid w:val="00326D25"/>
    <w:rsid w:val="00326F77"/>
    <w:rsid w:val="00327120"/>
    <w:rsid w:val="00327570"/>
    <w:rsid w:val="00327584"/>
    <w:rsid w:val="00327A1C"/>
    <w:rsid w:val="00327A5B"/>
    <w:rsid w:val="00327ACC"/>
    <w:rsid w:val="00327C45"/>
    <w:rsid w:val="00327CE6"/>
    <w:rsid w:val="0033003B"/>
    <w:rsid w:val="003304E1"/>
    <w:rsid w:val="003307DD"/>
    <w:rsid w:val="00330AFB"/>
    <w:rsid w:val="00330DC3"/>
    <w:rsid w:val="00330DE2"/>
    <w:rsid w:val="00330FBF"/>
    <w:rsid w:val="00330FDB"/>
    <w:rsid w:val="0033125E"/>
    <w:rsid w:val="003313AA"/>
    <w:rsid w:val="0033191E"/>
    <w:rsid w:val="00331CAB"/>
    <w:rsid w:val="00331DB8"/>
    <w:rsid w:val="00331F3F"/>
    <w:rsid w:val="003323C6"/>
    <w:rsid w:val="0033257D"/>
    <w:rsid w:val="0033290F"/>
    <w:rsid w:val="0033303C"/>
    <w:rsid w:val="00333062"/>
    <w:rsid w:val="00333292"/>
    <w:rsid w:val="00333330"/>
    <w:rsid w:val="003333DE"/>
    <w:rsid w:val="00333559"/>
    <w:rsid w:val="00333797"/>
    <w:rsid w:val="00333994"/>
    <w:rsid w:val="0033419D"/>
    <w:rsid w:val="0033444C"/>
    <w:rsid w:val="00334630"/>
    <w:rsid w:val="00334B54"/>
    <w:rsid w:val="003354D1"/>
    <w:rsid w:val="00335739"/>
    <w:rsid w:val="003357A9"/>
    <w:rsid w:val="0033586E"/>
    <w:rsid w:val="003358D2"/>
    <w:rsid w:val="00335BEC"/>
    <w:rsid w:val="00335DC0"/>
    <w:rsid w:val="00336380"/>
    <w:rsid w:val="003363AD"/>
    <w:rsid w:val="003365FC"/>
    <w:rsid w:val="00336E00"/>
    <w:rsid w:val="00336FA2"/>
    <w:rsid w:val="00337038"/>
    <w:rsid w:val="0033739E"/>
    <w:rsid w:val="00337712"/>
    <w:rsid w:val="00337723"/>
    <w:rsid w:val="00337743"/>
    <w:rsid w:val="00337AB0"/>
    <w:rsid w:val="00337E97"/>
    <w:rsid w:val="0034015B"/>
    <w:rsid w:val="0034084F"/>
    <w:rsid w:val="0034089D"/>
    <w:rsid w:val="0034099C"/>
    <w:rsid w:val="00340A7C"/>
    <w:rsid w:val="00340AB3"/>
    <w:rsid w:val="00340F3E"/>
    <w:rsid w:val="00341716"/>
    <w:rsid w:val="00341F9F"/>
    <w:rsid w:val="00342486"/>
    <w:rsid w:val="00342624"/>
    <w:rsid w:val="003429FB"/>
    <w:rsid w:val="00342AAE"/>
    <w:rsid w:val="00342B32"/>
    <w:rsid w:val="00342BB2"/>
    <w:rsid w:val="00342BB4"/>
    <w:rsid w:val="00342F1A"/>
    <w:rsid w:val="0034309F"/>
    <w:rsid w:val="00343223"/>
    <w:rsid w:val="00343270"/>
    <w:rsid w:val="00343408"/>
    <w:rsid w:val="003434E0"/>
    <w:rsid w:val="003435C8"/>
    <w:rsid w:val="0034370F"/>
    <w:rsid w:val="00343733"/>
    <w:rsid w:val="00343761"/>
    <w:rsid w:val="00343858"/>
    <w:rsid w:val="0034388A"/>
    <w:rsid w:val="00343A6F"/>
    <w:rsid w:val="00343CB8"/>
    <w:rsid w:val="00344164"/>
    <w:rsid w:val="003441E9"/>
    <w:rsid w:val="00344580"/>
    <w:rsid w:val="00344583"/>
    <w:rsid w:val="00344722"/>
    <w:rsid w:val="0034479E"/>
    <w:rsid w:val="003447F4"/>
    <w:rsid w:val="00344B17"/>
    <w:rsid w:val="00344CE3"/>
    <w:rsid w:val="00344DF9"/>
    <w:rsid w:val="0034578F"/>
    <w:rsid w:val="003458E8"/>
    <w:rsid w:val="00345BCF"/>
    <w:rsid w:val="00345EFA"/>
    <w:rsid w:val="00345F10"/>
    <w:rsid w:val="00346013"/>
    <w:rsid w:val="00346262"/>
    <w:rsid w:val="003462E4"/>
    <w:rsid w:val="003467D9"/>
    <w:rsid w:val="00346869"/>
    <w:rsid w:val="0034686B"/>
    <w:rsid w:val="00346921"/>
    <w:rsid w:val="00346B27"/>
    <w:rsid w:val="0034731A"/>
    <w:rsid w:val="00347513"/>
    <w:rsid w:val="0034766C"/>
    <w:rsid w:val="00347846"/>
    <w:rsid w:val="0034799A"/>
    <w:rsid w:val="00347A72"/>
    <w:rsid w:val="00347B2A"/>
    <w:rsid w:val="003500DA"/>
    <w:rsid w:val="003505E2"/>
    <w:rsid w:val="00350842"/>
    <w:rsid w:val="003508C9"/>
    <w:rsid w:val="00350A5A"/>
    <w:rsid w:val="00350D01"/>
    <w:rsid w:val="00350D75"/>
    <w:rsid w:val="00350E6F"/>
    <w:rsid w:val="0035150A"/>
    <w:rsid w:val="00351F18"/>
    <w:rsid w:val="00352169"/>
    <w:rsid w:val="003522E9"/>
    <w:rsid w:val="0035265C"/>
    <w:rsid w:val="003527D7"/>
    <w:rsid w:val="003528BD"/>
    <w:rsid w:val="00352A31"/>
    <w:rsid w:val="00352D84"/>
    <w:rsid w:val="00352DD3"/>
    <w:rsid w:val="003531FF"/>
    <w:rsid w:val="00353255"/>
    <w:rsid w:val="00353494"/>
    <w:rsid w:val="003536A0"/>
    <w:rsid w:val="00353A54"/>
    <w:rsid w:val="00353AC3"/>
    <w:rsid w:val="00353BEF"/>
    <w:rsid w:val="003540A4"/>
    <w:rsid w:val="003546C3"/>
    <w:rsid w:val="00354BE4"/>
    <w:rsid w:val="00354DE4"/>
    <w:rsid w:val="0035552C"/>
    <w:rsid w:val="00355886"/>
    <w:rsid w:val="00355B12"/>
    <w:rsid w:val="00355B7D"/>
    <w:rsid w:val="00355EB7"/>
    <w:rsid w:val="00356527"/>
    <w:rsid w:val="00356801"/>
    <w:rsid w:val="00356814"/>
    <w:rsid w:val="00356821"/>
    <w:rsid w:val="0035684F"/>
    <w:rsid w:val="0035689C"/>
    <w:rsid w:val="003569B3"/>
    <w:rsid w:val="003569F2"/>
    <w:rsid w:val="00357084"/>
    <w:rsid w:val="00357568"/>
    <w:rsid w:val="00357D4D"/>
    <w:rsid w:val="00357DBE"/>
    <w:rsid w:val="00360448"/>
    <w:rsid w:val="00360468"/>
    <w:rsid w:val="00360C87"/>
    <w:rsid w:val="00360CDF"/>
    <w:rsid w:val="00360F8E"/>
    <w:rsid w:val="003611F2"/>
    <w:rsid w:val="003613A8"/>
    <w:rsid w:val="00361527"/>
    <w:rsid w:val="00361A81"/>
    <w:rsid w:val="00361E3A"/>
    <w:rsid w:val="003620FE"/>
    <w:rsid w:val="00362174"/>
    <w:rsid w:val="0036246E"/>
    <w:rsid w:val="00362517"/>
    <w:rsid w:val="0036274F"/>
    <w:rsid w:val="00362CBF"/>
    <w:rsid w:val="00362CEF"/>
    <w:rsid w:val="00362D4D"/>
    <w:rsid w:val="0036313A"/>
    <w:rsid w:val="00363585"/>
    <w:rsid w:val="00363A28"/>
    <w:rsid w:val="00363C6F"/>
    <w:rsid w:val="00363DEF"/>
    <w:rsid w:val="00364143"/>
    <w:rsid w:val="003641CA"/>
    <w:rsid w:val="00364AEA"/>
    <w:rsid w:val="00364D1F"/>
    <w:rsid w:val="0036542B"/>
    <w:rsid w:val="00365619"/>
    <w:rsid w:val="003656BD"/>
    <w:rsid w:val="00365DBF"/>
    <w:rsid w:val="00365E4B"/>
    <w:rsid w:val="003660A6"/>
    <w:rsid w:val="003662AC"/>
    <w:rsid w:val="003667E8"/>
    <w:rsid w:val="0036686C"/>
    <w:rsid w:val="00366B83"/>
    <w:rsid w:val="00366C51"/>
    <w:rsid w:val="00366E56"/>
    <w:rsid w:val="00366F4A"/>
    <w:rsid w:val="00367959"/>
    <w:rsid w:val="00367A5A"/>
    <w:rsid w:val="00367AE9"/>
    <w:rsid w:val="00367B1A"/>
    <w:rsid w:val="00367CF1"/>
    <w:rsid w:val="00367F10"/>
    <w:rsid w:val="00367FDA"/>
    <w:rsid w:val="00370101"/>
    <w:rsid w:val="0037022A"/>
    <w:rsid w:val="00370475"/>
    <w:rsid w:val="003705F3"/>
    <w:rsid w:val="0037093B"/>
    <w:rsid w:val="003709ED"/>
    <w:rsid w:val="003709F1"/>
    <w:rsid w:val="00370BCD"/>
    <w:rsid w:val="00370DE4"/>
    <w:rsid w:val="00370F44"/>
    <w:rsid w:val="003711DD"/>
    <w:rsid w:val="003712B3"/>
    <w:rsid w:val="00371428"/>
    <w:rsid w:val="003715F4"/>
    <w:rsid w:val="00371652"/>
    <w:rsid w:val="00371750"/>
    <w:rsid w:val="00371ACB"/>
    <w:rsid w:val="00371BB5"/>
    <w:rsid w:val="00371DD3"/>
    <w:rsid w:val="0037213A"/>
    <w:rsid w:val="0037256D"/>
    <w:rsid w:val="0037269C"/>
    <w:rsid w:val="003735D3"/>
    <w:rsid w:val="0037381D"/>
    <w:rsid w:val="00373AB6"/>
    <w:rsid w:val="00374016"/>
    <w:rsid w:val="0037409C"/>
    <w:rsid w:val="00374153"/>
    <w:rsid w:val="003742E6"/>
    <w:rsid w:val="00374D8A"/>
    <w:rsid w:val="00374DFF"/>
    <w:rsid w:val="00374FD0"/>
    <w:rsid w:val="003755CC"/>
    <w:rsid w:val="003758F3"/>
    <w:rsid w:val="00375C79"/>
    <w:rsid w:val="00375C96"/>
    <w:rsid w:val="00375EE6"/>
    <w:rsid w:val="00376716"/>
    <w:rsid w:val="0037687C"/>
    <w:rsid w:val="00376884"/>
    <w:rsid w:val="003769B0"/>
    <w:rsid w:val="00376BA9"/>
    <w:rsid w:val="00377187"/>
    <w:rsid w:val="00377BFC"/>
    <w:rsid w:val="00377E3B"/>
    <w:rsid w:val="00377E7A"/>
    <w:rsid w:val="00377F27"/>
    <w:rsid w:val="0038019F"/>
    <w:rsid w:val="0038029A"/>
    <w:rsid w:val="003804BA"/>
    <w:rsid w:val="003806BF"/>
    <w:rsid w:val="00380984"/>
    <w:rsid w:val="003809EE"/>
    <w:rsid w:val="00380B68"/>
    <w:rsid w:val="00380D79"/>
    <w:rsid w:val="00381083"/>
    <w:rsid w:val="003815D0"/>
    <w:rsid w:val="00381866"/>
    <w:rsid w:val="003818EB"/>
    <w:rsid w:val="00381AFD"/>
    <w:rsid w:val="00381B1F"/>
    <w:rsid w:val="00382070"/>
    <w:rsid w:val="00382071"/>
    <w:rsid w:val="00382082"/>
    <w:rsid w:val="0038234D"/>
    <w:rsid w:val="0038241E"/>
    <w:rsid w:val="003824BF"/>
    <w:rsid w:val="0038254E"/>
    <w:rsid w:val="0038266E"/>
    <w:rsid w:val="0038275E"/>
    <w:rsid w:val="00382E15"/>
    <w:rsid w:val="00383165"/>
    <w:rsid w:val="003831AD"/>
    <w:rsid w:val="00383705"/>
    <w:rsid w:val="00383904"/>
    <w:rsid w:val="003839A7"/>
    <w:rsid w:val="00383E76"/>
    <w:rsid w:val="00384275"/>
    <w:rsid w:val="0038431B"/>
    <w:rsid w:val="003843CC"/>
    <w:rsid w:val="003847DD"/>
    <w:rsid w:val="00384886"/>
    <w:rsid w:val="003857D2"/>
    <w:rsid w:val="00385882"/>
    <w:rsid w:val="00385929"/>
    <w:rsid w:val="003859F6"/>
    <w:rsid w:val="00385B96"/>
    <w:rsid w:val="00385C44"/>
    <w:rsid w:val="0038614B"/>
    <w:rsid w:val="00386351"/>
    <w:rsid w:val="00386582"/>
    <w:rsid w:val="0038668A"/>
    <w:rsid w:val="0038678D"/>
    <w:rsid w:val="003868A6"/>
    <w:rsid w:val="00386D51"/>
    <w:rsid w:val="00386D52"/>
    <w:rsid w:val="00386FAC"/>
    <w:rsid w:val="00387479"/>
    <w:rsid w:val="0038758B"/>
    <w:rsid w:val="00387734"/>
    <w:rsid w:val="00387745"/>
    <w:rsid w:val="00387B1C"/>
    <w:rsid w:val="0039036B"/>
    <w:rsid w:val="003908AF"/>
    <w:rsid w:val="00390CE7"/>
    <w:rsid w:val="00390E2E"/>
    <w:rsid w:val="00390F53"/>
    <w:rsid w:val="00391488"/>
    <w:rsid w:val="00391CC3"/>
    <w:rsid w:val="00391F0E"/>
    <w:rsid w:val="0039263F"/>
    <w:rsid w:val="00392712"/>
    <w:rsid w:val="0039297C"/>
    <w:rsid w:val="003929CF"/>
    <w:rsid w:val="00392C2B"/>
    <w:rsid w:val="00392DDF"/>
    <w:rsid w:val="00392FE1"/>
    <w:rsid w:val="0039300C"/>
    <w:rsid w:val="0039359A"/>
    <w:rsid w:val="00393E56"/>
    <w:rsid w:val="00394146"/>
    <w:rsid w:val="00394423"/>
    <w:rsid w:val="0039494A"/>
    <w:rsid w:val="00394C8A"/>
    <w:rsid w:val="00394F30"/>
    <w:rsid w:val="003950C9"/>
    <w:rsid w:val="00395633"/>
    <w:rsid w:val="0039581F"/>
    <w:rsid w:val="00395AA3"/>
    <w:rsid w:val="00395D33"/>
    <w:rsid w:val="00395F34"/>
    <w:rsid w:val="0039606E"/>
    <w:rsid w:val="00396126"/>
    <w:rsid w:val="00396223"/>
    <w:rsid w:val="003966D2"/>
    <w:rsid w:val="00396706"/>
    <w:rsid w:val="0039695B"/>
    <w:rsid w:val="00396CCC"/>
    <w:rsid w:val="00397050"/>
    <w:rsid w:val="003972A4"/>
    <w:rsid w:val="003978D1"/>
    <w:rsid w:val="0039799D"/>
    <w:rsid w:val="00397F2E"/>
    <w:rsid w:val="003A001C"/>
    <w:rsid w:val="003A00B2"/>
    <w:rsid w:val="003A09B2"/>
    <w:rsid w:val="003A1275"/>
    <w:rsid w:val="003A140F"/>
    <w:rsid w:val="003A14B5"/>
    <w:rsid w:val="003A15F7"/>
    <w:rsid w:val="003A192E"/>
    <w:rsid w:val="003A1BFA"/>
    <w:rsid w:val="003A1D6C"/>
    <w:rsid w:val="003A2562"/>
    <w:rsid w:val="003A2930"/>
    <w:rsid w:val="003A299A"/>
    <w:rsid w:val="003A2A2E"/>
    <w:rsid w:val="003A2A93"/>
    <w:rsid w:val="003A2ACF"/>
    <w:rsid w:val="003A2E6B"/>
    <w:rsid w:val="003A2F25"/>
    <w:rsid w:val="003A2F58"/>
    <w:rsid w:val="003A30A8"/>
    <w:rsid w:val="003A35B9"/>
    <w:rsid w:val="003A365A"/>
    <w:rsid w:val="003A3723"/>
    <w:rsid w:val="003A373B"/>
    <w:rsid w:val="003A375A"/>
    <w:rsid w:val="003A379F"/>
    <w:rsid w:val="003A3878"/>
    <w:rsid w:val="003A38CD"/>
    <w:rsid w:val="003A39E5"/>
    <w:rsid w:val="003A3A20"/>
    <w:rsid w:val="003A4113"/>
    <w:rsid w:val="003A44FD"/>
    <w:rsid w:val="003A4841"/>
    <w:rsid w:val="003A4A2A"/>
    <w:rsid w:val="003A4C42"/>
    <w:rsid w:val="003A4D0A"/>
    <w:rsid w:val="003A4F75"/>
    <w:rsid w:val="003A55A4"/>
    <w:rsid w:val="003A5809"/>
    <w:rsid w:val="003A5C32"/>
    <w:rsid w:val="003A5E4E"/>
    <w:rsid w:val="003A607C"/>
    <w:rsid w:val="003A6602"/>
    <w:rsid w:val="003A682C"/>
    <w:rsid w:val="003A6B13"/>
    <w:rsid w:val="003A6B44"/>
    <w:rsid w:val="003A6D14"/>
    <w:rsid w:val="003A6EC7"/>
    <w:rsid w:val="003A740D"/>
    <w:rsid w:val="003A7879"/>
    <w:rsid w:val="003A7887"/>
    <w:rsid w:val="003A7DC1"/>
    <w:rsid w:val="003A7EB0"/>
    <w:rsid w:val="003B0071"/>
    <w:rsid w:val="003B00B7"/>
    <w:rsid w:val="003B01F3"/>
    <w:rsid w:val="003B08A5"/>
    <w:rsid w:val="003B0B44"/>
    <w:rsid w:val="003B0CBD"/>
    <w:rsid w:val="003B0FC9"/>
    <w:rsid w:val="003B13AC"/>
    <w:rsid w:val="003B142E"/>
    <w:rsid w:val="003B16AB"/>
    <w:rsid w:val="003B186C"/>
    <w:rsid w:val="003B18DB"/>
    <w:rsid w:val="003B240B"/>
    <w:rsid w:val="003B27B4"/>
    <w:rsid w:val="003B2807"/>
    <w:rsid w:val="003B28D4"/>
    <w:rsid w:val="003B2982"/>
    <w:rsid w:val="003B2A44"/>
    <w:rsid w:val="003B2ADD"/>
    <w:rsid w:val="003B2B10"/>
    <w:rsid w:val="003B2BF4"/>
    <w:rsid w:val="003B2DC5"/>
    <w:rsid w:val="003B3667"/>
    <w:rsid w:val="003B36FE"/>
    <w:rsid w:val="003B391F"/>
    <w:rsid w:val="003B3C7F"/>
    <w:rsid w:val="003B3D1D"/>
    <w:rsid w:val="003B3D90"/>
    <w:rsid w:val="003B3E1B"/>
    <w:rsid w:val="003B465C"/>
    <w:rsid w:val="003B466C"/>
    <w:rsid w:val="003B4805"/>
    <w:rsid w:val="003B4FE9"/>
    <w:rsid w:val="003B508F"/>
    <w:rsid w:val="003B5256"/>
    <w:rsid w:val="003B54D7"/>
    <w:rsid w:val="003B5661"/>
    <w:rsid w:val="003B578A"/>
    <w:rsid w:val="003B58DE"/>
    <w:rsid w:val="003B5A76"/>
    <w:rsid w:val="003B60C7"/>
    <w:rsid w:val="003B62B9"/>
    <w:rsid w:val="003B6871"/>
    <w:rsid w:val="003B69C0"/>
    <w:rsid w:val="003B6A46"/>
    <w:rsid w:val="003B6EE6"/>
    <w:rsid w:val="003B718D"/>
    <w:rsid w:val="003B7A36"/>
    <w:rsid w:val="003B7A5A"/>
    <w:rsid w:val="003B7AC2"/>
    <w:rsid w:val="003B7D1B"/>
    <w:rsid w:val="003C047C"/>
    <w:rsid w:val="003C0B17"/>
    <w:rsid w:val="003C0D7B"/>
    <w:rsid w:val="003C1057"/>
    <w:rsid w:val="003C145C"/>
    <w:rsid w:val="003C15CD"/>
    <w:rsid w:val="003C177C"/>
    <w:rsid w:val="003C1E58"/>
    <w:rsid w:val="003C256D"/>
    <w:rsid w:val="003C2AC0"/>
    <w:rsid w:val="003C2E76"/>
    <w:rsid w:val="003C2F39"/>
    <w:rsid w:val="003C35E3"/>
    <w:rsid w:val="003C375D"/>
    <w:rsid w:val="003C3B89"/>
    <w:rsid w:val="003C40FA"/>
    <w:rsid w:val="003C444E"/>
    <w:rsid w:val="003C472C"/>
    <w:rsid w:val="003C48D8"/>
    <w:rsid w:val="003C4984"/>
    <w:rsid w:val="003C4DD1"/>
    <w:rsid w:val="003C4DE6"/>
    <w:rsid w:val="003C51E4"/>
    <w:rsid w:val="003C54F6"/>
    <w:rsid w:val="003C552A"/>
    <w:rsid w:val="003C56F9"/>
    <w:rsid w:val="003C5A29"/>
    <w:rsid w:val="003C5A9C"/>
    <w:rsid w:val="003C5E40"/>
    <w:rsid w:val="003C608A"/>
    <w:rsid w:val="003C6410"/>
    <w:rsid w:val="003C68F2"/>
    <w:rsid w:val="003C6AAB"/>
    <w:rsid w:val="003C78DC"/>
    <w:rsid w:val="003C7A20"/>
    <w:rsid w:val="003C7A7D"/>
    <w:rsid w:val="003C7FAF"/>
    <w:rsid w:val="003D0071"/>
    <w:rsid w:val="003D00BD"/>
    <w:rsid w:val="003D064D"/>
    <w:rsid w:val="003D06B6"/>
    <w:rsid w:val="003D06E1"/>
    <w:rsid w:val="003D0958"/>
    <w:rsid w:val="003D0A14"/>
    <w:rsid w:val="003D1168"/>
    <w:rsid w:val="003D2298"/>
    <w:rsid w:val="003D296F"/>
    <w:rsid w:val="003D2E08"/>
    <w:rsid w:val="003D2F30"/>
    <w:rsid w:val="003D335F"/>
    <w:rsid w:val="003D33AF"/>
    <w:rsid w:val="003D36B9"/>
    <w:rsid w:val="003D38EB"/>
    <w:rsid w:val="003D3A23"/>
    <w:rsid w:val="003D3EA9"/>
    <w:rsid w:val="003D4032"/>
    <w:rsid w:val="003D4261"/>
    <w:rsid w:val="003D4476"/>
    <w:rsid w:val="003D4B61"/>
    <w:rsid w:val="003D4E29"/>
    <w:rsid w:val="003D4E44"/>
    <w:rsid w:val="003D575E"/>
    <w:rsid w:val="003D589F"/>
    <w:rsid w:val="003D5902"/>
    <w:rsid w:val="003D5ACF"/>
    <w:rsid w:val="003D5C6C"/>
    <w:rsid w:val="003D5CFB"/>
    <w:rsid w:val="003D5F25"/>
    <w:rsid w:val="003D5F2B"/>
    <w:rsid w:val="003D6138"/>
    <w:rsid w:val="003D61D0"/>
    <w:rsid w:val="003D68AB"/>
    <w:rsid w:val="003D6946"/>
    <w:rsid w:val="003D6A05"/>
    <w:rsid w:val="003D6E20"/>
    <w:rsid w:val="003D775F"/>
    <w:rsid w:val="003D7785"/>
    <w:rsid w:val="003D7F35"/>
    <w:rsid w:val="003E0089"/>
    <w:rsid w:val="003E0542"/>
    <w:rsid w:val="003E054C"/>
    <w:rsid w:val="003E073C"/>
    <w:rsid w:val="003E0863"/>
    <w:rsid w:val="003E1552"/>
    <w:rsid w:val="003E159E"/>
    <w:rsid w:val="003E18E2"/>
    <w:rsid w:val="003E1B8C"/>
    <w:rsid w:val="003E20E9"/>
    <w:rsid w:val="003E214B"/>
    <w:rsid w:val="003E2175"/>
    <w:rsid w:val="003E228D"/>
    <w:rsid w:val="003E23C0"/>
    <w:rsid w:val="003E2636"/>
    <w:rsid w:val="003E2E12"/>
    <w:rsid w:val="003E33B5"/>
    <w:rsid w:val="003E3A53"/>
    <w:rsid w:val="003E3CC8"/>
    <w:rsid w:val="003E4312"/>
    <w:rsid w:val="003E4C1D"/>
    <w:rsid w:val="003E4E4F"/>
    <w:rsid w:val="003E50E3"/>
    <w:rsid w:val="003E520D"/>
    <w:rsid w:val="003E5219"/>
    <w:rsid w:val="003E52BA"/>
    <w:rsid w:val="003E56A0"/>
    <w:rsid w:val="003E5821"/>
    <w:rsid w:val="003E5FD3"/>
    <w:rsid w:val="003E6226"/>
    <w:rsid w:val="003E68C0"/>
    <w:rsid w:val="003E6A0B"/>
    <w:rsid w:val="003E6AE8"/>
    <w:rsid w:val="003E6CCB"/>
    <w:rsid w:val="003E71E2"/>
    <w:rsid w:val="003E72FF"/>
    <w:rsid w:val="003E78D4"/>
    <w:rsid w:val="003E7BB3"/>
    <w:rsid w:val="003E7C3B"/>
    <w:rsid w:val="003E7D8D"/>
    <w:rsid w:val="003F02F0"/>
    <w:rsid w:val="003F078F"/>
    <w:rsid w:val="003F0B77"/>
    <w:rsid w:val="003F0BDA"/>
    <w:rsid w:val="003F0C86"/>
    <w:rsid w:val="003F1032"/>
    <w:rsid w:val="003F15BB"/>
    <w:rsid w:val="003F1BA0"/>
    <w:rsid w:val="003F1C1E"/>
    <w:rsid w:val="003F1C3D"/>
    <w:rsid w:val="003F1F78"/>
    <w:rsid w:val="003F1F99"/>
    <w:rsid w:val="003F200D"/>
    <w:rsid w:val="003F20BC"/>
    <w:rsid w:val="003F2200"/>
    <w:rsid w:val="003F23A5"/>
    <w:rsid w:val="003F2507"/>
    <w:rsid w:val="003F30C8"/>
    <w:rsid w:val="003F31A1"/>
    <w:rsid w:val="003F339C"/>
    <w:rsid w:val="003F372E"/>
    <w:rsid w:val="003F3743"/>
    <w:rsid w:val="003F37AD"/>
    <w:rsid w:val="003F3994"/>
    <w:rsid w:val="003F39CE"/>
    <w:rsid w:val="003F3F3E"/>
    <w:rsid w:val="003F4055"/>
    <w:rsid w:val="003F427E"/>
    <w:rsid w:val="003F44E9"/>
    <w:rsid w:val="003F48C9"/>
    <w:rsid w:val="003F48E2"/>
    <w:rsid w:val="003F4BEA"/>
    <w:rsid w:val="003F4D79"/>
    <w:rsid w:val="003F4F2E"/>
    <w:rsid w:val="003F5041"/>
    <w:rsid w:val="003F5730"/>
    <w:rsid w:val="003F57F8"/>
    <w:rsid w:val="003F5C49"/>
    <w:rsid w:val="003F5D3F"/>
    <w:rsid w:val="003F6028"/>
    <w:rsid w:val="003F64F4"/>
    <w:rsid w:val="003F6B5C"/>
    <w:rsid w:val="003F6EF8"/>
    <w:rsid w:val="003F6FF9"/>
    <w:rsid w:val="003F7331"/>
    <w:rsid w:val="003F7474"/>
    <w:rsid w:val="003F75F3"/>
    <w:rsid w:val="003F775B"/>
    <w:rsid w:val="003F7BA0"/>
    <w:rsid w:val="003F7F80"/>
    <w:rsid w:val="0040003A"/>
    <w:rsid w:val="0040020C"/>
    <w:rsid w:val="00400315"/>
    <w:rsid w:val="00400338"/>
    <w:rsid w:val="00400403"/>
    <w:rsid w:val="00400409"/>
    <w:rsid w:val="00400914"/>
    <w:rsid w:val="00401108"/>
    <w:rsid w:val="00401490"/>
    <w:rsid w:val="00401577"/>
    <w:rsid w:val="00401A35"/>
    <w:rsid w:val="00401AA0"/>
    <w:rsid w:val="00401D42"/>
    <w:rsid w:val="004021F7"/>
    <w:rsid w:val="00402250"/>
    <w:rsid w:val="00402281"/>
    <w:rsid w:val="004022E6"/>
    <w:rsid w:val="00402471"/>
    <w:rsid w:val="00402917"/>
    <w:rsid w:val="00402927"/>
    <w:rsid w:val="0040294C"/>
    <w:rsid w:val="004029C7"/>
    <w:rsid w:val="00402CA2"/>
    <w:rsid w:val="004032A4"/>
    <w:rsid w:val="00403451"/>
    <w:rsid w:val="004037BF"/>
    <w:rsid w:val="004037FC"/>
    <w:rsid w:val="00403862"/>
    <w:rsid w:val="004038BE"/>
    <w:rsid w:val="004038FB"/>
    <w:rsid w:val="00403909"/>
    <w:rsid w:val="0040396D"/>
    <w:rsid w:val="004039FA"/>
    <w:rsid w:val="00403C27"/>
    <w:rsid w:val="00403E8A"/>
    <w:rsid w:val="00403FA1"/>
    <w:rsid w:val="004040F5"/>
    <w:rsid w:val="00404220"/>
    <w:rsid w:val="004043E9"/>
    <w:rsid w:val="00404506"/>
    <w:rsid w:val="0040459C"/>
    <w:rsid w:val="0040470A"/>
    <w:rsid w:val="0040490E"/>
    <w:rsid w:val="00404BCA"/>
    <w:rsid w:val="00404C9F"/>
    <w:rsid w:val="00404CC9"/>
    <w:rsid w:val="00404FAE"/>
    <w:rsid w:val="0040531A"/>
    <w:rsid w:val="0040531F"/>
    <w:rsid w:val="0040536B"/>
    <w:rsid w:val="004053B4"/>
    <w:rsid w:val="00405635"/>
    <w:rsid w:val="00405749"/>
    <w:rsid w:val="00405E24"/>
    <w:rsid w:val="00405E9A"/>
    <w:rsid w:val="0040619C"/>
    <w:rsid w:val="00406571"/>
    <w:rsid w:val="00406621"/>
    <w:rsid w:val="0040662E"/>
    <w:rsid w:val="00406650"/>
    <w:rsid w:val="00406782"/>
    <w:rsid w:val="00406B23"/>
    <w:rsid w:val="00406C63"/>
    <w:rsid w:val="00406D6B"/>
    <w:rsid w:val="00406E01"/>
    <w:rsid w:val="004077D2"/>
    <w:rsid w:val="00407940"/>
    <w:rsid w:val="0040798F"/>
    <w:rsid w:val="00407993"/>
    <w:rsid w:val="00407DEA"/>
    <w:rsid w:val="00407EF9"/>
    <w:rsid w:val="00410490"/>
    <w:rsid w:val="004105EE"/>
    <w:rsid w:val="0041080D"/>
    <w:rsid w:val="00410BBE"/>
    <w:rsid w:val="00410E7F"/>
    <w:rsid w:val="004110C3"/>
    <w:rsid w:val="004110F6"/>
    <w:rsid w:val="0041111C"/>
    <w:rsid w:val="0041119D"/>
    <w:rsid w:val="00411474"/>
    <w:rsid w:val="00411833"/>
    <w:rsid w:val="00411912"/>
    <w:rsid w:val="00411EC3"/>
    <w:rsid w:val="00412536"/>
    <w:rsid w:val="0041258A"/>
    <w:rsid w:val="004125DD"/>
    <w:rsid w:val="00412681"/>
    <w:rsid w:val="004127B3"/>
    <w:rsid w:val="00412AFB"/>
    <w:rsid w:val="00412BC4"/>
    <w:rsid w:val="00412F64"/>
    <w:rsid w:val="00412FF3"/>
    <w:rsid w:val="0041382E"/>
    <w:rsid w:val="004138AC"/>
    <w:rsid w:val="00413DE8"/>
    <w:rsid w:val="00413E9A"/>
    <w:rsid w:val="0041407B"/>
    <w:rsid w:val="004146C5"/>
    <w:rsid w:val="00414911"/>
    <w:rsid w:val="00414B45"/>
    <w:rsid w:val="00414B65"/>
    <w:rsid w:val="00414E4D"/>
    <w:rsid w:val="00414E8D"/>
    <w:rsid w:val="00414FA1"/>
    <w:rsid w:val="00415048"/>
    <w:rsid w:val="0041515F"/>
    <w:rsid w:val="004151B2"/>
    <w:rsid w:val="004153CB"/>
    <w:rsid w:val="00415745"/>
    <w:rsid w:val="00415B57"/>
    <w:rsid w:val="00415BAF"/>
    <w:rsid w:val="00415D8C"/>
    <w:rsid w:val="004164C6"/>
    <w:rsid w:val="0041690B"/>
    <w:rsid w:val="00416967"/>
    <w:rsid w:val="004169CC"/>
    <w:rsid w:val="00416D08"/>
    <w:rsid w:val="00417087"/>
    <w:rsid w:val="0041746B"/>
    <w:rsid w:val="00417B12"/>
    <w:rsid w:val="00417BC1"/>
    <w:rsid w:val="00417BD8"/>
    <w:rsid w:val="00417BEB"/>
    <w:rsid w:val="00417D53"/>
    <w:rsid w:val="00417D7A"/>
    <w:rsid w:val="00420D7A"/>
    <w:rsid w:val="00420EB4"/>
    <w:rsid w:val="00421177"/>
    <w:rsid w:val="00421180"/>
    <w:rsid w:val="00421626"/>
    <w:rsid w:val="004217CF"/>
    <w:rsid w:val="004219FB"/>
    <w:rsid w:val="00421B0B"/>
    <w:rsid w:val="00421C20"/>
    <w:rsid w:val="004220BD"/>
    <w:rsid w:val="004221A9"/>
    <w:rsid w:val="004222EA"/>
    <w:rsid w:val="00422837"/>
    <w:rsid w:val="00422AA1"/>
    <w:rsid w:val="00422C60"/>
    <w:rsid w:val="00422EE8"/>
    <w:rsid w:val="004230EA"/>
    <w:rsid w:val="004232BD"/>
    <w:rsid w:val="004237D9"/>
    <w:rsid w:val="00423979"/>
    <w:rsid w:val="00423AB1"/>
    <w:rsid w:val="00423B07"/>
    <w:rsid w:val="00423F36"/>
    <w:rsid w:val="00424766"/>
    <w:rsid w:val="004247E4"/>
    <w:rsid w:val="00424B41"/>
    <w:rsid w:val="00424B59"/>
    <w:rsid w:val="00424B72"/>
    <w:rsid w:val="00424CA6"/>
    <w:rsid w:val="00425151"/>
    <w:rsid w:val="00425C31"/>
    <w:rsid w:val="00425FC5"/>
    <w:rsid w:val="004263E1"/>
    <w:rsid w:val="004267CF"/>
    <w:rsid w:val="00426A4D"/>
    <w:rsid w:val="00426C24"/>
    <w:rsid w:val="00426C34"/>
    <w:rsid w:val="004272A6"/>
    <w:rsid w:val="0042734B"/>
    <w:rsid w:val="0042765C"/>
    <w:rsid w:val="00427A90"/>
    <w:rsid w:val="00427C45"/>
    <w:rsid w:val="004307EE"/>
    <w:rsid w:val="00430845"/>
    <w:rsid w:val="00430CC1"/>
    <w:rsid w:val="00430CCE"/>
    <w:rsid w:val="00430D1D"/>
    <w:rsid w:val="0043138F"/>
    <w:rsid w:val="004313BC"/>
    <w:rsid w:val="0043155C"/>
    <w:rsid w:val="00431955"/>
    <w:rsid w:val="00431ABA"/>
    <w:rsid w:val="00431BE1"/>
    <w:rsid w:val="00432123"/>
    <w:rsid w:val="004323CD"/>
    <w:rsid w:val="004324FF"/>
    <w:rsid w:val="004325E1"/>
    <w:rsid w:val="004326FA"/>
    <w:rsid w:val="00432857"/>
    <w:rsid w:val="00432A55"/>
    <w:rsid w:val="00432C02"/>
    <w:rsid w:val="00432F20"/>
    <w:rsid w:val="0043301B"/>
    <w:rsid w:val="0043304A"/>
    <w:rsid w:val="00433069"/>
    <w:rsid w:val="00433092"/>
    <w:rsid w:val="00433209"/>
    <w:rsid w:val="00433269"/>
    <w:rsid w:val="0043382D"/>
    <w:rsid w:val="00433BAC"/>
    <w:rsid w:val="0043431E"/>
    <w:rsid w:val="00434595"/>
    <w:rsid w:val="0043470D"/>
    <w:rsid w:val="00434A77"/>
    <w:rsid w:val="00434CF1"/>
    <w:rsid w:val="00435030"/>
    <w:rsid w:val="00435354"/>
    <w:rsid w:val="00435369"/>
    <w:rsid w:val="0043559C"/>
    <w:rsid w:val="0043567A"/>
    <w:rsid w:val="0043593C"/>
    <w:rsid w:val="004359D2"/>
    <w:rsid w:val="00435B81"/>
    <w:rsid w:val="00435D33"/>
    <w:rsid w:val="00435EF9"/>
    <w:rsid w:val="0043638D"/>
    <w:rsid w:val="004365C6"/>
    <w:rsid w:val="00436794"/>
    <w:rsid w:val="004367DA"/>
    <w:rsid w:val="00436957"/>
    <w:rsid w:val="00436A0E"/>
    <w:rsid w:val="00436D4D"/>
    <w:rsid w:val="00436F7D"/>
    <w:rsid w:val="004370F1"/>
    <w:rsid w:val="00437B16"/>
    <w:rsid w:val="00437BC5"/>
    <w:rsid w:val="00437E8D"/>
    <w:rsid w:val="004400E0"/>
    <w:rsid w:val="0044010F"/>
    <w:rsid w:val="004402D5"/>
    <w:rsid w:val="004403D8"/>
    <w:rsid w:val="0044063D"/>
    <w:rsid w:val="004409EB"/>
    <w:rsid w:val="00440C77"/>
    <w:rsid w:val="00441353"/>
    <w:rsid w:val="00441BB9"/>
    <w:rsid w:val="00441D5B"/>
    <w:rsid w:val="00442073"/>
    <w:rsid w:val="00442154"/>
    <w:rsid w:val="00442450"/>
    <w:rsid w:val="0044252E"/>
    <w:rsid w:val="0044260A"/>
    <w:rsid w:val="00442998"/>
    <w:rsid w:val="004429FB"/>
    <w:rsid w:val="00442B01"/>
    <w:rsid w:val="00442FF4"/>
    <w:rsid w:val="00443026"/>
    <w:rsid w:val="004435B2"/>
    <w:rsid w:val="004436DE"/>
    <w:rsid w:val="00443C86"/>
    <w:rsid w:val="004442C4"/>
    <w:rsid w:val="004442E1"/>
    <w:rsid w:val="0044446C"/>
    <w:rsid w:val="0044448C"/>
    <w:rsid w:val="004444E2"/>
    <w:rsid w:val="004445BC"/>
    <w:rsid w:val="0044464F"/>
    <w:rsid w:val="00444774"/>
    <w:rsid w:val="0044490C"/>
    <w:rsid w:val="00444A36"/>
    <w:rsid w:val="00444D82"/>
    <w:rsid w:val="00445260"/>
    <w:rsid w:val="00445528"/>
    <w:rsid w:val="00445698"/>
    <w:rsid w:val="00446249"/>
    <w:rsid w:val="00446353"/>
    <w:rsid w:val="004463F1"/>
    <w:rsid w:val="00446442"/>
    <w:rsid w:val="00446532"/>
    <w:rsid w:val="00446A01"/>
    <w:rsid w:val="0044729A"/>
    <w:rsid w:val="00447570"/>
    <w:rsid w:val="00447A37"/>
    <w:rsid w:val="00447D13"/>
    <w:rsid w:val="00447D1A"/>
    <w:rsid w:val="004503EB"/>
    <w:rsid w:val="00450EFB"/>
    <w:rsid w:val="004516BB"/>
    <w:rsid w:val="00451AE2"/>
    <w:rsid w:val="00451EA3"/>
    <w:rsid w:val="00451EF9"/>
    <w:rsid w:val="004523E1"/>
    <w:rsid w:val="00452B06"/>
    <w:rsid w:val="00453164"/>
    <w:rsid w:val="004533BB"/>
    <w:rsid w:val="00453A14"/>
    <w:rsid w:val="00453D0B"/>
    <w:rsid w:val="00453E7E"/>
    <w:rsid w:val="004546E4"/>
    <w:rsid w:val="00454D19"/>
    <w:rsid w:val="00454D41"/>
    <w:rsid w:val="00454D98"/>
    <w:rsid w:val="00454F5E"/>
    <w:rsid w:val="004551B5"/>
    <w:rsid w:val="00455234"/>
    <w:rsid w:val="004552D6"/>
    <w:rsid w:val="00455882"/>
    <w:rsid w:val="00455EDF"/>
    <w:rsid w:val="00456136"/>
    <w:rsid w:val="0045645C"/>
    <w:rsid w:val="00456491"/>
    <w:rsid w:val="004564C6"/>
    <w:rsid w:val="00456B29"/>
    <w:rsid w:val="00456BDC"/>
    <w:rsid w:val="00456CB2"/>
    <w:rsid w:val="00456DB3"/>
    <w:rsid w:val="00457148"/>
    <w:rsid w:val="004574D9"/>
    <w:rsid w:val="00457546"/>
    <w:rsid w:val="004575A8"/>
    <w:rsid w:val="00457723"/>
    <w:rsid w:val="00457B45"/>
    <w:rsid w:val="00457BB6"/>
    <w:rsid w:val="00457C83"/>
    <w:rsid w:val="00460164"/>
    <w:rsid w:val="0046018A"/>
    <w:rsid w:val="004604C6"/>
    <w:rsid w:val="004604DF"/>
    <w:rsid w:val="004605F2"/>
    <w:rsid w:val="00460795"/>
    <w:rsid w:val="004607CB"/>
    <w:rsid w:val="0046084D"/>
    <w:rsid w:val="004609CB"/>
    <w:rsid w:val="004609E3"/>
    <w:rsid w:val="00460DE5"/>
    <w:rsid w:val="004610AA"/>
    <w:rsid w:val="004610CC"/>
    <w:rsid w:val="004612B7"/>
    <w:rsid w:val="0046144E"/>
    <w:rsid w:val="00461622"/>
    <w:rsid w:val="00461661"/>
    <w:rsid w:val="00461880"/>
    <w:rsid w:val="00461BE4"/>
    <w:rsid w:val="00461C6F"/>
    <w:rsid w:val="00461D73"/>
    <w:rsid w:val="00461F0C"/>
    <w:rsid w:val="00461F0D"/>
    <w:rsid w:val="004620D6"/>
    <w:rsid w:val="004621AA"/>
    <w:rsid w:val="00462434"/>
    <w:rsid w:val="00463092"/>
    <w:rsid w:val="00463685"/>
    <w:rsid w:val="0046378D"/>
    <w:rsid w:val="00463A14"/>
    <w:rsid w:val="0046411B"/>
    <w:rsid w:val="0046422B"/>
    <w:rsid w:val="004643EB"/>
    <w:rsid w:val="004649B7"/>
    <w:rsid w:val="004649E2"/>
    <w:rsid w:val="00464AEF"/>
    <w:rsid w:val="00464B1D"/>
    <w:rsid w:val="00464C36"/>
    <w:rsid w:val="004650FA"/>
    <w:rsid w:val="004651DA"/>
    <w:rsid w:val="00465389"/>
    <w:rsid w:val="00465464"/>
    <w:rsid w:val="00465D9B"/>
    <w:rsid w:val="00465E42"/>
    <w:rsid w:val="00465E5C"/>
    <w:rsid w:val="00465E6B"/>
    <w:rsid w:val="00465E87"/>
    <w:rsid w:val="00465EF9"/>
    <w:rsid w:val="0046605B"/>
    <w:rsid w:val="004661A9"/>
    <w:rsid w:val="0046640D"/>
    <w:rsid w:val="00466425"/>
    <w:rsid w:val="00466489"/>
    <w:rsid w:val="0046649D"/>
    <w:rsid w:val="00466759"/>
    <w:rsid w:val="004667BC"/>
    <w:rsid w:val="00466AF1"/>
    <w:rsid w:val="00466CEE"/>
    <w:rsid w:val="00466EB8"/>
    <w:rsid w:val="0046700C"/>
    <w:rsid w:val="0046746C"/>
    <w:rsid w:val="00467923"/>
    <w:rsid w:val="00467BC3"/>
    <w:rsid w:val="00467C63"/>
    <w:rsid w:val="0047009B"/>
    <w:rsid w:val="004701CB"/>
    <w:rsid w:val="004702E4"/>
    <w:rsid w:val="004706B0"/>
    <w:rsid w:val="0047095D"/>
    <w:rsid w:val="00470A0B"/>
    <w:rsid w:val="00471503"/>
    <w:rsid w:val="00471625"/>
    <w:rsid w:val="0047170D"/>
    <w:rsid w:val="00471902"/>
    <w:rsid w:val="00471C21"/>
    <w:rsid w:val="00471ED9"/>
    <w:rsid w:val="00471EFF"/>
    <w:rsid w:val="0047200D"/>
    <w:rsid w:val="0047204A"/>
    <w:rsid w:val="004721D0"/>
    <w:rsid w:val="00472206"/>
    <w:rsid w:val="004726AE"/>
    <w:rsid w:val="00472A56"/>
    <w:rsid w:val="00472AAB"/>
    <w:rsid w:val="00472B0F"/>
    <w:rsid w:val="00472E70"/>
    <w:rsid w:val="00472FC6"/>
    <w:rsid w:val="00473022"/>
    <w:rsid w:val="004732EF"/>
    <w:rsid w:val="0047340D"/>
    <w:rsid w:val="00473514"/>
    <w:rsid w:val="004735C6"/>
    <w:rsid w:val="004736B9"/>
    <w:rsid w:val="0047394F"/>
    <w:rsid w:val="00473DB8"/>
    <w:rsid w:val="00473E5F"/>
    <w:rsid w:val="004747EE"/>
    <w:rsid w:val="0047481F"/>
    <w:rsid w:val="0047495E"/>
    <w:rsid w:val="00474F5F"/>
    <w:rsid w:val="00475360"/>
    <w:rsid w:val="0047548A"/>
    <w:rsid w:val="00475558"/>
    <w:rsid w:val="004756BB"/>
    <w:rsid w:val="004758D8"/>
    <w:rsid w:val="00475A87"/>
    <w:rsid w:val="00475DD8"/>
    <w:rsid w:val="004760CC"/>
    <w:rsid w:val="004761E0"/>
    <w:rsid w:val="0047627C"/>
    <w:rsid w:val="00476292"/>
    <w:rsid w:val="004769FC"/>
    <w:rsid w:val="00476BC7"/>
    <w:rsid w:val="00476D42"/>
    <w:rsid w:val="00476EA2"/>
    <w:rsid w:val="00477091"/>
    <w:rsid w:val="004770CE"/>
    <w:rsid w:val="00477221"/>
    <w:rsid w:val="0047729C"/>
    <w:rsid w:val="00477333"/>
    <w:rsid w:val="004776EC"/>
    <w:rsid w:val="0047786A"/>
    <w:rsid w:val="0047790D"/>
    <w:rsid w:val="00477A65"/>
    <w:rsid w:val="00477ED0"/>
    <w:rsid w:val="00477EDD"/>
    <w:rsid w:val="00477F7D"/>
    <w:rsid w:val="0048002E"/>
    <w:rsid w:val="00480129"/>
    <w:rsid w:val="00480222"/>
    <w:rsid w:val="004802D4"/>
    <w:rsid w:val="00480860"/>
    <w:rsid w:val="00480BE5"/>
    <w:rsid w:val="00480CE0"/>
    <w:rsid w:val="00480F00"/>
    <w:rsid w:val="00480FF9"/>
    <w:rsid w:val="00481897"/>
    <w:rsid w:val="00481BFD"/>
    <w:rsid w:val="00481DF0"/>
    <w:rsid w:val="00481E96"/>
    <w:rsid w:val="004821D5"/>
    <w:rsid w:val="00482236"/>
    <w:rsid w:val="00482403"/>
    <w:rsid w:val="00482410"/>
    <w:rsid w:val="0048243C"/>
    <w:rsid w:val="00482495"/>
    <w:rsid w:val="004829C0"/>
    <w:rsid w:val="00482B81"/>
    <w:rsid w:val="00482C38"/>
    <w:rsid w:val="00482C41"/>
    <w:rsid w:val="00482DB3"/>
    <w:rsid w:val="00482DD3"/>
    <w:rsid w:val="0048325C"/>
    <w:rsid w:val="0048344D"/>
    <w:rsid w:val="004838F3"/>
    <w:rsid w:val="0048392C"/>
    <w:rsid w:val="00483B7F"/>
    <w:rsid w:val="00483BC6"/>
    <w:rsid w:val="004847AA"/>
    <w:rsid w:val="0048480F"/>
    <w:rsid w:val="00484878"/>
    <w:rsid w:val="00484C6B"/>
    <w:rsid w:val="00484D29"/>
    <w:rsid w:val="00485030"/>
    <w:rsid w:val="004855C5"/>
    <w:rsid w:val="004856A3"/>
    <w:rsid w:val="0048588C"/>
    <w:rsid w:val="00485987"/>
    <w:rsid w:val="00485B31"/>
    <w:rsid w:val="00485CB7"/>
    <w:rsid w:val="00485CEC"/>
    <w:rsid w:val="00486169"/>
    <w:rsid w:val="00486229"/>
    <w:rsid w:val="00486A87"/>
    <w:rsid w:val="00486CDC"/>
    <w:rsid w:val="00486CE0"/>
    <w:rsid w:val="0048708E"/>
    <w:rsid w:val="0048730A"/>
    <w:rsid w:val="004873CE"/>
    <w:rsid w:val="0048790B"/>
    <w:rsid w:val="00487C93"/>
    <w:rsid w:val="00487F77"/>
    <w:rsid w:val="00487FF9"/>
    <w:rsid w:val="00490635"/>
    <w:rsid w:val="00490A60"/>
    <w:rsid w:val="00490F92"/>
    <w:rsid w:val="00491339"/>
    <w:rsid w:val="004917EF"/>
    <w:rsid w:val="004922A6"/>
    <w:rsid w:val="004922CF"/>
    <w:rsid w:val="0049268A"/>
    <w:rsid w:val="00492853"/>
    <w:rsid w:val="004928A5"/>
    <w:rsid w:val="004929B2"/>
    <w:rsid w:val="00492ACB"/>
    <w:rsid w:val="00492EAA"/>
    <w:rsid w:val="00492FA5"/>
    <w:rsid w:val="0049310F"/>
    <w:rsid w:val="00493122"/>
    <w:rsid w:val="004932CF"/>
    <w:rsid w:val="00493628"/>
    <w:rsid w:val="00493EBD"/>
    <w:rsid w:val="00494286"/>
    <w:rsid w:val="0049434C"/>
    <w:rsid w:val="00494574"/>
    <w:rsid w:val="00494730"/>
    <w:rsid w:val="00494779"/>
    <w:rsid w:val="004952D4"/>
    <w:rsid w:val="004957DA"/>
    <w:rsid w:val="0049587C"/>
    <w:rsid w:val="004960B3"/>
    <w:rsid w:val="004963B0"/>
    <w:rsid w:val="00496989"/>
    <w:rsid w:val="00496B7F"/>
    <w:rsid w:val="00496DB8"/>
    <w:rsid w:val="00497160"/>
    <w:rsid w:val="0049739F"/>
    <w:rsid w:val="004976DA"/>
    <w:rsid w:val="004977CB"/>
    <w:rsid w:val="00497878"/>
    <w:rsid w:val="00497954"/>
    <w:rsid w:val="00497AF5"/>
    <w:rsid w:val="004A0195"/>
    <w:rsid w:val="004A0236"/>
    <w:rsid w:val="004A05B6"/>
    <w:rsid w:val="004A0835"/>
    <w:rsid w:val="004A08C4"/>
    <w:rsid w:val="004A0A3D"/>
    <w:rsid w:val="004A0BF0"/>
    <w:rsid w:val="004A10E8"/>
    <w:rsid w:val="004A11F4"/>
    <w:rsid w:val="004A129F"/>
    <w:rsid w:val="004A13AA"/>
    <w:rsid w:val="004A1BD6"/>
    <w:rsid w:val="004A1C64"/>
    <w:rsid w:val="004A2161"/>
    <w:rsid w:val="004A23C8"/>
    <w:rsid w:val="004A23D2"/>
    <w:rsid w:val="004A2EBF"/>
    <w:rsid w:val="004A313F"/>
    <w:rsid w:val="004A3363"/>
    <w:rsid w:val="004A338D"/>
    <w:rsid w:val="004A34BA"/>
    <w:rsid w:val="004A3548"/>
    <w:rsid w:val="004A3609"/>
    <w:rsid w:val="004A369A"/>
    <w:rsid w:val="004A36A2"/>
    <w:rsid w:val="004A3876"/>
    <w:rsid w:val="004A3AFF"/>
    <w:rsid w:val="004A3B3E"/>
    <w:rsid w:val="004A3E67"/>
    <w:rsid w:val="004A40D6"/>
    <w:rsid w:val="004A40F7"/>
    <w:rsid w:val="004A4405"/>
    <w:rsid w:val="004A466D"/>
    <w:rsid w:val="004A496C"/>
    <w:rsid w:val="004A49F1"/>
    <w:rsid w:val="004A4AD2"/>
    <w:rsid w:val="004A4B89"/>
    <w:rsid w:val="004A50CC"/>
    <w:rsid w:val="004A5200"/>
    <w:rsid w:val="004A536F"/>
    <w:rsid w:val="004A5899"/>
    <w:rsid w:val="004A5E24"/>
    <w:rsid w:val="004A5EC9"/>
    <w:rsid w:val="004A63BA"/>
    <w:rsid w:val="004A6421"/>
    <w:rsid w:val="004A64D3"/>
    <w:rsid w:val="004A6547"/>
    <w:rsid w:val="004A6579"/>
    <w:rsid w:val="004A6642"/>
    <w:rsid w:val="004A6667"/>
    <w:rsid w:val="004A678C"/>
    <w:rsid w:val="004A6AED"/>
    <w:rsid w:val="004A715A"/>
    <w:rsid w:val="004A7653"/>
    <w:rsid w:val="004A7674"/>
    <w:rsid w:val="004A7692"/>
    <w:rsid w:val="004A776A"/>
    <w:rsid w:val="004A78E6"/>
    <w:rsid w:val="004A7970"/>
    <w:rsid w:val="004A7FEA"/>
    <w:rsid w:val="004B0344"/>
    <w:rsid w:val="004B039E"/>
    <w:rsid w:val="004B0585"/>
    <w:rsid w:val="004B05BA"/>
    <w:rsid w:val="004B0A62"/>
    <w:rsid w:val="004B0C96"/>
    <w:rsid w:val="004B0F6C"/>
    <w:rsid w:val="004B132E"/>
    <w:rsid w:val="004B1371"/>
    <w:rsid w:val="004B15CF"/>
    <w:rsid w:val="004B15D3"/>
    <w:rsid w:val="004B160E"/>
    <w:rsid w:val="004B16FB"/>
    <w:rsid w:val="004B1A94"/>
    <w:rsid w:val="004B2480"/>
    <w:rsid w:val="004B29E7"/>
    <w:rsid w:val="004B2B5F"/>
    <w:rsid w:val="004B2BAD"/>
    <w:rsid w:val="004B2C8B"/>
    <w:rsid w:val="004B2CEA"/>
    <w:rsid w:val="004B2F15"/>
    <w:rsid w:val="004B322F"/>
    <w:rsid w:val="004B32FA"/>
    <w:rsid w:val="004B3531"/>
    <w:rsid w:val="004B3A5B"/>
    <w:rsid w:val="004B3CE1"/>
    <w:rsid w:val="004B4049"/>
    <w:rsid w:val="004B41D5"/>
    <w:rsid w:val="004B44A9"/>
    <w:rsid w:val="004B4666"/>
    <w:rsid w:val="004B47C7"/>
    <w:rsid w:val="004B47D5"/>
    <w:rsid w:val="004B4B01"/>
    <w:rsid w:val="004B4E3A"/>
    <w:rsid w:val="004B506E"/>
    <w:rsid w:val="004B5073"/>
    <w:rsid w:val="004B52F9"/>
    <w:rsid w:val="004B593F"/>
    <w:rsid w:val="004B5B22"/>
    <w:rsid w:val="004B600B"/>
    <w:rsid w:val="004B6315"/>
    <w:rsid w:val="004B6415"/>
    <w:rsid w:val="004B67C4"/>
    <w:rsid w:val="004B68C1"/>
    <w:rsid w:val="004B6B36"/>
    <w:rsid w:val="004B6D33"/>
    <w:rsid w:val="004B7326"/>
    <w:rsid w:val="004B77E8"/>
    <w:rsid w:val="004B787A"/>
    <w:rsid w:val="004B7D27"/>
    <w:rsid w:val="004C0131"/>
    <w:rsid w:val="004C02F6"/>
    <w:rsid w:val="004C033E"/>
    <w:rsid w:val="004C0400"/>
    <w:rsid w:val="004C068E"/>
    <w:rsid w:val="004C0A67"/>
    <w:rsid w:val="004C0BA1"/>
    <w:rsid w:val="004C0D1F"/>
    <w:rsid w:val="004C0E3E"/>
    <w:rsid w:val="004C0F3F"/>
    <w:rsid w:val="004C102D"/>
    <w:rsid w:val="004C11B6"/>
    <w:rsid w:val="004C11EB"/>
    <w:rsid w:val="004C1274"/>
    <w:rsid w:val="004C140A"/>
    <w:rsid w:val="004C185B"/>
    <w:rsid w:val="004C18EC"/>
    <w:rsid w:val="004C216F"/>
    <w:rsid w:val="004C23E1"/>
    <w:rsid w:val="004C24C4"/>
    <w:rsid w:val="004C2762"/>
    <w:rsid w:val="004C2849"/>
    <w:rsid w:val="004C2D4B"/>
    <w:rsid w:val="004C2DA9"/>
    <w:rsid w:val="004C2F0B"/>
    <w:rsid w:val="004C36F7"/>
    <w:rsid w:val="004C3904"/>
    <w:rsid w:val="004C39B7"/>
    <w:rsid w:val="004C4020"/>
    <w:rsid w:val="004C47DC"/>
    <w:rsid w:val="004C4848"/>
    <w:rsid w:val="004C4EEB"/>
    <w:rsid w:val="004C5469"/>
    <w:rsid w:val="004C5777"/>
    <w:rsid w:val="004C587F"/>
    <w:rsid w:val="004C5AE4"/>
    <w:rsid w:val="004C5D72"/>
    <w:rsid w:val="004C6020"/>
    <w:rsid w:val="004C6226"/>
    <w:rsid w:val="004C65D8"/>
    <w:rsid w:val="004C6A94"/>
    <w:rsid w:val="004C6AEF"/>
    <w:rsid w:val="004C6C6F"/>
    <w:rsid w:val="004C6E0B"/>
    <w:rsid w:val="004C6FE7"/>
    <w:rsid w:val="004C7592"/>
    <w:rsid w:val="004C786B"/>
    <w:rsid w:val="004C7E72"/>
    <w:rsid w:val="004D0100"/>
    <w:rsid w:val="004D0168"/>
    <w:rsid w:val="004D0173"/>
    <w:rsid w:val="004D053C"/>
    <w:rsid w:val="004D05C5"/>
    <w:rsid w:val="004D1056"/>
    <w:rsid w:val="004D1375"/>
    <w:rsid w:val="004D1677"/>
    <w:rsid w:val="004D1812"/>
    <w:rsid w:val="004D186A"/>
    <w:rsid w:val="004D18E4"/>
    <w:rsid w:val="004D1E9D"/>
    <w:rsid w:val="004D1F95"/>
    <w:rsid w:val="004D2009"/>
    <w:rsid w:val="004D24DC"/>
    <w:rsid w:val="004D27F1"/>
    <w:rsid w:val="004D2901"/>
    <w:rsid w:val="004D292D"/>
    <w:rsid w:val="004D2987"/>
    <w:rsid w:val="004D303F"/>
    <w:rsid w:val="004D30CC"/>
    <w:rsid w:val="004D3231"/>
    <w:rsid w:val="004D3271"/>
    <w:rsid w:val="004D3373"/>
    <w:rsid w:val="004D3486"/>
    <w:rsid w:val="004D38DD"/>
    <w:rsid w:val="004D3A85"/>
    <w:rsid w:val="004D40FA"/>
    <w:rsid w:val="004D41A7"/>
    <w:rsid w:val="004D47E0"/>
    <w:rsid w:val="004D481D"/>
    <w:rsid w:val="004D4CB7"/>
    <w:rsid w:val="004D4E2D"/>
    <w:rsid w:val="004D4FE3"/>
    <w:rsid w:val="004D5453"/>
    <w:rsid w:val="004D5A85"/>
    <w:rsid w:val="004D5C04"/>
    <w:rsid w:val="004D5E00"/>
    <w:rsid w:val="004D5F1C"/>
    <w:rsid w:val="004D620E"/>
    <w:rsid w:val="004D65F0"/>
    <w:rsid w:val="004D6614"/>
    <w:rsid w:val="004D6F47"/>
    <w:rsid w:val="004D7142"/>
    <w:rsid w:val="004D7562"/>
    <w:rsid w:val="004D7F2D"/>
    <w:rsid w:val="004E09F6"/>
    <w:rsid w:val="004E0D20"/>
    <w:rsid w:val="004E0E9D"/>
    <w:rsid w:val="004E14BB"/>
    <w:rsid w:val="004E15D3"/>
    <w:rsid w:val="004E1684"/>
    <w:rsid w:val="004E1734"/>
    <w:rsid w:val="004E1857"/>
    <w:rsid w:val="004E1D39"/>
    <w:rsid w:val="004E1DF4"/>
    <w:rsid w:val="004E1E00"/>
    <w:rsid w:val="004E1F9D"/>
    <w:rsid w:val="004E21E2"/>
    <w:rsid w:val="004E23AA"/>
    <w:rsid w:val="004E24A8"/>
    <w:rsid w:val="004E25A2"/>
    <w:rsid w:val="004E293F"/>
    <w:rsid w:val="004E2940"/>
    <w:rsid w:val="004E294D"/>
    <w:rsid w:val="004E2A32"/>
    <w:rsid w:val="004E2B49"/>
    <w:rsid w:val="004E2C66"/>
    <w:rsid w:val="004E2C9D"/>
    <w:rsid w:val="004E2E13"/>
    <w:rsid w:val="004E3478"/>
    <w:rsid w:val="004E35EF"/>
    <w:rsid w:val="004E380D"/>
    <w:rsid w:val="004E393C"/>
    <w:rsid w:val="004E39D0"/>
    <w:rsid w:val="004E3CFF"/>
    <w:rsid w:val="004E3EAA"/>
    <w:rsid w:val="004E408E"/>
    <w:rsid w:val="004E4201"/>
    <w:rsid w:val="004E4554"/>
    <w:rsid w:val="004E4D2B"/>
    <w:rsid w:val="004E4F53"/>
    <w:rsid w:val="004E4FB7"/>
    <w:rsid w:val="004E4FDB"/>
    <w:rsid w:val="004E539A"/>
    <w:rsid w:val="004E5682"/>
    <w:rsid w:val="004E5730"/>
    <w:rsid w:val="004E5892"/>
    <w:rsid w:val="004E58C6"/>
    <w:rsid w:val="004E58E3"/>
    <w:rsid w:val="004E5C2F"/>
    <w:rsid w:val="004E5E2E"/>
    <w:rsid w:val="004E5E4A"/>
    <w:rsid w:val="004E6C60"/>
    <w:rsid w:val="004E6F06"/>
    <w:rsid w:val="004E6F91"/>
    <w:rsid w:val="004E7221"/>
    <w:rsid w:val="004E7922"/>
    <w:rsid w:val="004E7B6D"/>
    <w:rsid w:val="004E7D7E"/>
    <w:rsid w:val="004E7E48"/>
    <w:rsid w:val="004F0020"/>
    <w:rsid w:val="004F0406"/>
    <w:rsid w:val="004F0472"/>
    <w:rsid w:val="004F0A62"/>
    <w:rsid w:val="004F0DFC"/>
    <w:rsid w:val="004F0F09"/>
    <w:rsid w:val="004F0FAA"/>
    <w:rsid w:val="004F106A"/>
    <w:rsid w:val="004F1135"/>
    <w:rsid w:val="004F15AB"/>
    <w:rsid w:val="004F1934"/>
    <w:rsid w:val="004F1AC6"/>
    <w:rsid w:val="004F1F2E"/>
    <w:rsid w:val="004F21A0"/>
    <w:rsid w:val="004F2411"/>
    <w:rsid w:val="004F241A"/>
    <w:rsid w:val="004F27AF"/>
    <w:rsid w:val="004F2FE5"/>
    <w:rsid w:val="004F3441"/>
    <w:rsid w:val="004F3459"/>
    <w:rsid w:val="004F34D1"/>
    <w:rsid w:val="004F3548"/>
    <w:rsid w:val="004F363A"/>
    <w:rsid w:val="004F3764"/>
    <w:rsid w:val="004F3880"/>
    <w:rsid w:val="004F38EB"/>
    <w:rsid w:val="004F3934"/>
    <w:rsid w:val="004F3BDF"/>
    <w:rsid w:val="004F3DED"/>
    <w:rsid w:val="004F3E8A"/>
    <w:rsid w:val="004F41B2"/>
    <w:rsid w:val="004F427C"/>
    <w:rsid w:val="004F4394"/>
    <w:rsid w:val="004F43C9"/>
    <w:rsid w:val="004F461C"/>
    <w:rsid w:val="004F4750"/>
    <w:rsid w:val="004F47C9"/>
    <w:rsid w:val="004F483D"/>
    <w:rsid w:val="004F487F"/>
    <w:rsid w:val="004F4881"/>
    <w:rsid w:val="004F48E1"/>
    <w:rsid w:val="004F4AFC"/>
    <w:rsid w:val="004F4E89"/>
    <w:rsid w:val="004F50A1"/>
    <w:rsid w:val="004F52A5"/>
    <w:rsid w:val="004F5321"/>
    <w:rsid w:val="004F534E"/>
    <w:rsid w:val="004F538F"/>
    <w:rsid w:val="004F5795"/>
    <w:rsid w:val="004F5A95"/>
    <w:rsid w:val="004F5E53"/>
    <w:rsid w:val="004F6030"/>
    <w:rsid w:val="004F65C6"/>
    <w:rsid w:val="004F6C1E"/>
    <w:rsid w:val="004F7120"/>
    <w:rsid w:val="004F723D"/>
    <w:rsid w:val="004F752C"/>
    <w:rsid w:val="004F75B0"/>
    <w:rsid w:val="004F7A13"/>
    <w:rsid w:val="0050047D"/>
    <w:rsid w:val="005008D6"/>
    <w:rsid w:val="005008EF"/>
    <w:rsid w:val="00500963"/>
    <w:rsid w:val="00500B85"/>
    <w:rsid w:val="00500C8C"/>
    <w:rsid w:val="00501099"/>
    <w:rsid w:val="00501375"/>
    <w:rsid w:val="00501B63"/>
    <w:rsid w:val="00501CC1"/>
    <w:rsid w:val="00501D26"/>
    <w:rsid w:val="00501D3B"/>
    <w:rsid w:val="005020FF"/>
    <w:rsid w:val="00502225"/>
    <w:rsid w:val="005022C9"/>
    <w:rsid w:val="005023B6"/>
    <w:rsid w:val="00502526"/>
    <w:rsid w:val="005025F8"/>
    <w:rsid w:val="00502634"/>
    <w:rsid w:val="00502689"/>
    <w:rsid w:val="005028A5"/>
    <w:rsid w:val="00502904"/>
    <w:rsid w:val="00502BF4"/>
    <w:rsid w:val="00503386"/>
    <w:rsid w:val="005036B1"/>
    <w:rsid w:val="0050387F"/>
    <w:rsid w:val="005038F7"/>
    <w:rsid w:val="005039F4"/>
    <w:rsid w:val="00503C8D"/>
    <w:rsid w:val="00504036"/>
    <w:rsid w:val="005040EF"/>
    <w:rsid w:val="00504805"/>
    <w:rsid w:val="00504864"/>
    <w:rsid w:val="00504AE1"/>
    <w:rsid w:val="00504AF7"/>
    <w:rsid w:val="00505127"/>
    <w:rsid w:val="0050524C"/>
    <w:rsid w:val="00505DBA"/>
    <w:rsid w:val="00505EEA"/>
    <w:rsid w:val="00506243"/>
    <w:rsid w:val="005062F8"/>
    <w:rsid w:val="0050650F"/>
    <w:rsid w:val="00506798"/>
    <w:rsid w:val="0050693E"/>
    <w:rsid w:val="0050697E"/>
    <w:rsid w:val="00506EE4"/>
    <w:rsid w:val="005072B1"/>
    <w:rsid w:val="00507532"/>
    <w:rsid w:val="0050758C"/>
    <w:rsid w:val="00507613"/>
    <w:rsid w:val="0050779D"/>
    <w:rsid w:val="005102AD"/>
    <w:rsid w:val="0051051D"/>
    <w:rsid w:val="0051094C"/>
    <w:rsid w:val="005111D5"/>
    <w:rsid w:val="005111EB"/>
    <w:rsid w:val="0051150D"/>
    <w:rsid w:val="00511AB3"/>
    <w:rsid w:val="00511FA3"/>
    <w:rsid w:val="005120D3"/>
    <w:rsid w:val="005120E3"/>
    <w:rsid w:val="005123CF"/>
    <w:rsid w:val="0051253E"/>
    <w:rsid w:val="0051258E"/>
    <w:rsid w:val="0051278A"/>
    <w:rsid w:val="005128CC"/>
    <w:rsid w:val="00512A44"/>
    <w:rsid w:val="00512B32"/>
    <w:rsid w:val="00512B51"/>
    <w:rsid w:val="00512F85"/>
    <w:rsid w:val="0051323D"/>
    <w:rsid w:val="005136E1"/>
    <w:rsid w:val="00513C30"/>
    <w:rsid w:val="00513DF5"/>
    <w:rsid w:val="00513F18"/>
    <w:rsid w:val="00513F5A"/>
    <w:rsid w:val="005142EA"/>
    <w:rsid w:val="00514478"/>
    <w:rsid w:val="00514C8A"/>
    <w:rsid w:val="00514D56"/>
    <w:rsid w:val="00514DCF"/>
    <w:rsid w:val="00514E0F"/>
    <w:rsid w:val="00514F33"/>
    <w:rsid w:val="0051592F"/>
    <w:rsid w:val="005159DA"/>
    <w:rsid w:val="00516147"/>
    <w:rsid w:val="0051621D"/>
    <w:rsid w:val="00516242"/>
    <w:rsid w:val="005162CE"/>
    <w:rsid w:val="0051647E"/>
    <w:rsid w:val="005173F9"/>
    <w:rsid w:val="00520383"/>
    <w:rsid w:val="00520B59"/>
    <w:rsid w:val="00520BBB"/>
    <w:rsid w:val="00520FA6"/>
    <w:rsid w:val="0052143B"/>
    <w:rsid w:val="00521471"/>
    <w:rsid w:val="0052153B"/>
    <w:rsid w:val="00521908"/>
    <w:rsid w:val="005219F5"/>
    <w:rsid w:val="00521A0B"/>
    <w:rsid w:val="00521B5B"/>
    <w:rsid w:val="00521DA0"/>
    <w:rsid w:val="00521EDF"/>
    <w:rsid w:val="00522428"/>
    <w:rsid w:val="005224A9"/>
    <w:rsid w:val="005224C7"/>
    <w:rsid w:val="00522580"/>
    <w:rsid w:val="00522655"/>
    <w:rsid w:val="00522FE6"/>
    <w:rsid w:val="0052321A"/>
    <w:rsid w:val="00523277"/>
    <w:rsid w:val="00523285"/>
    <w:rsid w:val="00523297"/>
    <w:rsid w:val="005232C6"/>
    <w:rsid w:val="00523674"/>
    <w:rsid w:val="005239FC"/>
    <w:rsid w:val="00523C27"/>
    <w:rsid w:val="00523E0C"/>
    <w:rsid w:val="00523E63"/>
    <w:rsid w:val="00523E8E"/>
    <w:rsid w:val="00524103"/>
    <w:rsid w:val="005242A7"/>
    <w:rsid w:val="00524922"/>
    <w:rsid w:val="00524A62"/>
    <w:rsid w:val="00524F4D"/>
    <w:rsid w:val="0052510D"/>
    <w:rsid w:val="00525189"/>
    <w:rsid w:val="00525315"/>
    <w:rsid w:val="0052544D"/>
    <w:rsid w:val="00525456"/>
    <w:rsid w:val="00525693"/>
    <w:rsid w:val="005257B7"/>
    <w:rsid w:val="00525E14"/>
    <w:rsid w:val="00526085"/>
    <w:rsid w:val="005261B1"/>
    <w:rsid w:val="005261B8"/>
    <w:rsid w:val="005263F3"/>
    <w:rsid w:val="00526B04"/>
    <w:rsid w:val="00527203"/>
    <w:rsid w:val="005278D5"/>
    <w:rsid w:val="00527DE3"/>
    <w:rsid w:val="00527E45"/>
    <w:rsid w:val="00530018"/>
    <w:rsid w:val="005301DF"/>
    <w:rsid w:val="005302E9"/>
    <w:rsid w:val="0053048C"/>
    <w:rsid w:val="005307B1"/>
    <w:rsid w:val="00531589"/>
    <w:rsid w:val="0053168E"/>
    <w:rsid w:val="00531AB9"/>
    <w:rsid w:val="00531E41"/>
    <w:rsid w:val="00531FE2"/>
    <w:rsid w:val="005321A9"/>
    <w:rsid w:val="00532236"/>
    <w:rsid w:val="00532378"/>
    <w:rsid w:val="00532B2F"/>
    <w:rsid w:val="00532C64"/>
    <w:rsid w:val="00533012"/>
    <w:rsid w:val="005333A1"/>
    <w:rsid w:val="005334AA"/>
    <w:rsid w:val="0053351F"/>
    <w:rsid w:val="005337FE"/>
    <w:rsid w:val="00533A5C"/>
    <w:rsid w:val="005340D9"/>
    <w:rsid w:val="00534428"/>
    <w:rsid w:val="005346D6"/>
    <w:rsid w:val="005347AC"/>
    <w:rsid w:val="00534B19"/>
    <w:rsid w:val="00535358"/>
    <w:rsid w:val="00535525"/>
    <w:rsid w:val="00535ED2"/>
    <w:rsid w:val="00536127"/>
    <w:rsid w:val="00536555"/>
    <w:rsid w:val="00536873"/>
    <w:rsid w:val="00536B8A"/>
    <w:rsid w:val="00536D5F"/>
    <w:rsid w:val="00536F93"/>
    <w:rsid w:val="0053711F"/>
    <w:rsid w:val="005375DC"/>
    <w:rsid w:val="00537A4F"/>
    <w:rsid w:val="00537C17"/>
    <w:rsid w:val="00537C67"/>
    <w:rsid w:val="005400D8"/>
    <w:rsid w:val="00540280"/>
    <w:rsid w:val="005402AE"/>
    <w:rsid w:val="00540335"/>
    <w:rsid w:val="005405C4"/>
    <w:rsid w:val="005406C5"/>
    <w:rsid w:val="005407D3"/>
    <w:rsid w:val="00540ACD"/>
    <w:rsid w:val="0054117A"/>
    <w:rsid w:val="005411B1"/>
    <w:rsid w:val="00541303"/>
    <w:rsid w:val="00541409"/>
    <w:rsid w:val="00541528"/>
    <w:rsid w:val="005416F6"/>
    <w:rsid w:val="00541A6C"/>
    <w:rsid w:val="00541D00"/>
    <w:rsid w:val="00541DFE"/>
    <w:rsid w:val="00541FB3"/>
    <w:rsid w:val="00542393"/>
    <w:rsid w:val="005426D1"/>
    <w:rsid w:val="00542843"/>
    <w:rsid w:val="00542A64"/>
    <w:rsid w:val="00542AB1"/>
    <w:rsid w:val="00542B83"/>
    <w:rsid w:val="00542C63"/>
    <w:rsid w:val="00542CFA"/>
    <w:rsid w:val="00542F03"/>
    <w:rsid w:val="0054316D"/>
    <w:rsid w:val="0054337F"/>
    <w:rsid w:val="005433E9"/>
    <w:rsid w:val="0054394F"/>
    <w:rsid w:val="005439B8"/>
    <w:rsid w:val="00543E6C"/>
    <w:rsid w:val="00543F64"/>
    <w:rsid w:val="00544184"/>
    <w:rsid w:val="0054435B"/>
    <w:rsid w:val="005444D9"/>
    <w:rsid w:val="00544CCD"/>
    <w:rsid w:val="00544E47"/>
    <w:rsid w:val="00545026"/>
    <w:rsid w:val="005450CB"/>
    <w:rsid w:val="0054537F"/>
    <w:rsid w:val="005453D2"/>
    <w:rsid w:val="00545870"/>
    <w:rsid w:val="00545934"/>
    <w:rsid w:val="00545ACE"/>
    <w:rsid w:val="00545F73"/>
    <w:rsid w:val="00545FCB"/>
    <w:rsid w:val="00546764"/>
    <w:rsid w:val="00546865"/>
    <w:rsid w:val="00546A67"/>
    <w:rsid w:val="00546A7B"/>
    <w:rsid w:val="00546BFB"/>
    <w:rsid w:val="00546C05"/>
    <w:rsid w:val="005470C9"/>
    <w:rsid w:val="00547470"/>
    <w:rsid w:val="00547A4F"/>
    <w:rsid w:val="00547BB0"/>
    <w:rsid w:val="0055065F"/>
    <w:rsid w:val="00550AD4"/>
    <w:rsid w:val="00550D9D"/>
    <w:rsid w:val="00550EF8"/>
    <w:rsid w:val="00550F31"/>
    <w:rsid w:val="0055111B"/>
    <w:rsid w:val="0055170C"/>
    <w:rsid w:val="005517C8"/>
    <w:rsid w:val="005517D2"/>
    <w:rsid w:val="005517FA"/>
    <w:rsid w:val="005523D6"/>
    <w:rsid w:val="0055243B"/>
    <w:rsid w:val="005527D9"/>
    <w:rsid w:val="005527EC"/>
    <w:rsid w:val="00552917"/>
    <w:rsid w:val="00552C59"/>
    <w:rsid w:val="00552CA4"/>
    <w:rsid w:val="00552F41"/>
    <w:rsid w:val="005531D0"/>
    <w:rsid w:val="0055336E"/>
    <w:rsid w:val="0055351E"/>
    <w:rsid w:val="00553A11"/>
    <w:rsid w:val="00553A82"/>
    <w:rsid w:val="00553D5F"/>
    <w:rsid w:val="00553F6B"/>
    <w:rsid w:val="00554010"/>
    <w:rsid w:val="005545B1"/>
    <w:rsid w:val="005545F1"/>
    <w:rsid w:val="0055499D"/>
    <w:rsid w:val="00554CB2"/>
    <w:rsid w:val="00554E1F"/>
    <w:rsid w:val="00555235"/>
    <w:rsid w:val="005552FD"/>
    <w:rsid w:val="00555305"/>
    <w:rsid w:val="00555432"/>
    <w:rsid w:val="005554BD"/>
    <w:rsid w:val="00555E5E"/>
    <w:rsid w:val="00556085"/>
    <w:rsid w:val="005562AB"/>
    <w:rsid w:val="00556C59"/>
    <w:rsid w:val="00556F4C"/>
    <w:rsid w:val="00557193"/>
    <w:rsid w:val="00557456"/>
    <w:rsid w:val="005574C5"/>
    <w:rsid w:val="00557635"/>
    <w:rsid w:val="0055787B"/>
    <w:rsid w:val="00557D47"/>
    <w:rsid w:val="00557E18"/>
    <w:rsid w:val="005600E5"/>
    <w:rsid w:val="005602D5"/>
    <w:rsid w:val="005607BE"/>
    <w:rsid w:val="0056097D"/>
    <w:rsid w:val="005609AD"/>
    <w:rsid w:val="00560B8F"/>
    <w:rsid w:val="00560B94"/>
    <w:rsid w:val="00560DF4"/>
    <w:rsid w:val="0056149B"/>
    <w:rsid w:val="005615CF"/>
    <w:rsid w:val="005619D6"/>
    <w:rsid w:val="00561B53"/>
    <w:rsid w:val="00561D2B"/>
    <w:rsid w:val="00561DBE"/>
    <w:rsid w:val="0056212B"/>
    <w:rsid w:val="0056220B"/>
    <w:rsid w:val="0056226E"/>
    <w:rsid w:val="005622FE"/>
    <w:rsid w:val="00562BDC"/>
    <w:rsid w:val="00562C8F"/>
    <w:rsid w:val="005632AD"/>
    <w:rsid w:val="0056391A"/>
    <w:rsid w:val="00563989"/>
    <w:rsid w:val="00563CC6"/>
    <w:rsid w:val="00563D81"/>
    <w:rsid w:val="00563EBC"/>
    <w:rsid w:val="00564058"/>
    <w:rsid w:val="00564176"/>
    <w:rsid w:val="005641A3"/>
    <w:rsid w:val="00564379"/>
    <w:rsid w:val="005644E7"/>
    <w:rsid w:val="005644ED"/>
    <w:rsid w:val="0056492D"/>
    <w:rsid w:val="00564BB1"/>
    <w:rsid w:val="00564BFD"/>
    <w:rsid w:val="00564C6D"/>
    <w:rsid w:val="00564E8F"/>
    <w:rsid w:val="00564EAF"/>
    <w:rsid w:val="00564F06"/>
    <w:rsid w:val="00565151"/>
    <w:rsid w:val="005652FC"/>
    <w:rsid w:val="005654D2"/>
    <w:rsid w:val="00565B02"/>
    <w:rsid w:val="00565E05"/>
    <w:rsid w:val="005660D3"/>
    <w:rsid w:val="005662B9"/>
    <w:rsid w:val="005662C8"/>
    <w:rsid w:val="00566626"/>
    <w:rsid w:val="00566B63"/>
    <w:rsid w:val="00566D03"/>
    <w:rsid w:val="0056722C"/>
    <w:rsid w:val="00567266"/>
    <w:rsid w:val="005677C4"/>
    <w:rsid w:val="00567BE5"/>
    <w:rsid w:val="00567C01"/>
    <w:rsid w:val="00567C0E"/>
    <w:rsid w:val="00567EB1"/>
    <w:rsid w:val="00570055"/>
    <w:rsid w:val="0057007B"/>
    <w:rsid w:val="005700AA"/>
    <w:rsid w:val="00570196"/>
    <w:rsid w:val="005701CB"/>
    <w:rsid w:val="00570418"/>
    <w:rsid w:val="00570B0B"/>
    <w:rsid w:val="00570BE0"/>
    <w:rsid w:val="00570BE1"/>
    <w:rsid w:val="00570C07"/>
    <w:rsid w:val="00570E63"/>
    <w:rsid w:val="00570E7F"/>
    <w:rsid w:val="00570F79"/>
    <w:rsid w:val="00570FE3"/>
    <w:rsid w:val="00571412"/>
    <w:rsid w:val="00571514"/>
    <w:rsid w:val="005715C6"/>
    <w:rsid w:val="0057168A"/>
    <w:rsid w:val="0057174D"/>
    <w:rsid w:val="00571D4D"/>
    <w:rsid w:val="00571E77"/>
    <w:rsid w:val="005728A4"/>
    <w:rsid w:val="005729AA"/>
    <w:rsid w:val="00572BD8"/>
    <w:rsid w:val="00572D1F"/>
    <w:rsid w:val="00572ECB"/>
    <w:rsid w:val="005736CF"/>
    <w:rsid w:val="005736E9"/>
    <w:rsid w:val="0057378C"/>
    <w:rsid w:val="00573C66"/>
    <w:rsid w:val="00573D25"/>
    <w:rsid w:val="00573DB3"/>
    <w:rsid w:val="00574250"/>
    <w:rsid w:val="005746EB"/>
    <w:rsid w:val="005752A9"/>
    <w:rsid w:val="0057553C"/>
    <w:rsid w:val="005760EA"/>
    <w:rsid w:val="005760EB"/>
    <w:rsid w:val="005763F8"/>
    <w:rsid w:val="005763FC"/>
    <w:rsid w:val="00576C04"/>
    <w:rsid w:val="00576EB4"/>
    <w:rsid w:val="00577070"/>
    <w:rsid w:val="0057707A"/>
    <w:rsid w:val="00577148"/>
    <w:rsid w:val="0057716D"/>
    <w:rsid w:val="0057722E"/>
    <w:rsid w:val="0057750E"/>
    <w:rsid w:val="005777BA"/>
    <w:rsid w:val="00580713"/>
    <w:rsid w:val="00580893"/>
    <w:rsid w:val="00580E65"/>
    <w:rsid w:val="0058128B"/>
    <w:rsid w:val="005813A7"/>
    <w:rsid w:val="0058155A"/>
    <w:rsid w:val="005816A8"/>
    <w:rsid w:val="0058190F"/>
    <w:rsid w:val="0058207F"/>
    <w:rsid w:val="005821C7"/>
    <w:rsid w:val="005822A8"/>
    <w:rsid w:val="005822BC"/>
    <w:rsid w:val="005823A4"/>
    <w:rsid w:val="005824E6"/>
    <w:rsid w:val="00582768"/>
    <w:rsid w:val="00583461"/>
    <w:rsid w:val="0058373D"/>
    <w:rsid w:val="00583786"/>
    <w:rsid w:val="005838EA"/>
    <w:rsid w:val="00583BC7"/>
    <w:rsid w:val="00583FCC"/>
    <w:rsid w:val="005840FC"/>
    <w:rsid w:val="005841D6"/>
    <w:rsid w:val="0058495D"/>
    <w:rsid w:val="00584A36"/>
    <w:rsid w:val="00584F5E"/>
    <w:rsid w:val="00584F62"/>
    <w:rsid w:val="00584FEB"/>
    <w:rsid w:val="005856A4"/>
    <w:rsid w:val="005856CC"/>
    <w:rsid w:val="005857DA"/>
    <w:rsid w:val="0058583E"/>
    <w:rsid w:val="005859D6"/>
    <w:rsid w:val="005865E9"/>
    <w:rsid w:val="005867E0"/>
    <w:rsid w:val="005868A8"/>
    <w:rsid w:val="00586A0D"/>
    <w:rsid w:val="00587037"/>
    <w:rsid w:val="00587492"/>
    <w:rsid w:val="0058756B"/>
    <w:rsid w:val="00587625"/>
    <w:rsid w:val="00587B78"/>
    <w:rsid w:val="00587C1D"/>
    <w:rsid w:val="0059054D"/>
    <w:rsid w:val="00590730"/>
    <w:rsid w:val="00590784"/>
    <w:rsid w:val="00590C34"/>
    <w:rsid w:val="00590D2B"/>
    <w:rsid w:val="00590DA0"/>
    <w:rsid w:val="00590F71"/>
    <w:rsid w:val="00591144"/>
    <w:rsid w:val="00591650"/>
    <w:rsid w:val="0059187B"/>
    <w:rsid w:val="005919C3"/>
    <w:rsid w:val="00591E70"/>
    <w:rsid w:val="00592227"/>
    <w:rsid w:val="00592554"/>
    <w:rsid w:val="005925F7"/>
    <w:rsid w:val="00592723"/>
    <w:rsid w:val="00592BFC"/>
    <w:rsid w:val="00592CEC"/>
    <w:rsid w:val="005933DD"/>
    <w:rsid w:val="005936EB"/>
    <w:rsid w:val="00593733"/>
    <w:rsid w:val="00593BEA"/>
    <w:rsid w:val="00593C04"/>
    <w:rsid w:val="00593F9E"/>
    <w:rsid w:val="005940FC"/>
    <w:rsid w:val="00594195"/>
    <w:rsid w:val="0059422F"/>
    <w:rsid w:val="005943A3"/>
    <w:rsid w:val="0059443B"/>
    <w:rsid w:val="0059475B"/>
    <w:rsid w:val="00594D89"/>
    <w:rsid w:val="00595CAF"/>
    <w:rsid w:val="00595F29"/>
    <w:rsid w:val="005960A6"/>
    <w:rsid w:val="00596515"/>
    <w:rsid w:val="0059675C"/>
    <w:rsid w:val="005967FD"/>
    <w:rsid w:val="00596EA9"/>
    <w:rsid w:val="00596F5A"/>
    <w:rsid w:val="005973F3"/>
    <w:rsid w:val="00597432"/>
    <w:rsid w:val="005974C1"/>
    <w:rsid w:val="005975F5"/>
    <w:rsid w:val="005976F8"/>
    <w:rsid w:val="005A017E"/>
    <w:rsid w:val="005A0380"/>
    <w:rsid w:val="005A0388"/>
    <w:rsid w:val="005A0486"/>
    <w:rsid w:val="005A06E9"/>
    <w:rsid w:val="005A0F87"/>
    <w:rsid w:val="005A10FC"/>
    <w:rsid w:val="005A11C3"/>
    <w:rsid w:val="005A1356"/>
    <w:rsid w:val="005A17D0"/>
    <w:rsid w:val="005A18EE"/>
    <w:rsid w:val="005A19EA"/>
    <w:rsid w:val="005A1A3B"/>
    <w:rsid w:val="005A1E78"/>
    <w:rsid w:val="005A1F83"/>
    <w:rsid w:val="005A219D"/>
    <w:rsid w:val="005A2434"/>
    <w:rsid w:val="005A246D"/>
    <w:rsid w:val="005A2A6E"/>
    <w:rsid w:val="005A2BA6"/>
    <w:rsid w:val="005A2E40"/>
    <w:rsid w:val="005A2F0E"/>
    <w:rsid w:val="005A2F83"/>
    <w:rsid w:val="005A3051"/>
    <w:rsid w:val="005A32D4"/>
    <w:rsid w:val="005A332F"/>
    <w:rsid w:val="005A3368"/>
    <w:rsid w:val="005A37EA"/>
    <w:rsid w:val="005A3D32"/>
    <w:rsid w:val="005A4250"/>
    <w:rsid w:val="005A43E8"/>
    <w:rsid w:val="005A46EF"/>
    <w:rsid w:val="005A4985"/>
    <w:rsid w:val="005A49C9"/>
    <w:rsid w:val="005A4ADB"/>
    <w:rsid w:val="005A4DD7"/>
    <w:rsid w:val="005A4EC0"/>
    <w:rsid w:val="005A4EE5"/>
    <w:rsid w:val="005A5151"/>
    <w:rsid w:val="005A52C6"/>
    <w:rsid w:val="005A533A"/>
    <w:rsid w:val="005A53FE"/>
    <w:rsid w:val="005A6109"/>
    <w:rsid w:val="005A653F"/>
    <w:rsid w:val="005A6C2D"/>
    <w:rsid w:val="005A6DBA"/>
    <w:rsid w:val="005A7035"/>
    <w:rsid w:val="005A744A"/>
    <w:rsid w:val="005A7880"/>
    <w:rsid w:val="005A78D8"/>
    <w:rsid w:val="005A7A72"/>
    <w:rsid w:val="005A7CBF"/>
    <w:rsid w:val="005A7E63"/>
    <w:rsid w:val="005B0392"/>
    <w:rsid w:val="005B0491"/>
    <w:rsid w:val="005B07F5"/>
    <w:rsid w:val="005B0E0C"/>
    <w:rsid w:val="005B0EF0"/>
    <w:rsid w:val="005B1D10"/>
    <w:rsid w:val="005B23AF"/>
    <w:rsid w:val="005B248D"/>
    <w:rsid w:val="005B25A2"/>
    <w:rsid w:val="005B28B3"/>
    <w:rsid w:val="005B2BEC"/>
    <w:rsid w:val="005B336D"/>
    <w:rsid w:val="005B346B"/>
    <w:rsid w:val="005B3536"/>
    <w:rsid w:val="005B389F"/>
    <w:rsid w:val="005B3AE3"/>
    <w:rsid w:val="005B4389"/>
    <w:rsid w:val="005B4467"/>
    <w:rsid w:val="005B5255"/>
    <w:rsid w:val="005B56A1"/>
    <w:rsid w:val="005B5B95"/>
    <w:rsid w:val="005B5BA8"/>
    <w:rsid w:val="005B5C04"/>
    <w:rsid w:val="005B5D4F"/>
    <w:rsid w:val="005B625F"/>
    <w:rsid w:val="005B6281"/>
    <w:rsid w:val="005B62C9"/>
    <w:rsid w:val="005B6AB6"/>
    <w:rsid w:val="005B72BC"/>
    <w:rsid w:val="005B7334"/>
    <w:rsid w:val="005B785F"/>
    <w:rsid w:val="005B7A5B"/>
    <w:rsid w:val="005B7BBA"/>
    <w:rsid w:val="005B7D22"/>
    <w:rsid w:val="005B7D36"/>
    <w:rsid w:val="005B7DA7"/>
    <w:rsid w:val="005C029E"/>
    <w:rsid w:val="005C042C"/>
    <w:rsid w:val="005C050B"/>
    <w:rsid w:val="005C0A82"/>
    <w:rsid w:val="005C0B60"/>
    <w:rsid w:val="005C1410"/>
    <w:rsid w:val="005C152F"/>
    <w:rsid w:val="005C15AA"/>
    <w:rsid w:val="005C15FA"/>
    <w:rsid w:val="005C1882"/>
    <w:rsid w:val="005C1A2C"/>
    <w:rsid w:val="005C1C59"/>
    <w:rsid w:val="005C1F0D"/>
    <w:rsid w:val="005C23BE"/>
    <w:rsid w:val="005C2472"/>
    <w:rsid w:val="005C255E"/>
    <w:rsid w:val="005C297A"/>
    <w:rsid w:val="005C30A3"/>
    <w:rsid w:val="005C3354"/>
    <w:rsid w:val="005C3598"/>
    <w:rsid w:val="005C3613"/>
    <w:rsid w:val="005C3B63"/>
    <w:rsid w:val="005C3B6B"/>
    <w:rsid w:val="005C3C42"/>
    <w:rsid w:val="005C3D22"/>
    <w:rsid w:val="005C3F44"/>
    <w:rsid w:val="005C3F74"/>
    <w:rsid w:val="005C44DF"/>
    <w:rsid w:val="005C4588"/>
    <w:rsid w:val="005C501B"/>
    <w:rsid w:val="005C536A"/>
    <w:rsid w:val="005C5395"/>
    <w:rsid w:val="005C595C"/>
    <w:rsid w:val="005C5997"/>
    <w:rsid w:val="005C5CD4"/>
    <w:rsid w:val="005C5D2C"/>
    <w:rsid w:val="005C5E55"/>
    <w:rsid w:val="005C6020"/>
    <w:rsid w:val="005C6142"/>
    <w:rsid w:val="005C6562"/>
    <w:rsid w:val="005C676B"/>
    <w:rsid w:val="005C679F"/>
    <w:rsid w:val="005C68AD"/>
    <w:rsid w:val="005C68DF"/>
    <w:rsid w:val="005C697C"/>
    <w:rsid w:val="005C699D"/>
    <w:rsid w:val="005C6D99"/>
    <w:rsid w:val="005C6E49"/>
    <w:rsid w:val="005C7419"/>
    <w:rsid w:val="005C7594"/>
    <w:rsid w:val="005C7A84"/>
    <w:rsid w:val="005C7AD9"/>
    <w:rsid w:val="005C7FDD"/>
    <w:rsid w:val="005D0142"/>
    <w:rsid w:val="005D05D2"/>
    <w:rsid w:val="005D072A"/>
    <w:rsid w:val="005D07ED"/>
    <w:rsid w:val="005D0C7F"/>
    <w:rsid w:val="005D11D3"/>
    <w:rsid w:val="005D1726"/>
    <w:rsid w:val="005D173A"/>
    <w:rsid w:val="005D1A3E"/>
    <w:rsid w:val="005D1B7F"/>
    <w:rsid w:val="005D2371"/>
    <w:rsid w:val="005D2444"/>
    <w:rsid w:val="005D2939"/>
    <w:rsid w:val="005D31C6"/>
    <w:rsid w:val="005D32BA"/>
    <w:rsid w:val="005D390E"/>
    <w:rsid w:val="005D39D2"/>
    <w:rsid w:val="005D3B6D"/>
    <w:rsid w:val="005D3EB2"/>
    <w:rsid w:val="005D3FCB"/>
    <w:rsid w:val="005D3FF5"/>
    <w:rsid w:val="005D4345"/>
    <w:rsid w:val="005D44E9"/>
    <w:rsid w:val="005D4A77"/>
    <w:rsid w:val="005D4AEE"/>
    <w:rsid w:val="005D506C"/>
    <w:rsid w:val="005D5097"/>
    <w:rsid w:val="005D5299"/>
    <w:rsid w:val="005D542B"/>
    <w:rsid w:val="005D5494"/>
    <w:rsid w:val="005D5918"/>
    <w:rsid w:val="005D5BDD"/>
    <w:rsid w:val="005D5F8A"/>
    <w:rsid w:val="005D6954"/>
    <w:rsid w:val="005D6DC5"/>
    <w:rsid w:val="005D70A1"/>
    <w:rsid w:val="005D723F"/>
    <w:rsid w:val="005D7479"/>
    <w:rsid w:val="005D7A08"/>
    <w:rsid w:val="005D7AFA"/>
    <w:rsid w:val="005E05C6"/>
    <w:rsid w:val="005E085D"/>
    <w:rsid w:val="005E093E"/>
    <w:rsid w:val="005E0D67"/>
    <w:rsid w:val="005E0DC3"/>
    <w:rsid w:val="005E0EEB"/>
    <w:rsid w:val="005E0F15"/>
    <w:rsid w:val="005E1425"/>
    <w:rsid w:val="005E1660"/>
    <w:rsid w:val="005E1862"/>
    <w:rsid w:val="005E19C8"/>
    <w:rsid w:val="005E1CC5"/>
    <w:rsid w:val="005E206C"/>
    <w:rsid w:val="005E2624"/>
    <w:rsid w:val="005E29B8"/>
    <w:rsid w:val="005E29D6"/>
    <w:rsid w:val="005E2A43"/>
    <w:rsid w:val="005E2C66"/>
    <w:rsid w:val="005E2D0E"/>
    <w:rsid w:val="005E2ED3"/>
    <w:rsid w:val="005E2F52"/>
    <w:rsid w:val="005E2F5C"/>
    <w:rsid w:val="005E3017"/>
    <w:rsid w:val="005E3030"/>
    <w:rsid w:val="005E3103"/>
    <w:rsid w:val="005E326F"/>
    <w:rsid w:val="005E33E5"/>
    <w:rsid w:val="005E3FA7"/>
    <w:rsid w:val="005E3FED"/>
    <w:rsid w:val="005E4294"/>
    <w:rsid w:val="005E4413"/>
    <w:rsid w:val="005E4587"/>
    <w:rsid w:val="005E486F"/>
    <w:rsid w:val="005E4C93"/>
    <w:rsid w:val="005E4FB0"/>
    <w:rsid w:val="005E4FBD"/>
    <w:rsid w:val="005E5037"/>
    <w:rsid w:val="005E511F"/>
    <w:rsid w:val="005E5718"/>
    <w:rsid w:val="005E594E"/>
    <w:rsid w:val="005E5A33"/>
    <w:rsid w:val="005E5FCA"/>
    <w:rsid w:val="005E600C"/>
    <w:rsid w:val="005E6749"/>
    <w:rsid w:val="005E68EC"/>
    <w:rsid w:val="005E6CBF"/>
    <w:rsid w:val="005E6CC1"/>
    <w:rsid w:val="005E6CC4"/>
    <w:rsid w:val="005E6EB6"/>
    <w:rsid w:val="005E739D"/>
    <w:rsid w:val="005E7963"/>
    <w:rsid w:val="005E7C90"/>
    <w:rsid w:val="005F064E"/>
    <w:rsid w:val="005F082F"/>
    <w:rsid w:val="005F0940"/>
    <w:rsid w:val="005F0B07"/>
    <w:rsid w:val="005F0D69"/>
    <w:rsid w:val="005F16CE"/>
    <w:rsid w:val="005F1882"/>
    <w:rsid w:val="005F19ED"/>
    <w:rsid w:val="005F1C86"/>
    <w:rsid w:val="005F2054"/>
    <w:rsid w:val="005F215B"/>
    <w:rsid w:val="005F218C"/>
    <w:rsid w:val="005F22E8"/>
    <w:rsid w:val="005F24D5"/>
    <w:rsid w:val="005F25EF"/>
    <w:rsid w:val="005F2639"/>
    <w:rsid w:val="005F2686"/>
    <w:rsid w:val="005F2B4B"/>
    <w:rsid w:val="005F2B59"/>
    <w:rsid w:val="005F2BBD"/>
    <w:rsid w:val="005F2DF0"/>
    <w:rsid w:val="005F2E55"/>
    <w:rsid w:val="005F2F8D"/>
    <w:rsid w:val="005F3565"/>
    <w:rsid w:val="005F3918"/>
    <w:rsid w:val="005F3B50"/>
    <w:rsid w:val="005F3CC4"/>
    <w:rsid w:val="005F43AD"/>
    <w:rsid w:val="005F47B7"/>
    <w:rsid w:val="005F4AF0"/>
    <w:rsid w:val="005F4D6D"/>
    <w:rsid w:val="005F4DE2"/>
    <w:rsid w:val="005F4F2E"/>
    <w:rsid w:val="005F52D6"/>
    <w:rsid w:val="005F58A3"/>
    <w:rsid w:val="005F5A0B"/>
    <w:rsid w:val="005F5BC9"/>
    <w:rsid w:val="005F5CD5"/>
    <w:rsid w:val="005F6450"/>
    <w:rsid w:val="005F64E9"/>
    <w:rsid w:val="005F6509"/>
    <w:rsid w:val="005F664A"/>
    <w:rsid w:val="005F67A5"/>
    <w:rsid w:val="005F6828"/>
    <w:rsid w:val="005F68D0"/>
    <w:rsid w:val="005F6C80"/>
    <w:rsid w:val="005F6F5E"/>
    <w:rsid w:val="005F72D6"/>
    <w:rsid w:val="005F747A"/>
    <w:rsid w:val="005F7D18"/>
    <w:rsid w:val="005F7E72"/>
    <w:rsid w:val="00600321"/>
    <w:rsid w:val="00600829"/>
    <w:rsid w:val="00600CDF"/>
    <w:rsid w:val="00600F98"/>
    <w:rsid w:val="00601236"/>
    <w:rsid w:val="00601239"/>
    <w:rsid w:val="006013C3"/>
    <w:rsid w:val="00601D4D"/>
    <w:rsid w:val="00601DC4"/>
    <w:rsid w:val="00601FBA"/>
    <w:rsid w:val="006021B4"/>
    <w:rsid w:val="006021E1"/>
    <w:rsid w:val="006022D3"/>
    <w:rsid w:val="00602614"/>
    <w:rsid w:val="00602BF3"/>
    <w:rsid w:val="00602E3F"/>
    <w:rsid w:val="00603103"/>
    <w:rsid w:val="006034DB"/>
    <w:rsid w:val="00603658"/>
    <w:rsid w:val="00603B4A"/>
    <w:rsid w:val="00603C09"/>
    <w:rsid w:val="00603D1C"/>
    <w:rsid w:val="00603D31"/>
    <w:rsid w:val="00603E3A"/>
    <w:rsid w:val="00604241"/>
    <w:rsid w:val="00604344"/>
    <w:rsid w:val="00604420"/>
    <w:rsid w:val="00604451"/>
    <w:rsid w:val="006045EE"/>
    <w:rsid w:val="006048DC"/>
    <w:rsid w:val="00604BE4"/>
    <w:rsid w:val="00604C26"/>
    <w:rsid w:val="00604C9F"/>
    <w:rsid w:val="00604DDC"/>
    <w:rsid w:val="00604DEE"/>
    <w:rsid w:val="00604FED"/>
    <w:rsid w:val="00605190"/>
    <w:rsid w:val="00605206"/>
    <w:rsid w:val="006053E7"/>
    <w:rsid w:val="006054F2"/>
    <w:rsid w:val="00605640"/>
    <w:rsid w:val="006057BC"/>
    <w:rsid w:val="006059EB"/>
    <w:rsid w:val="00605A7F"/>
    <w:rsid w:val="00605B5B"/>
    <w:rsid w:val="006062D8"/>
    <w:rsid w:val="00606436"/>
    <w:rsid w:val="0060658C"/>
    <w:rsid w:val="00606827"/>
    <w:rsid w:val="00606CE1"/>
    <w:rsid w:val="006070DD"/>
    <w:rsid w:val="0060710C"/>
    <w:rsid w:val="0060763C"/>
    <w:rsid w:val="006078FE"/>
    <w:rsid w:val="00607AAA"/>
    <w:rsid w:val="00607BFE"/>
    <w:rsid w:val="00607C62"/>
    <w:rsid w:val="00607D44"/>
    <w:rsid w:val="00607D7F"/>
    <w:rsid w:val="00607F9A"/>
    <w:rsid w:val="00610294"/>
    <w:rsid w:val="006102D6"/>
    <w:rsid w:val="00610322"/>
    <w:rsid w:val="00610878"/>
    <w:rsid w:val="0061096F"/>
    <w:rsid w:val="00610A05"/>
    <w:rsid w:val="00610C2D"/>
    <w:rsid w:val="00610D4B"/>
    <w:rsid w:val="00610E37"/>
    <w:rsid w:val="00610EC5"/>
    <w:rsid w:val="00610F43"/>
    <w:rsid w:val="0061118E"/>
    <w:rsid w:val="00611275"/>
    <w:rsid w:val="006116E6"/>
    <w:rsid w:val="00611936"/>
    <w:rsid w:val="006119FC"/>
    <w:rsid w:val="00611CE2"/>
    <w:rsid w:val="006129BC"/>
    <w:rsid w:val="00612AAB"/>
    <w:rsid w:val="00612B4E"/>
    <w:rsid w:val="00612C51"/>
    <w:rsid w:val="00612C9A"/>
    <w:rsid w:val="00612F1E"/>
    <w:rsid w:val="006133D8"/>
    <w:rsid w:val="00613926"/>
    <w:rsid w:val="00614288"/>
    <w:rsid w:val="00614458"/>
    <w:rsid w:val="006146EF"/>
    <w:rsid w:val="0061494E"/>
    <w:rsid w:val="0061509D"/>
    <w:rsid w:val="00615113"/>
    <w:rsid w:val="00615148"/>
    <w:rsid w:val="00615259"/>
    <w:rsid w:val="006153D8"/>
    <w:rsid w:val="0061588C"/>
    <w:rsid w:val="00615B0A"/>
    <w:rsid w:val="00615B85"/>
    <w:rsid w:val="00615BFA"/>
    <w:rsid w:val="00615CB4"/>
    <w:rsid w:val="006162B4"/>
    <w:rsid w:val="00616AF1"/>
    <w:rsid w:val="00616C1F"/>
    <w:rsid w:val="00616E82"/>
    <w:rsid w:val="00616F42"/>
    <w:rsid w:val="00617087"/>
    <w:rsid w:val="006171A1"/>
    <w:rsid w:val="0061795A"/>
    <w:rsid w:val="00617A92"/>
    <w:rsid w:val="00617CEE"/>
    <w:rsid w:val="00617DBE"/>
    <w:rsid w:val="00617F21"/>
    <w:rsid w:val="00620090"/>
    <w:rsid w:val="00620153"/>
    <w:rsid w:val="0062016C"/>
    <w:rsid w:val="00620262"/>
    <w:rsid w:val="00620404"/>
    <w:rsid w:val="0062077D"/>
    <w:rsid w:val="006207F5"/>
    <w:rsid w:val="00620864"/>
    <w:rsid w:val="006209F5"/>
    <w:rsid w:val="00620B73"/>
    <w:rsid w:val="00620E22"/>
    <w:rsid w:val="0062117E"/>
    <w:rsid w:val="006214A3"/>
    <w:rsid w:val="00621A47"/>
    <w:rsid w:val="00621A5F"/>
    <w:rsid w:val="00621B4C"/>
    <w:rsid w:val="00621BAC"/>
    <w:rsid w:val="00621D3F"/>
    <w:rsid w:val="00621D62"/>
    <w:rsid w:val="00621FF5"/>
    <w:rsid w:val="00622119"/>
    <w:rsid w:val="0062228B"/>
    <w:rsid w:val="006229EE"/>
    <w:rsid w:val="00622A57"/>
    <w:rsid w:val="00622AC9"/>
    <w:rsid w:val="00622AEB"/>
    <w:rsid w:val="00622B2A"/>
    <w:rsid w:val="00622F8A"/>
    <w:rsid w:val="00623175"/>
    <w:rsid w:val="00623303"/>
    <w:rsid w:val="006234C2"/>
    <w:rsid w:val="006246E0"/>
    <w:rsid w:val="0062485A"/>
    <w:rsid w:val="006249BB"/>
    <w:rsid w:val="00624F87"/>
    <w:rsid w:val="006252CF"/>
    <w:rsid w:val="00625ADD"/>
    <w:rsid w:val="00625BFF"/>
    <w:rsid w:val="00625D20"/>
    <w:rsid w:val="00625E0C"/>
    <w:rsid w:val="0062608E"/>
    <w:rsid w:val="0062625F"/>
    <w:rsid w:val="006267F6"/>
    <w:rsid w:val="0062681D"/>
    <w:rsid w:val="00626842"/>
    <w:rsid w:val="00626AE0"/>
    <w:rsid w:val="00626DAB"/>
    <w:rsid w:val="00627811"/>
    <w:rsid w:val="006279A0"/>
    <w:rsid w:val="00627A27"/>
    <w:rsid w:val="00627C52"/>
    <w:rsid w:val="00627E55"/>
    <w:rsid w:val="00630019"/>
    <w:rsid w:val="006300C4"/>
    <w:rsid w:val="006307A0"/>
    <w:rsid w:val="00630937"/>
    <w:rsid w:val="0063097D"/>
    <w:rsid w:val="00630C2A"/>
    <w:rsid w:val="00630E34"/>
    <w:rsid w:val="00630EFB"/>
    <w:rsid w:val="00631149"/>
    <w:rsid w:val="00631640"/>
    <w:rsid w:val="00631CB3"/>
    <w:rsid w:val="00631EBE"/>
    <w:rsid w:val="0063205F"/>
    <w:rsid w:val="00632A19"/>
    <w:rsid w:val="00632BFA"/>
    <w:rsid w:val="00632D3A"/>
    <w:rsid w:val="00632DCB"/>
    <w:rsid w:val="00632F44"/>
    <w:rsid w:val="00633012"/>
    <w:rsid w:val="00633215"/>
    <w:rsid w:val="0063336F"/>
    <w:rsid w:val="00633665"/>
    <w:rsid w:val="00633950"/>
    <w:rsid w:val="006339EF"/>
    <w:rsid w:val="00633D7C"/>
    <w:rsid w:val="00633D97"/>
    <w:rsid w:val="00633DFC"/>
    <w:rsid w:val="00634CBB"/>
    <w:rsid w:val="00634CD1"/>
    <w:rsid w:val="00634D32"/>
    <w:rsid w:val="00634DD9"/>
    <w:rsid w:val="00634EA2"/>
    <w:rsid w:val="00634F41"/>
    <w:rsid w:val="00634FD7"/>
    <w:rsid w:val="006351DC"/>
    <w:rsid w:val="00635441"/>
    <w:rsid w:val="006357E1"/>
    <w:rsid w:val="00635E71"/>
    <w:rsid w:val="00635F6F"/>
    <w:rsid w:val="00635FE2"/>
    <w:rsid w:val="006363E8"/>
    <w:rsid w:val="00636475"/>
    <w:rsid w:val="006365C9"/>
    <w:rsid w:val="00636B54"/>
    <w:rsid w:val="00636C75"/>
    <w:rsid w:val="00636F46"/>
    <w:rsid w:val="0063714E"/>
    <w:rsid w:val="00637364"/>
    <w:rsid w:val="00637748"/>
    <w:rsid w:val="006378D2"/>
    <w:rsid w:val="0063794D"/>
    <w:rsid w:val="006379E7"/>
    <w:rsid w:val="00640036"/>
    <w:rsid w:val="0064048B"/>
    <w:rsid w:val="006404E8"/>
    <w:rsid w:val="0064068E"/>
    <w:rsid w:val="00640BF1"/>
    <w:rsid w:val="00640C73"/>
    <w:rsid w:val="00640E45"/>
    <w:rsid w:val="00640F1A"/>
    <w:rsid w:val="006411B0"/>
    <w:rsid w:val="0064133B"/>
    <w:rsid w:val="0064149F"/>
    <w:rsid w:val="0064187D"/>
    <w:rsid w:val="00641B48"/>
    <w:rsid w:val="00641C6E"/>
    <w:rsid w:val="00642449"/>
    <w:rsid w:val="00642480"/>
    <w:rsid w:val="0064259F"/>
    <w:rsid w:val="006425F2"/>
    <w:rsid w:val="0064265A"/>
    <w:rsid w:val="00642672"/>
    <w:rsid w:val="00642C29"/>
    <w:rsid w:val="00643051"/>
    <w:rsid w:val="00643973"/>
    <w:rsid w:val="00643CCE"/>
    <w:rsid w:val="00643D6F"/>
    <w:rsid w:val="00643E60"/>
    <w:rsid w:val="00644052"/>
    <w:rsid w:val="006440AC"/>
    <w:rsid w:val="006440FA"/>
    <w:rsid w:val="0064412C"/>
    <w:rsid w:val="006441D4"/>
    <w:rsid w:val="0064489D"/>
    <w:rsid w:val="00644932"/>
    <w:rsid w:val="0064536D"/>
    <w:rsid w:val="006456C0"/>
    <w:rsid w:val="00645774"/>
    <w:rsid w:val="006457E6"/>
    <w:rsid w:val="006458D4"/>
    <w:rsid w:val="00645B07"/>
    <w:rsid w:val="00646458"/>
    <w:rsid w:val="006464DE"/>
    <w:rsid w:val="0064653D"/>
    <w:rsid w:val="00646679"/>
    <w:rsid w:val="0064721D"/>
    <w:rsid w:val="00647540"/>
    <w:rsid w:val="00647753"/>
    <w:rsid w:val="00647948"/>
    <w:rsid w:val="006479DC"/>
    <w:rsid w:val="00647C54"/>
    <w:rsid w:val="00647CC9"/>
    <w:rsid w:val="00647D0E"/>
    <w:rsid w:val="00647D41"/>
    <w:rsid w:val="00647DCC"/>
    <w:rsid w:val="00650387"/>
    <w:rsid w:val="006507FB"/>
    <w:rsid w:val="0065083F"/>
    <w:rsid w:val="00650E57"/>
    <w:rsid w:val="00651130"/>
    <w:rsid w:val="0065118F"/>
    <w:rsid w:val="00651252"/>
    <w:rsid w:val="006515D5"/>
    <w:rsid w:val="006516E1"/>
    <w:rsid w:val="0065176D"/>
    <w:rsid w:val="0065180B"/>
    <w:rsid w:val="00651FA8"/>
    <w:rsid w:val="00652031"/>
    <w:rsid w:val="006526D9"/>
    <w:rsid w:val="006528DE"/>
    <w:rsid w:val="0065295E"/>
    <w:rsid w:val="00652CB0"/>
    <w:rsid w:val="00652E25"/>
    <w:rsid w:val="0065347F"/>
    <w:rsid w:val="0065371B"/>
    <w:rsid w:val="006537FE"/>
    <w:rsid w:val="00653A31"/>
    <w:rsid w:val="00653B84"/>
    <w:rsid w:val="00653B95"/>
    <w:rsid w:val="00653E0D"/>
    <w:rsid w:val="00653F08"/>
    <w:rsid w:val="00653F1A"/>
    <w:rsid w:val="00654602"/>
    <w:rsid w:val="0065496C"/>
    <w:rsid w:val="006549BA"/>
    <w:rsid w:val="006551CF"/>
    <w:rsid w:val="006552B8"/>
    <w:rsid w:val="00655699"/>
    <w:rsid w:val="006557C8"/>
    <w:rsid w:val="00655AF8"/>
    <w:rsid w:val="00655B95"/>
    <w:rsid w:val="00655E36"/>
    <w:rsid w:val="00656136"/>
    <w:rsid w:val="0065615D"/>
    <w:rsid w:val="0065615F"/>
    <w:rsid w:val="006568C6"/>
    <w:rsid w:val="00656A1B"/>
    <w:rsid w:val="00656AA2"/>
    <w:rsid w:val="00656B77"/>
    <w:rsid w:val="00656C78"/>
    <w:rsid w:val="00656FE9"/>
    <w:rsid w:val="00657048"/>
    <w:rsid w:val="00657255"/>
    <w:rsid w:val="0065733F"/>
    <w:rsid w:val="006575C7"/>
    <w:rsid w:val="0065797F"/>
    <w:rsid w:val="00657B9B"/>
    <w:rsid w:val="00657BBD"/>
    <w:rsid w:val="00657C18"/>
    <w:rsid w:val="00657C1A"/>
    <w:rsid w:val="006602B0"/>
    <w:rsid w:val="00660649"/>
    <w:rsid w:val="00660757"/>
    <w:rsid w:val="00660899"/>
    <w:rsid w:val="00660AE0"/>
    <w:rsid w:val="00660C83"/>
    <w:rsid w:val="00660EC7"/>
    <w:rsid w:val="006613F8"/>
    <w:rsid w:val="00661B03"/>
    <w:rsid w:val="00661DD8"/>
    <w:rsid w:val="00662045"/>
    <w:rsid w:val="006620D1"/>
    <w:rsid w:val="006624DA"/>
    <w:rsid w:val="006624E5"/>
    <w:rsid w:val="00662616"/>
    <w:rsid w:val="006628D2"/>
    <w:rsid w:val="0066291D"/>
    <w:rsid w:val="006629C9"/>
    <w:rsid w:val="00662AF0"/>
    <w:rsid w:val="00662BC4"/>
    <w:rsid w:val="00662F01"/>
    <w:rsid w:val="00663031"/>
    <w:rsid w:val="00663169"/>
    <w:rsid w:val="006631C9"/>
    <w:rsid w:val="006631EE"/>
    <w:rsid w:val="00663234"/>
    <w:rsid w:val="006632C1"/>
    <w:rsid w:val="00663309"/>
    <w:rsid w:val="00663695"/>
    <w:rsid w:val="006636EE"/>
    <w:rsid w:val="006638EB"/>
    <w:rsid w:val="00663A60"/>
    <w:rsid w:val="006647D4"/>
    <w:rsid w:val="006648DA"/>
    <w:rsid w:val="00664A92"/>
    <w:rsid w:val="00664BAA"/>
    <w:rsid w:val="00664C7A"/>
    <w:rsid w:val="00665090"/>
    <w:rsid w:val="00665296"/>
    <w:rsid w:val="006652AB"/>
    <w:rsid w:val="006653D6"/>
    <w:rsid w:val="006653F5"/>
    <w:rsid w:val="0066548F"/>
    <w:rsid w:val="00665B21"/>
    <w:rsid w:val="00665D4B"/>
    <w:rsid w:val="00665DD7"/>
    <w:rsid w:val="00665EED"/>
    <w:rsid w:val="006664BC"/>
    <w:rsid w:val="006667B0"/>
    <w:rsid w:val="00666A03"/>
    <w:rsid w:val="00666C05"/>
    <w:rsid w:val="00666ED7"/>
    <w:rsid w:val="00667287"/>
    <w:rsid w:val="006672DC"/>
    <w:rsid w:val="006678C3"/>
    <w:rsid w:val="00667AEA"/>
    <w:rsid w:val="00667E9C"/>
    <w:rsid w:val="00667F9C"/>
    <w:rsid w:val="0067072A"/>
    <w:rsid w:val="006708D3"/>
    <w:rsid w:val="0067099F"/>
    <w:rsid w:val="00670AC6"/>
    <w:rsid w:val="00671286"/>
    <w:rsid w:val="006712DB"/>
    <w:rsid w:val="006716E7"/>
    <w:rsid w:val="0067181A"/>
    <w:rsid w:val="00671897"/>
    <w:rsid w:val="006719DF"/>
    <w:rsid w:val="00671C40"/>
    <w:rsid w:val="00671C7A"/>
    <w:rsid w:val="00672C40"/>
    <w:rsid w:val="00672DB2"/>
    <w:rsid w:val="00673320"/>
    <w:rsid w:val="006733EE"/>
    <w:rsid w:val="00673658"/>
    <w:rsid w:val="0067378D"/>
    <w:rsid w:val="006739F8"/>
    <w:rsid w:val="00673E2B"/>
    <w:rsid w:val="006744C7"/>
    <w:rsid w:val="006746D3"/>
    <w:rsid w:val="00674F25"/>
    <w:rsid w:val="00675CC5"/>
    <w:rsid w:val="00675D23"/>
    <w:rsid w:val="00675E2B"/>
    <w:rsid w:val="00676346"/>
    <w:rsid w:val="0067639A"/>
    <w:rsid w:val="0067640D"/>
    <w:rsid w:val="00676448"/>
    <w:rsid w:val="00676597"/>
    <w:rsid w:val="006765D1"/>
    <w:rsid w:val="00676A87"/>
    <w:rsid w:val="00676AA2"/>
    <w:rsid w:val="00676EB9"/>
    <w:rsid w:val="006770F9"/>
    <w:rsid w:val="006773F2"/>
    <w:rsid w:val="00677CA0"/>
    <w:rsid w:val="00677F9F"/>
    <w:rsid w:val="006806AE"/>
    <w:rsid w:val="006808A3"/>
    <w:rsid w:val="00680D6E"/>
    <w:rsid w:val="00680DD3"/>
    <w:rsid w:val="00680DF8"/>
    <w:rsid w:val="00680FF5"/>
    <w:rsid w:val="00681240"/>
    <w:rsid w:val="00681282"/>
    <w:rsid w:val="006813FF"/>
    <w:rsid w:val="00681428"/>
    <w:rsid w:val="006815B2"/>
    <w:rsid w:val="00681CC8"/>
    <w:rsid w:val="00682567"/>
    <w:rsid w:val="00682833"/>
    <w:rsid w:val="00682D74"/>
    <w:rsid w:val="00683273"/>
    <w:rsid w:val="0068335A"/>
    <w:rsid w:val="006833AC"/>
    <w:rsid w:val="006835D1"/>
    <w:rsid w:val="00684AE8"/>
    <w:rsid w:val="006852C6"/>
    <w:rsid w:val="0068548D"/>
    <w:rsid w:val="006854EA"/>
    <w:rsid w:val="00685736"/>
    <w:rsid w:val="006857B8"/>
    <w:rsid w:val="006858F1"/>
    <w:rsid w:val="00685A09"/>
    <w:rsid w:val="00685CF9"/>
    <w:rsid w:val="00685D26"/>
    <w:rsid w:val="00685DA7"/>
    <w:rsid w:val="00685E3C"/>
    <w:rsid w:val="00685EDF"/>
    <w:rsid w:val="00685F47"/>
    <w:rsid w:val="006865C8"/>
    <w:rsid w:val="006869B9"/>
    <w:rsid w:val="00686AA3"/>
    <w:rsid w:val="00686B48"/>
    <w:rsid w:val="00686CB6"/>
    <w:rsid w:val="00686EDC"/>
    <w:rsid w:val="00687038"/>
    <w:rsid w:val="0068714E"/>
    <w:rsid w:val="006873BF"/>
    <w:rsid w:val="006876E1"/>
    <w:rsid w:val="006877B6"/>
    <w:rsid w:val="006879C2"/>
    <w:rsid w:val="00687B14"/>
    <w:rsid w:val="00687D02"/>
    <w:rsid w:val="00687DBD"/>
    <w:rsid w:val="006900F0"/>
    <w:rsid w:val="0069037B"/>
    <w:rsid w:val="006905B3"/>
    <w:rsid w:val="00690A09"/>
    <w:rsid w:val="00690ACC"/>
    <w:rsid w:val="00690CD3"/>
    <w:rsid w:val="00690FF8"/>
    <w:rsid w:val="0069114D"/>
    <w:rsid w:val="00691341"/>
    <w:rsid w:val="0069139A"/>
    <w:rsid w:val="00691C15"/>
    <w:rsid w:val="00691C1E"/>
    <w:rsid w:val="00691D8F"/>
    <w:rsid w:val="006923A5"/>
    <w:rsid w:val="00692423"/>
    <w:rsid w:val="006924DD"/>
    <w:rsid w:val="00692827"/>
    <w:rsid w:val="006929F7"/>
    <w:rsid w:val="00692AF7"/>
    <w:rsid w:val="00692E7B"/>
    <w:rsid w:val="00693519"/>
    <w:rsid w:val="0069374A"/>
    <w:rsid w:val="00693951"/>
    <w:rsid w:val="00693D52"/>
    <w:rsid w:val="00694104"/>
    <w:rsid w:val="006942CA"/>
    <w:rsid w:val="00694392"/>
    <w:rsid w:val="00694AB8"/>
    <w:rsid w:val="006953F6"/>
    <w:rsid w:val="00695841"/>
    <w:rsid w:val="00695876"/>
    <w:rsid w:val="00695E66"/>
    <w:rsid w:val="00695EE2"/>
    <w:rsid w:val="00695EF7"/>
    <w:rsid w:val="00695FEC"/>
    <w:rsid w:val="00695FFE"/>
    <w:rsid w:val="00696165"/>
    <w:rsid w:val="00696996"/>
    <w:rsid w:val="0069699D"/>
    <w:rsid w:val="00696AAC"/>
    <w:rsid w:val="00697036"/>
    <w:rsid w:val="00697260"/>
    <w:rsid w:val="00697466"/>
    <w:rsid w:val="00697591"/>
    <w:rsid w:val="00697C4A"/>
    <w:rsid w:val="00697CAC"/>
    <w:rsid w:val="006A0447"/>
    <w:rsid w:val="006A0AC1"/>
    <w:rsid w:val="006A1083"/>
    <w:rsid w:val="006A13B9"/>
    <w:rsid w:val="006A1787"/>
    <w:rsid w:val="006A17D1"/>
    <w:rsid w:val="006A1964"/>
    <w:rsid w:val="006A1B55"/>
    <w:rsid w:val="006A1F0F"/>
    <w:rsid w:val="006A23E7"/>
    <w:rsid w:val="006A265C"/>
    <w:rsid w:val="006A2851"/>
    <w:rsid w:val="006A2A8E"/>
    <w:rsid w:val="006A2C9C"/>
    <w:rsid w:val="006A31E3"/>
    <w:rsid w:val="006A357D"/>
    <w:rsid w:val="006A362C"/>
    <w:rsid w:val="006A38C7"/>
    <w:rsid w:val="006A3EC8"/>
    <w:rsid w:val="006A44A9"/>
    <w:rsid w:val="006A483D"/>
    <w:rsid w:val="006A48E3"/>
    <w:rsid w:val="006A4B2C"/>
    <w:rsid w:val="006A4BB9"/>
    <w:rsid w:val="006A529A"/>
    <w:rsid w:val="006A52B9"/>
    <w:rsid w:val="006A5776"/>
    <w:rsid w:val="006A5AAA"/>
    <w:rsid w:val="006A5AD6"/>
    <w:rsid w:val="006A5ADF"/>
    <w:rsid w:val="006A5C44"/>
    <w:rsid w:val="006A5D7A"/>
    <w:rsid w:val="006A5E69"/>
    <w:rsid w:val="006A6396"/>
    <w:rsid w:val="006A65D9"/>
    <w:rsid w:val="006A66C7"/>
    <w:rsid w:val="006A6EE6"/>
    <w:rsid w:val="006A6FBC"/>
    <w:rsid w:val="006A7750"/>
    <w:rsid w:val="006A7870"/>
    <w:rsid w:val="006A7B45"/>
    <w:rsid w:val="006A7D15"/>
    <w:rsid w:val="006A7D2E"/>
    <w:rsid w:val="006A7FEC"/>
    <w:rsid w:val="006B0169"/>
    <w:rsid w:val="006B048A"/>
    <w:rsid w:val="006B060B"/>
    <w:rsid w:val="006B06D1"/>
    <w:rsid w:val="006B083D"/>
    <w:rsid w:val="006B091D"/>
    <w:rsid w:val="006B0951"/>
    <w:rsid w:val="006B0961"/>
    <w:rsid w:val="006B1217"/>
    <w:rsid w:val="006B1258"/>
    <w:rsid w:val="006B1496"/>
    <w:rsid w:val="006B1655"/>
    <w:rsid w:val="006B1DC3"/>
    <w:rsid w:val="006B1DCA"/>
    <w:rsid w:val="006B1E24"/>
    <w:rsid w:val="006B20CF"/>
    <w:rsid w:val="006B2540"/>
    <w:rsid w:val="006B2968"/>
    <w:rsid w:val="006B2A92"/>
    <w:rsid w:val="006B2B80"/>
    <w:rsid w:val="006B2C51"/>
    <w:rsid w:val="006B2EE4"/>
    <w:rsid w:val="006B2F26"/>
    <w:rsid w:val="006B423D"/>
    <w:rsid w:val="006B42C2"/>
    <w:rsid w:val="006B43A3"/>
    <w:rsid w:val="006B4BBD"/>
    <w:rsid w:val="006B512D"/>
    <w:rsid w:val="006B52AC"/>
    <w:rsid w:val="006B534F"/>
    <w:rsid w:val="006B537C"/>
    <w:rsid w:val="006B5451"/>
    <w:rsid w:val="006B5D8B"/>
    <w:rsid w:val="006B604E"/>
    <w:rsid w:val="006B6233"/>
    <w:rsid w:val="006B6257"/>
    <w:rsid w:val="006B6361"/>
    <w:rsid w:val="006B687D"/>
    <w:rsid w:val="006B6B40"/>
    <w:rsid w:val="006B6D11"/>
    <w:rsid w:val="006B6DD6"/>
    <w:rsid w:val="006B76B6"/>
    <w:rsid w:val="006B7CDB"/>
    <w:rsid w:val="006C018B"/>
    <w:rsid w:val="006C0291"/>
    <w:rsid w:val="006C0667"/>
    <w:rsid w:val="006C068F"/>
    <w:rsid w:val="006C0A47"/>
    <w:rsid w:val="006C0D54"/>
    <w:rsid w:val="006C161D"/>
    <w:rsid w:val="006C1BFB"/>
    <w:rsid w:val="006C1E6A"/>
    <w:rsid w:val="006C1F35"/>
    <w:rsid w:val="006C210F"/>
    <w:rsid w:val="006C22E8"/>
    <w:rsid w:val="006C24CC"/>
    <w:rsid w:val="006C2D03"/>
    <w:rsid w:val="006C2ECF"/>
    <w:rsid w:val="006C2FD5"/>
    <w:rsid w:val="006C306C"/>
    <w:rsid w:val="006C36B9"/>
    <w:rsid w:val="006C3747"/>
    <w:rsid w:val="006C384C"/>
    <w:rsid w:val="006C3C7B"/>
    <w:rsid w:val="006C401D"/>
    <w:rsid w:val="006C4069"/>
    <w:rsid w:val="006C4070"/>
    <w:rsid w:val="006C419E"/>
    <w:rsid w:val="006C444C"/>
    <w:rsid w:val="006C47BB"/>
    <w:rsid w:val="006C47C1"/>
    <w:rsid w:val="006C4A2D"/>
    <w:rsid w:val="006C4AB5"/>
    <w:rsid w:val="006C4ACA"/>
    <w:rsid w:val="006C4C03"/>
    <w:rsid w:val="006C4EBB"/>
    <w:rsid w:val="006C4F7C"/>
    <w:rsid w:val="006C4FA8"/>
    <w:rsid w:val="006C5072"/>
    <w:rsid w:val="006C50CE"/>
    <w:rsid w:val="006C5290"/>
    <w:rsid w:val="006C59AB"/>
    <w:rsid w:val="006C5B0E"/>
    <w:rsid w:val="006C5E8F"/>
    <w:rsid w:val="006C5F60"/>
    <w:rsid w:val="006C6162"/>
    <w:rsid w:val="006C6309"/>
    <w:rsid w:val="006C64CD"/>
    <w:rsid w:val="006C654C"/>
    <w:rsid w:val="006C66D6"/>
    <w:rsid w:val="006C6D76"/>
    <w:rsid w:val="006C718A"/>
    <w:rsid w:val="006C746D"/>
    <w:rsid w:val="006C751B"/>
    <w:rsid w:val="006C7BF7"/>
    <w:rsid w:val="006C7D0F"/>
    <w:rsid w:val="006C7DA3"/>
    <w:rsid w:val="006C7EA2"/>
    <w:rsid w:val="006D027F"/>
    <w:rsid w:val="006D058B"/>
    <w:rsid w:val="006D05BC"/>
    <w:rsid w:val="006D05E6"/>
    <w:rsid w:val="006D0A9D"/>
    <w:rsid w:val="006D0B38"/>
    <w:rsid w:val="006D0DC0"/>
    <w:rsid w:val="006D1122"/>
    <w:rsid w:val="006D128C"/>
    <w:rsid w:val="006D13AA"/>
    <w:rsid w:val="006D1949"/>
    <w:rsid w:val="006D1AF2"/>
    <w:rsid w:val="006D1F89"/>
    <w:rsid w:val="006D2096"/>
    <w:rsid w:val="006D22A7"/>
    <w:rsid w:val="006D2416"/>
    <w:rsid w:val="006D283F"/>
    <w:rsid w:val="006D2AC1"/>
    <w:rsid w:val="006D2C78"/>
    <w:rsid w:val="006D2E94"/>
    <w:rsid w:val="006D3449"/>
    <w:rsid w:val="006D355C"/>
    <w:rsid w:val="006D360C"/>
    <w:rsid w:val="006D3740"/>
    <w:rsid w:val="006D39BA"/>
    <w:rsid w:val="006D3D61"/>
    <w:rsid w:val="006D3E6D"/>
    <w:rsid w:val="006D4290"/>
    <w:rsid w:val="006D57B0"/>
    <w:rsid w:val="006D5AC9"/>
    <w:rsid w:val="006D5B25"/>
    <w:rsid w:val="006D5ECA"/>
    <w:rsid w:val="006D618D"/>
    <w:rsid w:val="006D6235"/>
    <w:rsid w:val="006D63F3"/>
    <w:rsid w:val="006D66EB"/>
    <w:rsid w:val="006D66ED"/>
    <w:rsid w:val="006D6CB8"/>
    <w:rsid w:val="006D6DA4"/>
    <w:rsid w:val="006D7021"/>
    <w:rsid w:val="006D717E"/>
    <w:rsid w:val="006D77EB"/>
    <w:rsid w:val="006D7D0C"/>
    <w:rsid w:val="006E008E"/>
    <w:rsid w:val="006E016F"/>
    <w:rsid w:val="006E01A2"/>
    <w:rsid w:val="006E0425"/>
    <w:rsid w:val="006E04EF"/>
    <w:rsid w:val="006E0EFC"/>
    <w:rsid w:val="006E11F0"/>
    <w:rsid w:val="006E131E"/>
    <w:rsid w:val="006E13D8"/>
    <w:rsid w:val="006E169F"/>
    <w:rsid w:val="006E171E"/>
    <w:rsid w:val="006E181E"/>
    <w:rsid w:val="006E19D6"/>
    <w:rsid w:val="006E1C12"/>
    <w:rsid w:val="006E1CE4"/>
    <w:rsid w:val="006E2194"/>
    <w:rsid w:val="006E222E"/>
    <w:rsid w:val="006E23D9"/>
    <w:rsid w:val="006E2670"/>
    <w:rsid w:val="006E2749"/>
    <w:rsid w:val="006E2C02"/>
    <w:rsid w:val="006E2C2B"/>
    <w:rsid w:val="006E2DDE"/>
    <w:rsid w:val="006E354C"/>
    <w:rsid w:val="006E36F9"/>
    <w:rsid w:val="006E3A84"/>
    <w:rsid w:val="006E4391"/>
    <w:rsid w:val="006E4AD1"/>
    <w:rsid w:val="006E4C1F"/>
    <w:rsid w:val="006E54CF"/>
    <w:rsid w:val="006E5655"/>
    <w:rsid w:val="006E57BC"/>
    <w:rsid w:val="006E5B08"/>
    <w:rsid w:val="006E5BA9"/>
    <w:rsid w:val="006E5DE1"/>
    <w:rsid w:val="006E5F6E"/>
    <w:rsid w:val="006E5FE0"/>
    <w:rsid w:val="006E64D5"/>
    <w:rsid w:val="006E652F"/>
    <w:rsid w:val="006E6C00"/>
    <w:rsid w:val="006E6E54"/>
    <w:rsid w:val="006E714E"/>
    <w:rsid w:val="006E741C"/>
    <w:rsid w:val="006E7422"/>
    <w:rsid w:val="006E7566"/>
    <w:rsid w:val="006E7658"/>
    <w:rsid w:val="006E786B"/>
    <w:rsid w:val="006E7AD9"/>
    <w:rsid w:val="006E7CE9"/>
    <w:rsid w:val="006E7E49"/>
    <w:rsid w:val="006E7EC5"/>
    <w:rsid w:val="006F02EE"/>
    <w:rsid w:val="006F04FF"/>
    <w:rsid w:val="006F0684"/>
    <w:rsid w:val="006F0A6F"/>
    <w:rsid w:val="006F0B3F"/>
    <w:rsid w:val="006F0BA8"/>
    <w:rsid w:val="006F1288"/>
    <w:rsid w:val="006F1295"/>
    <w:rsid w:val="006F1E37"/>
    <w:rsid w:val="006F1ED1"/>
    <w:rsid w:val="006F20A3"/>
    <w:rsid w:val="006F24F0"/>
    <w:rsid w:val="006F2C1E"/>
    <w:rsid w:val="006F2D4C"/>
    <w:rsid w:val="006F2E8C"/>
    <w:rsid w:val="006F376D"/>
    <w:rsid w:val="006F3985"/>
    <w:rsid w:val="006F3A29"/>
    <w:rsid w:val="006F3A4C"/>
    <w:rsid w:val="006F3B8F"/>
    <w:rsid w:val="006F3C39"/>
    <w:rsid w:val="006F42DA"/>
    <w:rsid w:val="006F4568"/>
    <w:rsid w:val="006F46A3"/>
    <w:rsid w:val="006F47E4"/>
    <w:rsid w:val="006F4D43"/>
    <w:rsid w:val="006F4F35"/>
    <w:rsid w:val="006F4F6C"/>
    <w:rsid w:val="006F4FE4"/>
    <w:rsid w:val="006F5075"/>
    <w:rsid w:val="006F570F"/>
    <w:rsid w:val="006F5987"/>
    <w:rsid w:val="006F5AB0"/>
    <w:rsid w:val="006F5B71"/>
    <w:rsid w:val="006F5BBE"/>
    <w:rsid w:val="006F5E2F"/>
    <w:rsid w:val="006F683D"/>
    <w:rsid w:val="006F6EB6"/>
    <w:rsid w:val="006F705D"/>
    <w:rsid w:val="006F7611"/>
    <w:rsid w:val="006F7644"/>
    <w:rsid w:val="006F79A7"/>
    <w:rsid w:val="006F7A0F"/>
    <w:rsid w:val="006F7E14"/>
    <w:rsid w:val="006F7FB3"/>
    <w:rsid w:val="007002B1"/>
    <w:rsid w:val="007007D4"/>
    <w:rsid w:val="0070095E"/>
    <w:rsid w:val="00700F5A"/>
    <w:rsid w:val="00701170"/>
    <w:rsid w:val="00701296"/>
    <w:rsid w:val="00701337"/>
    <w:rsid w:val="0070194C"/>
    <w:rsid w:val="007021B6"/>
    <w:rsid w:val="007023FD"/>
    <w:rsid w:val="007029AA"/>
    <w:rsid w:val="00702A3D"/>
    <w:rsid w:val="00702BEF"/>
    <w:rsid w:val="00702E46"/>
    <w:rsid w:val="00703A8A"/>
    <w:rsid w:val="00703EDA"/>
    <w:rsid w:val="007041EC"/>
    <w:rsid w:val="00704208"/>
    <w:rsid w:val="00704684"/>
    <w:rsid w:val="00704793"/>
    <w:rsid w:val="007049CD"/>
    <w:rsid w:val="007049EC"/>
    <w:rsid w:val="00704A54"/>
    <w:rsid w:val="00704EB7"/>
    <w:rsid w:val="00704F79"/>
    <w:rsid w:val="00704FD5"/>
    <w:rsid w:val="0070501D"/>
    <w:rsid w:val="0070536B"/>
    <w:rsid w:val="00705742"/>
    <w:rsid w:val="00705C66"/>
    <w:rsid w:val="00705E0C"/>
    <w:rsid w:val="00705EE0"/>
    <w:rsid w:val="00705F5D"/>
    <w:rsid w:val="007061D3"/>
    <w:rsid w:val="007062AE"/>
    <w:rsid w:val="00706485"/>
    <w:rsid w:val="0070657F"/>
    <w:rsid w:val="007066F3"/>
    <w:rsid w:val="0070680C"/>
    <w:rsid w:val="00706921"/>
    <w:rsid w:val="007069C2"/>
    <w:rsid w:val="00706F5A"/>
    <w:rsid w:val="00706F6A"/>
    <w:rsid w:val="00706F7D"/>
    <w:rsid w:val="0070704D"/>
    <w:rsid w:val="007070E7"/>
    <w:rsid w:val="00707755"/>
    <w:rsid w:val="00707D33"/>
    <w:rsid w:val="00707E8D"/>
    <w:rsid w:val="00710006"/>
    <w:rsid w:val="00710062"/>
    <w:rsid w:val="007102DC"/>
    <w:rsid w:val="0071035E"/>
    <w:rsid w:val="007103D3"/>
    <w:rsid w:val="007103E2"/>
    <w:rsid w:val="00710423"/>
    <w:rsid w:val="007104FE"/>
    <w:rsid w:val="00710671"/>
    <w:rsid w:val="00710A02"/>
    <w:rsid w:val="00710BAA"/>
    <w:rsid w:val="0071134B"/>
    <w:rsid w:val="007113B3"/>
    <w:rsid w:val="007114C5"/>
    <w:rsid w:val="0071198D"/>
    <w:rsid w:val="00711A83"/>
    <w:rsid w:val="00711B28"/>
    <w:rsid w:val="00711B7C"/>
    <w:rsid w:val="00711BA2"/>
    <w:rsid w:val="00711C2C"/>
    <w:rsid w:val="00711DAD"/>
    <w:rsid w:val="00712148"/>
    <w:rsid w:val="007121A2"/>
    <w:rsid w:val="00712DE4"/>
    <w:rsid w:val="00712F65"/>
    <w:rsid w:val="00712FB1"/>
    <w:rsid w:val="00713022"/>
    <w:rsid w:val="007130CC"/>
    <w:rsid w:val="0071348F"/>
    <w:rsid w:val="00713981"/>
    <w:rsid w:val="00713C66"/>
    <w:rsid w:val="007142BC"/>
    <w:rsid w:val="00714301"/>
    <w:rsid w:val="007144DE"/>
    <w:rsid w:val="00714683"/>
    <w:rsid w:val="00714948"/>
    <w:rsid w:val="007149BF"/>
    <w:rsid w:val="00714CE1"/>
    <w:rsid w:val="00714F4C"/>
    <w:rsid w:val="0071529D"/>
    <w:rsid w:val="00715800"/>
    <w:rsid w:val="007158C8"/>
    <w:rsid w:val="00715A6C"/>
    <w:rsid w:val="00715A7B"/>
    <w:rsid w:val="007162E3"/>
    <w:rsid w:val="007163EC"/>
    <w:rsid w:val="00716660"/>
    <w:rsid w:val="0071699B"/>
    <w:rsid w:val="00717022"/>
    <w:rsid w:val="00717085"/>
    <w:rsid w:val="00717173"/>
    <w:rsid w:val="007171D8"/>
    <w:rsid w:val="007176D6"/>
    <w:rsid w:val="00717920"/>
    <w:rsid w:val="00717BDD"/>
    <w:rsid w:val="00720389"/>
    <w:rsid w:val="007204C0"/>
    <w:rsid w:val="00720AF5"/>
    <w:rsid w:val="00720F02"/>
    <w:rsid w:val="00720FC8"/>
    <w:rsid w:val="0072138C"/>
    <w:rsid w:val="00721473"/>
    <w:rsid w:val="00721C61"/>
    <w:rsid w:val="00721F96"/>
    <w:rsid w:val="0072232A"/>
    <w:rsid w:val="00722B2A"/>
    <w:rsid w:val="00722DF4"/>
    <w:rsid w:val="0072378D"/>
    <w:rsid w:val="0072398E"/>
    <w:rsid w:val="0072399B"/>
    <w:rsid w:val="00723DD3"/>
    <w:rsid w:val="00723FC7"/>
    <w:rsid w:val="00724030"/>
    <w:rsid w:val="00724279"/>
    <w:rsid w:val="0072451E"/>
    <w:rsid w:val="0072493B"/>
    <w:rsid w:val="00724CC5"/>
    <w:rsid w:val="00724E1B"/>
    <w:rsid w:val="00724F4B"/>
    <w:rsid w:val="00724F8A"/>
    <w:rsid w:val="0072504C"/>
    <w:rsid w:val="00725112"/>
    <w:rsid w:val="00725547"/>
    <w:rsid w:val="00725CF1"/>
    <w:rsid w:val="00726103"/>
    <w:rsid w:val="00726150"/>
    <w:rsid w:val="007264CB"/>
    <w:rsid w:val="00726696"/>
    <w:rsid w:val="007269A0"/>
    <w:rsid w:val="007269BF"/>
    <w:rsid w:val="00726AAA"/>
    <w:rsid w:val="00726AB8"/>
    <w:rsid w:val="007270F1"/>
    <w:rsid w:val="0072736E"/>
    <w:rsid w:val="00727A65"/>
    <w:rsid w:val="00727B64"/>
    <w:rsid w:val="00727B9C"/>
    <w:rsid w:val="00727D54"/>
    <w:rsid w:val="0073008B"/>
    <w:rsid w:val="007305B6"/>
    <w:rsid w:val="007306EC"/>
    <w:rsid w:val="007311D0"/>
    <w:rsid w:val="00731386"/>
    <w:rsid w:val="0073144C"/>
    <w:rsid w:val="0073145B"/>
    <w:rsid w:val="00731693"/>
    <w:rsid w:val="0073184C"/>
    <w:rsid w:val="00731A90"/>
    <w:rsid w:val="00731AC9"/>
    <w:rsid w:val="00732142"/>
    <w:rsid w:val="00732342"/>
    <w:rsid w:val="00732597"/>
    <w:rsid w:val="00732624"/>
    <w:rsid w:val="007326BA"/>
    <w:rsid w:val="007327A6"/>
    <w:rsid w:val="007328F4"/>
    <w:rsid w:val="0073300D"/>
    <w:rsid w:val="00733212"/>
    <w:rsid w:val="00733297"/>
    <w:rsid w:val="00733340"/>
    <w:rsid w:val="00733767"/>
    <w:rsid w:val="007338DB"/>
    <w:rsid w:val="007340C0"/>
    <w:rsid w:val="007344C5"/>
    <w:rsid w:val="00734959"/>
    <w:rsid w:val="00734E13"/>
    <w:rsid w:val="0073520D"/>
    <w:rsid w:val="0073538D"/>
    <w:rsid w:val="00735653"/>
    <w:rsid w:val="00735AC6"/>
    <w:rsid w:val="00735D4F"/>
    <w:rsid w:val="007361AB"/>
    <w:rsid w:val="00736419"/>
    <w:rsid w:val="0073703E"/>
    <w:rsid w:val="007370A0"/>
    <w:rsid w:val="00737126"/>
    <w:rsid w:val="007371CA"/>
    <w:rsid w:val="00737282"/>
    <w:rsid w:val="007372D8"/>
    <w:rsid w:val="00737F38"/>
    <w:rsid w:val="0074009F"/>
    <w:rsid w:val="007409BF"/>
    <w:rsid w:val="00740C8E"/>
    <w:rsid w:val="00741157"/>
    <w:rsid w:val="00741275"/>
    <w:rsid w:val="00741323"/>
    <w:rsid w:val="00741681"/>
    <w:rsid w:val="0074175B"/>
    <w:rsid w:val="007417F9"/>
    <w:rsid w:val="00741BE7"/>
    <w:rsid w:val="00741E7E"/>
    <w:rsid w:val="00741F52"/>
    <w:rsid w:val="00742059"/>
    <w:rsid w:val="00742067"/>
    <w:rsid w:val="0074208D"/>
    <w:rsid w:val="00742150"/>
    <w:rsid w:val="007421F7"/>
    <w:rsid w:val="007429CE"/>
    <w:rsid w:val="00742A4B"/>
    <w:rsid w:val="00742B09"/>
    <w:rsid w:val="00742C59"/>
    <w:rsid w:val="00742F92"/>
    <w:rsid w:val="00743070"/>
    <w:rsid w:val="00743217"/>
    <w:rsid w:val="007435EE"/>
    <w:rsid w:val="00743622"/>
    <w:rsid w:val="00743937"/>
    <w:rsid w:val="00743E23"/>
    <w:rsid w:val="00744533"/>
    <w:rsid w:val="00744707"/>
    <w:rsid w:val="007447A8"/>
    <w:rsid w:val="007447A9"/>
    <w:rsid w:val="00744965"/>
    <w:rsid w:val="00744FAD"/>
    <w:rsid w:val="00745322"/>
    <w:rsid w:val="007454FF"/>
    <w:rsid w:val="00745729"/>
    <w:rsid w:val="007459DD"/>
    <w:rsid w:val="00745C33"/>
    <w:rsid w:val="00745C68"/>
    <w:rsid w:val="00745EE1"/>
    <w:rsid w:val="00746418"/>
    <w:rsid w:val="00746440"/>
    <w:rsid w:val="0074667E"/>
    <w:rsid w:val="00746948"/>
    <w:rsid w:val="00746DE1"/>
    <w:rsid w:val="00746EA9"/>
    <w:rsid w:val="00746ED0"/>
    <w:rsid w:val="00747351"/>
    <w:rsid w:val="007474B3"/>
    <w:rsid w:val="00747621"/>
    <w:rsid w:val="007479E4"/>
    <w:rsid w:val="00747B91"/>
    <w:rsid w:val="00750223"/>
    <w:rsid w:val="00750460"/>
    <w:rsid w:val="00750734"/>
    <w:rsid w:val="007508B9"/>
    <w:rsid w:val="00750F01"/>
    <w:rsid w:val="007511E8"/>
    <w:rsid w:val="007514B8"/>
    <w:rsid w:val="00751652"/>
    <w:rsid w:val="007517F9"/>
    <w:rsid w:val="00751A9E"/>
    <w:rsid w:val="0075203E"/>
    <w:rsid w:val="007521FD"/>
    <w:rsid w:val="007522CA"/>
    <w:rsid w:val="007529E1"/>
    <w:rsid w:val="00752CB6"/>
    <w:rsid w:val="00752E81"/>
    <w:rsid w:val="00752FB5"/>
    <w:rsid w:val="007532C5"/>
    <w:rsid w:val="0075363D"/>
    <w:rsid w:val="007536EA"/>
    <w:rsid w:val="00753A15"/>
    <w:rsid w:val="00753B81"/>
    <w:rsid w:val="00753EE7"/>
    <w:rsid w:val="007541FD"/>
    <w:rsid w:val="00754281"/>
    <w:rsid w:val="0075445C"/>
    <w:rsid w:val="00754958"/>
    <w:rsid w:val="007549CB"/>
    <w:rsid w:val="00754B7B"/>
    <w:rsid w:val="0075500B"/>
    <w:rsid w:val="0075514D"/>
    <w:rsid w:val="007555CA"/>
    <w:rsid w:val="007555CF"/>
    <w:rsid w:val="00755729"/>
    <w:rsid w:val="00755C84"/>
    <w:rsid w:val="0075603A"/>
    <w:rsid w:val="007564D9"/>
    <w:rsid w:val="00756888"/>
    <w:rsid w:val="00756B15"/>
    <w:rsid w:val="00756CCF"/>
    <w:rsid w:val="0075704A"/>
    <w:rsid w:val="00757130"/>
    <w:rsid w:val="00757456"/>
    <w:rsid w:val="00757A3C"/>
    <w:rsid w:val="00757D0E"/>
    <w:rsid w:val="00757D17"/>
    <w:rsid w:val="00757D67"/>
    <w:rsid w:val="00757FC0"/>
    <w:rsid w:val="00760428"/>
    <w:rsid w:val="00760877"/>
    <w:rsid w:val="007608C7"/>
    <w:rsid w:val="00760916"/>
    <w:rsid w:val="00760AEA"/>
    <w:rsid w:val="00760F67"/>
    <w:rsid w:val="00760F6F"/>
    <w:rsid w:val="007612D0"/>
    <w:rsid w:val="007612E5"/>
    <w:rsid w:val="0076132B"/>
    <w:rsid w:val="00761334"/>
    <w:rsid w:val="007614D3"/>
    <w:rsid w:val="00761676"/>
    <w:rsid w:val="007616B1"/>
    <w:rsid w:val="0076170D"/>
    <w:rsid w:val="00761CC0"/>
    <w:rsid w:val="00761E4B"/>
    <w:rsid w:val="00761FA0"/>
    <w:rsid w:val="00762241"/>
    <w:rsid w:val="007623FB"/>
    <w:rsid w:val="007629CF"/>
    <w:rsid w:val="00762A52"/>
    <w:rsid w:val="0076301A"/>
    <w:rsid w:val="007630D7"/>
    <w:rsid w:val="007632A6"/>
    <w:rsid w:val="00763598"/>
    <w:rsid w:val="00763F86"/>
    <w:rsid w:val="00764121"/>
    <w:rsid w:val="00764363"/>
    <w:rsid w:val="00764376"/>
    <w:rsid w:val="0076477A"/>
    <w:rsid w:val="007647DC"/>
    <w:rsid w:val="0076487B"/>
    <w:rsid w:val="007648B6"/>
    <w:rsid w:val="007648F5"/>
    <w:rsid w:val="00764A9C"/>
    <w:rsid w:val="00764BA1"/>
    <w:rsid w:val="007650B0"/>
    <w:rsid w:val="0076537E"/>
    <w:rsid w:val="00765A03"/>
    <w:rsid w:val="00765C2F"/>
    <w:rsid w:val="00765F3F"/>
    <w:rsid w:val="007660BC"/>
    <w:rsid w:val="00766384"/>
    <w:rsid w:val="00766554"/>
    <w:rsid w:val="007666D2"/>
    <w:rsid w:val="007669C7"/>
    <w:rsid w:val="00766CB2"/>
    <w:rsid w:val="00766CBF"/>
    <w:rsid w:val="00766F60"/>
    <w:rsid w:val="0076738D"/>
    <w:rsid w:val="007675AB"/>
    <w:rsid w:val="007675D7"/>
    <w:rsid w:val="0076793D"/>
    <w:rsid w:val="00767C76"/>
    <w:rsid w:val="00767D1F"/>
    <w:rsid w:val="00767E3B"/>
    <w:rsid w:val="00767F69"/>
    <w:rsid w:val="00770A20"/>
    <w:rsid w:val="00770C4C"/>
    <w:rsid w:val="00770E46"/>
    <w:rsid w:val="007713C0"/>
    <w:rsid w:val="007718EF"/>
    <w:rsid w:val="007719AC"/>
    <w:rsid w:val="00771BFC"/>
    <w:rsid w:val="00771EAD"/>
    <w:rsid w:val="007725D8"/>
    <w:rsid w:val="00772678"/>
    <w:rsid w:val="00772929"/>
    <w:rsid w:val="007729C2"/>
    <w:rsid w:val="00772BD9"/>
    <w:rsid w:val="00772D1C"/>
    <w:rsid w:val="00772E0B"/>
    <w:rsid w:val="00772F12"/>
    <w:rsid w:val="00772F6F"/>
    <w:rsid w:val="0077307E"/>
    <w:rsid w:val="00773789"/>
    <w:rsid w:val="00773AC4"/>
    <w:rsid w:val="00773B8E"/>
    <w:rsid w:val="00773D04"/>
    <w:rsid w:val="00773D26"/>
    <w:rsid w:val="00773DD7"/>
    <w:rsid w:val="00773E09"/>
    <w:rsid w:val="0077408D"/>
    <w:rsid w:val="007744CA"/>
    <w:rsid w:val="007747CC"/>
    <w:rsid w:val="00774864"/>
    <w:rsid w:val="00774C43"/>
    <w:rsid w:val="00774CB7"/>
    <w:rsid w:val="00774EDC"/>
    <w:rsid w:val="00775053"/>
    <w:rsid w:val="0077523C"/>
    <w:rsid w:val="007752CB"/>
    <w:rsid w:val="007759BB"/>
    <w:rsid w:val="00775D54"/>
    <w:rsid w:val="0077608B"/>
    <w:rsid w:val="00776684"/>
    <w:rsid w:val="007766F0"/>
    <w:rsid w:val="007768E3"/>
    <w:rsid w:val="00776981"/>
    <w:rsid w:val="00776B43"/>
    <w:rsid w:val="00776EAC"/>
    <w:rsid w:val="0077718B"/>
    <w:rsid w:val="0077721D"/>
    <w:rsid w:val="00777266"/>
    <w:rsid w:val="00777474"/>
    <w:rsid w:val="0077769F"/>
    <w:rsid w:val="00777770"/>
    <w:rsid w:val="00777B16"/>
    <w:rsid w:val="00777C00"/>
    <w:rsid w:val="00777C96"/>
    <w:rsid w:val="00780226"/>
    <w:rsid w:val="00780489"/>
    <w:rsid w:val="00780567"/>
    <w:rsid w:val="00780B3A"/>
    <w:rsid w:val="00780B3C"/>
    <w:rsid w:val="00780CAB"/>
    <w:rsid w:val="00780D66"/>
    <w:rsid w:val="00780EA8"/>
    <w:rsid w:val="00780F09"/>
    <w:rsid w:val="007810A6"/>
    <w:rsid w:val="00781191"/>
    <w:rsid w:val="00781327"/>
    <w:rsid w:val="0078147B"/>
    <w:rsid w:val="0078151D"/>
    <w:rsid w:val="007819A0"/>
    <w:rsid w:val="00781A4B"/>
    <w:rsid w:val="00781AB4"/>
    <w:rsid w:val="00781BCC"/>
    <w:rsid w:val="00781C0E"/>
    <w:rsid w:val="00782252"/>
    <w:rsid w:val="0078246F"/>
    <w:rsid w:val="00782496"/>
    <w:rsid w:val="007833AF"/>
    <w:rsid w:val="007834FE"/>
    <w:rsid w:val="0078374A"/>
    <w:rsid w:val="00783B09"/>
    <w:rsid w:val="00783BDC"/>
    <w:rsid w:val="007841D2"/>
    <w:rsid w:val="007844E4"/>
    <w:rsid w:val="00784627"/>
    <w:rsid w:val="007847AF"/>
    <w:rsid w:val="007849DF"/>
    <w:rsid w:val="00784A70"/>
    <w:rsid w:val="00784AE3"/>
    <w:rsid w:val="00784B27"/>
    <w:rsid w:val="00784D15"/>
    <w:rsid w:val="00784E3C"/>
    <w:rsid w:val="00784E95"/>
    <w:rsid w:val="00784EB8"/>
    <w:rsid w:val="0078507A"/>
    <w:rsid w:val="00785293"/>
    <w:rsid w:val="0078565A"/>
    <w:rsid w:val="00785724"/>
    <w:rsid w:val="007859C8"/>
    <w:rsid w:val="00785E08"/>
    <w:rsid w:val="00785F4D"/>
    <w:rsid w:val="00785F6A"/>
    <w:rsid w:val="00786150"/>
    <w:rsid w:val="00786519"/>
    <w:rsid w:val="0078660C"/>
    <w:rsid w:val="0078663F"/>
    <w:rsid w:val="0078684F"/>
    <w:rsid w:val="0078685C"/>
    <w:rsid w:val="00786930"/>
    <w:rsid w:val="00786956"/>
    <w:rsid w:val="00786B0D"/>
    <w:rsid w:val="00786B3F"/>
    <w:rsid w:val="00786CFA"/>
    <w:rsid w:val="0078706E"/>
    <w:rsid w:val="0078715C"/>
    <w:rsid w:val="007872FA"/>
    <w:rsid w:val="007876E4"/>
    <w:rsid w:val="00787D06"/>
    <w:rsid w:val="00787D3F"/>
    <w:rsid w:val="007902E8"/>
    <w:rsid w:val="00790352"/>
    <w:rsid w:val="0079079F"/>
    <w:rsid w:val="007907E1"/>
    <w:rsid w:val="00790BC5"/>
    <w:rsid w:val="00790E1C"/>
    <w:rsid w:val="0079105B"/>
    <w:rsid w:val="0079144F"/>
    <w:rsid w:val="007918DD"/>
    <w:rsid w:val="007918DF"/>
    <w:rsid w:val="00791B1F"/>
    <w:rsid w:val="00791E2E"/>
    <w:rsid w:val="00791E89"/>
    <w:rsid w:val="00791F05"/>
    <w:rsid w:val="007921E8"/>
    <w:rsid w:val="007923B7"/>
    <w:rsid w:val="00792616"/>
    <w:rsid w:val="007926B4"/>
    <w:rsid w:val="007926BB"/>
    <w:rsid w:val="007929B4"/>
    <w:rsid w:val="00792CB3"/>
    <w:rsid w:val="00792CFD"/>
    <w:rsid w:val="00792D0E"/>
    <w:rsid w:val="00792EFB"/>
    <w:rsid w:val="007932A4"/>
    <w:rsid w:val="0079344C"/>
    <w:rsid w:val="007934F2"/>
    <w:rsid w:val="007935FA"/>
    <w:rsid w:val="00793646"/>
    <w:rsid w:val="00793CC8"/>
    <w:rsid w:val="00793D18"/>
    <w:rsid w:val="00793DC5"/>
    <w:rsid w:val="00794040"/>
    <w:rsid w:val="007944F7"/>
    <w:rsid w:val="0079482F"/>
    <w:rsid w:val="00794C0B"/>
    <w:rsid w:val="00794CE8"/>
    <w:rsid w:val="00794D34"/>
    <w:rsid w:val="00794E61"/>
    <w:rsid w:val="00794E7F"/>
    <w:rsid w:val="00794ECD"/>
    <w:rsid w:val="00794F94"/>
    <w:rsid w:val="007951A6"/>
    <w:rsid w:val="00795504"/>
    <w:rsid w:val="0079551D"/>
    <w:rsid w:val="00795868"/>
    <w:rsid w:val="00795E61"/>
    <w:rsid w:val="00795FFB"/>
    <w:rsid w:val="00796477"/>
    <w:rsid w:val="007966DC"/>
    <w:rsid w:val="00796CAB"/>
    <w:rsid w:val="00796CF2"/>
    <w:rsid w:val="00797096"/>
    <w:rsid w:val="00797230"/>
    <w:rsid w:val="007972DE"/>
    <w:rsid w:val="007978A5"/>
    <w:rsid w:val="007A0191"/>
    <w:rsid w:val="007A0283"/>
    <w:rsid w:val="007A02E1"/>
    <w:rsid w:val="007A034C"/>
    <w:rsid w:val="007A0509"/>
    <w:rsid w:val="007A0A2C"/>
    <w:rsid w:val="007A0ACC"/>
    <w:rsid w:val="007A0C7A"/>
    <w:rsid w:val="007A1069"/>
    <w:rsid w:val="007A12BA"/>
    <w:rsid w:val="007A15D7"/>
    <w:rsid w:val="007A172C"/>
    <w:rsid w:val="007A17B2"/>
    <w:rsid w:val="007A1856"/>
    <w:rsid w:val="007A19C6"/>
    <w:rsid w:val="007A1A67"/>
    <w:rsid w:val="007A1BAB"/>
    <w:rsid w:val="007A239A"/>
    <w:rsid w:val="007A2406"/>
    <w:rsid w:val="007A241B"/>
    <w:rsid w:val="007A2461"/>
    <w:rsid w:val="007A2A4B"/>
    <w:rsid w:val="007A2BB4"/>
    <w:rsid w:val="007A2D95"/>
    <w:rsid w:val="007A38CC"/>
    <w:rsid w:val="007A3CAF"/>
    <w:rsid w:val="007A41DF"/>
    <w:rsid w:val="007A470C"/>
    <w:rsid w:val="007A4BCA"/>
    <w:rsid w:val="007A50D0"/>
    <w:rsid w:val="007A59AC"/>
    <w:rsid w:val="007A5D20"/>
    <w:rsid w:val="007A5E6E"/>
    <w:rsid w:val="007A61C7"/>
    <w:rsid w:val="007A674C"/>
    <w:rsid w:val="007A6A4F"/>
    <w:rsid w:val="007A6D56"/>
    <w:rsid w:val="007A71EC"/>
    <w:rsid w:val="007A75E9"/>
    <w:rsid w:val="007A7B8F"/>
    <w:rsid w:val="007A7D5B"/>
    <w:rsid w:val="007A7F08"/>
    <w:rsid w:val="007B0132"/>
    <w:rsid w:val="007B0B75"/>
    <w:rsid w:val="007B0D34"/>
    <w:rsid w:val="007B1064"/>
    <w:rsid w:val="007B134E"/>
    <w:rsid w:val="007B166D"/>
    <w:rsid w:val="007B1A2C"/>
    <w:rsid w:val="007B1A47"/>
    <w:rsid w:val="007B1D4B"/>
    <w:rsid w:val="007B20F4"/>
    <w:rsid w:val="007B2510"/>
    <w:rsid w:val="007B26EC"/>
    <w:rsid w:val="007B2F0D"/>
    <w:rsid w:val="007B30BD"/>
    <w:rsid w:val="007B3148"/>
    <w:rsid w:val="007B35AE"/>
    <w:rsid w:val="007B3DD8"/>
    <w:rsid w:val="007B3E48"/>
    <w:rsid w:val="007B4AE3"/>
    <w:rsid w:val="007B503D"/>
    <w:rsid w:val="007B53A2"/>
    <w:rsid w:val="007B56DB"/>
    <w:rsid w:val="007B5AF8"/>
    <w:rsid w:val="007B5FE6"/>
    <w:rsid w:val="007B6028"/>
    <w:rsid w:val="007B6267"/>
    <w:rsid w:val="007B62F1"/>
    <w:rsid w:val="007B64BD"/>
    <w:rsid w:val="007B6952"/>
    <w:rsid w:val="007B6CCF"/>
    <w:rsid w:val="007B6FD2"/>
    <w:rsid w:val="007B7006"/>
    <w:rsid w:val="007B708A"/>
    <w:rsid w:val="007B740E"/>
    <w:rsid w:val="007B7786"/>
    <w:rsid w:val="007B7F76"/>
    <w:rsid w:val="007C01BD"/>
    <w:rsid w:val="007C02C7"/>
    <w:rsid w:val="007C040A"/>
    <w:rsid w:val="007C0438"/>
    <w:rsid w:val="007C04C7"/>
    <w:rsid w:val="007C082F"/>
    <w:rsid w:val="007C0D11"/>
    <w:rsid w:val="007C0E4A"/>
    <w:rsid w:val="007C0F6D"/>
    <w:rsid w:val="007C0F87"/>
    <w:rsid w:val="007C10D4"/>
    <w:rsid w:val="007C139F"/>
    <w:rsid w:val="007C18AC"/>
    <w:rsid w:val="007C1AAE"/>
    <w:rsid w:val="007C1DAF"/>
    <w:rsid w:val="007C204F"/>
    <w:rsid w:val="007C21EE"/>
    <w:rsid w:val="007C263E"/>
    <w:rsid w:val="007C285D"/>
    <w:rsid w:val="007C291C"/>
    <w:rsid w:val="007C29FA"/>
    <w:rsid w:val="007C2DCC"/>
    <w:rsid w:val="007C2E4B"/>
    <w:rsid w:val="007C2FB4"/>
    <w:rsid w:val="007C329B"/>
    <w:rsid w:val="007C32C4"/>
    <w:rsid w:val="007C333C"/>
    <w:rsid w:val="007C384C"/>
    <w:rsid w:val="007C398D"/>
    <w:rsid w:val="007C3CBC"/>
    <w:rsid w:val="007C3F2F"/>
    <w:rsid w:val="007C4070"/>
    <w:rsid w:val="007C459A"/>
    <w:rsid w:val="007C4649"/>
    <w:rsid w:val="007C46B3"/>
    <w:rsid w:val="007C47F7"/>
    <w:rsid w:val="007C4828"/>
    <w:rsid w:val="007C4C4B"/>
    <w:rsid w:val="007C5509"/>
    <w:rsid w:val="007C5AC5"/>
    <w:rsid w:val="007C5AD2"/>
    <w:rsid w:val="007C5CD7"/>
    <w:rsid w:val="007C61CE"/>
    <w:rsid w:val="007C623A"/>
    <w:rsid w:val="007C6317"/>
    <w:rsid w:val="007C6626"/>
    <w:rsid w:val="007C66EB"/>
    <w:rsid w:val="007C68B8"/>
    <w:rsid w:val="007C698A"/>
    <w:rsid w:val="007C69DF"/>
    <w:rsid w:val="007C70AC"/>
    <w:rsid w:val="007C73A5"/>
    <w:rsid w:val="007C73DC"/>
    <w:rsid w:val="007C76F8"/>
    <w:rsid w:val="007C7815"/>
    <w:rsid w:val="007C78E8"/>
    <w:rsid w:val="007C7948"/>
    <w:rsid w:val="007C7C01"/>
    <w:rsid w:val="007C7EC6"/>
    <w:rsid w:val="007C7F00"/>
    <w:rsid w:val="007D01AE"/>
    <w:rsid w:val="007D0891"/>
    <w:rsid w:val="007D0C3E"/>
    <w:rsid w:val="007D12C2"/>
    <w:rsid w:val="007D133F"/>
    <w:rsid w:val="007D15BC"/>
    <w:rsid w:val="007D176F"/>
    <w:rsid w:val="007D1835"/>
    <w:rsid w:val="007D18B3"/>
    <w:rsid w:val="007D1976"/>
    <w:rsid w:val="007D1AD5"/>
    <w:rsid w:val="007D1B70"/>
    <w:rsid w:val="007D1D00"/>
    <w:rsid w:val="007D1D47"/>
    <w:rsid w:val="007D1EC4"/>
    <w:rsid w:val="007D1FA9"/>
    <w:rsid w:val="007D2062"/>
    <w:rsid w:val="007D20AF"/>
    <w:rsid w:val="007D2339"/>
    <w:rsid w:val="007D284E"/>
    <w:rsid w:val="007D292A"/>
    <w:rsid w:val="007D2997"/>
    <w:rsid w:val="007D2F75"/>
    <w:rsid w:val="007D31D3"/>
    <w:rsid w:val="007D3340"/>
    <w:rsid w:val="007D34D6"/>
    <w:rsid w:val="007D3636"/>
    <w:rsid w:val="007D377E"/>
    <w:rsid w:val="007D37C7"/>
    <w:rsid w:val="007D3A2E"/>
    <w:rsid w:val="007D437D"/>
    <w:rsid w:val="007D4442"/>
    <w:rsid w:val="007D4588"/>
    <w:rsid w:val="007D45FE"/>
    <w:rsid w:val="007D4610"/>
    <w:rsid w:val="007D48D0"/>
    <w:rsid w:val="007D4EAE"/>
    <w:rsid w:val="007D5927"/>
    <w:rsid w:val="007D5E6B"/>
    <w:rsid w:val="007D62CD"/>
    <w:rsid w:val="007D63F1"/>
    <w:rsid w:val="007D6652"/>
    <w:rsid w:val="007D6826"/>
    <w:rsid w:val="007D6BCA"/>
    <w:rsid w:val="007D6C20"/>
    <w:rsid w:val="007D6C4A"/>
    <w:rsid w:val="007D6D1F"/>
    <w:rsid w:val="007D6E0C"/>
    <w:rsid w:val="007D6E53"/>
    <w:rsid w:val="007D6EF5"/>
    <w:rsid w:val="007D7616"/>
    <w:rsid w:val="007D7863"/>
    <w:rsid w:val="007D7A98"/>
    <w:rsid w:val="007D7B91"/>
    <w:rsid w:val="007D7C2A"/>
    <w:rsid w:val="007D7EBD"/>
    <w:rsid w:val="007D7F07"/>
    <w:rsid w:val="007E0357"/>
    <w:rsid w:val="007E0510"/>
    <w:rsid w:val="007E1353"/>
    <w:rsid w:val="007E1402"/>
    <w:rsid w:val="007E15AC"/>
    <w:rsid w:val="007E17D1"/>
    <w:rsid w:val="007E1BF8"/>
    <w:rsid w:val="007E1EC7"/>
    <w:rsid w:val="007E2129"/>
    <w:rsid w:val="007E2663"/>
    <w:rsid w:val="007E26A8"/>
    <w:rsid w:val="007E2896"/>
    <w:rsid w:val="007E2B4E"/>
    <w:rsid w:val="007E312B"/>
    <w:rsid w:val="007E33A7"/>
    <w:rsid w:val="007E343D"/>
    <w:rsid w:val="007E37A3"/>
    <w:rsid w:val="007E37DD"/>
    <w:rsid w:val="007E3818"/>
    <w:rsid w:val="007E3C32"/>
    <w:rsid w:val="007E3E2C"/>
    <w:rsid w:val="007E3F2F"/>
    <w:rsid w:val="007E40AC"/>
    <w:rsid w:val="007E40B9"/>
    <w:rsid w:val="007E41DE"/>
    <w:rsid w:val="007E45DA"/>
    <w:rsid w:val="007E4B84"/>
    <w:rsid w:val="007E4E4C"/>
    <w:rsid w:val="007E5179"/>
    <w:rsid w:val="007E51A0"/>
    <w:rsid w:val="007E536E"/>
    <w:rsid w:val="007E542E"/>
    <w:rsid w:val="007E54AE"/>
    <w:rsid w:val="007E5A5F"/>
    <w:rsid w:val="007E6071"/>
    <w:rsid w:val="007E6187"/>
    <w:rsid w:val="007E62EB"/>
    <w:rsid w:val="007E6953"/>
    <w:rsid w:val="007E73DD"/>
    <w:rsid w:val="007E7401"/>
    <w:rsid w:val="007E74F2"/>
    <w:rsid w:val="007E775C"/>
    <w:rsid w:val="007E7956"/>
    <w:rsid w:val="007F008D"/>
    <w:rsid w:val="007F01BF"/>
    <w:rsid w:val="007F01FD"/>
    <w:rsid w:val="007F02C0"/>
    <w:rsid w:val="007F096F"/>
    <w:rsid w:val="007F0B53"/>
    <w:rsid w:val="007F0C99"/>
    <w:rsid w:val="007F15AE"/>
    <w:rsid w:val="007F175A"/>
    <w:rsid w:val="007F1A95"/>
    <w:rsid w:val="007F1BA2"/>
    <w:rsid w:val="007F1F3A"/>
    <w:rsid w:val="007F2089"/>
    <w:rsid w:val="007F214D"/>
    <w:rsid w:val="007F22AC"/>
    <w:rsid w:val="007F25A4"/>
    <w:rsid w:val="007F267D"/>
    <w:rsid w:val="007F2AF7"/>
    <w:rsid w:val="007F2B70"/>
    <w:rsid w:val="007F2DAF"/>
    <w:rsid w:val="007F3202"/>
    <w:rsid w:val="007F3845"/>
    <w:rsid w:val="007F39BE"/>
    <w:rsid w:val="007F3B2C"/>
    <w:rsid w:val="007F3B51"/>
    <w:rsid w:val="007F3FF8"/>
    <w:rsid w:val="007F42B3"/>
    <w:rsid w:val="007F4383"/>
    <w:rsid w:val="007F49E3"/>
    <w:rsid w:val="007F4B26"/>
    <w:rsid w:val="007F5226"/>
    <w:rsid w:val="007F5261"/>
    <w:rsid w:val="007F527A"/>
    <w:rsid w:val="007F567A"/>
    <w:rsid w:val="007F596F"/>
    <w:rsid w:val="007F5D3E"/>
    <w:rsid w:val="007F5EDE"/>
    <w:rsid w:val="007F5EF8"/>
    <w:rsid w:val="007F60EE"/>
    <w:rsid w:val="007F62D8"/>
    <w:rsid w:val="007F6421"/>
    <w:rsid w:val="007F66DF"/>
    <w:rsid w:val="007F692C"/>
    <w:rsid w:val="007F6A3D"/>
    <w:rsid w:val="007F6AFA"/>
    <w:rsid w:val="007F6D1C"/>
    <w:rsid w:val="007F6D24"/>
    <w:rsid w:val="007F7415"/>
    <w:rsid w:val="007F7444"/>
    <w:rsid w:val="007F75FC"/>
    <w:rsid w:val="007F77CF"/>
    <w:rsid w:val="007F79E2"/>
    <w:rsid w:val="007F7A9E"/>
    <w:rsid w:val="00800146"/>
    <w:rsid w:val="008007FF"/>
    <w:rsid w:val="008011D2"/>
    <w:rsid w:val="0080136E"/>
    <w:rsid w:val="008013A8"/>
    <w:rsid w:val="00801601"/>
    <w:rsid w:val="00801B6B"/>
    <w:rsid w:val="00801BED"/>
    <w:rsid w:val="00801D02"/>
    <w:rsid w:val="00802091"/>
    <w:rsid w:val="008022B4"/>
    <w:rsid w:val="0080230F"/>
    <w:rsid w:val="008023AB"/>
    <w:rsid w:val="0080249A"/>
    <w:rsid w:val="00802511"/>
    <w:rsid w:val="00802664"/>
    <w:rsid w:val="00802B88"/>
    <w:rsid w:val="00802F36"/>
    <w:rsid w:val="008032E3"/>
    <w:rsid w:val="0080397F"/>
    <w:rsid w:val="00803A9F"/>
    <w:rsid w:val="00803C56"/>
    <w:rsid w:val="00803F98"/>
    <w:rsid w:val="008043F4"/>
    <w:rsid w:val="008047A3"/>
    <w:rsid w:val="00804C71"/>
    <w:rsid w:val="0080509C"/>
    <w:rsid w:val="008050A4"/>
    <w:rsid w:val="00805109"/>
    <w:rsid w:val="00805172"/>
    <w:rsid w:val="008057F6"/>
    <w:rsid w:val="00805C0A"/>
    <w:rsid w:val="00805E92"/>
    <w:rsid w:val="00805F9C"/>
    <w:rsid w:val="008064FD"/>
    <w:rsid w:val="00806513"/>
    <w:rsid w:val="00806AB0"/>
    <w:rsid w:val="00806F16"/>
    <w:rsid w:val="008070AF"/>
    <w:rsid w:val="00807123"/>
    <w:rsid w:val="0080754E"/>
    <w:rsid w:val="00807628"/>
    <w:rsid w:val="00810161"/>
    <w:rsid w:val="00810991"/>
    <w:rsid w:val="00810AE1"/>
    <w:rsid w:val="00810CAB"/>
    <w:rsid w:val="00810F71"/>
    <w:rsid w:val="00811013"/>
    <w:rsid w:val="0081122E"/>
    <w:rsid w:val="0081150C"/>
    <w:rsid w:val="008119BC"/>
    <w:rsid w:val="00811C31"/>
    <w:rsid w:val="00811C55"/>
    <w:rsid w:val="00811D05"/>
    <w:rsid w:val="00811E47"/>
    <w:rsid w:val="00811F31"/>
    <w:rsid w:val="0081209C"/>
    <w:rsid w:val="008120C4"/>
    <w:rsid w:val="008120D8"/>
    <w:rsid w:val="008123F2"/>
    <w:rsid w:val="00812510"/>
    <w:rsid w:val="0081277B"/>
    <w:rsid w:val="00812865"/>
    <w:rsid w:val="00812ABD"/>
    <w:rsid w:val="00812AC5"/>
    <w:rsid w:val="00812E62"/>
    <w:rsid w:val="0081317F"/>
    <w:rsid w:val="00813D3E"/>
    <w:rsid w:val="00813F83"/>
    <w:rsid w:val="0081425D"/>
    <w:rsid w:val="008145E0"/>
    <w:rsid w:val="0081468C"/>
    <w:rsid w:val="008147A6"/>
    <w:rsid w:val="00814A9B"/>
    <w:rsid w:val="00814AAB"/>
    <w:rsid w:val="00814F66"/>
    <w:rsid w:val="008151DC"/>
    <w:rsid w:val="0081521D"/>
    <w:rsid w:val="008152F1"/>
    <w:rsid w:val="00815572"/>
    <w:rsid w:val="0081564D"/>
    <w:rsid w:val="0081585C"/>
    <w:rsid w:val="008166A7"/>
    <w:rsid w:val="00816BA6"/>
    <w:rsid w:val="00816D1D"/>
    <w:rsid w:val="00816E7E"/>
    <w:rsid w:val="00816F39"/>
    <w:rsid w:val="0081718B"/>
    <w:rsid w:val="00817356"/>
    <w:rsid w:val="00817436"/>
    <w:rsid w:val="00817755"/>
    <w:rsid w:val="008177F5"/>
    <w:rsid w:val="00817C9E"/>
    <w:rsid w:val="00817D25"/>
    <w:rsid w:val="00817E7D"/>
    <w:rsid w:val="008203BC"/>
    <w:rsid w:val="008205AF"/>
    <w:rsid w:val="00820A9D"/>
    <w:rsid w:val="00820B4D"/>
    <w:rsid w:val="00820B95"/>
    <w:rsid w:val="00820D3B"/>
    <w:rsid w:val="00820FB4"/>
    <w:rsid w:val="008218F3"/>
    <w:rsid w:val="00821AA2"/>
    <w:rsid w:val="00821B58"/>
    <w:rsid w:val="00821B63"/>
    <w:rsid w:val="00821B8F"/>
    <w:rsid w:val="00821C1D"/>
    <w:rsid w:val="008225B3"/>
    <w:rsid w:val="008225CC"/>
    <w:rsid w:val="008225CF"/>
    <w:rsid w:val="008225E5"/>
    <w:rsid w:val="008228BD"/>
    <w:rsid w:val="00822D13"/>
    <w:rsid w:val="008230A5"/>
    <w:rsid w:val="008231AE"/>
    <w:rsid w:val="0082326D"/>
    <w:rsid w:val="008232CD"/>
    <w:rsid w:val="0082335A"/>
    <w:rsid w:val="00823718"/>
    <w:rsid w:val="00823C5F"/>
    <w:rsid w:val="00823E07"/>
    <w:rsid w:val="00823F41"/>
    <w:rsid w:val="008240CE"/>
    <w:rsid w:val="008240E7"/>
    <w:rsid w:val="00824169"/>
    <w:rsid w:val="008241B1"/>
    <w:rsid w:val="00824228"/>
    <w:rsid w:val="0082459D"/>
    <w:rsid w:val="00824646"/>
    <w:rsid w:val="00824B5B"/>
    <w:rsid w:val="0082540F"/>
    <w:rsid w:val="008258D2"/>
    <w:rsid w:val="00825B8C"/>
    <w:rsid w:val="00825D76"/>
    <w:rsid w:val="00825EC2"/>
    <w:rsid w:val="008260ED"/>
    <w:rsid w:val="00826140"/>
    <w:rsid w:val="0082627D"/>
    <w:rsid w:val="0082665A"/>
    <w:rsid w:val="00826A4E"/>
    <w:rsid w:val="00826BA4"/>
    <w:rsid w:val="00826CF1"/>
    <w:rsid w:val="00827012"/>
    <w:rsid w:val="00827040"/>
    <w:rsid w:val="008270EC"/>
    <w:rsid w:val="00827558"/>
    <w:rsid w:val="00827B6D"/>
    <w:rsid w:val="00827C4B"/>
    <w:rsid w:val="00827C6B"/>
    <w:rsid w:val="00827F83"/>
    <w:rsid w:val="00830031"/>
    <w:rsid w:val="008300A6"/>
    <w:rsid w:val="008302CD"/>
    <w:rsid w:val="00830344"/>
    <w:rsid w:val="00830532"/>
    <w:rsid w:val="00831053"/>
    <w:rsid w:val="008312FC"/>
    <w:rsid w:val="008314D2"/>
    <w:rsid w:val="00831604"/>
    <w:rsid w:val="008316CE"/>
    <w:rsid w:val="00831BD7"/>
    <w:rsid w:val="00831F91"/>
    <w:rsid w:val="00832110"/>
    <w:rsid w:val="00832428"/>
    <w:rsid w:val="0083254D"/>
    <w:rsid w:val="00832CD4"/>
    <w:rsid w:val="00832D58"/>
    <w:rsid w:val="00832FFC"/>
    <w:rsid w:val="00833133"/>
    <w:rsid w:val="0083320E"/>
    <w:rsid w:val="0083358C"/>
    <w:rsid w:val="008335F5"/>
    <w:rsid w:val="00833625"/>
    <w:rsid w:val="008336E6"/>
    <w:rsid w:val="00833817"/>
    <w:rsid w:val="00833A08"/>
    <w:rsid w:val="00833F01"/>
    <w:rsid w:val="00834140"/>
    <w:rsid w:val="0083419B"/>
    <w:rsid w:val="0083425B"/>
    <w:rsid w:val="008348B6"/>
    <w:rsid w:val="008349D5"/>
    <w:rsid w:val="008349DF"/>
    <w:rsid w:val="00834BD5"/>
    <w:rsid w:val="00834F58"/>
    <w:rsid w:val="008350EA"/>
    <w:rsid w:val="00835369"/>
    <w:rsid w:val="00835563"/>
    <w:rsid w:val="00835677"/>
    <w:rsid w:val="008357D3"/>
    <w:rsid w:val="00835B67"/>
    <w:rsid w:val="00835C5C"/>
    <w:rsid w:val="00836223"/>
    <w:rsid w:val="00836249"/>
    <w:rsid w:val="008364A2"/>
    <w:rsid w:val="008365BB"/>
    <w:rsid w:val="008365D3"/>
    <w:rsid w:val="00836AAF"/>
    <w:rsid w:val="00836B82"/>
    <w:rsid w:val="00836C26"/>
    <w:rsid w:val="00836F00"/>
    <w:rsid w:val="00837127"/>
    <w:rsid w:val="00837783"/>
    <w:rsid w:val="00837965"/>
    <w:rsid w:val="00837B41"/>
    <w:rsid w:val="00837D4B"/>
    <w:rsid w:val="008400D3"/>
    <w:rsid w:val="00840304"/>
    <w:rsid w:val="00840324"/>
    <w:rsid w:val="00840325"/>
    <w:rsid w:val="0084057E"/>
    <w:rsid w:val="00840B5E"/>
    <w:rsid w:val="00840FDE"/>
    <w:rsid w:val="008410AE"/>
    <w:rsid w:val="0084115D"/>
    <w:rsid w:val="00841278"/>
    <w:rsid w:val="0084172B"/>
    <w:rsid w:val="00841830"/>
    <w:rsid w:val="00841DBC"/>
    <w:rsid w:val="0084239B"/>
    <w:rsid w:val="0084281A"/>
    <w:rsid w:val="008428A9"/>
    <w:rsid w:val="00842A2C"/>
    <w:rsid w:val="00842B03"/>
    <w:rsid w:val="00842B05"/>
    <w:rsid w:val="0084308B"/>
    <w:rsid w:val="0084314B"/>
    <w:rsid w:val="00843274"/>
    <w:rsid w:val="0084330D"/>
    <w:rsid w:val="008435B2"/>
    <w:rsid w:val="0084376C"/>
    <w:rsid w:val="0084387F"/>
    <w:rsid w:val="00843917"/>
    <w:rsid w:val="008439C8"/>
    <w:rsid w:val="008441D3"/>
    <w:rsid w:val="008442FF"/>
    <w:rsid w:val="008444E7"/>
    <w:rsid w:val="0084454E"/>
    <w:rsid w:val="008446A6"/>
    <w:rsid w:val="008448C0"/>
    <w:rsid w:val="00844A8A"/>
    <w:rsid w:val="008450F0"/>
    <w:rsid w:val="00845304"/>
    <w:rsid w:val="008459A8"/>
    <w:rsid w:val="00845AA1"/>
    <w:rsid w:val="00845B75"/>
    <w:rsid w:val="00845C57"/>
    <w:rsid w:val="00845D8E"/>
    <w:rsid w:val="00846192"/>
    <w:rsid w:val="008466D9"/>
    <w:rsid w:val="00846861"/>
    <w:rsid w:val="00846895"/>
    <w:rsid w:val="008469EB"/>
    <w:rsid w:val="00846CCD"/>
    <w:rsid w:val="00846D16"/>
    <w:rsid w:val="00846DE6"/>
    <w:rsid w:val="008472D2"/>
    <w:rsid w:val="00847455"/>
    <w:rsid w:val="0084759F"/>
    <w:rsid w:val="00847B9F"/>
    <w:rsid w:val="00847CE6"/>
    <w:rsid w:val="00847D0B"/>
    <w:rsid w:val="00850019"/>
    <w:rsid w:val="00850580"/>
    <w:rsid w:val="008505F2"/>
    <w:rsid w:val="00850634"/>
    <w:rsid w:val="00850806"/>
    <w:rsid w:val="00850865"/>
    <w:rsid w:val="00850AA4"/>
    <w:rsid w:val="00850ADF"/>
    <w:rsid w:val="00850B4C"/>
    <w:rsid w:val="00850F0C"/>
    <w:rsid w:val="0085181E"/>
    <w:rsid w:val="008518CC"/>
    <w:rsid w:val="0085196A"/>
    <w:rsid w:val="00851D14"/>
    <w:rsid w:val="00851E10"/>
    <w:rsid w:val="00851FE1"/>
    <w:rsid w:val="00852080"/>
    <w:rsid w:val="00852703"/>
    <w:rsid w:val="00852AEF"/>
    <w:rsid w:val="00852C49"/>
    <w:rsid w:val="0085326B"/>
    <w:rsid w:val="00853773"/>
    <w:rsid w:val="00853819"/>
    <w:rsid w:val="00853962"/>
    <w:rsid w:val="00853BD1"/>
    <w:rsid w:val="00853D5A"/>
    <w:rsid w:val="00853F0D"/>
    <w:rsid w:val="00853F45"/>
    <w:rsid w:val="00853FCE"/>
    <w:rsid w:val="008544F5"/>
    <w:rsid w:val="0085456A"/>
    <w:rsid w:val="008547EE"/>
    <w:rsid w:val="00854A8F"/>
    <w:rsid w:val="00854CB4"/>
    <w:rsid w:val="00854D56"/>
    <w:rsid w:val="00854FD7"/>
    <w:rsid w:val="00855218"/>
    <w:rsid w:val="00855472"/>
    <w:rsid w:val="008554A4"/>
    <w:rsid w:val="008558F0"/>
    <w:rsid w:val="00855AE0"/>
    <w:rsid w:val="00855CF6"/>
    <w:rsid w:val="0085603F"/>
    <w:rsid w:val="00856276"/>
    <w:rsid w:val="00856666"/>
    <w:rsid w:val="0085668C"/>
    <w:rsid w:val="008568E4"/>
    <w:rsid w:val="008568E5"/>
    <w:rsid w:val="00856A1B"/>
    <w:rsid w:val="00856C1B"/>
    <w:rsid w:val="00856C2A"/>
    <w:rsid w:val="00856C78"/>
    <w:rsid w:val="00857459"/>
    <w:rsid w:val="0085774F"/>
    <w:rsid w:val="00857D68"/>
    <w:rsid w:val="00857DDE"/>
    <w:rsid w:val="008601F0"/>
    <w:rsid w:val="00860701"/>
    <w:rsid w:val="0086072E"/>
    <w:rsid w:val="008607DA"/>
    <w:rsid w:val="00860F2D"/>
    <w:rsid w:val="008610F6"/>
    <w:rsid w:val="0086122A"/>
    <w:rsid w:val="0086165B"/>
    <w:rsid w:val="008618C3"/>
    <w:rsid w:val="00861AA8"/>
    <w:rsid w:val="00861D3E"/>
    <w:rsid w:val="008621C3"/>
    <w:rsid w:val="0086224F"/>
    <w:rsid w:val="0086237E"/>
    <w:rsid w:val="00862381"/>
    <w:rsid w:val="00862722"/>
    <w:rsid w:val="00862781"/>
    <w:rsid w:val="0086297D"/>
    <w:rsid w:val="008629A9"/>
    <w:rsid w:val="00862A10"/>
    <w:rsid w:val="00862A55"/>
    <w:rsid w:val="00862F38"/>
    <w:rsid w:val="0086311C"/>
    <w:rsid w:val="00863348"/>
    <w:rsid w:val="0086350D"/>
    <w:rsid w:val="00863722"/>
    <w:rsid w:val="00863A54"/>
    <w:rsid w:val="00863AF7"/>
    <w:rsid w:val="00863B69"/>
    <w:rsid w:val="00863CCA"/>
    <w:rsid w:val="00864165"/>
    <w:rsid w:val="0086462E"/>
    <w:rsid w:val="00864DA1"/>
    <w:rsid w:val="00864EE4"/>
    <w:rsid w:val="00864F3E"/>
    <w:rsid w:val="00864F8E"/>
    <w:rsid w:val="00865486"/>
    <w:rsid w:val="00865884"/>
    <w:rsid w:val="008658D8"/>
    <w:rsid w:val="0086592D"/>
    <w:rsid w:val="00865A1C"/>
    <w:rsid w:val="00865AA1"/>
    <w:rsid w:val="00865BF8"/>
    <w:rsid w:val="00865D0C"/>
    <w:rsid w:val="00865DEC"/>
    <w:rsid w:val="00865EA3"/>
    <w:rsid w:val="00865FDC"/>
    <w:rsid w:val="00866158"/>
    <w:rsid w:val="008661CE"/>
    <w:rsid w:val="0086649E"/>
    <w:rsid w:val="00866A62"/>
    <w:rsid w:val="00866E74"/>
    <w:rsid w:val="008672A2"/>
    <w:rsid w:val="00867A53"/>
    <w:rsid w:val="00867A76"/>
    <w:rsid w:val="00867D5D"/>
    <w:rsid w:val="00867E55"/>
    <w:rsid w:val="00867EC4"/>
    <w:rsid w:val="008700C4"/>
    <w:rsid w:val="008702F8"/>
    <w:rsid w:val="00870376"/>
    <w:rsid w:val="00870818"/>
    <w:rsid w:val="0087086B"/>
    <w:rsid w:val="00870AB0"/>
    <w:rsid w:val="00870DAE"/>
    <w:rsid w:val="00870E90"/>
    <w:rsid w:val="008718A6"/>
    <w:rsid w:val="00871DFF"/>
    <w:rsid w:val="00871E03"/>
    <w:rsid w:val="00871E3F"/>
    <w:rsid w:val="00871F59"/>
    <w:rsid w:val="008721E1"/>
    <w:rsid w:val="00872446"/>
    <w:rsid w:val="00872921"/>
    <w:rsid w:val="00872BD3"/>
    <w:rsid w:val="00873611"/>
    <w:rsid w:val="00873662"/>
    <w:rsid w:val="00873AED"/>
    <w:rsid w:val="00873BEA"/>
    <w:rsid w:val="00873C0B"/>
    <w:rsid w:val="00873C98"/>
    <w:rsid w:val="00873EEC"/>
    <w:rsid w:val="00873F14"/>
    <w:rsid w:val="00873FDC"/>
    <w:rsid w:val="00874020"/>
    <w:rsid w:val="008745D7"/>
    <w:rsid w:val="008746A0"/>
    <w:rsid w:val="00874A42"/>
    <w:rsid w:val="00874EAB"/>
    <w:rsid w:val="00874FC1"/>
    <w:rsid w:val="0087558D"/>
    <w:rsid w:val="0087559C"/>
    <w:rsid w:val="008757A9"/>
    <w:rsid w:val="00875840"/>
    <w:rsid w:val="00875980"/>
    <w:rsid w:val="00875C98"/>
    <w:rsid w:val="00875CCD"/>
    <w:rsid w:val="008760D3"/>
    <w:rsid w:val="00876201"/>
    <w:rsid w:val="00876275"/>
    <w:rsid w:val="00876507"/>
    <w:rsid w:val="0087678C"/>
    <w:rsid w:val="00876792"/>
    <w:rsid w:val="0087692B"/>
    <w:rsid w:val="00876DF5"/>
    <w:rsid w:val="00876FD6"/>
    <w:rsid w:val="00877262"/>
    <w:rsid w:val="0087772D"/>
    <w:rsid w:val="008779C6"/>
    <w:rsid w:val="00877A0F"/>
    <w:rsid w:val="00877A89"/>
    <w:rsid w:val="00877BC3"/>
    <w:rsid w:val="00877C87"/>
    <w:rsid w:val="0088013A"/>
    <w:rsid w:val="0088046F"/>
    <w:rsid w:val="00880AFD"/>
    <w:rsid w:val="00880C03"/>
    <w:rsid w:val="00880F2E"/>
    <w:rsid w:val="00880F77"/>
    <w:rsid w:val="00880FE7"/>
    <w:rsid w:val="008816DB"/>
    <w:rsid w:val="00881964"/>
    <w:rsid w:val="00881C04"/>
    <w:rsid w:val="00881F15"/>
    <w:rsid w:val="008823DA"/>
    <w:rsid w:val="0088290E"/>
    <w:rsid w:val="008829DF"/>
    <w:rsid w:val="00882A67"/>
    <w:rsid w:val="00882AF1"/>
    <w:rsid w:val="00882B99"/>
    <w:rsid w:val="00882EC5"/>
    <w:rsid w:val="008835F8"/>
    <w:rsid w:val="00883852"/>
    <w:rsid w:val="008838FD"/>
    <w:rsid w:val="00883A8A"/>
    <w:rsid w:val="00883B13"/>
    <w:rsid w:val="00883F10"/>
    <w:rsid w:val="00884084"/>
    <w:rsid w:val="00884688"/>
    <w:rsid w:val="00884775"/>
    <w:rsid w:val="00884949"/>
    <w:rsid w:val="00884956"/>
    <w:rsid w:val="008849B7"/>
    <w:rsid w:val="00884C95"/>
    <w:rsid w:val="00885820"/>
    <w:rsid w:val="00885B82"/>
    <w:rsid w:val="00885B9B"/>
    <w:rsid w:val="00885CE6"/>
    <w:rsid w:val="00885DCB"/>
    <w:rsid w:val="00885E59"/>
    <w:rsid w:val="0088635D"/>
    <w:rsid w:val="008866E1"/>
    <w:rsid w:val="0088699F"/>
    <w:rsid w:val="008869C1"/>
    <w:rsid w:val="00886D16"/>
    <w:rsid w:val="00886E6C"/>
    <w:rsid w:val="00886F5E"/>
    <w:rsid w:val="0088715E"/>
    <w:rsid w:val="0088716F"/>
    <w:rsid w:val="00887511"/>
    <w:rsid w:val="008876A5"/>
    <w:rsid w:val="00887976"/>
    <w:rsid w:val="00887B77"/>
    <w:rsid w:val="0089037A"/>
    <w:rsid w:val="008904EB"/>
    <w:rsid w:val="00890645"/>
    <w:rsid w:val="00890668"/>
    <w:rsid w:val="00890D2B"/>
    <w:rsid w:val="00890E6F"/>
    <w:rsid w:val="00890F33"/>
    <w:rsid w:val="00891414"/>
    <w:rsid w:val="0089167D"/>
    <w:rsid w:val="00891CAA"/>
    <w:rsid w:val="00892063"/>
    <w:rsid w:val="00892380"/>
    <w:rsid w:val="008928CA"/>
    <w:rsid w:val="00892AFD"/>
    <w:rsid w:val="00892C5F"/>
    <w:rsid w:val="00892CAB"/>
    <w:rsid w:val="00892EDF"/>
    <w:rsid w:val="00892F39"/>
    <w:rsid w:val="008932C6"/>
    <w:rsid w:val="0089370A"/>
    <w:rsid w:val="0089381C"/>
    <w:rsid w:val="008938FC"/>
    <w:rsid w:val="00893D41"/>
    <w:rsid w:val="00893F4E"/>
    <w:rsid w:val="00893F5E"/>
    <w:rsid w:val="00894238"/>
    <w:rsid w:val="0089429C"/>
    <w:rsid w:val="00894506"/>
    <w:rsid w:val="008949E0"/>
    <w:rsid w:val="00894E48"/>
    <w:rsid w:val="00894EC9"/>
    <w:rsid w:val="00894EDB"/>
    <w:rsid w:val="00895365"/>
    <w:rsid w:val="00895497"/>
    <w:rsid w:val="0089551F"/>
    <w:rsid w:val="008956C6"/>
    <w:rsid w:val="00895ABB"/>
    <w:rsid w:val="00895DD4"/>
    <w:rsid w:val="00895E1A"/>
    <w:rsid w:val="00895E75"/>
    <w:rsid w:val="00896545"/>
    <w:rsid w:val="00896730"/>
    <w:rsid w:val="008967E7"/>
    <w:rsid w:val="00897642"/>
    <w:rsid w:val="00897733"/>
    <w:rsid w:val="00897C78"/>
    <w:rsid w:val="00897D15"/>
    <w:rsid w:val="00897F42"/>
    <w:rsid w:val="008A03AC"/>
    <w:rsid w:val="008A09B2"/>
    <w:rsid w:val="008A0E90"/>
    <w:rsid w:val="008A11A2"/>
    <w:rsid w:val="008A11F2"/>
    <w:rsid w:val="008A15B3"/>
    <w:rsid w:val="008A17C9"/>
    <w:rsid w:val="008A1930"/>
    <w:rsid w:val="008A1DF8"/>
    <w:rsid w:val="008A23B2"/>
    <w:rsid w:val="008A25BA"/>
    <w:rsid w:val="008A264A"/>
    <w:rsid w:val="008A295B"/>
    <w:rsid w:val="008A2C1D"/>
    <w:rsid w:val="008A2C4A"/>
    <w:rsid w:val="008A2EAC"/>
    <w:rsid w:val="008A2FB7"/>
    <w:rsid w:val="008A30BB"/>
    <w:rsid w:val="008A3A5C"/>
    <w:rsid w:val="008A3F25"/>
    <w:rsid w:val="008A3FA1"/>
    <w:rsid w:val="008A4215"/>
    <w:rsid w:val="008A4F7B"/>
    <w:rsid w:val="008A5055"/>
    <w:rsid w:val="008A5382"/>
    <w:rsid w:val="008A5565"/>
    <w:rsid w:val="008A590F"/>
    <w:rsid w:val="008A5C10"/>
    <w:rsid w:val="008A5FEF"/>
    <w:rsid w:val="008A6604"/>
    <w:rsid w:val="008A6C53"/>
    <w:rsid w:val="008A7309"/>
    <w:rsid w:val="008A74F8"/>
    <w:rsid w:val="008A7C68"/>
    <w:rsid w:val="008A7EA3"/>
    <w:rsid w:val="008A7FCE"/>
    <w:rsid w:val="008B0145"/>
    <w:rsid w:val="008B0A13"/>
    <w:rsid w:val="008B0CE6"/>
    <w:rsid w:val="008B0EEC"/>
    <w:rsid w:val="008B1C91"/>
    <w:rsid w:val="008B2101"/>
    <w:rsid w:val="008B239B"/>
    <w:rsid w:val="008B23DA"/>
    <w:rsid w:val="008B286A"/>
    <w:rsid w:val="008B29EB"/>
    <w:rsid w:val="008B2BDF"/>
    <w:rsid w:val="008B2FC6"/>
    <w:rsid w:val="008B3129"/>
    <w:rsid w:val="008B33C3"/>
    <w:rsid w:val="008B35D5"/>
    <w:rsid w:val="008B35F6"/>
    <w:rsid w:val="008B362A"/>
    <w:rsid w:val="008B3DB1"/>
    <w:rsid w:val="008B3DB7"/>
    <w:rsid w:val="008B44E6"/>
    <w:rsid w:val="008B46E8"/>
    <w:rsid w:val="008B475D"/>
    <w:rsid w:val="008B4977"/>
    <w:rsid w:val="008B4ADE"/>
    <w:rsid w:val="008B50DA"/>
    <w:rsid w:val="008B5482"/>
    <w:rsid w:val="008B5D6A"/>
    <w:rsid w:val="008B6106"/>
    <w:rsid w:val="008B63B3"/>
    <w:rsid w:val="008B670F"/>
    <w:rsid w:val="008B674A"/>
    <w:rsid w:val="008B694D"/>
    <w:rsid w:val="008B698B"/>
    <w:rsid w:val="008B6AB1"/>
    <w:rsid w:val="008B6BFD"/>
    <w:rsid w:val="008B6E1B"/>
    <w:rsid w:val="008B7095"/>
    <w:rsid w:val="008B73F6"/>
    <w:rsid w:val="008B7E37"/>
    <w:rsid w:val="008B7EFB"/>
    <w:rsid w:val="008C04ED"/>
    <w:rsid w:val="008C11F4"/>
    <w:rsid w:val="008C14DD"/>
    <w:rsid w:val="008C15E1"/>
    <w:rsid w:val="008C1AFB"/>
    <w:rsid w:val="008C1C57"/>
    <w:rsid w:val="008C1D33"/>
    <w:rsid w:val="008C1FE9"/>
    <w:rsid w:val="008C22CA"/>
    <w:rsid w:val="008C24C3"/>
    <w:rsid w:val="008C2693"/>
    <w:rsid w:val="008C2728"/>
    <w:rsid w:val="008C281C"/>
    <w:rsid w:val="008C2907"/>
    <w:rsid w:val="008C2BEC"/>
    <w:rsid w:val="008C3119"/>
    <w:rsid w:val="008C3203"/>
    <w:rsid w:val="008C3257"/>
    <w:rsid w:val="008C32A8"/>
    <w:rsid w:val="008C35BE"/>
    <w:rsid w:val="008C3761"/>
    <w:rsid w:val="008C38C6"/>
    <w:rsid w:val="008C3A64"/>
    <w:rsid w:val="008C41F9"/>
    <w:rsid w:val="008C460D"/>
    <w:rsid w:val="008C485C"/>
    <w:rsid w:val="008C48B0"/>
    <w:rsid w:val="008C49E2"/>
    <w:rsid w:val="008C4B93"/>
    <w:rsid w:val="008C4D5C"/>
    <w:rsid w:val="008C4F95"/>
    <w:rsid w:val="008C524C"/>
    <w:rsid w:val="008C547E"/>
    <w:rsid w:val="008C5666"/>
    <w:rsid w:val="008C58A6"/>
    <w:rsid w:val="008C5A67"/>
    <w:rsid w:val="008C5A76"/>
    <w:rsid w:val="008C5AA6"/>
    <w:rsid w:val="008C5B05"/>
    <w:rsid w:val="008C5B56"/>
    <w:rsid w:val="008C5E38"/>
    <w:rsid w:val="008C5EE0"/>
    <w:rsid w:val="008C6112"/>
    <w:rsid w:val="008C6244"/>
    <w:rsid w:val="008C65CA"/>
    <w:rsid w:val="008C67B5"/>
    <w:rsid w:val="008C6A91"/>
    <w:rsid w:val="008C6D0E"/>
    <w:rsid w:val="008C6D6F"/>
    <w:rsid w:val="008C6E0F"/>
    <w:rsid w:val="008C7878"/>
    <w:rsid w:val="008C7E48"/>
    <w:rsid w:val="008C7E83"/>
    <w:rsid w:val="008D09D2"/>
    <w:rsid w:val="008D0C5E"/>
    <w:rsid w:val="008D0CD2"/>
    <w:rsid w:val="008D0E13"/>
    <w:rsid w:val="008D0F6C"/>
    <w:rsid w:val="008D14E5"/>
    <w:rsid w:val="008D170D"/>
    <w:rsid w:val="008D1842"/>
    <w:rsid w:val="008D1D80"/>
    <w:rsid w:val="008D2095"/>
    <w:rsid w:val="008D225A"/>
    <w:rsid w:val="008D238F"/>
    <w:rsid w:val="008D26F1"/>
    <w:rsid w:val="008D2869"/>
    <w:rsid w:val="008D2914"/>
    <w:rsid w:val="008D2B37"/>
    <w:rsid w:val="008D2D79"/>
    <w:rsid w:val="008D2DB7"/>
    <w:rsid w:val="008D2E45"/>
    <w:rsid w:val="008D320F"/>
    <w:rsid w:val="008D3798"/>
    <w:rsid w:val="008D37D4"/>
    <w:rsid w:val="008D380E"/>
    <w:rsid w:val="008D3885"/>
    <w:rsid w:val="008D39C5"/>
    <w:rsid w:val="008D3A9F"/>
    <w:rsid w:val="008D3AF9"/>
    <w:rsid w:val="008D3C65"/>
    <w:rsid w:val="008D3D4D"/>
    <w:rsid w:val="008D3EF3"/>
    <w:rsid w:val="008D3FF9"/>
    <w:rsid w:val="008D41E2"/>
    <w:rsid w:val="008D4217"/>
    <w:rsid w:val="008D43B4"/>
    <w:rsid w:val="008D43B6"/>
    <w:rsid w:val="008D4DF6"/>
    <w:rsid w:val="008D4EED"/>
    <w:rsid w:val="008D4FF6"/>
    <w:rsid w:val="008D51FC"/>
    <w:rsid w:val="008D5224"/>
    <w:rsid w:val="008D5695"/>
    <w:rsid w:val="008D5D18"/>
    <w:rsid w:val="008D5D3A"/>
    <w:rsid w:val="008D611E"/>
    <w:rsid w:val="008D61DD"/>
    <w:rsid w:val="008D6DC3"/>
    <w:rsid w:val="008D6F6B"/>
    <w:rsid w:val="008D6F74"/>
    <w:rsid w:val="008D753F"/>
    <w:rsid w:val="008D79A8"/>
    <w:rsid w:val="008D7C45"/>
    <w:rsid w:val="008E026A"/>
    <w:rsid w:val="008E1011"/>
    <w:rsid w:val="008E107A"/>
    <w:rsid w:val="008E1276"/>
    <w:rsid w:val="008E129A"/>
    <w:rsid w:val="008E12AC"/>
    <w:rsid w:val="008E1302"/>
    <w:rsid w:val="008E1D89"/>
    <w:rsid w:val="008E2112"/>
    <w:rsid w:val="008E21C1"/>
    <w:rsid w:val="008E2286"/>
    <w:rsid w:val="008E22CE"/>
    <w:rsid w:val="008E264C"/>
    <w:rsid w:val="008E279F"/>
    <w:rsid w:val="008E2A82"/>
    <w:rsid w:val="008E2C50"/>
    <w:rsid w:val="008E2F56"/>
    <w:rsid w:val="008E2F7A"/>
    <w:rsid w:val="008E3713"/>
    <w:rsid w:val="008E37E0"/>
    <w:rsid w:val="008E389F"/>
    <w:rsid w:val="008E3CCD"/>
    <w:rsid w:val="008E3E3E"/>
    <w:rsid w:val="008E4799"/>
    <w:rsid w:val="008E4F6E"/>
    <w:rsid w:val="008E4F89"/>
    <w:rsid w:val="008E5430"/>
    <w:rsid w:val="008E5473"/>
    <w:rsid w:val="008E59E2"/>
    <w:rsid w:val="008E5EAE"/>
    <w:rsid w:val="008E606D"/>
    <w:rsid w:val="008E60BD"/>
    <w:rsid w:val="008E62D9"/>
    <w:rsid w:val="008E642F"/>
    <w:rsid w:val="008E65E4"/>
    <w:rsid w:val="008E6DB2"/>
    <w:rsid w:val="008E71B9"/>
    <w:rsid w:val="008E7333"/>
    <w:rsid w:val="008E768B"/>
    <w:rsid w:val="008E77CF"/>
    <w:rsid w:val="008E79F7"/>
    <w:rsid w:val="008E7B2E"/>
    <w:rsid w:val="008F00CA"/>
    <w:rsid w:val="008F0A72"/>
    <w:rsid w:val="008F0CA4"/>
    <w:rsid w:val="008F0D57"/>
    <w:rsid w:val="008F1008"/>
    <w:rsid w:val="008F101A"/>
    <w:rsid w:val="008F1446"/>
    <w:rsid w:val="008F1A2B"/>
    <w:rsid w:val="008F1E29"/>
    <w:rsid w:val="008F1E45"/>
    <w:rsid w:val="008F2055"/>
    <w:rsid w:val="008F222B"/>
    <w:rsid w:val="008F2839"/>
    <w:rsid w:val="008F28F0"/>
    <w:rsid w:val="008F2A94"/>
    <w:rsid w:val="008F2CA5"/>
    <w:rsid w:val="008F2FAA"/>
    <w:rsid w:val="008F30C7"/>
    <w:rsid w:val="008F366E"/>
    <w:rsid w:val="008F3949"/>
    <w:rsid w:val="008F3956"/>
    <w:rsid w:val="008F3D73"/>
    <w:rsid w:val="008F3FA6"/>
    <w:rsid w:val="008F406D"/>
    <w:rsid w:val="008F4079"/>
    <w:rsid w:val="008F41AA"/>
    <w:rsid w:val="008F46F0"/>
    <w:rsid w:val="008F5567"/>
    <w:rsid w:val="008F5698"/>
    <w:rsid w:val="008F59AE"/>
    <w:rsid w:val="008F5CD4"/>
    <w:rsid w:val="008F5E9C"/>
    <w:rsid w:val="008F5F87"/>
    <w:rsid w:val="008F6617"/>
    <w:rsid w:val="008F6DFF"/>
    <w:rsid w:val="008F6EA7"/>
    <w:rsid w:val="008F6EC3"/>
    <w:rsid w:val="008F6F4E"/>
    <w:rsid w:val="008F7477"/>
    <w:rsid w:val="008F7532"/>
    <w:rsid w:val="008F75FA"/>
    <w:rsid w:val="008F79FF"/>
    <w:rsid w:val="008F7B3F"/>
    <w:rsid w:val="008F7C4C"/>
    <w:rsid w:val="008F7D93"/>
    <w:rsid w:val="008F7F63"/>
    <w:rsid w:val="0090004F"/>
    <w:rsid w:val="0090060B"/>
    <w:rsid w:val="009007A4"/>
    <w:rsid w:val="00900A34"/>
    <w:rsid w:val="00900ACE"/>
    <w:rsid w:val="00900C0B"/>
    <w:rsid w:val="00900CE6"/>
    <w:rsid w:val="00900D4D"/>
    <w:rsid w:val="00900E0C"/>
    <w:rsid w:val="00900E37"/>
    <w:rsid w:val="00901189"/>
    <w:rsid w:val="0090139A"/>
    <w:rsid w:val="00901587"/>
    <w:rsid w:val="009016A3"/>
    <w:rsid w:val="00901923"/>
    <w:rsid w:val="00901B51"/>
    <w:rsid w:val="00901CC3"/>
    <w:rsid w:val="00902210"/>
    <w:rsid w:val="009022F7"/>
    <w:rsid w:val="0090246B"/>
    <w:rsid w:val="00902763"/>
    <w:rsid w:val="009028AD"/>
    <w:rsid w:val="00902BFC"/>
    <w:rsid w:val="00902EAE"/>
    <w:rsid w:val="0090315F"/>
    <w:rsid w:val="009031CF"/>
    <w:rsid w:val="00903D0E"/>
    <w:rsid w:val="00903EBD"/>
    <w:rsid w:val="0090439D"/>
    <w:rsid w:val="00904554"/>
    <w:rsid w:val="00904612"/>
    <w:rsid w:val="0090482C"/>
    <w:rsid w:val="00904A74"/>
    <w:rsid w:val="00904DFF"/>
    <w:rsid w:val="00905207"/>
    <w:rsid w:val="009052D3"/>
    <w:rsid w:val="0090592E"/>
    <w:rsid w:val="00905A29"/>
    <w:rsid w:val="00905BEB"/>
    <w:rsid w:val="00905E33"/>
    <w:rsid w:val="00905F68"/>
    <w:rsid w:val="00905F6B"/>
    <w:rsid w:val="00906086"/>
    <w:rsid w:val="009062AB"/>
    <w:rsid w:val="00906758"/>
    <w:rsid w:val="00906A0A"/>
    <w:rsid w:val="00906C16"/>
    <w:rsid w:val="0090706E"/>
    <w:rsid w:val="00907073"/>
    <w:rsid w:val="009071AE"/>
    <w:rsid w:val="0090744C"/>
    <w:rsid w:val="00907667"/>
    <w:rsid w:val="00907874"/>
    <w:rsid w:val="00907DC9"/>
    <w:rsid w:val="00907F89"/>
    <w:rsid w:val="00907FA8"/>
    <w:rsid w:val="00907FAF"/>
    <w:rsid w:val="009102AF"/>
    <w:rsid w:val="0091053A"/>
    <w:rsid w:val="0091062B"/>
    <w:rsid w:val="00910AF9"/>
    <w:rsid w:val="00910DC4"/>
    <w:rsid w:val="00910E8B"/>
    <w:rsid w:val="009111E7"/>
    <w:rsid w:val="0091150B"/>
    <w:rsid w:val="00911A14"/>
    <w:rsid w:val="00911A3B"/>
    <w:rsid w:val="00911D87"/>
    <w:rsid w:val="00912086"/>
    <w:rsid w:val="00912423"/>
    <w:rsid w:val="00912769"/>
    <w:rsid w:val="00912BC5"/>
    <w:rsid w:val="00912BCA"/>
    <w:rsid w:val="00912DFB"/>
    <w:rsid w:val="0091303D"/>
    <w:rsid w:val="009147C5"/>
    <w:rsid w:val="00914993"/>
    <w:rsid w:val="00914D6B"/>
    <w:rsid w:val="00914DD8"/>
    <w:rsid w:val="0091516B"/>
    <w:rsid w:val="009151E1"/>
    <w:rsid w:val="0091523F"/>
    <w:rsid w:val="0091552E"/>
    <w:rsid w:val="00915729"/>
    <w:rsid w:val="00915908"/>
    <w:rsid w:val="00915A2E"/>
    <w:rsid w:val="00915D9D"/>
    <w:rsid w:val="00915E32"/>
    <w:rsid w:val="00915E8A"/>
    <w:rsid w:val="00915FDC"/>
    <w:rsid w:val="00916498"/>
    <w:rsid w:val="00916529"/>
    <w:rsid w:val="00916717"/>
    <w:rsid w:val="0091691D"/>
    <w:rsid w:val="009169A8"/>
    <w:rsid w:val="00916ACA"/>
    <w:rsid w:val="00916D0C"/>
    <w:rsid w:val="00916EB0"/>
    <w:rsid w:val="00917023"/>
    <w:rsid w:val="00917073"/>
    <w:rsid w:val="009176B4"/>
    <w:rsid w:val="0091772E"/>
    <w:rsid w:val="009179BA"/>
    <w:rsid w:val="00917A95"/>
    <w:rsid w:val="00917D46"/>
    <w:rsid w:val="00917E02"/>
    <w:rsid w:val="009208F5"/>
    <w:rsid w:val="009209EF"/>
    <w:rsid w:val="00920B92"/>
    <w:rsid w:val="00920EA6"/>
    <w:rsid w:val="00921A50"/>
    <w:rsid w:val="00921B4D"/>
    <w:rsid w:val="00921D5A"/>
    <w:rsid w:val="0092202A"/>
    <w:rsid w:val="009220C5"/>
    <w:rsid w:val="009221FA"/>
    <w:rsid w:val="00922344"/>
    <w:rsid w:val="00922A0F"/>
    <w:rsid w:val="00922BB2"/>
    <w:rsid w:val="00922E2E"/>
    <w:rsid w:val="00922F32"/>
    <w:rsid w:val="00923332"/>
    <w:rsid w:val="0092370B"/>
    <w:rsid w:val="00923C6B"/>
    <w:rsid w:val="00923D85"/>
    <w:rsid w:val="00923DF2"/>
    <w:rsid w:val="00924441"/>
    <w:rsid w:val="00924827"/>
    <w:rsid w:val="0092494E"/>
    <w:rsid w:val="00925079"/>
    <w:rsid w:val="00925217"/>
    <w:rsid w:val="00925415"/>
    <w:rsid w:val="0092565D"/>
    <w:rsid w:val="00925A0C"/>
    <w:rsid w:val="0092602E"/>
    <w:rsid w:val="009264F6"/>
    <w:rsid w:val="0092661E"/>
    <w:rsid w:val="0092669C"/>
    <w:rsid w:val="00926E13"/>
    <w:rsid w:val="00926FA1"/>
    <w:rsid w:val="00927274"/>
    <w:rsid w:val="0092774F"/>
    <w:rsid w:val="00927970"/>
    <w:rsid w:val="00927B0E"/>
    <w:rsid w:val="00927D51"/>
    <w:rsid w:val="00927F21"/>
    <w:rsid w:val="0093012F"/>
    <w:rsid w:val="0093018F"/>
    <w:rsid w:val="0093027C"/>
    <w:rsid w:val="009302D2"/>
    <w:rsid w:val="009302EB"/>
    <w:rsid w:val="00930712"/>
    <w:rsid w:val="00930772"/>
    <w:rsid w:val="0093082B"/>
    <w:rsid w:val="009308AE"/>
    <w:rsid w:val="00931043"/>
    <w:rsid w:val="009316B9"/>
    <w:rsid w:val="00931B2F"/>
    <w:rsid w:val="00931F54"/>
    <w:rsid w:val="00932272"/>
    <w:rsid w:val="00932808"/>
    <w:rsid w:val="00932862"/>
    <w:rsid w:val="00932DFE"/>
    <w:rsid w:val="009330A5"/>
    <w:rsid w:val="009330EB"/>
    <w:rsid w:val="00933769"/>
    <w:rsid w:val="0093378F"/>
    <w:rsid w:val="009337A4"/>
    <w:rsid w:val="0093394C"/>
    <w:rsid w:val="00933E80"/>
    <w:rsid w:val="0093423C"/>
    <w:rsid w:val="00934B46"/>
    <w:rsid w:val="00934EDE"/>
    <w:rsid w:val="00935000"/>
    <w:rsid w:val="009350A1"/>
    <w:rsid w:val="00935417"/>
    <w:rsid w:val="009357A5"/>
    <w:rsid w:val="00935D60"/>
    <w:rsid w:val="00935EF2"/>
    <w:rsid w:val="00935F92"/>
    <w:rsid w:val="00936D7A"/>
    <w:rsid w:val="00937482"/>
    <w:rsid w:val="009377C1"/>
    <w:rsid w:val="00937B21"/>
    <w:rsid w:val="00940ADA"/>
    <w:rsid w:val="00940C1F"/>
    <w:rsid w:val="00940C4B"/>
    <w:rsid w:val="00940C9C"/>
    <w:rsid w:val="00940CE5"/>
    <w:rsid w:val="00940DF8"/>
    <w:rsid w:val="00940E89"/>
    <w:rsid w:val="00940EDE"/>
    <w:rsid w:val="00941033"/>
    <w:rsid w:val="009410F5"/>
    <w:rsid w:val="0094138A"/>
    <w:rsid w:val="009418F2"/>
    <w:rsid w:val="009419D1"/>
    <w:rsid w:val="00941BBB"/>
    <w:rsid w:val="00941E6C"/>
    <w:rsid w:val="00941F64"/>
    <w:rsid w:val="00942061"/>
    <w:rsid w:val="00942682"/>
    <w:rsid w:val="00942853"/>
    <w:rsid w:val="0094285C"/>
    <w:rsid w:val="00942B99"/>
    <w:rsid w:val="00942CBF"/>
    <w:rsid w:val="00942ECF"/>
    <w:rsid w:val="009436C3"/>
    <w:rsid w:val="00943DAF"/>
    <w:rsid w:val="00944014"/>
    <w:rsid w:val="0094432A"/>
    <w:rsid w:val="0094442E"/>
    <w:rsid w:val="009447BB"/>
    <w:rsid w:val="00944845"/>
    <w:rsid w:val="00944A25"/>
    <w:rsid w:val="00944AD7"/>
    <w:rsid w:val="00944C48"/>
    <w:rsid w:val="00944D85"/>
    <w:rsid w:val="00944E7A"/>
    <w:rsid w:val="00944F93"/>
    <w:rsid w:val="009450C9"/>
    <w:rsid w:val="009451DF"/>
    <w:rsid w:val="0094529F"/>
    <w:rsid w:val="0094536F"/>
    <w:rsid w:val="009453DF"/>
    <w:rsid w:val="009456D1"/>
    <w:rsid w:val="0094586B"/>
    <w:rsid w:val="0094592B"/>
    <w:rsid w:val="00945A00"/>
    <w:rsid w:val="00945A28"/>
    <w:rsid w:val="00945A46"/>
    <w:rsid w:val="00945E66"/>
    <w:rsid w:val="00945E83"/>
    <w:rsid w:val="0094620B"/>
    <w:rsid w:val="00946335"/>
    <w:rsid w:val="00946779"/>
    <w:rsid w:val="00946AFA"/>
    <w:rsid w:val="00946C6F"/>
    <w:rsid w:val="00946DC1"/>
    <w:rsid w:val="009474A1"/>
    <w:rsid w:val="00947CAD"/>
    <w:rsid w:val="00947E04"/>
    <w:rsid w:val="009503E5"/>
    <w:rsid w:val="009506B5"/>
    <w:rsid w:val="009507DB"/>
    <w:rsid w:val="0095086D"/>
    <w:rsid w:val="00950BCF"/>
    <w:rsid w:val="00950D94"/>
    <w:rsid w:val="00950E44"/>
    <w:rsid w:val="00950EE9"/>
    <w:rsid w:val="00951102"/>
    <w:rsid w:val="009512B8"/>
    <w:rsid w:val="009513C4"/>
    <w:rsid w:val="009519EA"/>
    <w:rsid w:val="00951A65"/>
    <w:rsid w:val="00951A78"/>
    <w:rsid w:val="00951D46"/>
    <w:rsid w:val="009521B1"/>
    <w:rsid w:val="009522F4"/>
    <w:rsid w:val="009523D4"/>
    <w:rsid w:val="009523FF"/>
    <w:rsid w:val="009525EB"/>
    <w:rsid w:val="00952702"/>
    <w:rsid w:val="00952E6E"/>
    <w:rsid w:val="00952E73"/>
    <w:rsid w:val="00952E74"/>
    <w:rsid w:val="00952FC7"/>
    <w:rsid w:val="0095310B"/>
    <w:rsid w:val="00953148"/>
    <w:rsid w:val="00953179"/>
    <w:rsid w:val="0095342E"/>
    <w:rsid w:val="0095346D"/>
    <w:rsid w:val="009535E2"/>
    <w:rsid w:val="0095368F"/>
    <w:rsid w:val="00953A03"/>
    <w:rsid w:val="00953FE1"/>
    <w:rsid w:val="009540A2"/>
    <w:rsid w:val="00954264"/>
    <w:rsid w:val="009542B6"/>
    <w:rsid w:val="00954C9B"/>
    <w:rsid w:val="00954D98"/>
    <w:rsid w:val="00955088"/>
    <w:rsid w:val="009551EF"/>
    <w:rsid w:val="0095532F"/>
    <w:rsid w:val="009553B8"/>
    <w:rsid w:val="009557EC"/>
    <w:rsid w:val="00955ABA"/>
    <w:rsid w:val="00955B64"/>
    <w:rsid w:val="00955CAB"/>
    <w:rsid w:val="00955D80"/>
    <w:rsid w:val="00955E55"/>
    <w:rsid w:val="00956C51"/>
    <w:rsid w:val="00956CC3"/>
    <w:rsid w:val="00956D0D"/>
    <w:rsid w:val="00956F92"/>
    <w:rsid w:val="00957329"/>
    <w:rsid w:val="009573A4"/>
    <w:rsid w:val="009578BC"/>
    <w:rsid w:val="00957B57"/>
    <w:rsid w:val="00957CB6"/>
    <w:rsid w:val="00957DE3"/>
    <w:rsid w:val="00957E1A"/>
    <w:rsid w:val="00957FB2"/>
    <w:rsid w:val="009605DE"/>
    <w:rsid w:val="0096077C"/>
    <w:rsid w:val="00960948"/>
    <w:rsid w:val="00960E96"/>
    <w:rsid w:val="0096102E"/>
    <w:rsid w:val="009617CD"/>
    <w:rsid w:val="00961C9A"/>
    <w:rsid w:val="0096210E"/>
    <w:rsid w:val="00962200"/>
    <w:rsid w:val="00962367"/>
    <w:rsid w:val="0096268F"/>
    <w:rsid w:val="0096276C"/>
    <w:rsid w:val="00962B56"/>
    <w:rsid w:val="00962FEA"/>
    <w:rsid w:val="00963030"/>
    <w:rsid w:val="009630A7"/>
    <w:rsid w:val="00963A2F"/>
    <w:rsid w:val="00963BFF"/>
    <w:rsid w:val="00963EA4"/>
    <w:rsid w:val="00963F8E"/>
    <w:rsid w:val="0096407D"/>
    <w:rsid w:val="00964855"/>
    <w:rsid w:val="00964859"/>
    <w:rsid w:val="00964A88"/>
    <w:rsid w:val="00964B73"/>
    <w:rsid w:val="00964C27"/>
    <w:rsid w:val="00964F36"/>
    <w:rsid w:val="009651E1"/>
    <w:rsid w:val="00965204"/>
    <w:rsid w:val="009654A5"/>
    <w:rsid w:val="00965704"/>
    <w:rsid w:val="009659B7"/>
    <w:rsid w:val="00965A7D"/>
    <w:rsid w:val="00965C5B"/>
    <w:rsid w:val="009663AE"/>
    <w:rsid w:val="009663CF"/>
    <w:rsid w:val="009663DD"/>
    <w:rsid w:val="00966493"/>
    <w:rsid w:val="009666D0"/>
    <w:rsid w:val="009667D2"/>
    <w:rsid w:val="00966B1C"/>
    <w:rsid w:val="00966F54"/>
    <w:rsid w:val="00967101"/>
    <w:rsid w:val="0096725A"/>
    <w:rsid w:val="0096771B"/>
    <w:rsid w:val="00967894"/>
    <w:rsid w:val="00967F63"/>
    <w:rsid w:val="009704AA"/>
    <w:rsid w:val="00970682"/>
    <w:rsid w:val="00970952"/>
    <w:rsid w:val="00970AEA"/>
    <w:rsid w:val="0097104A"/>
    <w:rsid w:val="009711D6"/>
    <w:rsid w:val="009715E9"/>
    <w:rsid w:val="00971910"/>
    <w:rsid w:val="00971A37"/>
    <w:rsid w:val="00971C83"/>
    <w:rsid w:val="00971FFA"/>
    <w:rsid w:val="00972246"/>
    <w:rsid w:val="00972294"/>
    <w:rsid w:val="0097250C"/>
    <w:rsid w:val="0097254F"/>
    <w:rsid w:val="0097280A"/>
    <w:rsid w:val="00972814"/>
    <w:rsid w:val="00973026"/>
    <w:rsid w:val="00973328"/>
    <w:rsid w:val="0097350D"/>
    <w:rsid w:val="00973DA2"/>
    <w:rsid w:val="00973F4E"/>
    <w:rsid w:val="00974121"/>
    <w:rsid w:val="009741DE"/>
    <w:rsid w:val="00974531"/>
    <w:rsid w:val="009748EC"/>
    <w:rsid w:val="00974DF6"/>
    <w:rsid w:val="009755F5"/>
    <w:rsid w:val="00975651"/>
    <w:rsid w:val="00975A51"/>
    <w:rsid w:val="00975B40"/>
    <w:rsid w:val="00975C9F"/>
    <w:rsid w:val="00975D8F"/>
    <w:rsid w:val="00975DA4"/>
    <w:rsid w:val="00975E61"/>
    <w:rsid w:val="009768C6"/>
    <w:rsid w:val="009769F9"/>
    <w:rsid w:val="00976E31"/>
    <w:rsid w:val="009770F1"/>
    <w:rsid w:val="009779AE"/>
    <w:rsid w:val="00977BE5"/>
    <w:rsid w:val="00977C14"/>
    <w:rsid w:val="00977C63"/>
    <w:rsid w:val="00977ED4"/>
    <w:rsid w:val="00980087"/>
    <w:rsid w:val="00980285"/>
    <w:rsid w:val="0098044E"/>
    <w:rsid w:val="00980C0B"/>
    <w:rsid w:val="00980E1F"/>
    <w:rsid w:val="009816A0"/>
    <w:rsid w:val="00981941"/>
    <w:rsid w:val="00981C24"/>
    <w:rsid w:val="00981C47"/>
    <w:rsid w:val="00981D76"/>
    <w:rsid w:val="0098219D"/>
    <w:rsid w:val="009823EB"/>
    <w:rsid w:val="009824D7"/>
    <w:rsid w:val="00982751"/>
    <w:rsid w:val="00982976"/>
    <w:rsid w:val="00982F7A"/>
    <w:rsid w:val="00983126"/>
    <w:rsid w:val="0098320A"/>
    <w:rsid w:val="009834AC"/>
    <w:rsid w:val="00983654"/>
    <w:rsid w:val="00983711"/>
    <w:rsid w:val="009837CD"/>
    <w:rsid w:val="0098383D"/>
    <w:rsid w:val="009838A5"/>
    <w:rsid w:val="00983CD4"/>
    <w:rsid w:val="00984212"/>
    <w:rsid w:val="00984287"/>
    <w:rsid w:val="0098465A"/>
    <w:rsid w:val="0098490F"/>
    <w:rsid w:val="00984B0D"/>
    <w:rsid w:val="00984C41"/>
    <w:rsid w:val="00984E0E"/>
    <w:rsid w:val="00984E5E"/>
    <w:rsid w:val="00984F72"/>
    <w:rsid w:val="00984F99"/>
    <w:rsid w:val="0098518A"/>
    <w:rsid w:val="00985219"/>
    <w:rsid w:val="0098533A"/>
    <w:rsid w:val="0098547B"/>
    <w:rsid w:val="0098563F"/>
    <w:rsid w:val="0098584E"/>
    <w:rsid w:val="009859FA"/>
    <w:rsid w:val="00985B38"/>
    <w:rsid w:val="00985CDB"/>
    <w:rsid w:val="00986080"/>
    <w:rsid w:val="0098642F"/>
    <w:rsid w:val="00986443"/>
    <w:rsid w:val="00986668"/>
    <w:rsid w:val="009868A0"/>
    <w:rsid w:val="009868BC"/>
    <w:rsid w:val="00986CB2"/>
    <w:rsid w:val="00987007"/>
    <w:rsid w:val="009870A5"/>
    <w:rsid w:val="00987208"/>
    <w:rsid w:val="0098720E"/>
    <w:rsid w:val="009877B8"/>
    <w:rsid w:val="00987987"/>
    <w:rsid w:val="00987ABE"/>
    <w:rsid w:val="00987D59"/>
    <w:rsid w:val="0099002F"/>
    <w:rsid w:val="009901D9"/>
    <w:rsid w:val="009906C7"/>
    <w:rsid w:val="00990852"/>
    <w:rsid w:val="0099097B"/>
    <w:rsid w:val="00990E52"/>
    <w:rsid w:val="0099112B"/>
    <w:rsid w:val="00991455"/>
    <w:rsid w:val="00991556"/>
    <w:rsid w:val="00991DD5"/>
    <w:rsid w:val="0099225F"/>
    <w:rsid w:val="0099247B"/>
    <w:rsid w:val="0099257F"/>
    <w:rsid w:val="009925D6"/>
    <w:rsid w:val="009931D0"/>
    <w:rsid w:val="00993455"/>
    <w:rsid w:val="00993DD0"/>
    <w:rsid w:val="00994276"/>
    <w:rsid w:val="009945AE"/>
    <w:rsid w:val="0099461B"/>
    <w:rsid w:val="00994664"/>
    <w:rsid w:val="00994A1E"/>
    <w:rsid w:val="00994B92"/>
    <w:rsid w:val="00994BE5"/>
    <w:rsid w:val="00995322"/>
    <w:rsid w:val="009956F1"/>
    <w:rsid w:val="00995754"/>
    <w:rsid w:val="009958AA"/>
    <w:rsid w:val="009959BB"/>
    <w:rsid w:val="00995D37"/>
    <w:rsid w:val="009963CD"/>
    <w:rsid w:val="009964FA"/>
    <w:rsid w:val="00996B6E"/>
    <w:rsid w:val="00996C71"/>
    <w:rsid w:val="009973DC"/>
    <w:rsid w:val="00997440"/>
    <w:rsid w:val="009974BB"/>
    <w:rsid w:val="00997611"/>
    <w:rsid w:val="0099788A"/>
    <w:rsid w:val="00997C10"/>
    <w:rsid w:val="009A0008"/>
    <w:rsid w:val="009A01D8"/>
    <w:rsid w:val="009A0391"/>
    <w:rsid w:val="009A039F"/>
    <w:rsid w:val="009A0E77"/>
    <w:rsid w:val="009A0F5B"/>
    <w:rsid w:val="009A172B"/>
    <w:rsid w:val="009A18FA"/>
    <w:rsid w:val="009A1C00"/>
    <w:rsid w:val="009A1EAA"/>
    <w:rsid w:val="009A2013"/>
    <w:rsid w:val="009A22B6"/>
    <w:rsid w:val="009A268C"/>
    <w:rsid w:val="009A2A5E"/>
    <w:rsid w:val="009A2AFA"/>
    <w:rsid w:val="009A2DF4"/>
    <w:rsid w:val="009A31AE"/>
    <w:rsid w:val="009A31CC"/>
    <w:rsid w:val="009A37D9"/>
    <w:rsid w:val="009A3A99"/>
    <w:rsid w:val="009A3B6C"/>
    <w:rsid w:val="009A419C"/>
    <w:rsid w:val="009A4C55"/>
    <w:rsid w:val="009A5095"/>
    <w:rsid w:val="009A537E"/>
    <w:rsid w:val="009A55A6"/>
    <w:rsid w:val="009A5757"/>
    <w:rsid w:val="009A5B40"/>
    <w:rsid w:val="009A5CB7"/>
    <w:rsid w:val="009A623D"/>
    <w:rsid w:val="009A6AB8"/>
    <w:rsid w:val="009A6D7E"/>
    <w:rsid w:val="009A720C"/>
    <w:rsid w:val="009A7313"/>
    <w:rsid w:val="009A744A"/>
    <w:rsid w:val="009A7BCE"/>
    <w:rsid w:val="009A7EE4"/>
    <w:rsid w:val="009B0073"/>
    <w:rsid w:val="009B0266"/>
    <w:rsid w:val="009B02D4"/>
    <w:rsid w:val="009B04A4"/>
    <w:rsid w:val="009B0B6A"/>
    <w:rsid w:val="009B0C72"/>
    <w:rsid w:val="009B0E8A"/>
    <w:rsid w:val="009B0F53"/>
    <w:rsid w:val="009B0F65"/>
    <w:rsid w:val="009B0F72"/>
    <w:rsid w:val="009B1046"/>
    <w:rsid w:val="009B108E"/>
    <w:rsid w:val="009B1306"/>
    <w:rsid w:val="009B16A4"/>
    <w:rsid w:val="009B16E8"/>
    <w:rsid w:val="009B1762"/>
    <w:rsid w:val="009B17F6"/>
    <w:rsid w:val="009B19F9"/>
    <w:rsid w:val="009B1B93"/>
    <w:rsid w:val="009B23F8"/>
    <w:rsid w:val="009B266D"/>
    <w:rsid w:val="009B2841"/>
    <w:rsid w:val="009B2E8A"/>
    <w:rsid w:val="009B302C"/>
    <w:rsid w:val="009B3818"/>
    <w:rsid w:val="009B39F4"/>
    <w:rsid w:val="009B3A9B"/>
    <w:rsid w:val="009B3D94"/>
    <w:rsid w:val="009B4007"/>
    <w:rsid w:val="009B414F"/>
    <w:rsid w:val="009B4293"/>
    <w:rsid w:val="009B44F5"/>
    <w:rsid w:val="009B4579"/>
    <w:rsid w:val="009B4610"/>
    <w:rsid w:val="009B48B8"/>
    <w:rsid w:val="009B4997"/>
    <w:rsid w:val="009B4B85"/>
    <w:rsid w:val="009B4DD7"/>
    <w:rsid w:val="009B5026"/>
    <w:rsid w:val="009B51FB"/>
    <w:rsid w:val="009B5375"/>
    <w:rsid w:val="009B55A4"/>
    <w:rsid w:val="009B58A3"/>
    <w:rsid w:val="009B5CBF"/>
    <w:rsid w:val="009B663A"/>
    <w:rsid w:val="009B67A1"/>
    <w:rsid w:val="009B68C6"/>
    <w:rsid w:val="009B6AEF"/>
    <w:rsid w:val="009B6E69"/>
    <w:rsid w:val="009B76F0"/>
    <w:rsid w:val="009B7CF7"/>
    <w:rsid w:val="009C0385"/>
    <w:rsid w:val="009C05EB"/>
    <w:rsid w:val="009C0860"/>
    <w:rsid w:val="009C090D"/>
    <w:rsid w:val="009C0AFB"/>
    <w:rsid w:val="009C0E06"/>
    <w:rsid w:val="009C1061"/>
    <w:rsid w:val="009C1220"/>
    <w:rsid w:val="009C14BF"/>
    <w:rsid w:val="009C17EE"/>
    <w:rsid w:val="009C184A"/>
    <w:rsid w:val="009C1FAB"/>
    <w:rsid w:val="009C2137"/>
    <w:rsid w:val="009C2393"/>
    <w:rsid w:val="009C23A9"/>
    <w:rsid w:val="009C25F6"/>
    <w:rsid w:val="009C2903"/>
    <w:rsid w:val="009C2B04"/>
    <w:rsid w:val="009C2CA5"/>
    <w:rsid w:val="009C2EB7"/>
    <w:rsid w:val="009C301A"/>
    <w:rsid w:val="009C3023"/>
    <w:rsid w:val="009C31FE"/>
    <w:rsid w:val="009C3228"/>
    <w:rsid w:val="009C3794"/>
    <w:rsid w:val="009C3D77"/>
    <w:rsid w:val="009C4037"/>
    <w:rsid w:val="009C4843"/>
    <w:rsid w:val="009C4E64"/>
    <w:rsid w:val="009C5322"/>
    <w:rsid w:val="009C564F"/>
    <w:rsid w:val="009C5968"/>
    <w:rsid w:val="009C5AC1"/>
    <w:rsid w:val="009C5D66"/>
    <w:rsid w:val="009C627F"/>
    <w:rsid w:val="009C62BD"/>
    <w:rsid w:val="009C6666"/>
    <w:rsid w:val="009C6A0A"/>
    <w:rsid w:val="009C6A19"/>
    <w:rsid w:val="009C7071"/>
    <w:rsid w:val="009C7498"/>
    <w:rsid w:val="009C7568"/>
    <w:rsid w:val="009C7696"/>
    <w:rsid w:val="009C7CAC"/>
    <w:rsid w:val="009D0389"/>
    <w:rsid w:val="009D05BA"/>
    <w:rsid w:val="009D0C43"/>
    <w:rsid w:val="009D0E1A"/>
    <w:rsid w:val="009D12A2"/>
    <w:rsid w:val="009D1BC7"/>
    <w:rsid w:val="009D221D"/>
    <w:rsid w:val="009D227F"/>
    <w:rsid w:val="009D2329"/>
    <w:rsid w:val="009D2AFC"/>
    <w:rsid w:val="009D32A0"/>
    <w:rsid w:val="009D3541"/>
    <w:rsid w:val="009D36AC"/>
    <w:rsid w:val="009D3AA9"/>
    <w:rsid w:val="009D3FDC"/>
    <w:rsid w:val="009D4D76"/>
    <w:rsid w:val="009D53AD"/>
    <w:rsid w:val="009D5704"/>
    <w:rsid w:val="009D5723"/>
    <w:rsid w:val="009D594D"/>
    <w:rsid w:val="009D5F24"/>
    <w:rsid w:val="009D607E"/>
    <w:rsid w:val="009D60CA"/>
    <w:rsid w:val="009D6161"/>
    <w:rsid w:val="009D640A"/>
    <w:rsid w:val="009D65DD"/>
    <w:rsid w:val="009D6791"/>
    <w:rsid w:val="009D6D07"/>
    <w:rsid w:val="009D7192"/>
    <w:rsid w:val="009D72AF"/>
    <w:rsid w:val="009D72D6"/>
    <w:rsid w:val="009D73E9"/>
    <w:rsid w:val="009D796E"/>
    <w:rsid w:val="009D7A82"/>
    <w:rsid w:val="009D7BEC"/>
    <w:rsid w:val="009D7DF0"/>
    <w:rsid w:val="009D7E1B"/>
    <w:rsid w:val="009E0207"/>
    <w:rsid w:val="009E03EC"/>
    <w:rsid w:val="009E049B"/>
    <w:rsid w:val="009E06F9"/>
    <w:rsid w:val="009E08D1"/>
    <w:rsid w:val="009E0C2E"/>
    <w:rsid w:val="009E0D34"/>
    <w:rsid w:val="009E0FB6"/>
    <w:rsid w:val="009E130E"/>
    <w:rsid w:val="009E1648"/>
    <w:rsid w:val="009E17A1"/>
    <w:rsid w:val="009E1C60"/>
    <w:rsid w:val="009E1D19"/>
    <w:rsid w:val="009E1DAE"/>
    <w:rsid w:val="009E25B7"/>
    <w:rsid w:val="009E2696"/>
    <w:rsid w:val="009E2A4B"/>
    <w:rsid w:val="009E2CB6"/>
    <w:rsid w:val="009E2D03"/>
    <w:rsid w:val="009E2E46"/>
    <w:rsid w:val="009E2EB1"/>
    <w:rsid w:val="009E2EE3"/>
    <w:rsid w:val="009E2FD2"/>
    <w:rsid w:val="009E33DE"/>
    <w:rsid w:val="009E33FB"/>
    <w:rsid w:val="009E35D0"/>
    <w:rsid w:val="009E3708"/>
    <w:rsid w:val="009E3F52"/>
    <w:rsid w:val="009E4350"/>
    <w:rsid w:val="009E4392"/>
    <w:rsid w:val="009E45B3"/>
    <w:rsid w:val="009E463D"/>
    <w:rsid w:val="009E4912"/>
    <w:rsid w:val="009E4B16"/>
    <w:rsid w:val="009E5007"/>
    <w:rsid w:val="009E5226"/>
    <w:rsid w:val="009E55C1"/>
    <w:rsid w:val="009E572F"/>
    <w:rsid w:val="009E57CD"/>
    <w:rsid w:val="009E5A7F"/>
    <w:rsid w:val="009E5BB1"/>
    <w:rsid w:val="009E5C0E"/>
    <w:rsid w:val="009E5D1A"/>
    <w:rsid w:val="009E5D49"/>
    <w:rsid w:val="009E5E17"/>
    <w:rsid w:val="009E6128"/>
    <w:rsid w:val="009E65E6"/>
    <w:rsid w:val="009E67C7"/>
    <w:rsid w:val="009E6C06"/>
    <w:rsid w:val="009E6EDF"/>
    <w:rsid w:val="009E705D"/>
    <w:rsid w:val="009E7234"/>
    <w:rsid w:val="009E7312"/>
    <w:rsid w:val="009E79AD"/>
    <w:rsid w:val="009E7A2C"/>
    <w:rsid w:val="009E7B36"/>
    <w:rsid w:val="009E7F91"/>
    <w:rsid w:val="009F012D"/>
    <w:rsid w:val="009F01B1"/>
    <w:rsid w:val="009F0407"/>
    <w:rsid w:val="009F0663"/>
    <w:rsid w:val="009F127E"/>
    <w:rsid w:val="009F1294"/>
    <w:rsid w:val="009F12AF"/>
    <w:rsid w:val="009F18A8"/>
    <w:rsid w:val="009F18EA"/>
    <w:rsid w:val="009F1AB7"/>
    <w:rsid w:val="009F1DCC"/>
    <w:rsid w:val="009F1E9A"/>
    <w:rsid w:val="009F2263"/>
    <w:rsid w:val="009F24C1"/>
    <w:rsid w:val="009F27CA"/>
    <w:rsid w:val="009F28B5"/>
    <w:rsid w:val="009F2A1D"/>
    <w:rsid w:val="009F2CC0"/>
    <w:rsid w:val="009F2E0B"/>
    <w:rsid w:val="009F2F88"/>
    <w:rsid w:val="009F3391"/>
    <w:rsid w:val="009F351F"/>
    <w:rsid w:val="009F3526"/>
    <w:rsid w:val="009F39A3"/>
    <w:rsid w:val="009F3BD6"/>
    <w:rsid w:val="009F3CFE"/>
    <w:rsid w:val="009F3F52"/>
    <w:rsid w:val="009F3F89"/>
    <w:rsid w:val="009F4808"/>
    <w:rsid w:val="009F480E"/>
    <w:rsid w:val="009F4955"/>
    <w:rsid w:val="009F4A88"/>
    <w:rsid w:val="009F4F30"/>
    <w:rsid w:val="009F5037"/>
    <w:rsid w:val="009F53CE"/>
    <w:rsid w:val="009F566F"/>
    <w:rsid w:val="009F5923"/>
    <w:rsid w:val="009F59C0"/>
    <w:rsid w:val="009F5F8C"/>
    <w:rsid w:val="009F60CF"/>
    <w:rsid w:val="009F62F3"/>
    <w:rsid w:val="009F631D"/>
    <w:rsid w:val="009F666E"/>
    <w:rsid w:val="009F6697"/>
    <w:rsid w:val="009F6A58"/>
    <w:rsid w:val="009F6D45"/>
    <w:rsid w:val="009F6E6B"/>
    <w:rsid w:val="009F6F50"/>
    <w:rsid w:val="009F719D"/>
    <w:rsid w:val="009F7530"/>
    <w:rsid w:val="009F75DA"/>
    <w:rsid w:val="009F76FC"/>
    <w:rsid w:val="009F770D"/>
    <w:rsid w:val="00A00031"/>
    <w:rsid w:val="00A00576"/>
    <w:rsid w:val="00A00634"/>
    <w:rsid w:val="00A007D7"/>
    <w:rsid w:val="00A00853"/>
    <w:rsid w:val="00A00888"/>
    <w:rsid w:val="00A00A5F"/>
    <w:rsid w:val="00A00AD6"/>
    <w:rsid w:val="00A00E51"/>
    <w:rsid w:val="00A00FD0"/>
    <w:rsid w:val="00A01090"/>
    <w:rsid w:val="00A015E8"/>
    <w:rsid w:val="00A017BD"/>
    <w:rsid w:val="00A01B84"/>
    <w:rsid w:val="00A01BFB"/>
    <w:rsid w:val="00A02038"/>
    <w:rsid w:val="00A022A2"/>
    <w:rsid w:val="00A026B7"/>
    <w:rsid w:val="00A02D15"/>
    <w:rsid w:val="00A02D6B"/>
    <w:rsid w:val="00A02D73"/>
    <w:rsid w:val="00A02E8B"/>
    <w:rsid w:val="00A03012"/>
    <w:rsid w:val="00A0345E"/>
    <w:rsid w:val="00A0392A"/>
    <w:rsid w:val="00A039DC"/>
    <w:rsid w:val="00A03B5D"/>
    <w:rsid w:val="00A03D6C"/>
    <w:rsid w:val="00A03EA1"/>
    <w:rsid w:val="00A03FC2"/>
    <w:rsid w:val="00A04037"/>
    <w:rsid w:val="00A0405C"/>
    <w:rsid w:val="00A0408A"/>
    <w:rsid w:val="00A0495F"/>
    <w:rsid w:val="00A0510F"/>
    <w:rsid w:val="00A053DB"/>
    <w:rsid w:val="00A056D9"/>
    <w:rsid w:val="00A057BA"/>
    <w:rsid w:val="00A057ED"/>
    <w:rsid w:val="00A0588F"/>
    <w:rsid w:val="00A058B0"/>
    <w:rsid w:val="00A05CCA"/>
    <w:rsid w:val="00A05E9F"/>
    <w:rsid w:val="00A060DD"/>
    <w:rsid w:val="00A062F8"/>
    <w:rsid w:val="00A06413"/>
    <w:rsid w:val="00A0652D"/>
    <w:rsid w:val="00A06758"/>
    <w:rsid w:val="00A069F2"/>
    <w:rsid w:val="00A06A8D"/>
    <w:rsid w:val="00A06B87"/>
    <w:rsid w:val="00A07B3D"/>
    <w:rsid w:val="00A07B63"/>
    <w:rsid w:val="00A07CD1"/>
    <w:rsid w:val="00A10080"/>
    <w:rsid w:val="00A100DC"/>
    <w:rsid w:val="00A10297"/>
    <w:rsid w:val="00A10536"/>
    <w:rsid w:val="00A10925"/>
    <w:rsid w:val="00A10A0F"/>
    <w:rsid w:val="00A10ACC"/>
    <w:rsid w:val="00A10CD1"/>
    <w:rsid w:val="00A10E2E"/>
    <w:rsid w:val="00A111D4"/>
    <w:rsid w:val="00A113D1"/>
    <w:rsid w:val="00A11403"/>
    <w:rsid w:val="00A1184B"/>
    <w:rsid w:val="00A1195D"/>
    <w:rsid w:val="00A11ADD"/>
    <w:rsid w:val="00A12248"/>
    <w:rsid w:val="00A123F6"/>
    <w:rsid w:val="00A12422"/>
    <w:rsid w:val="00A1260B"/>
    <w:rsid w:val="00A1290B"/>
    <w:rsid w:val="00A12E58"/>
    <w:rsid w:val="00A12F2D"/>
    <w:rsid w:val="00A1315F"/>
    <w:rsid w:val="00A131AB"/>
    <w:rsid w:val="00A1334E"/>
    <w:rsid w:val="00A1348C"/>
    <w:rsid w:val="00A13500"/>
    <w:rsid w:val="00A139D8"/>
    <w:rsid w:val="00A13FFF"/>
    <w:rsid w:val="00A140CE"/>
    <w:rsid w:val="00A14197"/>
    <w:rsid w:val="00A14570"/>
    <w:rsid w:val="00A1482A"/>
    <w:rsid w:val="00A14848"/>
    <w:rsid w:val="00A14A6A"/>
    <w:rsid w:val="00A14AD0"/>
    <w:rsid w:val="00A1501B"/>
    <w:rsid w:val="00A15151"/>
    <w:rsid w:val="00A15942"/>
    <w:rsid w:val="00A159C4"/>
    <w:rsid w:val="00A15B77"/>
    <w:rsid w:val="00A15CA8"/>
    <w:rsid w:val="00A15CE8"/>
    <w:rsid w:val="00A15E23"/>
    <w:rsid w:val="00A15F44"/>
    <w:rsid w:val="00A16012"/>
    <w:rsid w:val="00A16044"/>
    <w:rsid w:val="00A16607"/>
    <w:rsid w:val="00A1686A"/>
    <w:rsid w:val="00A16C1A"/>
    <w:rsid w:val="00A16C7F"/>
    <w:rsid w:val="00A16D42"/>
    <w:rsid w:val="00A16FE5"/>
    <w:rsid w:val="00A170EC"/>
    <w:rsid w:val="00A17346"/>
    <w:rsid w:val="00A1752D"/>
    <w:rsid w:val="00A177A5"/>
    <w:rsid w:val="00A1787F"/>
    <w:rsid w:val="00A17F0D"/>
    <w:rsid w:val="00A203B5"/>
    <w:rsid w:val="00A20680"/>
    <w:rsid w:val="00A206D1"/>
    <w:rsid w:val="00A20B3D"/>
    <w:rsid w:val="00A20B7D"/>
    <w:rsid w:val="00A20D54"/>
    <w:rsid w:val="00A20E50"/>
    <w:rsid w:val="00A212E9"/>
    <w:rsid w:val="00A216B0"/>
    <w:rsid w:val="00A22678"/>
    <w:rsid w:val="00A226A3"/>
    <w:rsid w:val="00A229BB"/>
    <w:rsid w:val="00A22ABE"/>
    <w:rsid w:val="00A22BE9"/>
    <w:rsid w:val="00A22D57"/>
    <w:rsid w:val="00A22E92"/>
    <w:rsid w:val="00A22FC8"/>
    <w:rsid w:val="00A232EF"/>
    <w:rsid w:val="00A23362"/>
    <w:rsid w:val="00A237EF"/>
    <w:rsid w:val="00A24882"/>
    <w:rsid w:val="00A24942"/>
    <w:rsid w:val="00A24C88"/>
    <w:rsid w:val="00A24D0A"/>
    <w:rsid w:val="00A24D88"/>
    <w:rsid w:val="00A24F3C"/>
    <w:rsid w:val="00A25741"/>
    <w:rsid w:val="00A25771"/>
    <w:rsid w:val="00A2577D"/>
    <w:rsid w:val="00A25C05"/>
    <w:rsid w:val="00A25DA1"/>
    <w:rsid w:val="00A25FE6"/>
    <w:rsid w:val="00A260DD"/>
    <w:rsid w:val="00A26209"/>
    <w:rsid w:val="00A26B0D"/>
    <w:rsid w:val="00A26EC0"/>
    <w:rsid w:val="00A2752B"/>
    <w:rsid w:val="00A27588"/>
    <w:rsid w:val="00A27622"/>
    <w:rsid w:val="00A278C1"/>
    <w:rsid w:val="00A27ADB"/>
    <w:rsid w:val="00A27EF2"/>
    <w:rsid w:val="00A300DB"/>
    <w:rsid w:val="00A30118"/>
    <w:rsid w:val="00A30259"/>
    <w:rsid w:val="00A30419"/>
    <w:rsid w:val="00A305E5"/>
    <w:rsid w:val="00A30663"/>
    <w:rsid w:val="00A31199"/>
    <w:rsid w:val="00A312EC"/>
    <w:rsid w:val="00A31573"/>
    <w:rsid w:val="00A31643"/>
    <w:rsid w:val="00A319CD"/>
    <w:rsid w:val="00A31D6D"/>
    <w:rsid w:val="00A31F4E"/>
    <w:rsid w:val="00A324BD"/>
    <w:rsid w:val="00A327C3"/>
    <w:rsid w:val="00A3288A"/>
    <w:rsid w:val="00A3293D"/>
    <w:rsid w:val="00A32D4B"/>
    <w:rsid w:val="00A32DDD"/>
    <w:rsid w:val="00A32F62"/>
    <w:rsid w:val="00A32FC1"/>
    <w:rsid w:val="00A3362A"/>
    <w:rsid w:val="00A337C6"/>
    <w:rsid w:val="00A33882"/>
    <w:rsid w:val="00A33CC7"/>
    <w:rsid w:val="00A34198"/>
    <w:rsid w:val="00A341CC"/>
    <w:rsid w:val="00A3465B"/>
    <w:rsid w:val="00A3477A"/>
    <w:rsid w:val="00A34B54"/>
    <w:rsid w:val="00A34CC8"/>
    <w:rsid w:val="00A35016"/>
    <w:rsid w:val="00A35137"/>
    <w:rsid w:val="00A353FD"/>
    <w:rsid w:val="00A35B07"/>
    <w:rsid w:val="00A35B2F"/>
    <w:rsid w:val="00A35D2E"/>
    <w:rsid w:val="00A362C9"/>
    <w:rsid w:val="00A36B31"/>
    <w:rsid w:val="00A36CE7"/>
    <w:rsid w:val="00A36F70"/>
    <w:rsid w:val="00A37046"/>
    <w:rsid w:val="00A3733F"/>
    <w:rsid w:val="00A3735A"/>
    <w:rsid w:val="00A37644"/>
    <w:rsid w:val="00A379CF"/>
    <w:rsid w:val="00A37A09"/>
    <w:rsid w:val="00A400B4"/>
    <w:rsid w:val="00A40762"/>
    <w:rsid w:val="00A408A8"/>
    <w:rsid w:val="00A4091C"/>
    <w:rsid w:val="00A40AAD"/>
    <w:rsid w:val="00A40B1E"/>
    <w:rsid w:val="00A40D00"/>
    <w:rsid w:val="00A41066"/>
    <w:rsid w:val="00A41166"/>
    <w:rsid w:val="00A4119B"/>
    <w:rsid w:val="00A4158A"/>
    <w:rsid w:val="00A4192C"/>
    <w:rsid w:val="00A41A61"/>
    <w:rsid w:val="00A41A9D"/>
    <w:rsid w:val="00A41D84"/>
    <w:rsid w:val="00A41E84"/>
    <w:rsid w:val="00A42268"/>
    <w:rsid w:val="00A427E0"/>
    <w:rsid w:val="00A4286A"/>
    <w:rsid w:val="00A4295E"/>
    <w:rsid w:val="00A429B4"/>
    <w:rsid w:val="00A42A25"/>
    <w:rsid w:val="00A42E20"/>
    <w:rsid w:val="00A42F1B"/>
    <w:rsid w:val="00A4336C"/>
    <w:rsid w:val="00A4344F"/>
    <w:rsid w:val="00A435FC"/>
    <w:rsid w:val="00A444D0"/>
    <w:rsid w:val="00A4451A"/>
    <w:rsid w:val="00A448E5"/>
    <w:rsid w:val="00A44A67"/>
    <w:rsid w:val="00A44D67"/>
    <w:rsid w:val="00A44D7F"/>
    <w:rsid w:val="00A451D4"/>
    <w:rsid w:val="00A4534D"/>
    <w:rsid w:val="00A45490"/>
    <w:rsid w:val="00A455EB"/>
    <w:rsid w:val="00A4561D"/>
    <w:rsid w:val="00A4580D"/>
    <w:rsid w:val="00A45BB3"/>
    <w:rsid w:val="00A45C53"/>
    <w:rsid w:val="00A46395"/>
    <w:rsid w:val="00A463C9"/>
    <w:rsid w:val="00A4654A"/>
    <w:rsid w:val="00A465C4"/>
    <w:rsid w:val="00A4670F"/>
    <w:rsid w:val="00A467DF"/>
    <w:rsid w:val="00A469FB"/>
    <w:rsid w:val="00A46C47"/>
    <w:rsid w:val="00A46CCA"/>
    <w:rsid w:val="00A46FDC"/>
    <w:rsid w:val="00A475FD"/>
    <w:rsid w:val="00A47ADB"/>
    <w:rsid w:val="00A5001A"/>
    <w:rsid w:val="00A503F7"/>
    <w:rsid w:val="00A5064E"/>
    <w:rsid w:val="00A50B16"/>
    <w:rsid w:val="00A50C03"/>
    <w:rsid w:val="00A50D12"/>
    <w:rsid w:val="00A50DA5"/>
    <w:rsid w:val="00A50E38"/>
    <w:rsid w:val="00A50F56"/>
    <w:rsid w:val="00A5168E"/>
    <w:rsid w:val="00A5187A"/>
    <w:rsid w:val="00A51BE6"/>
    <w:rsid w:val="00A51C28"/>
    <w:rsid w:val="00A52007"/>
    <w:rsid w:val="00A521DA"/>
    <w:rsid w:val="00A52327"/>
    <w:rsid w:val="00A52641"/>
    <w:rsid w:val="00A526F2"/>
    <w:rsid w:val="00A52BEB"/>
    <w:rsid w:val="00A52C0B"/>
    <w:rsid w:val="00A52EC3"/>
    <w:rsid w:val="00A53160"/>
    <w:rsid w:val="00A5324D"/>
    <w:rsid w:val="00A5376B"/>
    <w:rsid w:val="00A53875"/>
    <w:rsid w:val="00A53E92"/>
    <w:rsid w:val="00A54002"/>
    <w:rsid w:val="00A54053"/>
    <w:rsid w:val="00A54168"/>
    <w:rsid w:val="00A5434E"/>
    <w:rsid w:val="00A5447B"/>
    <w:rsid w:val="00A544BC"/>
    <w:rsid w:val="00A546BC"/>
    <w:rsid w:val="00A54736"/>
    <w:rsid w:val="00A547E3"/>
    <w:rsid w:val="00A549D6"/>
    <w:rsid w:val="00A54CDE"/>
    <w:rsid w:val="00A54F8F"/>
    <w:rsid w:val="00A55989"/>
    <w:rsid w:val="00A55B55"/>
    <w:rsid w:val="00A561F0"/>
    <w:rsid w:val="00A5630D"/>
    <w:rsid w:val="00A568DD"/>
    <w:rsid w:val="00A5694A"/>
    <w:rsid w:val="00A56BC4"/>
    <w:rsid w:val="00A56C39"/>
    <w:rsid w:val="00A56D5E"/>
    <w:rsid w:val="00A56EC8"/>
    <w:rsid w:val="00A57172"/>
    <w:rsid w:val="00A576EF"/>
    <w:rsid w:val="00A577A8"/>
    <w:rsid w:val="00A57D2E"/>
    <w:rsid w:val="00A57E73"/>
    <w:rsid w:val="00A57E95"/>
    <w:rsid w:val="00A57F34"/>
    <w:rsid w:val="00A57FB8"/>
    <w:rsid w:val="00A60118"/>
    <w:rsid w:val="00A601D7"/>
    <w:rsid w:val="00A602E1"/>
    <w:rsid w:val="00A60311"/>
    <w:rsid w:val="00A604DF"/>
    <w:rsid w:val="00A60531"/>
    <w:rsid w:val="00A6081D"/>
    <w:rsid w:val="00A60841"/>
    <w:rsid w:val="00A60983"/>
    <w:rsid w:val="00A60A46"/>
    <w:rsid w:val="00A60AD7"/>
    <w:rsid w:val="00A60F88"/>
    <w:rsid w:val="00A6119B"/>
    <w:rsid w:val="00A61269"/>
    <w:rsid w:val="00A61286"/>
    <w:rsid w:val="00A614E8"/>
    <w:rsid w:val="00A61936"/>
    <w:rsid w:val="00A61A59"/>
    <w:rsid w:val="00A61BFB"/>
    <w:rsid w:val="00A61D0A"/>
    <w:rsid w:val="00A61F04"/>
    <w:rsid w:val="00A61F98"/>
    <w:rsid w:val="00A6214C"/>
    <w:rsid w:val="00A621BE"/>
    <w:rsid w:val="00A621C0"/>
    <w:rsid w:val="00A62588"/>
    <w:rsid w:val="00A6282F"/>
    <w:rsid w:val="00A628DD"/>
    <w:rsid w:val="00A62B39"/>
    <w:rsid w:val="00A62B5B"/>
    <w:rsid w:val="00A62C8C"/>
    <w:rsid w:val="00A6320C"/>
    <w:rsid w:val="00A632D6"/>
    <w:rsid w:val="00A63905"/>
    <w:rsid w:val="00A63984"/>
    <w:rsid w:val="00A639DB"/>
    <w:rsid w:val="00A63DA4"/>
    <w:rsid w:val="00A63F37"/>
    <w:rsid w:val="00A64205"/>
    <w:rsid w:val="00A64224"/>
    <w:rsid w:val="00A6479F"/>
    <w:rsid w:val="00A648E4"/>
    <w:rsid w:val="00A64A36"/>
    <w:rsid w:val="00A64A4A"/>
    <w:rsid w:val="00A64D33"/>
    <w:rsid w:val="00A64E7A"/>
    <w:rsid w:val="00A64E99"/>
    <w:rsid w:val="00A64EC6"/>
    <w:rsid w:val="00A64F8A"/>
    <w:rsid w:val="00A65297"/>
    <w:rsid w:val="00A6550C"/>
    <w:rsid w:val="00A6556E"/>
    <w:rsid w:val="00A65979"/>
    <w:rsid w:val="00A65C04"/>
    <w:rsid w:val="00A65F6E"/>
    <w:rsid w:val="00A66834"/>
    <w:rsid w:val="00A66EF7"/>
    <w:rsid w:val="00A66F7D"/>
    <w:rsid w:val="00A672C4"/>
    <w:rsid w:val="00A6739D"/>
    <w:rsid w:val="00A6759A"/>
    <w:rsid w:val="00A67657"/>
    <w:rsid w:val="00A67B60"/>
    <w:rsid w:val="00A70494"/>
    <w:rsid w:val="00A704AE"/>
    <w:rsid w:val="00A706B4"/>
    <w:rsid w:val="00A7083A"/>
    <w:rsid w:val="00A70AE8"/>
    <w:rsid w:val="00A70B4C"/>
    <w:rsid w:val="00A70C46"/>
    <w:rsid w:val="00A71312"/>
    <w:rsid w:val="00A71329"/>
    <w:rsid w:val="00A71373"/>
    <w:rsid w:val="00A71471"/>
    <w:rsid w:val="00A719BB"/>
    <w:rsid w:val="00A71CA0"/>
    <w:rsid w:val="00A71FD7"/>
    <w:rsid w:val="00A722C5"/>
    <w:rsid w:val="00A7252E"/>
    <w:rsid w:val="00A728A0"/>
    <w:rsid w:val="00A729DF"/>
    <w:rsid w:val="00A72B47"/>
    <w:rsid w:val="00A72CB4"/>
    <w:rsid w:val="00A72FE9"/>
    <w:rsid w:val="00A73034"/>
    <w:rsid w:val="00A732AD"/>
    <w:rsid w:val="00A733F7"/>
    <w:rsid w:val="00A73473"/>
    <w:rsid w:val="00A7415F"/>
    <w:rsid w:val="00A7434B"/>
    <w:rsid w:val="00A74380"/>
    <w:rsid w:val="00A745D6"/>
    <w:rsid w:val="00A7481A"/>
    <w:rsid w:val="00A7501E"/>
    <w:rsid w:val="00A751CE"/>
    <w:rsid w:val="00A75766"/>
    <w:rsid w:val="00A75940"/>
    <w:rsid w:val="00A75CD5"/>
    <w:rsid w:val="00A76360"/>
    <w:rsid w:val="00A76782"/>
    <w:rsid w:val="00A76B95"/>
    <w:rsid w:val="00A76B9A"/>
    <w:rsid w:val="00A76BC2"/>
    <w:rsid w:val="00A76E50"/>
    <w:rsid w:val="00A7704B"/>
    <w:rsid w:val="00A77C5A"/>
    <w:rsid w:val="00A77D64"/>
    <w:rsid w:val="00A77F50"/>
    <w:rsid w:val="00A77F97"/>
    <w:rsid w:val="00A77FBA"/>
    <w:rsid w:val="00A8046D"/>
    <w:rsid w:val="00A8058C"/>
    <w:rsid w:val="00A80F6B"/>
    <w:rsid w:val="00A81171"/>
    <w:rsid w:val="00A81338"/>
    <w:rsid w:val="00A813BC"/>
    <w:rsid w:val="00A816AA"/>
    <w:rsid w:val="00A81854"/>
    <w:rsid w:val="00A81A71"/>
    <w:rsid w:val="00A81AA8"/>
    <w:rsid w:val="00A81AB6"/>
    <w:rsid w:val="00A821C1"/>
    <w:rsid w:val="00A822A3"/>
    <w:rsid w:val="00A82CBA"/>
    <w:rsid w:val="00A8302C"/>
    <w:rsid w:val="00A830A7"/>
    <w:rsid w:val="00A83190"/>
    <w:rsid w:val="00A8333B"/>
    <w:rsid w:val="00A83641"/>
    <w:rsid w:val="00A83DF3"/>
    <w:rsid w:val="00A83F05"/>
    <w:rsid w:val="00A84239"/>
    <w:rsid w:val="00A844EF"/>
    <w:rsid w:val="00A84580"/>
    <w:rsid w:val="00A846ED"/>
    <w:rsid w:val="00A85025"/>
    <w:rsid w:val="00A85407"/>
    <w:rsid w:val="00A8546D"/>
    <w:rsid w:val="00A854C5"/>
    <w:rsid w:val="00A85685"/>
    <w:rsid w:val="00A85915"/>
    <w:rsid w:val="00A85B1A"/>
    <w:rsid w:val="00A85C5C"/>
    <w:rsid w:val="00A85F8D"/>
    <w:rsid w:val="00A8617A"/>
    <w:rsid w:val="00A8622F"/>
    <w:rsid w:val="00A8632B"/>
    <w:rsid w:val="00A865F6"/>
    <w:rsid w:val="00A86AEB"/>
    <w:rsid w:val="00A86CD9"/>
    <w:rsid w:val="00A86D9D"/>
    <w:rsid w:val="00A86E7D"/>
    <w:rsid w:val="00A86F08"/>
    <w:rsid w:val="00A8734C"/>
    <w:rsid w:val="00A8761A"/>
    <w:rsid w:val="00A8797F"/>
    <w:rsid w:val="00A87D07"/>
    <w:rsid w:val="00A87F80"/>
    <w:rsid w:val="00A90551"/>
    <w:rsid w:val="00A9098F"/>
    <w:rsid w:val="00A90B06"/>
    <w:rsid w:val="00A90DF2"/>
    <w:rsid w:val="00A911AF"/>
    <w:rsid w:val="00A91C7E"/>
    <w:rsid w:val="00A91EB8"/>
    <w:rsid w:val="00A921C9"/>
    <w:rsid w:val="00A9247E"/>
    <w:rsid w:val="00A92636"/>
    <w:rsid w:val="00A928B0"/>
    <w:rsid w:val="00A92CBC"/>
    <w:rsid w:val="00A92E1C"/>
    <w:rsid w:val="00A932FA"/>
    <w:rsid w:val="00A93398"/>
    <w:rsid w:val="00A93ABE"/>
    <w:rsid w:val="00A93F76"/>
    <w:rsid w:val="00A93FF3"/>
    <w:rsid w:val="00A94257"/>
    <w:rsid w:val="00A942B8"/>
    <w:rsid w:val="00A947B4"/>
    <w:rsid w:val="00A94E3E"/>
    <w:rsid w:val="00A94E91"/>
    <w:rsid w:val="00A952AB"/>
    <w:rsid w:val="00A957AB"/>
    <w:rsid w:val="00A95A6C"/>
    <w:rsid w:val="00A95A7B"/>
    <w:rsid w:val="00A96605"/>
    <w:rsid w:val="00A96840"/>
    <w:rsid w:val="00A96C87"/>
    <w:rsid w:val="00A9783D"/>
    <w:rsid w:val="00A978E6"/>
    <w:rsid w:val="00A97950"/>
    <w:rsid w:val="00A97E13"/>
    <w:rsid w:val="00A97F46"/>
    <w:rsid w:val="00AA0147"/>
    <w:rsid w:val="00AA01FE"/>
    <w:rsid w:val="00AA03E6"/>
    <w:rsid w:val="00AA07B2"/>
    <w:rsid w:val="00AA0854"/>
    <w:rsid w:val="00AA08E8"/>
    <w:rsid w:val="00AA0AE6"/>
    <w:rsid w:val="00AA0C49"/>
    <w:rsid w:val="00AA0E2E"/>
    <w:rsid w:val="00AA1246"/>
    <w:rsid w:val="00AA147F"/>
    <w:rsid w:val="00AA1535"/>
    <w:rsid w:val="00AA160A"/>
    <w:rsid w:val="00AA1BA6"/>
    <w:rsid w:val="00AA1BCF"/>
    <w:rsid w:val="00AA1BFB"/>
    <w:rsid w:val="00AA1F2E"/>
    <w:rsid w:val="00AA2333"/>
    <w:rsid w:val="00AA23B7"/>
    <w:rsid w:val="00AA25EE"/>
    <w:rsid w:val="00AA270C"/>
    <w:rsid w:val="00AA2D1E"/>
    <w:rsid w:val="00AA2DED"/>
    <w:rsid w:val="00AA3184"/>
    <w:rsid w:val="00AA325E"/>
    <w:rsid w:val="00AA3497"/>
    <w:rsid w:val="00AA3587"/>
    <w:rsid w:val="00AA35AE"/>
    <w:rsid w:val="00AA35AF"/>
    <w:rsid w:val="00AA3790"/>
    <w:rsid w:val="00AA3803"/>
    <w:rsid w:val="00AA399C"/>
    <w:rsid w:val="00AA3A55"/>
    <w:rsid w:val="00AA3A85"/>
    <w:rsid w:val="00AA3B77"/>
    <w:rsid w:val="00AA3CB9"/>
    <w:rsid w:val="00AA444C"/>
    <w:rsid w:val="00AA44E0"/>
    <w:rsid w:val="00AA45E6"/>
    <w:rsid w:val="00AA45FE"/>
    <w:rsid w:val="00AA4CF4"/>
    <w:rsid w:val="00AA5069"/>
    <w:rsid w:val="00AA5AC6"/>
    <w:rsid w:val="00AA5C60"/>
    <w:rsid w:val="00AA5C66"/>
    <w:rsid w:val="00AA6320"/>
    <w:rsid w:val="00AA63B9"/>
    <w:rsid w:val="00AA6688"/>
    <w:rsid w:val="00AA6B2E"/>
    <w:rsid w:val="00AA7036"/>
    <w:rsid w:val="00AA75A3"/>
    <w:rsid w:val="00AA7CE1"/>
    <w:rsid w:val="00AA7E07"/>
    <w:rsid w:val="00AA7F54"/>
    <w:rsid w:val="00AB0171"/>
    <w:rsid w:val="00AB051D"/>
    <w:rsid w:val="00AB0D68"/>
    <w:rsid w:val="00AB0E88"/>
    <w:rsid w:val="00AB13B9"/>
    <w:rsid w:val="00AB1627"/>
    <w:rsid w:val="00AB1639"/>
    <w:rsid w:val="00AB1D2C"/>
    <w:rsid w:val="00AB1F86"/>
    <w:rsid w:val="00AB20D1"/>
    <w:rsid w:val="00AB263C"/>
    <w:rsid w:val="00AB2976"/>
    <w:rsid w:val="00AB2A9B"/>
    <w:rsid w:val="00AB30D8"/>
    <w:rsid w:val="00AB332F"/>
    <w:rsid w:val="00AB33FB"/>
    <w:rsid w:val="00AB3635"/>
    <w:rsid w:val="00AB36BA"/>
    <w:rsid w:val="00AB3A70"/>
    <w:rsid w:val="00AB417E"/>
    <w:rsid w:val="00AB43D7"/>
    <w:rsid w:val="00AB4621"/>
    <w:rsid w:val="00AB47E6"/>
    <w:rsid w:val="00AB489C"/>
    <w:rsid w:val="00AB4917"/>
    <w:rsid w:val="00AB4958"/>
    <w:rsid w:val="00AB49EE"/>
    <w:rsid w:val="00AB4A3C"/>
    <w:rsid w:val="00AB4A70"/>
    <w:rsid w:val="00AB4B42"/>
    <w:rsid w:val="00AB4C03"/>
    <w:rsid w:val="00AB4FDB"/>
    <w:rsid w:val="00AB50BB"/>
    <w:rsid w:val="00AB50C1"/>
    <w:rsid w:val="00AB58DC"/>
    <w:rsid w:val="00AB5A7D"/>
    <w:rsid w:val="00AB5CFB"/>
    <w:rsid w:val="00AB5D60"/>
    <w:rsid w:val="00AB62A5"/>
    <w:rsid w:val="00AB63F1"/>
    <w:rsid w:val="00AB6486"/>
    <w:rsid w:val="00AB661B"/>
    <w:rsid w:val="00AB6936"/>
    <w:rsid w:val="00AB6B5C"/>
    <w:rsid w:val="00AB6E99"/>
    <w:rsid w:val="00AB6F3E"/>
    <w:rsid w:val="00AB6F69"/>
    <w:rsid w:val="00AB7229"/>
    <w:rsid w:val="00AB77A5"/>
    <w:rsid w:val="00AB7C6F"/>
    <w:rsid w:val="00AC0683"/>
    <w:rsid w:val="00AC087A"/>
    <w:rsid w:val="00AC09FE"/>
    <w:rsid w:val="00AC0A42"/>
    <w:rsid w:val="00AC0C3B"/>
    <w:rsid w:val="00AC1118"/>
    <w:rsid w:val="00AC1289"/>
    <w:rsid w:val="00AC1674"/>
    <w:rsid w:val="00AC21BE"/>
    <w:rsid w:val="00AC233D"/>
    <w:rsid w:val="00AC2482"/>
    <w:rsid w:val="00AC29BA"/>
    <w:rsid w:val="00AC2D63"/>
    <w:rsid w:val="00AC2DD6"/>
    <w:rsid w:val="00AC2EE7"/>
    <w:rsid w:val="00AC2FC9"/>
    <w:rsid w:val="00AC3003"/>
    <w:rsid w:val="00AC3110"/>
    <w:rsid w:val="00AC3462"/>
    <w:rsid w:val="00AC34E2"/>
    <w:rsid w:val="00AC3576"/>
    <w:rsid w:val="00AC381D"/>
    <w:rsid w:val="00AC3A9F"/>
    <w:rsid w:val="00AC3C58"/>
    <w:rsid w:val="00AC3FFB"/>
    <w:rsid w:val="00AC41FE"/>
    <w:rsid w:val="00AC45C4"/>
    <w:rsid w:val="00AC46F0"/>
    <w:rsid w:val="00AC476D"/>
    <w:rsid w:val="00AC4826"/>
    <w:rsid w:val="00AC4990"/>
    <w:rsid w:val="00AC4B87"/>
    <w:rsid w:val="00AC50F2"/>
    <w:rsid w:val="00AC5428"/>
    <w:rsid w:val="00AC54E1"/>
    <w:rsid w:val="00AC550A"/>
    <w:rsid w:val="00AC550D"/>
    <w:rsid w:val="00AC564A"/>
    <w:rsid w:val="00AC5924"/>
    <w:rsid w:val="00AC5964"/>
    <w:rsid w:val="00AC64E8"/>
    <w:rsid w:val="00AC6A3F"/>
    <w:rsid w:val="00AC6B1D"/>
    <w:rsid w:val="00AC6FBB"/>
    <w:rsid w:val="00AC7189"/>
    <w:rsid w:val="00AC740A"/>
    <w:rsid w:val="00AC743B"/>
    <w:rsid w:val="00AC75DC"/>
    <w:rsid w:val="00AC7A46"/>
    <w:rsid w:val="00AC7AFA"/>
    <w:rsid w:val="00AC7D71"/>
    <w:rsid w:val="00AD002F"/>
    <w:rsid w:val="00AD0244"/>
    <w:rsid w:val="00AD03D8"/>
    <w:rsid w:val="00AD0711"/>
    <w:rsid w:val="00AD071D"/>
    <w:rsid w:val="00AD0E9F"/>
    <w:rsid w:val="00AD0EA8"/>
    <w:rsid w:val="00AD0F00"/>
    <w:rsid w:val="00AD10E9"/>
    <w:rsid w:val="00AD166B"/>
    <w:rsid w:val="00AD1711"/>
    <w:rsid w:val="00AD1995"/>
    <w:rsid w:val="00AD19AC"/>
    <w:rsid w:val="00AD1B27"/>
    <w:rsid w:val="00AD1DCB"/>
    <w:rsid w:val="00AD2570"/>
    <w:rsid w:val="00AD29FD"/>
    <w:rsid w:val="00AD2A24"/>
    <w:rsid w:val="00AD2D3B"/>
    <w:rsid w:val="00AD3440"/>
    <w:rsid w:val="00AD34F2"/>
    <w:rsid w:val="00AD3560"/>
    <w:rsid w:val="00AD35D0"/>
    <w:rsid w:val="00AD40ED"/>
    <w:rsid w:val="00AD4544"/>
    <w:rsid w:val="00AD4EBF"/>
    <w:rsid w:val="00AD4EEE"/>
    <w:rsid w:val="00AD4FE8"/>
    <w:rsid w:val="00AD50CB"/>
    <w:rsid w:val="00AD5201"/>
    <w:rsid w:val="00AD53E7"/>
    <w:rsid w:val="00AD5426"/>
    <w:rsid w:val="00AD63CD"/>
    <w:rsid w:val="00AD63D6"/>
    <w:rsid w:val="00AD64BD"/>
    <w:rsid w:val="00AD6984"/>
    <w:rsid w:val="00AD6B6B"/>
    <w:rsid w:val="00AD6D49"/>
    <w:rsid w:val="00AD6D7E"/>
    <w:rsid w:val="00AD6EEF"/>
    <w:rsid w:val="00AD704E"/>
    <w:rsid w:val="00AD7279"/>
    <w:rsid w:val="00AD745C"/>
    <w:rsid w:val="00AD780A"/>
    <w:rsid w:val="00AD7825"/>
    <w:rsid w:val="00AD7A0B"/>
    <w:rsid w:val="00AD7B6E"/>
    <w:rsid w:val="00AD7D76"/>
    <w:rsid w:val="00AD7E70"/>
    <w:rsid w:val="00AD7F7E"/>
    <w:rsid w:val="00AE00DC"/>
    <w:rsid w:val="00AE0425"/>
    <w:rsid w:val="00AE11E9"/>
    <w:rsid w:val="00AE1201"/>
    <w:rsid w:val="00AE1376"/>
    <w:rsid w:val="00AE1378"/>
    <w:rsid w:val="00AE175E"/>
    <w:rsid w:val="00AE1984"/>
    <w:rsid w:val="00AE19B8"/>
    <w:rsid w:val="00AE1D6E"/>
    <w:rsid w:val="00AE22CB"/>
    <w:rsid w:val="00AE23F9"/>
    <w:rsid w:val="00AE260D"/>
    <w:rsid w:val="00AE30ED"/>
    <w:rsid w:val="00AE33C6"/>
    <w:rsid w:val="00AE3AC9"/>
    <w:rsid w:val="00AE3B97"/>
    <w:rsid w:val="00AE3BA2"/>
    <w:rsid w:val="00AE4053"/>
    <w:rsid w:val="00AE40A6"/>
    <w:rsid w:val="00AE40C2"/>
    <w:rsid w:val="00AE4144"/>
    <w:rsid w:val="00AE433F"/>
    <w:rsid w:val="00AE438D"/>
    <w:rsid w:val="00AE4545"/>
    <w:rsid w:val="00AE4926"/>
    <w:rsid w:val="00AE4AC2"/>
    <w:rsid w:val="00AE4B55"/>
    <w:rsid w:val="00AE4D81"/>
    <w:rsid w:val="00AE503E"/>
    <w:rsid w:val="00AE5362"/>
    <w:rsid w:val="00AE55A9"/>
    <w:rsid w:val="00AE572A"/>
    <w:rsid w:val="00AE57BF"/>
    <w:rsid w:val="00AE5C6E"/>
    <w:rsid w:val="00AE5FE0"/>
    <w:rsid w:val="00AE6064"/>
    <w:rsid w:val="00AE60B7"/>
    <w:rsid w:val="00AE62F8"/>
    <w:rsid w:val="00AE63BA"/>
    <w:rsid w:val="00AE67C1"/>
    <w:rsid w:val="00AE69AF"/>
    <w:rsid w:val="00AE6AC7"/>
    <w:rsid w:val="00AE70C4"/>
    <w:rsid w:val="00AE74FF"/>
    <w:rsid w:val="00AE766C"/>
    <w:rsid w:val="00AE77F4"/>
    <w:rsid w:val="00AE7DB7"/>
    <w:rsid w:val="00AF00AF"/>
    <w:rsid w:val="00AF07F9"/>
    <w:rsid w:val="00AF0C01"/>
    <w:rsid w:val="00AF0DE1"/>
    <w:rsid w:val="00AF0E77"/>
    <w:rsid w:val="00AF0F53"/>
    <w:rsid w:val="00AF1149"/>
    <w:rsid w:val="00AF1179"/>
    <w:rsid w:val="00AF1578"/>
    <w:rsid w:val="00AF17C0"/>
    <w:rsid w:val="00AF1AFE"/>
    <w:rsid w:val="00AF221C"/>
    <w:rsid w:val="00AF249D"/>
    <w:rsid w:val="00AF2549"/>
    <w:rsid w:val="00AF26BF"/>
    <w:rsid w:val="00AF26C9"/>
    <w:rsid w:val="00AF27E1"/>
    <w:rsid w:val="00AF2AB7"/>
    <w:rsid w:val="00AF2B1C"/>
    <w:rsid w:val="00AF3361"/>
    <w:rsid w:val="00AF3887"/>
    <w:rsid w:val="00AF38DB"/>
    <w:rsid w:val="00AF3AB4"/>
    <w:rsid w:val="00AF3DE1"/>
    <w:rsid w:val="00AF42CB"/>
    <w:rsid w:val="00AF459A"/>
    <w:rsid w:val="00AF45E5"/>
    <w:rsid w:val="00AF4648"/>
    <w:rsid w:val="00AF493A"/>
    <w:rsid w:val="00AF4AE2"/>
    <w:rsid w:val="00AF4D3F"/>
    <w:rsid w:val="00AF4F43"/>
    <w:rsid w:val="00AF4FE1"/>
    <w:rsid w:val="00AF50FA"/>
    <w:rsid w:val="00AF5475"/>
    <w:rsid w:val="00AF55E6"/>
    <w:rsid w:val="00AF5640"/>
    <w:rsid w:val="00AF5717"/>
    <w:rsid w:val="00AF57E5"/>
    <w:rsid w:val="00AF58DE"/>
    <w:rsid w:val="00AF59C3"/>
    <w:rsid w:val="00AF5A75"/>
    <w:rsid w:val="00AF5E4F"/>
    <w:rsid w:val="00AF5F6D"/>
    <w:rsid w:val="00AF6045"/>
    <w:rsid w:val="00AF60A3"/>
    <w:rsid w:val="00AF63A2"/>
    <w:rsid w:val="00AF6479"/>
    <w:rsid w:val="00AF65C1"/>
    <w:rsid w:val="00AF6D67"/>
    <w:rsid w:val="00AF71FD"/>
    <w:rsid w:val="00AF7428"/>
    <w:rsid w:val="00AF78EE"/>
    <w:rsid w:val="00AF7B0A"/>
    <w:rsid w:val="00AF7B15"/>
    <w:rsid w:val="00AF7E86"/>
    <w:rsid w:val="00B00054"/>
    <w:rsid w:val="00B004B7"/>
    <w:rsid w:val="00B005B0"/>
    <w:rsid w:val="00B00818"/>
    <w:rsid w:val="00B00C0F"/>
    <w:rsid w:val="00B00FDE"/>
    <w:rsid w:val="00B01023"/>
    <w:rsid w:val="00B0112C"/>
    <w:rsid w:val="00B011F3"/>
    <w:rsid w:val="00B0153D"/>
    <w:rsid w:val="00B015B5"/>
    <w:rsid w:val="00B01611"/>
    <w:rsid w:val="00B0165F"/>
    <w:rsid w:val="00B01801"/>
    <w:rsid w:val="00B019BE"/>
    <w:rsid w:val="00B01A12"/>
    <w:rsid w:val="00B01C4C"/>
    <w:rsid w:val="00B025ED"/>
    <w:rsid w:val="00B02763"/>
    <w:rsid w:val="00B027FC"/>
    <w:rsid w:val="00B02FA2"/>
    <w:rsid w:val="00B0300B"/>
    <w:rsid w:val="00B030EB"/>
    <w:rsid w:val="00B03352"/>
    <w:rsid w:val="00B033FB"/>
    <w:rsid w:val="00B03932"/>
    <w:rsid w:val="00B03BE7"/>
    <w:rsid w:val="00B0403B"/>
    <w:rsid w:val="00B042DA"/>
    <w:rsid w:val="00B04C61"/>
    <w:rsid w:val="00B04EF2"/>
    <w:rsid w:val="00B05028"/>
    <w:rsid w:val="00B05033"/>
    <w:rsid w:val="00B052CF"/>
    <w:rsid w:val="00B053AE"/>
    <w:rsid w:val="00B05457"/>
    <w:rsid w:val="00B0545A"/>
    <w:rsid w:val="00B05521"/>
    <w:rsid w:val="00B05552"/>
    <w:rsid w:val="00B055B3"/>
    <w:rsid w:val="00B06242"/>
    <w:rsid w:val="00B06587"/>
    <w:rsid w:val="00B067F5"/>
    <w:rsid w:val="00B06800"/>
    <w:rsid w:val="00B07100"/>
    <w:rsid w:val="00B07138"/>
    <w:rsid w:val="00B07732"/>
    <w:rsid w:val="00B07D3C"/>
    <w:rsid w:val="00B07E5F"/>
    <w:rsid w:val="00B07F24"/>
    <w:rsid w:val="00B07F2E"/>
    <w:rsid w:val="00B102EF"/>
    <w:rsid w:val="00B10D50"/>
    <w:rsid w:val="00B11082"/>
    <w:rsid w:val="00B11493"/>
    <w:rsid w:val="00B114AE"/>
    <w:rsid w:val="00B114E7"/>
    <w:rsid w:val="00B115AF"/>
    <w:rsid w:val="00B11888"/>
    <w:rsid w:val="00B11993"/>
    <w:rsid w:val="00B1212E"/>
    <w:rsid w:val="00B12876"/>
    <w:rsid w:val="00B128A0"/>
    <w:rsid w:val="00B12EA9"/>
    <w:rsid w:val="00B130D4"/>
    <w:rsid w:val="00B13187"/>
    <w:rsid w:val="00B13646"/>
    <w:rsid w:val="00B136A6"/>
    <w:rsid w:val="00B13827"/>
    <w:rsid w:val="00B1402C"/>
    <w:rsid w:val="00B1404A"/>
    <w:rsid w:val="00B1444C"/>
    <w:rsid w:val="00B14598"/>
    <w:rsid w:val="00B146BD"/>
    <w:rsid w:val="00B14819"/>
    <w:rsid w:val="00B14AD9"/>
    <w:rsid w:val="00B14FAF"/>
    <w:rsid w:val="00B1517C"/>
    <w:rsid w:val="00B1526B"/>
    <w:rsid w:val="00B15312"/>
    <w:rsid w:val="00B15809"/>
    <w:rsid w:val="00B15AA5"/>
    <w:rsid w:val="00B15B20"/>
    <w:rsid w:val="00B15B70"/>
    <w:rsid w:val="00B167F1"/>
    <w:rsid w:val="00B16BB6"/>
    <w:rsid w:val="00B16D60"/>
    <w:rsid w:val="00B16E1A"/>
    <w:rsid w:val="00B16F2A"/>
    <w:rsid w:val="00B171C8"/>
    <w:rsid w:val="00B1735E"/>
    <w:rsid w:val="00B174F4"/>
    <w:rsid w:val="00B17509"/>
    <w:rsid w:val="00B17619"/>
    <w:rsid w:val="00B178E7"/>
    <w:rsid w:val="00B20240"/>
    <w:rsid w:val="00B202CC"/>
    <w:rsid w:val="00B20507"/>
    <w:rsid w:val="00B20532"/>
    <w:rsid w:val="00B207D9"/>
    <w:rsid w:val="00B20A97"/>
    <w:rsid w:val="00B20B2E"/>
    <w:rsid w:val="00B212CF"/>
    <w:rsid w:val="00B21558"/>
    <w:rsid w:val="00B21623"/>
    <w:rsid w:val="00B21E65"/>
    <w:rsid w:val="00B2236D"/>
    <w:rsid w:val="00B224DA"/>
    <w:rsid w:val="00B22E8C"/>
    <w:rsid w:val="00B22E8F"/>
    <w:rsid w:val="00B231A5"/>
    <w:rsid w:val="00B23281"/>
    <w:rsid w:val="00B2357F"/>
    <w:rsid w:val="00B23841"/>
    <w:rsid w:val="00B238B1"/>
    <w:rsid w:val="00B23BB1"/>
    <w:rsid w:val="00B241EC"/>
    <w:rsid w:val="00B24288"/>
    <w:rsid w:val="00B243AD"/>
    <w:rsid w:val="00B24501"/>
    <w:rsid w:val="00B247BE"/>
    <w:rsid w:val="00B24BAE"/>
    <w:rsid w:val="00B24BC3"/>
    <w:rsid w:val="00B24BCE"/>
    <w:rsid w:val="00B24EBE"/>
    <w:rsid w:val="00B25481"/>
    <w:rsid w:val="00B255A8"/>
    <w:rsid w:val="00B2590B"/>
    <w:rsid w:val="00B25AB8"/>
    <w:rsid w:val="00B25CD6"/>
    <w:rsid w:val="00B25D50"/>
    <w:rsid w:val="00B25DB8"/>
    <w:rsid w:val="00B26013"/>
    <w:rsid w:val="00B2636C"/>
    <w:rsid w:val="00B2651E"/>
    <w:rsid w:val="00B26527"/>
    <w:rsid w:val="00B2656E"/>
    <w:rsid w:val="00B2661D"/>
    <w:rsid w:val="00B26751"/>
    <w:rsid w:val="00B267F0"/>
    <w:rsid w:val="00B26BD0"/>
    <w:rsid w:val="00B26C2E"/>
    <w:rsid w:val="00B26DE3"/>
    <w:rsid w:val="00B272EA"/>
    <w:rsid w:val="00B27571"/>
    <w:rsid w:val="00B2781C"/>
    <w:rsid w:val="00B27A3B"/>
    <w:rsid w:val="00B27CA9"/>
    <w:rsid w:val="00B27CE0"/>
    <w:rsid w:val="00B27E8D"/>
    <w:rsid w:val="00B30629"/>
    <w:rsid w:val="00B307EC"/>
    <w:rsid w:val="00B30937"/>
    <w:rsid w:val="00B30945"/>
    <w:rsid w:val="00B30C92"/>
    <w:rsid w:val="00B30E94"/>
    <w:rsid w:val="00B313EB"/>
    <w:rsid w:val="00B3186D"/>
    <w:rsid w:val="00B31FF5"/>
    <w:rsid w:val="00B32146"/>
    <w:rsid w:val="00B324F2"/>
    <w:rsid w:val="00B328BD"/>
    <w:rsid w:val="00B32DC0"/>
    <w:rsid w:val="00B32F97"/>
    <w:rsid w:val="00B330A0"/>
    <w:rsid w:val="00B339C8"/>
    <w:rsid w:val="00B33C91"/>
    <w:rsid w:val="00B33CC9"/>
    <w:rsid w:val="00B33F2D"/>
    <w:rsid w:val="00B340FA"/>
    <w:rsid w:val="00B344D6"/>
    <w:rsid w:val="00B344F2"/>
    <w:rsid w:val="00B3452C"/>
    <w:rsid w:val="00B3492A"/>
    <w:rsid w:val="00B34A6F"/>
    <w:rsid w:val="00B34B98"/>
    <w:rsid w:val="00B35011"/>
    <w:rsid w:val="00B351B2"/>
    <w:rsid w:val="00B35502"/>
    <w:rsid w:val="00B3562A"/>
    <w:rsid w:val="00B35943"/>
    <w:rsid w:val="00B35A10"/>
    <w:rsid w:val="00B35ED2"/>
    <w:rsid w:val="00B362F3"/>
    <w:rsid w:val="00B365FD"/>
    <w:rsid w:val="00B36641"/>
    <w:rsid w:val="00B366BA"/>
    <w:rsid w:val="00B3682A"/>
    <w:rsid w:val="00B368DD"/>
    <w:rsid w:val="00B37896"/>
    <w:rsid w:val="00B37B53"/>
    <w:rsid w:val="00B37C59"/>
    <w:rsid w:val="00B37E9C"/>
    <w:rsid w:val="00B40166"/>
    <w:rsid w:val="00B40345"/>
    <w:rsid w:val="00B40485"/>
    <w:rsid w:val="00B405C8"/>
    <w:rsid w:val="00B4082B"/>
    <w:rsid w:val="00B412F8"/>
    <w:rsid w:val="00B41603"/>
    <w:rsid w:val="00B4164B"/>
    <w:rsid w:val="00B416BE"/>
    <w:rsid w:val="00B41A13"/>
    <w:rsid w:val="00B41A6A"/>
    <w:rsid w:val="00B41A8A"/>
    <w:rsid w:val="00B41AED"/>
    <w:rsid w:val="00B41C9E"/>
    <w:rsid w:val="00B41D2B"/>
    <w:rsid w:val="00B4220E"/>
    <w:rsid w:val="00B42642"/>
    <w:rsid w:val="00B4267E"/>
    <w:rsid w:val="00B428D5"/>
    <w:rsid w:val="00B4291F"/>
    <w:rsid w:val="00B42CA0"/>
    <w:rsid w:val="00B439A0"/>
    <w:rsid w:val="00B4418C"/>
    <w:rsid w:val="00B44290"/>
    <w:rsid w:val="00B44969"/>
    <w:rsid w:val="00B449E8"/>
    <w:rsid w:val="00B44B18"/>
    <w:rsid w:val="00B44F8F"/>
    <w:rsid w:val="00B44FF5"/>
    <w:rsid w:val="00B45584"/>
    <w:rsid w:val="00B45807"/>
    <w:rsid w:val="00B45DD0"/>
    <w:rsid w:val="00B46B87"/>
    <w:rsid w:val="00B46D81"/>
    <w:rsid w:val="00B47117"/>
    <w:rsid w:val="00B474AC"/>
    <w:rsid w:val="00B475A7"/>
    <w:rsid w:val="00B475C6"/>
    <w:rsid w:val="00B47705"/>
    <w:rsid w:val="00B47C64"/>
    <w:rsid w:val="00B47D16"/>
    <w:rsid w:val="00B47D60"/>
    <w:rsid w:val="00B47D67"/>
    <w:rsid w:val="00B50127"/>
    <w:rsid w:val="00B504AD"/>
    <w:rsid w:val="00B50540"/>
    <w:rsid w:val="00B5072E"/>
    <w:rsid w:val="00B507B1"/>
    <w:rsid w:val="00B508B2"/>
    <w:rsid w:val="00B50AA3"/>
    <w:rsid w:val="00B50C00"/>
    <w:rsid w:val="00B50CEE"/>
    <w:rsid w:val="00B50EC2"/>
    <w:rsid w:val="00B50EDB"/>
    <w:rsid w:val="00B5106E"/>
    <w:rsid w:val="00B51115"/>
    <w:rsid w:val="00B51186"/>
    <w:rsid w:val="00B51202"/>
    <w:rsid w:val="00B5121D"/>
    <w:rsid w:val="00B51921"/>
    <w:rsid w:val="00B524D6"/>
    <w:rsid w:val="00B5263C"/>
    <w:rsid w:val="00B52802"/>
    <w:rsid w:val="00B52862"/>
    <w:rsid w:val="00B52A09"/>
    <w:rsid w:val="00B52A4A"/>
    <w:rsid w:val="00B52A93"/>
    <w:rsid w:val="00B5320B"/>
    <w:rsid w:val="00B53305"/>
    <w:rsid w:val="00B53331"/>
    <w:rsid w:val="00B53697"/>
    <w:rsid w:val="00B536F0"/>
    <w:rsid w:val="00B53A9B"/>
    <w:rsid w:val="00B53FE5"/>
    <w:rsid w:val="00B5409A"/>
    <w:rsid w:val="00B543C4"/>
    <w:rsid w:val="00B54474"/>
    <w:rsid w:val="00B54758"/>
    <w:rsid w:val="00B549D0"/>
    <w:rsid w:val="00B54F3A"/>
    <w:rsid w:val="00B55141"/>
    <w:rsid w:val="00B55304"/>
    <w:rsid w:val="00B554D0"/>
    <w:rsid w:val="00B55574"/>
    <w:rsid w:val="00B5575E"/>
    <w:rsid w:val="00B55D91"/>
    <w:rsid w:val="00B55FF0"/>
    <w:rsid w:val="00B56408"/>
    <w:rsid w:val="00B564A8"/>
    <w:rsid w:val="00B5652A"/>
    <w:rsid w:val="00B5676D"/>
    <w:rsid w:val="00B56A37"/>
    <w:rsid w:val="00B572F6"/>
    <w:rsid w:val="00B578CE"/>
    <w:rsid w:val="00B57BC2"/>
    <w:rsid w:val="00B57D10"/>
    <w:rsid w:val="00B605EE"/>
    <w:rsid w:val="00B608AD"/>
    <w:rsid w:val="00B60CC1"/>
    <w:rsid w:val="00B60D41"/>
    <w:rsid w:val="00B61DA2"/>
    <w:rsid w:val="00B626FA"/>
    <w:rsid w:val="00B628FF"/>
    <w:rsid w:val="00B629DD"/>
    <w:rsid w:val="00B62A7E"/>
    <w:rsid w:val="00B62C90"/>
    <w:rsid w:val="00B63122"/>
    <w:rsid w:val="00B635EF"/>
    <w:rsid w:val="00B63947"/>
    <w:rsid w:val="00B6454A"/>
    <w:rsid w:val="00B64550"/>
    <w:rsid w:val="00B647AD"/>
    <w:rsid w:val="00B64899"/>
    <w:rsid w:val="00B648F7"/>
    <w:rsid w:val="00B64C75"/>
    <w:rsid w:val="00B64C81"/>
    <w:rsid w:val="00B64DE2"/>
    <w:rsid w:val="00B65156"/>
    <w:rsid w:val="00B6525D"/>
    <w:rsid w:val="00B65778"/>
    <w:rsid w:val="00B65AB8"/>
    <w:rsid w:val="00B65ABA"/>
    <w:rsid w:val="00B65C9D"/>
    <w:rsid w:val="00B65CCD"/>
    <w:rsid w:val="00B65E1C"/>
    <w:rsid w:val="00B65EC7"/>
    <w:rsid w:val="00B66254"/>
    <w:rsid w:val="00B6628D"/>
    <w:rsid w:val="00B663E6"/>
    <w:rsid w:val="00B66576"/>
    <w:rsid w:val="00B6684F"/>
    <w:rsid w:val="00B669B1"/>
    <w:rsid w:val="00B66B47"/>
    <w:rsid w:val="00B66F9C"/>
    <w:rsid w:val="00B66F9E"/>
    <w:rsid w:val="00B6700F"/>
    <w:rsid w:val="00B673AC"/>
    <w:rsid w:val="00B6790F"/>
    <w:rsid w:val="00B679E6"/>
    <w:rsid w:val="00B67C5F"/>
    <w:rsid w:val="00B67E95"/>
    <w:rsid w:val="00B702A2"/>
    <w:rsid w:val="00B70638"/>
    <w:rsid w:val="00B70780"/>
    <w:rsid w:val="00B70BDE"/>
    <w:rsid w:val="00B70DB7"/>
    <w:rsid w:val="00B71092"/>
    <w:rsid w:val="00B71222"/>
    <w:rsid w:val="00B71492"/>
    <w:rsid w:val="00B71556"/>
    <w:rsid w:val="00B71A96"/>
    <w:rsid w:val="00B71B3B"/>
    <w:rsid w:val="00B71FDA"/>
    <w:rsid w:val="00B72073"/>
    <w:rsid w:val="00B72115"/>
    <w:rsid w:val="00B72147"/>
    <w:rsid w:val="00B72353"/>
    <w:rsid w:val="00B72758"/>
    <w:rsid w:val="00B72F4F"/>
    <w:rsid w:val="00B72FB2"/>
    <w:rsid w:val="00B731E9"/>
    <w:rsid w:val="00B733CB"/>
    <w:rsid w:val="00B736C2"/>
    <w:rsid w:val="00B738DB"/>
    <w:rsid w:val="00B73A2E"/>
    <w:rsid w:val="00B73C3A"/>
    <w:rsid w:val="00B73C7E"/>
    <w:rsid w:val="00B73F89"/>
    <w:rsid w:val="00B7492E"/>
    <w:rsid w:val="00B74D12"/>
    <w:rsid w:val="00B74D8F"/>
    <w:rsid w:val="00B74FB2"/>
    <w:rsid w:val="00B753E6"/>
    <w:rsid w:val="00B75C78"/>
    <w:rsid w:val="00B760A6"/>
    <w:rsid w:val="00B7655E"/>
    <w:rsid w:val="00B768E5"/>
    <w:rsid w:val="00B76A00"/>
    <w:rsid w:val="00B76B9A"/>
    <w:rsid w:val="00B76B9C"/>
    <w:rsid w:val="00B77117"/>
    <w:rsid w:val="00B771B1"/>
    <w:rsid w:val="00B771EB"/>
    <w:rsid w:val="00B77570"/>
    <w:rsid w:val="00B775BD"/>
    <w:rsid w:val="00B77AC3"/>
    <w:rsid w:val="00B77C80"/>
    <w:rsid w:val="00B77CF7"/>
    <w:rsid w:val="00B77D14"/>
    <w:rsid w:val="00B77EBF"/>
    <w:rsid w:val="00B80010"/>
    <w:rsid w:val="00B8007E"/>
    <w:rsid w:val="00B801B8"/>
    <w:rsid w:val="00B802EB"/>
    <w:rsid w:val="00B8064E"/>
    <w:rsid w:val="00B80BEA"/>
    <w:rsid w:val="00B810E8"/>
    <w:rsid w:val="00B812DB"/>
    <w:rsid w:val="00B815A2"/>
    <w:rsid w:val="00B8166A"/>
    <w:rsid w:val="00B81B34"/>
    <w:rsid w:val="00B82022"/>
    <w:rsid w:val="00B82328"/>
    <w:rsid w:val="00B82452"/>
    <w:rsid w:val="00B8247D"/>
    <w:rsid w:val="00B8263B"/>
    <w:rsid w:val="00B82DB2"/>
    <w:rsid w:val="00B82EC1"/>
    <w:rsid w:val="00B82F5A"/>
    <w:rsid w:val="00B8307A"/>
    <w:rsid w:val="00B83199"/>
    <w:rsid w:val="00B831C9"/>
    <w:rsid w:val="00B833F8"/>
    <w:rsid w:val="00B8349F"/>
    <w:rsid w:val="00B83905"/>
    <w:rsid w:val="00B83A50"/>
    <w:rsid w:val="00B842F3"/>
    <w:rsid w:val="00B84542"/>
    <w:rsid w:val="00B84569"/>
    <w:rsid w:val="00B84A56"/>
    <w:rsid w:val="00B84C3E"/>
    <w:rsid w:val="00B84FF3"/>
    <w:rsid w:val="00B852AC"/>
    <w:rsid w:val="00B853AA"/>
    <w:rsid w:val="00B85835"/>
    <w:rsid w:val="00B86862"/>
    <w:rsid w:val="00B86AE5"/>
    <w:rsid w:val="00B86C83"/>
    <w:rsid w:val="00B86D0E"/>
    <w:rsid w:val="00B86E21"/>
    <w:rsid w:val="00B87452"/>
    <w:rsid w:val="00B87453"/>
    <w:rsid w:val="00B8748A"/>
    <w:rsid w:val="00B87538"/>
    <w:rsid w:val="00B87D61"/>
    <w:rsid w:val="00B87D78"/>
    <w:rsid w:val="00B87E35"/>
    <w:rsid w:val="00B90054"/>
    <w:rsid w:val="00B90068"/>
    <w:rsid w:val="00B905DF"/>
    <w:rsid w:val="00B90F40"/>
    <w:rsid w:val="00B90FCA"/>
    <w:rsid w:val="00B9114D"/>
    <w:rsid w:val="00B911D7"/>
    <w:rsid w:val="00B912F7"/>
    <w:rsid w:val="00B91520"/>
    <w:rsid w:val="00B91C4A"/>
    <w:rsid w:val="00B91D6C"/>
    <w:rsid w:val="00B91E44"/>
    <w:rsid w:val="00B91EA8"/>
    <w:rsid w:val="00B91F98"/>
    <w:rsid w:val="00B91FE8"/>
    <w:rsid w:val="00B9280C"/>
    <w:rsid w:val="00B928C9"/>
    <w:rsid w:val="00B92B1A"/>
    <w:rsid w:val="00B92D66"/>
    <w:rsid w:val="00B92EDC"/>
    <w:rsid w:val="00B92FAD"/>
    <w:rsid w:val="00B938AE"/>
    <w:rsid w:val="00B93948"/>
    <w:rsid w:val="00B93B7D"/>
    <w:rsid w:val="00B93B85"/>
    <w:rsid w:val="00B93BAD"/>
    <w:rsid w:val="00B94013"/>
    <w:rsid w:val="00B94065"/>
    <w:rsid w:val="00B94135"/>
    <w:rsid w:val="00B94872"/>
    <w:rsid w:val="00B94CAC"/>
    <w:rsid w:val="00B94F5F"/>
    <w:rsid w:val="00B9554B"/>
    <w:rsid w:val="00B95749"/>
    <w:rsid w:val="00B958C8"/>
    <w:rsid w:val="00B95E52"/>
    <w:rsid w:val="00B95E6D"/>
    <w:rsid w:val="00B95ED9"/>
    <w:rsid w:val="00B95F6F"/>
    <w:rsid w:val="00B96827"/>
    <w:rsid w:val="00B969EA"/>
    <w:rsid w:val="00B96A9D"/>
    <w:rsid w:val="00B96B42"/>
    <w:rsid w:val="00B96B52"/>
    <w:rsid w:val="00B96C2C"/>
    <w:rsid w:val="00B9737C"/>
    <w:rsid w:val="00B97912"/>
    <w:rsid w:val="00BA08B0"/>
    <w:rsid w:val="00BA0A7B"/>
    <w:rsid w:val="00BA0C02"/>
    <w:rsid w:val="00BA0FFD"/>
    <w:rsid w:val="00BA1378"/>
    <w:rsid w:val="00BA2143"/>
    <w:rsid w:val="00BA221E"/>
    <w:rsid w:val="00BA2912"/>
    <w:rsid w:val="00BA2AA6"/>
    <w:rsid w:val="00BA2AAC"/>
    <w:rsid w:val="00BA2AB3"/>
    <w:rsid w:val="00BA2ABC"/>
    <w:rsid w:val="00BA2DC1"/>
    <w:rsid w:val="00BA319C"/>
    <w:rsid w:val="00BA32DF"/>
    <w:rsid w:val="00BA343C"/>
    <w:rsid w:val="00BA3A12"/>
    <w:rsid w:val="00BA3CE0"/>
    <w:rsid w:val="00BA4220"/>
    <w:rsid w:val="00BA4728"/>
    <w:rsid w:val="00BA495D"/>
    <w:rsid w:val="00BA49EF"/>
    <w:rsid w:val="00BA4BC7"/>
    <w:rsid w:val="00BA4C2D"/>
    <w:rsid w:val="00BA4D39"/>
    <w:rsid w:val="00BA5546"/>
    <w:rsid w:val="00BA55B7"/>
    <w:rsid w:val="00BA56A4"/>
    <w:rsid w:val="00BA5776"/>
    <w:rsid w:val="00BA57CF"/>
    <w:rsid w:val="00BA5E47"/>
    <w:rsid w:val="00BA635D"/>
    <w:rsid w:val="00BA6A1C"/>
    <w:rsid w:val="00BA6AAD"/>
    <w:rsid w:val="00BA71D9"/>
    <w:rsid w:val="00BA73CE"/>
    <w:rsid w:val="00BA7523"/>
    <w:rsid w:val="00BA7768"/>
    <w:rsid w:val="00BA7786"/>
    <w:rsid w:val="00BA7D57"/>
    <w:rsid w:val="00BA7F94"/>
    <w:rsid w:val="00BA7FB7"/>
    <w:rsid w:val="00BB000B"/>
    <w:rsid w:val="00BB027B"/>
    <w:rsid w:val="00BB0A78"/>
    <w:rsid w:val="00BB0C8E"/>
    <w:rsid w:val="00BB0E05"/>
    <w:rsid w:val="00BB1112"/>
    <w:rsid w:val="00BB150E"/>
    <w:rsid w:val="00BB156E"/>
    <w:rsid w:val="00BB15A1"/>
    <w:rsid w:val="00BB1BEE"/>
    <w:rsid w:val="00BB22A3"/>
    <w:rsid w:val="00BB231E"/>
    <w:rsid w:val="00BB2855"/>
    <w:rsid w:val="00BB2A45"/>
    <w:rsid w:val="00BB2A56"/>
    <w:rsid w:val="00BB3163"/>
    <w:rsid w:val="00BB3330"/>
    <w:rsid w:val="00BB3548"/>
    <w:rsid w:val="00BB368B"/>
    <w:rsid w:val="00BB380F"/>
    <w:rsid w:val="00BB3A5D"/>
    <w:rsid w:val="00BB3C2A"/>
    <w:rsid w:val="00BB408D"/>
    <w:rsid w:val="00BB423E"/>
    <w:rsid w:val="00BB47D7"/>
    <w:rsid w:val="00BB4A62"/>
    <w:rsid w:val="00BB5062"/>
    <w:rsid w:val="00BB54A5"/>
    <w:rsid w:val="00BB58BE"/>
    <w:rsid w:val="00BB59DC"/>
    <w:rsid w:val="00BB5AB8"/>
    <w:rsid w:val="00BB6315"/>
    <w:rsid w:val="00BB644C"/>
    <w:rsid w:val="00BB646C"/>
    <w:rsid w:val="00BB64A4"/>
    <w:rsid w:val="00BB6573"/>
    <w:rsid w:val="00BB682A"/>
    <w:rsid w:val="00BB6870"/>
    <w:rsid w:val="00BB69A1"/>
    <w:rsid w:val="00BB6C01"/>
    <w:rsid w:val="00BB6F16"/>
    <w:rsid w:val="00BB70F5"/>
    <w:rsid w:val="00BB71F4"/>
    <w:rsid w:val="00BB7639"/>
    <w:rsid w:val="00BB7B55"/>
    <w:rsid w:val="00BB7BA9"/>
    <w:rsid w:val="00BC010E"/>
    <w:rsid w:val="00BC01C1"/>
    <w:rsid w:val="00BC0354"/>
    <w:rsid w:val="00BC03CE"/>
    <w:rsid w:val="00BC07AA"/>
    <w:rsid w:val="00BC0D15"/>
    <w:rsid w:val="00BC15B5"/>
    <w:rsid w:val="00BC1611"/>
    <w:rsid w:val="00BC1B27"/>
    <w:rsid w:val="00BC1E25"/>
    <w:rsid w:val="00BC2177"/>
    <w:rsid w:val="00BC2194"/>
    <w:rsid w:val="00BC2399"/>
    <w:rsid w:val="00BC2957"/>
    <w:rsid w:val="00BC2F4E"/>
    <w:rsid w:val="00BC2F76"/>
    <w:rsid w:val="00BC3055"/>
    <w:rsid w:val="00BC3B36"/>
    <w:rsid w:val="00BC3F70"/>
    <w:rsid w:val="00BC3FFA"/>
    <w:rsid w:val="00BC402F"/>
    <w:rsid w:val="00BC41ED"/>
    <w:rsid w:val="00BC420C"/>
    <w:rsid w:val="00BC436C"/>
    <w:rsid w:val="00BC44A1"/>
    <w:rsid w:val="00BC44C9"/>
    <w:rsid w:val="00BC453C"/>
    <w:rsid w:val="00BC4620"/>
    <w:rsid w:val="00BC4D78"/>
    <w:rsid w:val="00BC4DA2"/>
    <w:rsid w:val="00BC4DB7"/>
    <w:rsid w:val="00BC4FAE"/>
    <w:rsid w:val="00BC51BA"/>
    <w:rsid w:val="00BC5427"/>
    <w:rsid w:val="00BC54CF"/>
    <w:rsid w:val="00BC56E0"/>
    <w:rsid w:val="00BC58B1"/>
    <w:rsid w:val="00BC5A34"/>
    <w:rsid w:val="00BC5AFA"/>
    <w:rsid w:val="00BC5D63"/>
    <w:rsid w:val="00BC62FB"/>
    <w:rsid w:val="00BC63E5"/>
    <w:rsid w:val="00BC65D3"/>
    <w:rsid w:val="00BC68B8"/>
    <w:rsid w:val="00BC6977"/>
    <w:rsid w:val="00BC6A5D"/>
    <w:rsid w:val="00BC6C24"/>
    <w:rsid w:val="00BC6CD3"/>
    <w:rsid w:val="00BC7297"/>
    <w:rsid w:val="00BC7731"/>
    <w:rsid w:val="00BC7888"/>
    <w:rsid w:val="00BC7C0B"/>
    <w:rsid w:val="00BC7D6F"/>
    <w:rsid w:val="00BC7DB1"/>
    <w:rsid w:val="00BD00D4"/>
    <w:rsid w:val="00BD0369"/>
    <w:rsid w:val="00BD058B"/>
    <w:rsid w:val="00BD05A9"/>
    <w:rsid w:val="00BD05EA"/>
    <w:rsid w:val="00BD0680"/>
    <w:rsid w:val="00BD0990"/>
    <w:rsid w:val="00BD127C"/>
    <w:rsid w:val="00BD1528"/>
    <w:rsid w:val="00BD15E8"/>
    <w:rsid w:val="00BD17F5"/>
    <w:rsid w:val="00BD19A0"/>
    <w:rsid w:val="00BD1CDA"/>
    <w:rsid w:val="00BD1EB3"/>
    <w:rsid w:val="00BD1F46"/>
    <w:rsid w:val="00BD217F"/>
    <w:rsid w:val="00BD2897"/>
    <w:rsid w:val="00BD2C2B"/>
    <w:rsid w:val="00BD3030"/>
    <w:rsid w:val="00BD3073"/>
    <w:rsid w:val="00BD35BD"/>
    <w:rsid w:val="00BD3B0D"/>
    <w:rsid w:val="00BD3CE3"/>
    <w:rsid w:val="00BD3D59"/>
    <w:rsid w:val="00BD4143"/>
    <w:rsid w:val="00BD4B36"/>
    <w:rsid w:val="00BD4F36"/>
    <w:rsid w:val="00BD5088"/>
    <w:rsid w:val="00BD5267"/>
    <w:rsid w:val="00BD52D5"/>
    <w:rsid w:val="00BD53B3"/>
    <w:rsid w:val="00BD5AE7"/>
    <w:rsid w:val="00BD5C91"/>
    <w:rsid w:val="00BD5DB2"/>
    <w:rsid w:val="00BD5DDF"/>
    <w:rsid w:val="00BD5FE5"/>
    <w:rsid w:val="00BD603F"/>
    <w:rsid w:val="00BD6202"/>
    <w:rsid w:val="00BD6260"/>
    <w:rsid w:val="00BD6621"/>
    <w:rsid w:val="00BD68AB"/>
    <w:rsid w:val="00BD697A"/>
    <w:rsid w:val="00BD6CDF"/>
    <w:rsid w:val="00BD6E05"/>
    <w:rsid w:val="00BD7176"/>
    <w:rsid w:val="00BD72BA"/>
    <w:rsid w:val="00BD756F"/>
    <w:rsid w:val="00BD7580"/>
    <w:rsid w:val="00BD7837"/>
    <w:rsid w:val="00BD7890"/>
    <w:rsid w:val="00BD7A5C"/>
    <w:rsid w:val="00BD7B52"/>
    <w:rsid w:val="00BD7E3A"/>
    <w:rsid w:val="00BD7FD7"/>
    <w:rsid w:val="00BE0199"/>
    <w:rsid w:val="00BE0B98"/>
    <w:rsid w:val="00BE0E02"/>
    <w:rsid w:val="00BE0E3B"/>
    <w:rsid w:val="00BE0FE1"/>
    <w:rsid w:val="00BE11C4"/>
    <w:rsid w:val="00BE1BB1"/>
    <w:rsid w:val="00BE1EF6"/>
    <w:rsid w:val="00BE2093"/>
    <w:rsid w:val="00BE2384"/>
    <w:rsid w:val="00BE2672"/>
    <w:rsid w:val="00BE26BD"/>
    <w:rsid w:val="00BE28AB"/>
    <w:rsid w:val="00BE3211"/>
    <w:rsid w:val="00BE3595"/>
    <w:rsid w:val="00BE3A51"/>
    <w:rsid w:val="00BE3FE3"/>
    <w:rsid w:val="00BE4012"/>
    <w:rsid w:val="00BE44C8"/>
    <w:rsid w:val="00BE4678"/>
    <w:rsid w:val="00BE4792"/>
    <w:rsid w:val="00BE4982"/>
    <w:rsid w:val="00BE4988"/>
    <w:rsid w:val="00BE53AC"/>
    <w:rsid w:val="00BE54D0"/>
    <w:rsid w:val="00BE5945"/>
    <w:rsid w:val="00BE5B6A"/>
    <w:rsid w:val="00BE5E7A"/>
    <w:rsid w:val="00BE61B2"/>
    <w:rsid w:val="00BE62B2"/>
    <w:rsid w:val="00BE62DF"/>
    <w:rsid w:val="00BE64EE"/>
    <w:rsid w:val="00BE6559"/>
    <w:rsid w:val="00BE67A7"/>
    <w:rsid w:val="00BE6A23"/>
    <w:rsid w:val="00BE6B02"/>
    <w:rsid w:val="00BE6BAA"/>
    <w:rsid w:val="00BE6E20"/>
    <w:rsid w:val="00BE70E6"/>
    <w:rsid w:val="00BE7423"/>
    <w:rsid w:val="00BE7C5C"/>
    <w:rsid w:val="00BE7D2A"/>
    <w:rsid w:val="00BE7DB0"/>
    <w:rsid w:val="00BF0DFF"/>
    <w:rsid w:val="00BF0E37"/>
    <w:rsid w:val="00BF124A"/>
    <w:rsid w:val="00BF1527"/>
    <w:rsid w:val="00BF17F2"/>
    <w:rsid w:val="00BF1863"/>
    <w:rsid w:val="00BF199D"/>
    <w:rsid w:val="00BF1B3B"/>
    <w:rsid w:val="00BF259D"/>
    <w:rsid w:val="00BF26E9"/>
    <w:rsid w:val="00BF29A6"/>
    <w:rsid w:val="00BF2DAB"/>
    <w:rsid w:val="00BF2EF3"/>
    <w:rsid w:val="00BF2F48"/>
    <w:rsid w:val="00BF322D"/>
    <w:rsid w:val="00BF349D"/>
    <w:rsid w:val="00BF34BB"/>
    <w:rsid w:val="00BF3579"/>
    <w:rsid w:val="00BF364D"/>
    <w:rsid w:val="00BF3667"/>
    <w:rsid w:val="00BF3853"/>
    <w:rsid w:val="00BF3E19"/>
    <w:rsid w:val="00BF3FA8"/>
    <w:rsid w:val="00BF41A1"/>
    <w:rsid w:val="00BF4243"/>
    <w:rsid w:val="00BF46E6"/>
    <w:rsid w:val="00BF4725"/>
    <w:rsid w:val="00BF4A2D"/>
    <w:rsid w:val="00BF4B62"/>
    <w:rsid w:val="00BF4DBD"/>
    <w:rsid w:val="00BF52B1"/>
    <w:rsid w:val="00BF52CB"/>
    <w:rsid w:val="00BF5312"/>
    <w:rsid w:val="00BF5818"/>
    <w:rsid w:val="00BF58E3"/>
    <w:rsid w:val="00BF5973"/>
    <w:rsid w:val="00BF5AF1"/>
    <w:rsid w:val="00BF5B1D"/>
    <w:rsid w:val="00BF628B"/>
    <w:rsid w:val="00BF63A8"/>
    <w:rsid w:val="00BF6420"/>
    <w:rsid w:val="00BF69D2"/>
    <w:rsid w:val="00BF6B6C"/>
    <w:rsid w:val="00BF6D8E"/>
    <w:rsid w:val="00BF714A"/>
    <w:rsid w:val="00BF71C5"/>
    <w:rsid w:val="00BF7251"/>
    <w:rsid w:val="00BF7F28"/>
    <w:rsid w:val="00C004D3"/>
    <w:rsid w:val="00C00579"/>
    <w:rsid w:val="00C007B5"/>
    <w:rsid w:val="00C0080C"/>
    <w:rsid w:val="00C00D19"/>
    <w:rsid w:val="00C00F9F"/>
    <w:rsid w:val="00C0163E"/>
    <w:rsid w:val="00C0167D"/>
    <w:rsid w:val="00C01909"/>
    <w:rsid w:val="00C02099"/>
    <w:rsid w:val="00C0239E"/>
    <w:rsid w:val="00C023AF"/>
    <w:rsid w:val="00C024FC"/>
    <w:rsid w:val="00C02565"/>
    <w:rsid w:val="00C02575"/>
    <w:rsid w:val="00C030B4"/>
    <w:rsid w:val="00C030F6"/>
    <w:rsid w:val="00C030FC"/>
    <w:rsid w:val="00C03190"/>
    <w:rsid w:val="00C03501"/>
    <w:rsid w:val="00C0384B"/>
    <w:rsid w:val="00C03D1B"/>
    <w:rsid w:val="00C03D95"/>
    <w:rsid w:val="00C03E99"/>
    <w:rsid w:val="00C03FBD"/>
    <w:rsid w:val="00C042FA"/>
    <w:rsid w:val="00C04996"/>
    <w:rsid w:val="00C04B6F"/>
    <w:rsid w:val="00C04CA5"/>
    <w:rsid w:val="00C04E3C"/>
    <w:rsid w:val="00C04F52"/>
    <w:rsid w:val="00C05400"/>
    <w:rsid w:val="00C05787"/>
    <w:rsid w:val="00C058F0"/>
    <w:rsid w:val="00C05912"/>
    <w:rsid w:val="00C05DC6"/>
    <w:rsid w:val="00C0633A"/>
    <w:rsid w:val="00C06A08"/>
    <w:rsid w:val="00C06CE8"/>
    <w:rsid w:val="00C070C0"/>
    <w:rsid w:val="00C071D8"/>
    <w:rsid w:val="00C0738D"/>
    <w:rsid w:val="00C07826"/>
    <w:rsid w:val="00C07A30"/>
    <w:rsid w:val="00C07D6E"/>
    <w:rsid w:val="00C07F09"/>
    <w:rsid w:val="00C1051C"/>
    <w:rsid w:val="00C108D7"/>
    <w:rsid w:val="00C10910"/>
    <w:rsid w:val="00C10DB1"/>
    <w:rsid w:val="00C1114C"/>
    <w:rsid w:val="00C111FE"/>
    <w:rsid w:val="00C113BA"/>
    <w:rsid w:val="00C11905"/>
    <w:rsid w:val="00C11BDF"/>
    <w:rsid w:val="00C11E67"/>
    <w:rsid w:val="00C11FF5"/>
    <w:rsid w:val="00C1236A"/>
    <w:rsid w:val="00C12451"/>
    <w:rsid w:val="00C12F1C"/>
    <w:rsid w:val="00C12FB7"/>
    <w:rsid w:val="00C1304E"/>
    <w:rsid w:val="00C13059"/>
    <w:rsid w:val="00C13345"/>
    <w:rsid w:val="00C134E5"/>
    <w:rsid w:val="00C1364C"/>
    <w:rsid w:val="00C13B2D"/>
    <w:rsid w:val="00C13EB5"/>
    <w:rsid w:val="00C141BA"/>
    <w:rsid w:val="00C14873"/>
    <w:rsid w:val="00C14883"/>
    <w:rsid w:val="00C14C0C"/>
    <w:rsid w:val="00C14E48"/>
    <w:rsid w:val="00C1515D"/>
    <w:rsid w:val="00C15462"/>
    <w:rsid w:val="00C156D4"/>
    <w:rsid w:val="00C1570D"/>
    <w:rsid w:val="00C15AE4"/>
    <w:rsid w:val="00C15E13"/>
    <w:rsid w:val="00C161E8"/>
    <w:rsid w:val="00C163B3"/>
    <w:rsid w:val="00C167A3"/>
    <w:rsid w:val="00C16B26"/>
    <w:rsid w:val="00C16FA8"/>
    <w:rsid w:val="00C17098"/>
    <w:rsid w:val="00C17266"/>
    <w:rsid w:val="00C1743F"/>
    <w:rsid w:val="00C17490"/>
    <w:rsid w:val="00C1772A"/>
    <w:rsid w:val="00C17816"/>
    <w:rsid w:val="00C17B66"/>
    <w:rsid w:val="00C17BF1"/>
    <w:rsid w:val="00C17C04"/>
    <w:rsid w:val="00C17D0E"/>
    <w:rsid w:val="00C17FCC"/>
    <w:rsid w:val="00C201B2"/>
    <w:rsid w:val="00C203B5"/>
    <w:rsid w:val="00C20484"/>
    <w:rsid w:val="00C20591"/>
    <w:rsid w:val="00C209AB"/>
    <w:rsid w:val="00C20A10"/>
    <w:rsid w:val="00C21206"/>
    <w:rsid w:val="00C2125A"/>
    <w:rsid w:val="00C217C1"/>
    <w:rsid w:val="00C2181C"/>
    <w:rsid w:val="00C2185C"/>
    <w:rsid w:val="00C21CEC"/>
    <w:rsid w:val="00C224EE"/>
    <w:rsid w:val="00C22B9A"/>
    <w:rsid w:val="00C23307"/>
    <w:rsid w:val="00C23309"/>
    <w:rsid w:val="00C23693"/>
    <w:rsid w:val="00C236F8"/>
    <w:rsid w:val="00C238C1"/>
    <w:rsid w:val="00C23CC8"/>
    <w:rsid w:val="00C23D52"/>
    <w:rsid w:val="00C2401F"/>
    <w:rsid w:val="00C245C2"/>
    <w:rsid w:val="00C2489F"/>
    <w:rsid w:val="00C24C97"/>
    <w:rsid w:val="00C2537D"/>
    <w:rsid w:val="00C25500"/>
    <w:rsid w:val="00C255B1"/>
    <w:rsid w:val="00C25A7E"/>
    <w:rsid w:val="00C25B88"/>
    <w:rsid w:val="00C26184"/>
    <w:rsid w:val="00C26275"/>
    <w:rsid w:val="00C264CF"/>
    <w:rsid w:val="00C2657D"/>
    <w:rsid w:val="00C266FC"/>
    <w:rsid w:val="00C2677B"/>
    <w:rsid w:val="00C268C1"/>
    <w:rsid w:val="00C269B1"/>
    <w:rsid w:val="00C269B3"/>
    <w:rsid w:val="00C26BA1"/>
    <w:rsid w:val="00C26BFB"/>
    <w:rsid w:val="00C270B2"/>
    <w:rsid w:val="00C27120"/>
    <w:rsid w:val="00C2742B"/>
    <w:rsid w:val="00C2751A"/>
    <w:rsid w:val="00C277BB"/>
    <w:rsid w:val="00C278FF"/>
    <w:rsid w:val="00C27918"/>
    <w:rsid w:val="00C279C3"/>
    <w:rsid w:val="00C27B17"/>
    <w:rsid w:val="00C27FA7"/>
    <w:rsid w:val="00C3012E"/>
    <w:rsid w:val="00C3026F"/>
    <w:rsid w:val="00C30517"/>
    <w:rsid w:val="00C307B1"/>
    <w:rsid w:val="00C308C7"/>
    <w:rsid w:val="00C30CD1"/>
    <w:rsid w:val="00C3110D"/>
    <w:rsid w:val="00C31123"/>
    <w:rsid w:val="00C31127"/>
    <w:rsid w:val="00C31466"/>
    <w:rsid w:val="00C314D4"/>
    <w:rsid w:val="00C318F1"/>
    <w:rsid w:val="00C31E3C"/>
    <w:rsid w:val="00C3214B"/>
    <w:rsid w:val="00C322AF"/>
    <w:rsid w:val="00C3231C"/>
    <w:rsid w:val="00C32D83"/>
    <w:rsid w:val="00C33128"/>
    <w:rsid w:val="00C331B8"/>
    <w:rsid w:val="00C331E3"/>
    <w:rsid w:val="00C33331"/>
    <w:rsid w:val="00C335DA"/>
    <w:rsid w:val="00C338A7"/>
    <w:rsid w:val="00C33955"/>
    <w:rsid w:val="00C33CEE"/>
    <w:rsid w:val="00C33D4B"/>
    <w:rsid w:val="00C34204"/>
    <w:rsid w:val="00C34548"/>
    <w:rsid w:val="00C346F0"/>
    <w:rsid w:val="00C34891"/>
    <w:rsid w:val="00C349F0"/>
    <w:rsid w:val="00C34AF5"/>
    <w:rsid w:val="00C34E15"/>
    <w:rsid w:val="00C355D4"/>
    <w:rsid w:val="00C35810"/>
    <w:rsid w:val="00C35C11"/>
    <w:rsid w:val="00C35C8B"/>
    <w:rsid w:val="00C35E27"/>
    <w:rsid w:val="00C35FC1"/>
    <w:rsid w:val="00C362D1"/>
    <w:rsid w:val="00C362D4"/>
    <w:rsid w:val="00C3634E"/>
    <w:rsid w:val="00C365DC"/>
    <w:rsid w:val="00C36612"/>
    <w:rsid w:val="00C36897"/>
    <w:rsid w:val="00C36E80"/>
    <w:rsid w:val="00C36EE1"/>
    <w:rsid w:val="00C37093"/>
    <w:rsid w:val="00C37131"/>
    <w:rsid w:val="00C3738A"/>
    <w:rsid w:val="00C37410"/>
    <w:rsid w:val="00C37413"/>
    <w:rsid w:val="00C375DF"/>
    <w:rsid w:val="00C37676"/>
    <w:rsid w:val="00C37703"/>
    <w:rsid w:val="00C378DF"/>
    <w:rsid w:val="00C379D7"/>
    <w:rsid w:val="00C37F45"/>
    <w:rsid w:val="00C40562"/>
    <w:rsid w:val="00C4115A"/>
    <w:rsid w:val="00C4133F"/>
    <w:rsid w:val="00C415C9"/>
    <w:rsid w:val="00C416E1"/>
    <w:rsid w:val="00C41790"/>
    <w:rsid w:val="00C41979"/>
    <w:rsid w:val="00C422B5"/>
    <w:rsid w:val="00C42DBF"/>
    <w:rsid w:val="00C42E4E"/>
    <w:rsid w:val="00C43121"/>
    <w:rsid w:val="00C4317A"/>
    <w:rsid w:val="00C431DD"/>
    <w:rsid w:val="00C43386"/>
    <w:rsid w:val="00C4344B"/>
    <w:rsid w:val="00C43BF8"/>
    <w:rsid w:val="00C43D74"/>
    <w:rsid w:val="00C43F3B"/>
    <w:rsid w:val="00C4405A"/>
    <w:rsid w:val="00C44081"/>
    <w:rsid w:val="00C4426A"/>
    <w:rsid w:val="00C442F4"/>
    <w:rsid w:val="00C445C5"/>
    <w:rsid w:val="00C44711"/>
    <w:rsid w:val="00C44A66"/>
    <w:rsid w:val="00C44B00"/>
    <w:rsid w:val="00C44B55"/>
    <w:rsid w:val="00C44BDC"/>
    <w:rsid w:val="00C44D76"/>
    <w:rsid w:val="00C4519D"/>
    <w:rsid w:val="00C45550"/>
    <w:rsid w:val="00C455BE"/>
    <w:rsid w:val="00C455F2"/>
    <w:rsid w:val="00C45622"/>
    <w:rsid w:val="00C4595D"/>
    <w:rsid w:val="00C459BE"/>
    <w:rsid w:val="00C45D8E"/>
    <w:rsid w:val="00C464BE"/>
    <w:rsid w:val="00C468A4"/>
    <w:rsid w:val="00C46A8A"/>
    <w:rsid w:val="00C46B30"/>
    <w:rsid w:val="00C46B36"/>
    <w:rsid w:val="00C46B52"/>
    <w:rsid w:val="00C46EDF"/>
    <w:rsid w:val="00C470ED"/>
    <w:rsid w:val="00C47308"/>
    <w:rsid w:val="00C47321"/>
    <w:rsid w:val="00C47450"/>
    <w:rsid w:val="00C478EC"/>
    <w:rsid w:val="00C47A3C"/>
    <w:rsid w:val="00C47A8E"/>
    <w:rsid w:val="00C47BF8"/>
    <w:rsid w:val="00C47C15"/>
    <w:rsid w:val="00C47F13"/>
    <w:rsid w:val="00C47F9A"/>
    <w:rsid w:val="00C50301"/>
    <w:rsid w:val="00C50497"/>
    <w:rsid w:val="00C5056C"/>
    <w:rsid w:val="00C50D6F"/>
    <w:rsid w:val="00C517B5"/>
    <w:rsid w:val="00C51B1C"/>
    <w:rsid w:val="00C521F1"/>
    <w:rsid w:val="00C528EB"/>
    <w:rsid w:val="00C529F8"/>
    <w:rsid w:val="00C52F9C"/>
    <w:rsid w:val="00C5311D"/>
    <w:rsid w:val="00C539DB"/>
    <w:rsid w:val="00C53A46"/>
    <w:rsid w:val="00C53BE6"/>
    <w:rsid w:val="00C53C64"/>
    <w:rsid w:val="00C53DCE"/>
    <w:rsid w:val="00C54123"/>
    <w:rsid w:val="00C54246"/>
    <w:rsid w:val="00C54297"/>
    <w:rsid w:val="00C542F6"/>
    <w:rsid w:val="00C54796"/>
    <w:rsid w:val="00C54BA0"/>
    <w:rsid w:val="00C54BDC"/>
    <w:rsid w:val="00C54C4B"/>
    <w:rsid w:val="00C54DFC"/>
    <w:rsid w:val="00C54ECC"/>
    <w:rsid w:val="00C552DF"/>
    <w:rsid w:val="00C554CE"/>
    <w:rsid w:val="00C55707"/>
    <w:rsid w:val="00C55846"/>
    <w:rsid w:val="00C55A05"/>
    <w:rsid w:val="00C5600E"/>
    <w:rsid w:val="00C56B07"/>
    <w:rsid w:val="00C56D1C"/>
    <w:rsid w:val="00C56D78"/>
    <w:rsid w:val="00C57300"/>
    <w:rsid w:val="00C573C6"/>
    <w:rsid w:val="00C575AB"/>
    <w:rsid w:val="00C575E1"/>
    <w:rsid w:val="00C578C3"/>
    <w:rsid w:val="00C5794E"/>
    <w:rsid w:val="00C57DD0"/>
    <w:rsid w:val="00C6022C"/>
    <w:rsid w:val="00C6049D"/>
    <w:rsid w:val="00C60557"/>
    <w:rsid w:val="00C605C5"/>
    <w:rsid w:val="00C605C8"/>
    <w:rsid w:val="00C605CB"/>
    <w:rsid w:val="00C60651"/>
    <w:rsid w:val="00C6091C"/>
    <w:rsid w:val="00C60A76"/>
    <w:rsid w:val="00C60CA5"/>
    <w:rsid w:val="00C60D63"/>
    <w:rsid w:val="00C617DD"/>
    <w:rsid w:val="00C620C2"/>
    <w:rsid w:val="00C62285"/>
    <w:rsid w:val="00C6249F"/>
    <w:rsid w:val="00C62807"/>
    <w:rsid w:val="00C62886"/>
    <w:rsid w:val="00C628A0"/>
    <w:rsid w:val="00C6291E"/>
    <w:rsid w:val="00C6294E"/>
    <w:rsid w:val="00C62B3C"/>
    <w:rsid w:val="00C6334D"/>
    <w:rsid w:val="00C63AC5"/>
    <w:rsid w:val="00C63F65"/>
    <w:rsid w:val="00C64223"/>
    <w:rsid w:val="00C64537"/>
    <w:rsid w:val="00C64A2D"/>
    <w:rsid w:val="00C64E4E"/>
    <w:rsid w:val="00C64E77"/>
    <w:rsid w:val="00C64EB5"/>
    <w:rsid w:val="00C655F2"/>
    <w:rsid w:val="00C656A9"/>
    <w:rsid w:val="00C65895"/>
    <w:rsid w:val="00C659FF"/>
    <w:rsid w:val="00C65AD3"/>
    <w:rsid w:val="00C65B61"/>
    <w:rsid w:val="00C65B6D"/>
    <w:rsid w:val="00C65D13"/>
    <w:rsid w:val="00C662F0"/>
    <w:rsid w:val="00C6631F"/>
    <w:rsid w:val="00C663AE"/>
    <w:rsid w:val="00C66555"/>
    <w:rsid w:val="00C66926"/>
    <w:rsid w:val="00C66C3C"/>
    <w:rsid w:val="00C66D0C"/>
    <w:rsid w:val="00C66FA7"/>
    <w:rsid w:val="00C670DA"/>
    <w:rsid w:val="00C67210"/>
    <w:rsid w:val="00C67B70"/>
    <w:rsid w:val="00C702C5"/>
    <w:rsid w:val="00C7075B"/>
    <w:rsid w:val="00C708FF"/>
    <w:rsid w:val="00C70986"/>
    <w:rsid w:val="00C70BBB"/>
    <w:rsid w:val="00C70E53"/>
    <w:rsid w:val="00C71068"/>
    <w:rsid w:val="00C71130"/>
    <w:rsid w:val="00C71758"/>
    <w:rsid w:val="00C71784"/>
    <w:rsid w:val="00C725CB"/>
    <w:rsid w:val="00C726CA"/>
    <w:rsid w:val="00C72755"/>
    <w:rsid w:val="00C72798"/>
    <w:rsid w:val="00C72979"/>
    <w:rsid w:val="00C72A48"/>
    <w:rsid w:val="00C72E2C"/>
    <w:rsid w:val="00C730F3"/>
    <w:rsid w:val="00C7374A"/>
    <w:rsid w:val="00C73784"/>
    <w:rsid w:val="00C73791"/>
    <w:rsid w:val="00C73A70"/>
    <w:rsid w:val="00C7422D"/>
    <w:rsid w:val="00C74256"/>
    <w:rsid w:val="00C742BA"/>
    <w:rsid w:val="00C742DD"/>
    <w:rsid w:val="00C74455"/>
    <w:rsid w:val="00C744D9"/>
    <w:rsid w:val="00C7468B"/>
    <w:rsid w:val="00C74739"/>
    <w:rsid w:val="00C74ED5"/>
    <w:rsid w:val="00C75893"/>
    <w:rsid w:val="00C75BF6"/>
    <w:rsid w:val="00C76048"/>
    <w:rsid w:val="00C76464"/>
    <w:rsid w:val="00C76476"/>
    <w:rsid w:val="00C76637"/>
    <w:rsid w:val="00C76744"/>
    <w:rsid w:val="00C767C6"/>
    <w:rsid w:val="00C76D6B"/>
    <w:rsid w:val="00C770E0"/>
    <w:rsid w:val="00C774D1"/>
    <w:rsid w:val="00C775C3"/>
    <w:rsid w:val="00C77D3D"/>
    <w:rsid w:val="00C77EB2"/>
    <w:rsid w:val="00C77FF6"/>
    <w:rsid w:val="00C8002E"/>
    <w:rsid w:val="00C80117"/>
    <w:rsid w:val="00C80431"/>
    <w:rsid w:val="00C80981"/>
    <w:rsid w:val="00C80AF5"/>
    <w:rsid w:val="00C80BC0"/>
    <w:rsid w:val="00C80F60"/>
    <w:rsid w:val="00C81391"/>
    <w:rsid w:val="00C81529"/>
    <w:rsid w:val="00C81AF4"/>
    <w:rsid w:val="00C81B80"/>
    <w:rsid w:val="00C81BA6"/>
    <w:rsid w:val="00C81D09"/>
    <w:rsid w:val="00C81E2E"/>
    <w:rsid w:val="00C822DF"/>
    <w:rsid w:val="00C825BF"/>
    <w:rsid w:val="00C825C1"/>
    <w:rsid w:val="00C82621"/>
    <w:rsid w:val="00C82759"/>
    <w:rsid w:val="00C832AD"/>
    <w:rsid w:val="00C83494"/>
    <w:rsid w:val="00C8377C"/>
    <w:rsid w:val="00C83A16"/>
    <w:rsid w:val="00C83C14"/>
    <w:rsid w:val="00C83DEC"/>
    <w:rsid w:val="00C83E51"/>
    <w:rsid w:val="00C845E1"/>
    <w:rsid w:val="00C84A36"/>
    <w:rsid w:val="00C84CC1"/>
    <w:rsid w:val="00C84F99"/>
    <w:rsid w:val="00C8527A"/>
    <w:rsid w:val="00C852B1"/>
    <w:rsid w:val="00C85B25"/>
    <w:rsid w:val="00C85EC1"/>
    <w:rsid w:val="00C85FCE"/>
    <w:rsid w:val="00C8640C"/>
    <w:rsid w:val="00C86551"/>
    <w:rsid w:val="00C866FD"/>
    <w:rsid w:val="00C86709"/>
    <w:rsid w:val="00C87045"/>
    <w:rsid w:val="00C8737F"/>
    <w:rsid w:val="00C8760C"/>
    <w:rsid w:val="00C877CD"/>
    <w:rsid w:val="00C87984"/>
    <w:rsid w:val="00C87C4A"/>
    <w:rsid w:val="00C87E49"/>
    <w:rsid w:val="00C87FCF"/>
    <w:rsid w:val="00C87FEE"/>
    <w:rsid w:val="00C902C6"/>
    <w:rsid w:val="00C902E9"/>
    <w:rsid w:val="00C908B7"/>
    <w:rsid w:val="00C90AD3"/>
    <w:rsid w:val="00C90B70"/>
    <w:rsid w:val="00C90D0E"/>
    <w:rsid w:val="00C918CB"/>
    <w:rsid w:val="00C91B29"/>
    <w:rsid w:val="00C91D37"/>
    <w:rsid w:val="00C91D81"/>
    <w:rsid w:val="00C92297"/>
    <w:rsid w:val="00C928ED"/>
    <w:rsid w:val="00C928F9"/>
    <w:rsid w:val="00C9296A"/>
    <w:rsid w:val="00C92A42"/>
    <w:rsid w:val="00C92B55"/>
    <w:rsid w:val="00C92DE1"/>
    <w:rsid w:val="00C92DEE"/>
    <w:rsid w:val="00C92E32"/>
    <w:rsid w:val="00C92F17"/>
    <w:rsid w:val="00C931A6"/>
    <w:rsid w:val="00C93380"/>
    <w:rsid w:val="00C93A1E"/>
    <w:rsid w:val="00C93E6F"/>
    <w:rsid w:val="00C93EF3"/>
    <w:rsid w:val="00C940F9"/>
    <w:rsid w:val="00C943FA"/>
    <w:rsid w:val="00C9459B"/>
    <w:rsid w:val="00C9473B"/>
    <w:rsid w:val="00C9483D"/>
    <w:rsid w:val="00C9484C"/>
    <w:rsid w:val="00C94C84"/>
    <w:rsid w:val="00C94E01"/>
    <w:rsid w:val="00C94E54"/>
    <w:rsid w:val="00C95014"/>
    <w:rsid w:val="00C9549F"/>
    <w:rsid w:val="00C954B9"/>
    <w:rsid w:val="00C9575C"/>
    <w:rsid w:val="00C960E2"/>
    <w:rsid w:val="00C964C8"/>
    <w:rsid w:val="00C96834"/>
    <w:rsid w:val="00C96C1F"/>
    <w:rsid w:val="00C96C80"/>
    <w:rsid w:val="00C97052"/>
    <w:rsid w:val="00C974CC"/>
    <w:rsid w:val="00C974DC"/>
    <w:rsid w:val="00C97552"/>
    <w:rsid w:val="00C979E5"/>
    <w:rsid w:val="00C97B5E"/>
    <w:rsid w:val="00C97BE5"/>
    <w:rsid w:val="00C97CF0"/>
    <w:rsid w:val="00C97DF9"/>
    <w:rsid w:val="00CA0065"/>
    <w:rsid w:val="00CA0074"/>
    <w:rsid w:val="00CA03B9"/>
    <w:rsid w:val="00CA067E"/>
    <w:rsid w:val="00CA0ACA"/>
    <w:rsid w:val="00CA0BA0"/>
    <w:rsid w:val="00CA0CDB"/>
    <w:rsid w:val="00CA0E85"/>
    <w:rsid w:val="00CA0EB4"/>
    <w:rsid w:val="00CA1023"/>
    <w:rsid w:val="00CA184B"/>
    <w:rsid w:val="00CA18A3"/>
    <w:rsid w:val="00CA18F2"/>
    <w:rsid w:val="00CA1FB8"/>
    <w:rsid w:val="00CA20B4"/>
    <w:rsid w:val="00CA20DA"/>
    <w:rsid w:val="00CA214B"/>
    <w:rsid w:val="00CA2269"/>
    <w:rsid w:val="00CA2392"/>
    <w:rsid w:val="00CA252D"/>
    <w:rsid w:val="00CA27FB"/>
    <w:rsid w:val="00CA2AD7"/>
    <w:rsid w:val="00CA2C29"/>
    <w:rsid w:val="00CA2C6D"/>
    <w:rsid w:val="00CA2D0B"/>
    <w:rsid w:val="00CA30B4"/>
    <w:rsid w:val="00CA315B"/>
    <w:rsid w:val="00CA33E9"/>
    <w:rsid w:val="00CA34E1"/>
    <w:rsid w:val="00CA3EF3"/>
    <w:rsid w:val="00CA4010"/>
    <w:rsid w:val="00CA4060"/>
    <w:rsid w:val="00CA4084"/>
    <w:rsid w:val="00CA40F6"/>
    <w:rsid w:val="00CA426D"/>
    <w:rsid w:val="00CA4288"/>
    <w:rsid w:val="00CA43A4"/>
    <w:rsid w:val="00CA440A"/>
    <w:rsid w:val="00CA4486"/>
    <w:rsid w:val="00CA477E"/>
    <w:rsid w:val="00CA4827"/>
    <w:rsid w:val="00CA4871"/>
    <w:rsid w:val="00CA4AF6"/>
    <w:rsid w:val="00CA578D"/>
    <w:rsid w:val="00CA59E0"/>
    <w:rsid w:val="00CA5D25"/>
    <w:rsid w:val="00CA62CC"/>
    <w:rsid w:val="00CA646D"/>
    <w:rsid w:val="00CA6722"/>
    <w:rsid w:val="00CA69B6"/>
    <w:rsid w:val="00CA6AE0"/>
    <w:rsid w:val="00CA6BDD"/>
    <w:rsid w:val="00CA6D4E"/>
    <w:rsid w:val="00CA6D80"/>
    <w:rsid w:val="00CA6DE3"/>
    <w:rsid w:val="00CA73CC"/>
    <w:rsid w:val="00CA75AA"/>
    <w:rsid w:val="00CA78EE"/>
    <w:rsid w:val="00CA7B4B"/>
    <w:rsid w:val="00CA7F06"/>
    <w:rsid w:val="00CB00C5"/>
    <w:rsid w:val="00CB0631"/>
    <w:rsid w:val="00CB084F"/>
    <w:rsid w:val="00CB0B53"/>
    <w:rsid w:val="00CB0C47"/>
    <w:rsid w:val="00CB0DB7"/>
    <w:rsid w:val="00CB0E5F"/>
    <w:rsid w:val="00CB1053"/>
    <w:rsid w:val="00CB12E5"/>
    <w:rsid w:val="00CB17F7"/>
    <w:rsid w:val="00CB1854"/>
    <w:rsid w:val="00CB1B4D"/>
    <w:rsid w:val="00CB1C29"/>
    <w:rsid w:val="00CB1DE5"/>
    <w:rsid w:val="00CB2DC7"/>
    <w:rsid w:val="00CB2F46"/>
    <w:rsid w:val="00CB3057"/>
    <w:rsid w:val="00CB36A8"/>
    <w:rsid w:val="00CB387C"/>
    <w:rsid w:val="00CB39A6"/>
    <w:rsid w:val="00CB3FCD"/>
    <w:rsid w:val="00CB401E"/>
    <w:rsid w:val="00CB463B"/>
    <w:rsid w:val="00CB469A"/>
    <w:rsid w:val="00CB4F25"/>
    <w:rsid w:val="00CB4FD6"/>
    <w:rsid w:val="00CB5244"/>
    <w:rsid w:val="00CB5383"/>
    <w:rsid w:val="00CB5791"/>
    <w:rsid w:val="00CB5B7C"/>
    <w:rsid w:val="00CB6018"/>
    <w:rsid w:val="00CB66C2"/>
    <w:rsid w:val="00CB6800"/>
    <w:rsid w:val="00CB7018"/>
    <w:rsid w:val="00CB71C6"/>
    <w:rsid w:val="00CB765F"/>
    <w:rsid w:val="00CB7A4E"/>
    <w:rsid w:val="00CB7B59"/>
    <w:rsid w:val="00CB7EE1"/>
    <w:rsid w:val="00CB7EFA"/>
    <w:rsid w:val="00CB7FA9"/>
    <w:rsid w:val="00CC0123"/>
    <w:rsid w:val="00CC01A3"/>
    <w:rsid w:val="00CC053D"/>
    <w:rsid w:val="00CC09EA"/>
    <w:rsid w:val="00CC0BB0"/>
    <w:rsid w:val="00CC139A"/>
    <w:rsid w:val="00CC162E"/>
    <w:rsid w:val="00CC16F1"/>
    <w:rsid w:val="00CC1B6C"/>
    <w:rsid w:val="00CC1C3E"/>
    <w:rsid w:val="00CC1E7A"/>
    <w:rsid w:val="00CC1E95"/>
    <w:rsid w:val="00CC1FAE"/>
    <w:rsid w:val="00CC220F"/>
    <w:rsid w:val="00CC2910"/>
    <w:rsid w:val="00CC2956"/>
    <w:rsid w:val="00CC3121"/>
    <w:rsid w:val="00CC3513"/>
    <w:rsid w:val="00CC35F6"/>
    <w:rsid w:val="00CC377D"/>
    <w:rsid w:val="00CC39FD"/>
    <w:rsid w:val="00CC3ED2"/>
    <w:rsid w:val="00CC4617"/>
    <w:rsid w:val="00CC4645"/>
    <w:rsid w:val="00CC4757"/>
    <w:rsid w:val="00CC48BD"/>
    <w:rsid w:val="00CC4A44"/>
    <w:rsid w:val="00CC4C77"/>
    <w:rsid w:val="00CC4F23"/>
    <w:rsid w:val="00CC4F64"/>
    <w:rsid w:val="00CC4F93"/>
    <w:rsid w:val="00CC5036"/>
    <w:rsid w:val="00CC5048"/>
    <w:rsid w:val="00CC50E3"/>
    <w:rsid w:val="00CC51C9"/>
    <w:rsid w:val="00CC52BE"/>
    <w:rsid w:val="00CC53CD"/>
    <w:rsid w:val="00CC5620"/>
    <w:rsid w:val="00CC58F9"/>
    <w:rsid w:val="00CC597A"/>
    <w:rsid w:val="00CC5B78"/>
    <w:rsid w:val="00CC5CC5"/>
    <w:rsid w:val="00CC7253"/>
    <w:rsid w:val="00CC75B6"/>
    <w:rsid w:val="00CC7B4C"/>
    <w:rsid w:val="00CC7B5B"/>
    <w:rsid w:val="00CC7CAB"/>
    <w:rsid w:val="00CC7F4F"/>
    <w:rsid w:val="00CC7FBA"/>
    <w:rsid w:val="00CD038C"/>
    <w:rsid w:val="00CD058C"/>
    <w:rsid w:val="00CD0792"/>
    <w:rsid w:val="00CD0ABE"/>
    <w:rsid w:val="00CD0BBD"/>
    <w:rsid w:val="00CD1209"/>
    <w:rsid w:val="00CD13EF"/>
    <w:rsid w:val="00CD180D"/>
    <w:rsid w:val="00CD1B31"/>
    <w:rsid w:val="00CD1BB7"/>
    <w:rsid w:val="00CD1CE4"/>
    <w:rsid w:val="00CD1EFE"/>
    <w:rsid w:val="00CD1F5A"/>
    <w:rsid w:val="00CD2303"/>
    <w:rsid w:val="00CD252A"/>
    <w:rsid w:val="00CD258C"/>
    <w:rsid w:val="00CD30BA"/>
    <w:rsid w:val="00CD3262"/>
    <w:rsid w:val="00CD3B06"/>
    <w:rsid w:val="00CD3B98"/>
    <w:rsid w:val="00CD3D0F"/>
    <w:rsid w:val="00CD4216"/>
    <w:rsid w:val="00CD42A7"/>
    <w:rsid w:val="00CD42D4"/>
    <w:rsid w:val="00CD438D"/>
    <w:rsid w:val="00CD43AD"/>
    <w:rsid w:val="00CD4ADB"/>
    <w:rsid w:val="00CD4D37"/>
    <w:rsid w:val="00CD525F"/>
    <w:rsid w:val="00CD5273"/>
    <w:rsid w:val="00CD530A"/>
    <w:rsid w:val="00CD54E5"/>
    <w:rsid w:val="00CD556A"/>
    <w:rsid w:val="00CD628B"/>
    <w:rsid w:val="00CD6341"/>
    <w:rsid w:val="00CD637C"/>
    <w:rsid w:val="00CD68E3"/>
    <w:rsid w:val="00CD6964"/>
    <w:rsid w:val="00CD6F49"/>
    <w:rsid w:val="00CD71E6"/>
    <w:rsid w:val="00CD72E6"/>
    <w:rsid w:val="00CD733F"/>
    <w:rsid w:val="00CD74BA"/>
    <w:rsid w:val="00CD7585"/>
    <w:rsid w:val="00CD763E"/>
    <w:rsid w:val="00CD7A1C"/>
    <w:rsid w:val="00CD7A52"/>
    <w:rsid w:val="00CD7BBE"/>
    <w:rsid w:val="00CE03E4"/>
    <w:rsid w:val="00CE0942"/>
    <w:rsid w:val="00CE0BEF"/>
    <w:rsid w:val="00CE0FEE"/>
    <w:rsid w:val="00CE123F"/>
    <w:rsid w:val="00CE1675"/>
    <w:rsid w:val="00CE1BB7"/>
    <w:rsid w:val="00CE1E6E"/>
    <w:rsid w:val="00CE26D9"/>
    <w:rsid w:val="00CE2949"/>
    <w:rsid w:val="00CE298A"/>
    <w:rsid w:val="00CE2A73"/>
    <w:rsid w:val="00CE2B1B"/>
    <w:rsid w:val="00CE2CA5"/>
    <w:rsid w:val="00CE2DB5"/>
    <w:rsid w:val="00CE3112"/>
    <w:rsid w:val="00CE35CD"/>
    <w:rsid w:val="00CE3762"/>
    <w:rsid w:val="00CE4012"/>
    <w:rsid w:val="00CE413B"/>
    <w:rsid w:val="00CE454F"/>
    <w:rsid w:val="00CE464C"/>
    <w:rsid w:val="00CE4706"/>
    <w:rsid w:val="00CE4904"/>
    <w:rsid w:val="00CE4B5C"/>
    <w:rsid w:val="00CE4D67"/>
    <w:rsid w:val="00CE5093"/>
    <w:rsid w:val="00CE511A"/>
    <w:rsid w:val="00CE5315"/>
    <w:rsid w:val="00CE5830"/>
    <w:rsid w:val="00CE5B12"/>
    <w:rsid w:val="00CE5B22"/>
    <w:rsid w:val="00CE5BE9"/>
    <w:rsid w:val="00CE5CA5"/>
    <w:rsid w:val="00CE5D54"/>
    <w:rsid w:val="00CE5DE4"/>
    <w:rsid w:val="00CE5E0F"/>
    <w:rsid w:val="00CE61B4"/>
    <w:rsid w:val="00CE66CF"/>
    <w:rsid w:val="00CE674D"/>
    <w:rsid w:val="00CE6956"/>
    <w:rsid w:val="00CE78C9"/>
    <w:rsid w:val="00CE7CA5"/>
    <w:rsid w:val="00CE7CF9"/>
    <w:rsid w:val="00CE7DC1"/>
    <w:rsid w:val="00CE7E5B"/>
    <w:rsid w:val="00CF094A"/>
    <w:rsid w:val="00CF098E"/>
    <w:rsid w:val="00CF0A48"/>
    <w:rsid w:val="00CF0B46"/>
    <w:rsid w:val="00CF0B90"/>
    <w:rsid w:val="00CF10FF"/>
    <w:rsid w:val="00CF135C"/>
    <w:rsid w:val="00CF14E5"/>
    <w:rsid w:val="00CF1D81"/>
    <w:rsid w:val="00CF2150"/>
    <w:rsid w:val="00CF227F"/>
    <w:rsid w:val="00CF2330"/>
    <w:rsid w:val="00CF251E"/>
    <w:rsid w:val="00CF2536"/>
    <w:rsid w:val="00CF2543"/>
    <w:rsid w:val="00CF282A"/>
    <w:rsid w:val="00CF2A9F"/>
    <w:rsid w:val="00CF2B3B"/>
    <w:rsid w:val="00CF2B69"/>
    <w:rsid w:val="00CF2C27"/>
    <w:rsid w:val="00CF2DC9"/>
    <w:rsid w:val="00CF2EC7"/>
    <w:rsid w:val="00CF302C"/>
    <w:rsid w:val="00CF36B3"/>
    <w:rsid w:val="00CF39D6"/>
    <w:rsid w:val="00CF3B53"/>
    <w:rsid w:val="00CF3DDF"/>
    <w:rsid w:val="00CF3E4E"/>
    <w:rsid w:val="00CF3E83"/>
    <w:rsid w:val="00CF42DF"/>
    <w:rsid w:val="00CF456A"/>
    <w:rsid w:val="00CF484A"/>
    <w:rsid w:val="00CF4968"/>
    <w:rsid w:val="00CF4D16"/>
    <w:rsid w:val="00CF4E5D"/>
    <w:rsid w:val="00CF4ED2"/>
    <w:rsid w:val="00CF525E"/>
    <w:rsid w:val="00CF528E"/>
    <w:rsid w:val="00CF5420"/>
    <w:rsid w:val="00CF57E4"/>
    <w:rsid w:val="00CF5CCF"/>
    <w:rsid w:val="00CF5DE1"/>
    <w:rsid w:val="00CF636B"/>
    <w:rsid w:val="00CF654D"/>
    <w:rsid w:val="00CF6943"/>
    <w:rsid w:val="00CF6A11"/>
    <w:rsid w:val="00CF6CB9"/>
    <w:rsid w:val="00CF6DD0"/>
    <w:rsid w:val="00CF6F8C"/>
    <w:rsid w:val="00CF7061"/>
    <w:rsid w:val="00CF7134"/>
    <w:rsid w:val="00CF71AF"/>
    <w:rsid w:val="00CF7219"/>
    <w:rsid w:val="00CF734F"/>
    <w:rsid w:val="00CF75DF"/>
    <w:rsid w:val="00CF78FE"/>
    <w:rsid w:val="00CF7B41"/>
    <w:rsid w:val="00CF7CB6"/>
    <w:rsid w:val="00CF7E44"/>
    <w:rsid w:val="00CF7FB4"/>
    <w:rsid w:val="00D0051D"/>
    <w:rsid w:val="00D009F0"/>
    <w:rsid w:val="00D00C1C"/>
    <w:rsid w:val="00D00E65"/>
    <w:rsid w:val="00D00EB2"/>
    <w:rsid w:val="00D00F98"/>
    <w:rsid w:val="00D010BF"/>
    <w:rsid w:val="00D0115A"/>
    <w:rsid w:val="00D011BD"/>
    <w:rsid w:val="00D011F8"/>
    <w:rsid w:val="00D0125C"/>
    <w:rsid w:val="00D01A0E"/>
    <w:rsid w:val="00D01B48"/>
    <w:rsid w:val="00D01BB7"/>
    <w:rsid w:val="00D01D5F"/>
    <w:rsid w:val="00D01E29"/>
    <w:rsid w:val="00D0203C"/>
    <w:rsid w:val="00D021DA"/>
    <w:rsid w:val="00D0224A"/>
    <w:rsid w:val="00D023A7"/>
    <w:rsid w:val="00D023D9"/>
    <w:rsid w:val="00D0270C"/>
    <w:rsid w:val="00D02725"/>
    <w:rsid w:val="00D027BF"/>
    <w:rsid w:val="00D032B3"/>
    <w:rsid w:val="00D03411"/>
    <w:rsid w:val="00D034AC"/>
    <w:rsid w:val="00D03566"/>
    <w:rsid w:val="00D03577"/>
    <w:rsid w:val="00D03593"/>
    <w:rsid w:val="00D03768"/>
    <w:rsid w:val="00D037C1"/>
    <w:rsid w:val="00D03C20"/>
    <w:rsid w:val="00D03D70"/>
    <w:rsid w:val="00D0407C"/>
    <w:rsid w:val="00D043F3"/>
    <w:rsid w:val="00D043F7"/>
    <w:rsid w:val="00D043FB"/>
    <w:rsid w:val="00D04643"/>
    <w:rsid w:val="00D04A70"/>
    <w:rsid w:val="00D04E88"/>
    <w:rsid w:val="00D0598C"/>
    <w:rsid w:val="00D059FE"/>
    <w:rsid w:val="00D05A41"/>
    <w:rsid w:val="00D06389"/>
    <w:rsid w:val="00D06EF3"/>
    <w:rsid w:val="00D070C6"/>
    <w:rsid w:val="00D074F2"/>
    <w:rsid w:val="00D079D4"/>
    <w:rsid w:val="00D1000A"/>
    <w:rsid w:val="00D10089"/>
    <w:rsid w:val="00D10156"/>
    <w:rsid w:val="00D10658"/>
    <w:rsid w:val="00D1069C"/>
    <w:rsid w:val="00D10AA4"/>
    <w:rsid w:val="00D10B5A"/>
    <w:rsid w:val="00D10B7F"/>
    <w:rsid w:val="00D11422"/>
    <w:rsid w:val="00D11527"/>
    <w:rsid w:val="00D117CF"/>
    <w:rsid w:val="00D119D8"/>
    <w:rsid w:val="00D11E68"/>
    <w:rsid w:val="00D125EE"/>
    <w:rsid w:val="00D12658"/>
    <w:rsid w:val="00D126C3"/>
    <w:rsid w:val="00D12913"/>
    <w:rsid w:val="00D12A8A"/>
    <w:rsid w:val="00D12C33"/>
    <w:rsid w:val="00D12CDD"/>
    <w:rsid w:val="00D12D58"/>
    <w:rsid w:val="00D13225"/>
    <w:rsid w:val="00D1329F"/>
    <w:rsid w:val="00D13361"/>
    <w:rsid w:val="00D136B3"/>
    <w:rsid w:val="00D137C8"/>
    <w:rsid w:val="00D13C91"/>
    <w:rsid w:val="00D13DE8"/>
    <w:rsid w:val="00D13E39"/>
    <w:rsid w:val="00D1408B"/>
    <w:rsid w:val="00D14178"/>
    <w:rsid w:val="00D14460"/>
    <w:rsid w:val="00D144A6"/>
    <w:rsid w:val="00D14517"/>
    <w:rsid w:val="00D148DA"/>
    <w:rsid w:val="00D14A43"/>
    <w:rsid w:val="00D14DAD"/>
    <w:rsid w:val="00D14F80"/>
    <w:rsid w:val="00D14F83"/>
    <w:rsid w:val="00D150A2"/>
    <w:rsid w:val="00D15170"/>
    <w:rsid w:val="00D152FB"/>
    <w:rsid w:val="00D15308"/>
    <w:rsid w:val="00D15680"/>
    <w:rsid w:val="00D15898"/>
    <w:rsid w:val="00D15925"/>
    <w:rsid w:val="00D15A70"/>
    <w:rsid w:val="00D15DDE"/>
    <w:rsid w:val="00D16618"/>
    <w:rsid w:val="00D168B6"/>
    <w:rsid w:val="00D16A3A"/>
    <w:rsid w:val="00D16C3B"/>
    <w:rsid w:val="00D16F12"/>
    <w:rsid w:val="00D16F30"/>
    <w:rsid w:val="00D170F5"/>
    <w:rsid w:val="00D17116"/>
    <w:rsid w:val="00D1730B"/>
    <w:rsid w:val="00D173BC"/>
    <w:rsid w:val="00D176AC"/>
    <w:rsid w:val="00D17948"/>
    <w:rsid w:val="00D17952"/>
    <w:rsid w:val="00D17EBD"/>
    <w:rsid w:val="00D17F8D"/>
    <w:rsid w:val="00D20698"/>
    <w:rsid w:val="00D207B2"/>
    <w:rsid w:val="00D20AEE"/>
    <w:rsid w:val="00D20D63"/>
    <w:rsid w:val="00D20ED5"/>
    <w:rsid w:val="00D21335"/>
    <w:rsid w:val="00D21518"/>
    <w:rsid w:val="00D219BA"/>
    <w:rsid w:val="00D21C25"/>
    <w:rsid w:val="00D21E66"/>
    <w:rsid w:val="00D22285"/>
    <w:rsid w:val="00D2246E"/>
    <w:rsid w:val="00D22476"/>
    <w:rsid w:val="00D22A39"/>
    <w:rsid w:val="00D23036"/>
    <w:rsid w:val="00D23141"/>
    <w:rsid w:val="00D23158"/>
    <w:rsid w:val="00D2344A"/>
    <w:rsid w:val="00D23DF3"/>
    <w:rsid w:val="00D23E8A"/>
    <w:rsid w:val="00D23EA5"/>
    <w:rsid w:val="00D23FFF"/>
    <w:rsid w:val="00D24740"/>
    <w:rsid w:val="00D249F0"/>
    <w:rsid w:val="00D24BB6"/>
    <w:rsid w:val="00D24C95"/>
    <w:rsid w:val="00D24CD5"/>
    <w:rsid w:val="00D2500D"/>
    <w:rsid w:val="00D25159"/>
    <w:rsid w:val="00D25284"/>
    <w:rsid w:val="00D2539B"/>
    <w:rsid w:val="00D25427"/>
    <w:rsid w:val="00D2579A"/>
    <w:rsid w:val="00D2582A"/>
    <w:rsid w:val="00D25909"/>
    <w:rsid w:val="00D25B12"/>
    <w:rsid w:val="00D25BE8"/>
    <w:rsid w:val="00D261A2"/>
    <w:rsid w:val="00D26678"/>
    <w:rsid w:val="00D2677C"/>
    <w:rsid w:val="00D26BB1"/>
    <w:rsid w:val="00D275D1"/>
    <w:rsid w:val="00D27638"/>
    <w:rsid w:val="00D278AD"/>
    <w:rsid w:val="00D3005D"/>
    <w:rsid w:val="00D304F6"/>
    <w:rsid w:val="00D307C4"/>
    <w:rsid w:val="00D30A95"/>
    <w:rsid w:val="00D30CAA"/>
    <w:rsid w:val="00D30E58"/>
    <w:rsid w:val="00D31025"/>
    <w:rsid w:val="00D311AB"/>
    <w:rsid w:val="00D314C5"/>
    <w:rsid w:val="00D3162B"/>
    <w:rsid w:val="00D31B3C"/>
    <w:rsid w:val="00D31C18"/>
    <w:rsid w:val="00D31E61"/>
    <w:rsid w:val="00D3201E"/>
    <w:rsid w:val="00D32023"/>
    <w:rsid w:val="00D321C5"/>
    <w:rsid w:val="00D321FB"/>
    <w:rsid w:val="00D3224C"/>
    <w:rsid w:val="00D324A7"/>
    <w:rsid w:val="00D32520"/>
    <w:rsid w:val="00D32585"/>
    <w:rsid w:val="00D325A8"/>
    <w:rsid w:val="00D32B4C"/>
    <w:rsid w:val="00D32D96"/>
    <w:rsid w:val="00D32E8E"/>
    <w:rsid w:val="00D332E4"/>
    <w:rsid w:val="00D33304"/>
    <w:rsid w:val="00D333B0"/>
    <w:rsid w:val="00D33C5C"/>
    <w:rsid w:val="00D33CFB"/>
    <w:rsid w:val="00D33EBC"/>
    <w:rsid w:val="00D34318"/>
    <w:rsid w:val="00D343D0"/>
    <w:rsid w:val="00D34615"/>
    <w:rsid w:val="00D348AC"/>
    <w:rsid w:val="00D34E07"/>
    <w:rsid w:val="00D34EFF"/>
    <w:rsid w:val="00D3516B"/>
    <w:rsid w:val="00D35448"/>
    <w:rsid w:val="00D354E2"/>
    <w:rsid w:val="00D359BD"/>
    <w:rsid w:val="00D359F5"/>
    <w:rsid w:val="00D35F32"/>
    <w:rsid w:val="00D360B5"/>
    <w:rsid w:val="00D36332"/>
    <w:rsid w:val="00D36384"/>
    <w:rsid w:val="00D36BC9"/>
    <w:rsid w:val="00D36E22"/>
    <w:rsid w:val="00D37C41"/>
    <w:rsid w:val="00D37C99"/>
    <w:rsid w:val="00D37CC8"/>
    <w:rsid w:val="00D37DEA"/>
    <w:rsid w:val="00D37E7B"/>
    <w:rsid w:val="00D37F02"/>
    <w:rsid w:val="00D37F38"/>
    <w:rsid w:val="00D4006D"/>
    <w:rsid w:val="00D401F1"/>
    <w:rsid w:val="00D401F9"/>
    <w:rsid w:val="00D4020E"/>
    <w:rsid w:val="00D406CF"/>
    <w:rsid w:val="00D40861"/>
    <w:rsid w:val="00D40C00"/>
    <w:rsid w:val="00D40FCA"/>
    <w:rsid w:val="00D41395"/>
    <w:rsid w:val="00D416DD"/>
    <w:rsid w:val="00D41E50"/>
    <w:rsid w:val="00D423D7"/>
    <w:rsid w:val="00D42661"/>
    <w:rsid w:val="00D426FD"/>
    <w:rsid w:val="00D4288F"/>
    <w:rsid w:val="00D428A0"/>
    <w:rsid w:val="00D42A60"/>
    <w:rsid w:val="00D42BB5"/>
    <w:rsid w:val="00D42BC5"/>
    <w:rsid w:val="00D42C8D"/>
    <w:rsid w:val="00D43096"/>
    <w:rsid w:val="00D43881"/>
    <w:rsid w:val="00D43B41"/>
    <w:rsid w:val="00D43C19"/>
    <w:rsid w:val="00D442AD"/>
    <w:rsid w:val="00D443D1"/>
    <w:rsid w:val="00D4693F"/>
    <w:rsid w:val="00D46FC5"/>
    <w:rsid w:val="00D47116"/>
    <w:rsid w:val="00D4723D"/>
    <w:rsid w:val="00D47386"/>
    <w:rsid w:val="00D4751B"/>
    <w:rsid w:val="00D4765C"/>
    <w:rsid w:val="00D47996"/>
    <w:rsid w:val="00D47AC2"/>
    <w:rsid w:val="00D47C55"/>
    <w:rsid w:val="00D47D17"/>
    <w:rsid w:val="00D47D21"/>
    <w:rsid w:val="00D47E21"/>
    <w:rsid w:val="00D47E65"/>
    <w:rsid w:val="00D502D7"/>
    <w:rsid w:val="00D5051A"/>
    <w:rsid w:val="00D5065D"/>
    <w:rsid w:val="00D508A1"/>
    <w:rsid w:val="00D50A0C"/>
    <w:rsid w:val="00D50B9D"/>
    <w:rsid w:val="00D50D56"/>
    <w:rsid w:val="00D50F79"/>
    <w:rsid w:val="00D51463"/>
    <w:rsid w:val="00D5167D"/>
    <w:rsid w:val="00D51E4B"/>
    <w:rsid w:val="00D5207C"/>
    <w:rsid w:val="00D520A7"/>
    <w:rsid w:val="00D5261A"/>
    <w:rsid w:val="00D5279E"/>
    <w:rsid w:val="00D52917"/>
    <w:rsid w:val="00D52C6C"/>
    <w:rsid w:val="00D52E79"/>
    <w:rsid w:val="00D533B2"/>
    <w:rsid w:val="00D53456"/>
    <w:rsid w:val="00D5351D"/>
    <w:rsid w:val="00D53660"/>
    <w:rsid w:val="00D53842"/>
    <w:rsid w:val="00D53BF4"/>
    <w:rsid w:val="00D53C4C"/>
    <w:rsid w:val="00D53DC4"/>
    <w:rsid w:val="00D53F20"/>
    <w:rsid w:val="00D544AD"/>
    <w:rsid w:val="00D54AB1"/>
    <w:rsid w:val="00D550E5"/>
    <w:rsid w:val="00D554CC"/>
    <w:rsid w:val="00D55590"/>
    <w:rsid w:val="00D5591C"/>
    <w:rsid w:val="00D55933"/>
    <w:rsid w:val="00D55A10"/>
    <w:rsid w:val="00D55A2F"/>
    <w:rsid w:val="00D55B47"/>
    <w:rsid w:val="00D5618A"/>
    <w:rsid w:val="00D56365"/>
    <w:rsid w:val="00D5681A"/>
    <w:rsid w:val="00D56AB6"/>
    <w:rsid w:val="00D56E5E"/>
    <w:rsid w:val="00D57065"/>
    <w:rsid w:val="00D57444"/>
    <w:rsid w:val="00D575DB"/>
    <w:rsid w:val="00D57786"/>
    <w:rsid w:val="00D5784B"/>
    <w:rsid w:val="00D57916"/>
    <w:rsid w:val="00D57924"/>
    <w:rsid w:val="00D57AF9"/>
    <w:rsid w:val="00D57DD4"/>
    <w:rsid w:val="00D57E2B"/>
    <w:rsid w:val="00D57EA7"/>
    <w:rsid w:val="00D57F68"/>
    <w:rsid w:val="00D60191"/>
    <w:rsid w:val="00D602E8"/>
    <w:rsid w:val="00D605E6"/>
    <w:rsid w:val="00D60BA8"/>
    <w:rsid w:val="00D60C15"/>
    <w:rsid w:val="00D60D68"/>
    <w:rsid w:val="00D60FF9"/>
    <w:rsid w:val="00D6131D"/>
    <w:rsid w:val="00D615E6"/>
    <w:rsid w:val="00D61784"/>
    <w:rsid w:val="00D61C17"/>
    <w:rsid w:val="00D61F7B"/>
    <w:rsid w:val="00D6225F"/>
    <w:rsid w:val="00D62567"/>
    <w:rsid w:val="00D62702"/>
    <w:rsid w:val="00D6278B"/>
    <w:rsid w:val="00D627CE"/>
    <w:rsid w:val="00D62A91"/>
    <w:rsid w:val="00D62B41"/>
    <w:rsid w:val="00D62D98"/>
    <w:rsid w:val="00D63359"/>
    <w:rsid w:val="00D634A7"/>
    <w:rsid w:val="00D635D0"/>
    <w:rsid w:val="00D63A84"/>
    <w:rsid w:val="00D63BFA"/>
    <w:rsid w:val="00D63EFB"/>
    <w:rsid w:val="00D6450C"/>
    <w:rsid w:val="00D64541"/>
    <w:rsid w:val="00D646CB"/>
    <w:rsid w:val="00D64915"/>
    <w:rsid w:val="00D649ED"/>
    <w:rsid w:val="00D64B5D"/>
    <w:rsid w:val="00D6559D"/>
    <w:rsid w:val="00D657D1"/>
    <w:rsid w:val="00D658AF"/>
    <w:rsid w:val="00D65946"/>
    <w:rsid w:val="00D659CA"/>
    <w:rsid w:val="00D65BB6"/>
    <w:rsid w:val="00D65E6C"/>
    <w:rsid w:val="00D65E88"/>
    <w:rsid w:val="00D667B9"/>
    <w:rsid w:val="00D66AEE"/>
    <w:rsid w:val="00D66B4D"/>
    <w:rsid w:val="00D66D44"/>
    <w:rsid w:val="00D67290"/>
    <w:rsid w:val="00D673A5"/>
    <w:rsid w:val="00D67400"/>
    <w:rsid w:val="00D67757"/>
    <w:rsid w:val="00D67A07"/>
    <w:rsid w:val="00D67BDE"/>
    <w:rsid w:val="00D67C9D"/>
    <w:rsid w:val="00D67FE9"/>
    <w:rsid w:val="00D70561"/>
    <w:rsid w:val="00D7069B"/>
    <w:rsid w:val="00D70820"/>
    <w:rsid w:val="00D70ABA"/>
    <w:rsid w:val="00D70E5F"/>
    <w:rsid w:val="00D70E90"/>
    <w:rsid w:val="00D70F59"/>
    <w:rsid w:val="00D70FC2"/>
    <w:rsid w:val="00D7100A"/>
    <w:rsid w:val="00D7117D"/>
    <w:rsid w:val="00D71F58"/>
    <w:rsid w:val="00D722AA"/>
    <w:rsid w:val="00D72B74"/>
    <w:rsid w:val="00D72CB0"/>
    <w:rsid w:val="00D72DEC"/>
    <w:rsid w:val="00D72ED7"/>
    <w:rsid w:val="00D7341B"/>
    <w:rsid w:val="00D737AB"/>
    <w:rsid w:val="00D73E63"/>
    <w:rsid w:val="00D742D0"/>
    <w:rsid w:val="00D747A0"/>
    <w:rsid w:val="00D7488C"/>
    <w:rsid w:val="00D74DB7"/>
    <w:rsid w:val="00D7510A"/>
    <w:rsid w:val="00D752EB"/>
    <w:rsid w:val="00D753DF"/>
    <w:rsid w:val="00D75455"/>
    <w:rsid w:val="00D755B4"/>
    <w:rsid w:val="00D75BAF"/>
    <w:rsid w:val="00D75DF3"/>
    <w:rsid w:val="00D75F33"/>
    <w:rsid w:val="00D75FC3"/>
    <w:rsid w:val="00D76046"/>
    <w:rsid w:val="00D76592"/>
    <w:rsid w:val="00D76618"/>
    <w:rsid w:val="00D76658"/>
    <w:rsid w:val="00D7675A"/>
    <w:rsid w:val="00D772E8"/>
    <w:rsid w:val="00D778C5"/>
    <w:rsid w:val="00D77918"/>
    <w:rsid w:val="00D77EF4"/>
    <w:rsid w:val="00D8009C"/>
    <w:rsid w:val="00D80285"/>
    <w:rsid w:val="00D80306"/>
    <w:rsid w:val="00D80375"/>
    <w:rsid w:val="00D80F92"/>
    <w:rsid w:val="00D8116D"/>
    <w:rsid w:val="00D8123A"/>
    <w:rsid w:val="00D812F2"/>
    <w:rsid w:val="00D815F3"/>
    <w:rsid w:val="00D817F0"/>
    <w:rsid w:val="00D81B8A"/>
    <w:rsid w:val="00D81D86"/>
    <w:rsid w:val="00D81DB5"/>
    <w:rsid w:val="00D81F09"/>
    <w:rsid w:val="00D82063"/>
    <w:rsid w:val="00D8226F"/>
    <w:rsid w:val="00D8254C"/>
    <w:rsid w:val="00D827D0"/>
    <w:rsid w:val="00D82A02"/>
    <w:rsid w:val="00D82A0E"/>
    <w:rsid w:val="00D82CAF"/>
    <w:rsid w:val="00D82DDD"/>
    <w:rsid w:val="00D8305C"/>
    <w:rsid w:val="00D8315C"/>
    <w:rsid w:val="00D83340"/>
    <w:rsid w:val="00D83760"/>
    <w:rsid w:val="00D83978"/>
    <w:rsid w:val="00D83C40"/>
    <w:rsid w:val="00D83DE9"/>
    <w:rsid w:val="00D83E57"/>
    <w:rsid w:val="00D83EB5"/>
    <w:rsid w:val="00D8450D"/>
    <w:rsid w:val="00D84605"/>
    <w:rsid w:val="00D84629"/>
    <w:rsid w:val="00D84777"/>
    <w:rsid w:val="00D84EAE"/>
    <w:rsid w:val="00D85270"/>
    <w:rsid w:val="00D855B1"/>
    <w:rsid w:val="00D85789"/>
    <w:rsid w:val="00D857E2"/>
    <w:rsid w:val="00D85960"/>
    <w:rsid w:val="00D85B95"/>
    <w:rsid w:val="00D85EE0"/>
    <w:rsid w:val="00D85FC8"/>
    <w:rsid w:val="00D8617F"/>
    <w:rsid w:val="00D86376"/>
    <w:rsid w:val="00D86547"/>
    <w:rsid w:val="00D865F9"/>
    <w:rsid w:val="00D86647"/>
    <w:rsid w:val="00D86773"/>
    <w:rsid w:val="00D86BC0"/>
    <w:rsid w:val="00D86DA4"/>
    <w:rsid w:val="00D86DB1"/>
    <w:rsid w:val="00D871E4"/>
    <w:rsid w:val="00D873BC"/>
    <w:rsid w:val="00D87A40"/>
    <w:rsid w:val="00D87AFC"/>
    <w:rsid w:val="00D87D7C"/>
    <w:rsid w:val="00D87DBB"/>
    <w:rsid w:val="00D90221"/>
    <w:rsid w:val="00D90725"/>
    <w:rsid w:val="00D90C93"/>
    <w:rsid w:val="00D90CDC"/>
    <w:rsid w:val="00D91124"/>
    <w:rsid w:val="00D91405"/>
    <w:rsid w:val="00D91573"/>
    <w:rsid w:val="00D9164B"/>
    <w:rsid w:val="00D91AE9"/>
    <w:rsid w:val="00D91EFB"/>
    <w:rsid w:val="00D925EF"/>
    <w:rsid w:val="00D9267F"/>
    <w:rsid w:val="00D92B73"/>
    <w:rsid w:val="00D92C3C"/>
    <w:rsid w:val="00D92ECC"/>
    <w:rsid w:val="00D93030"/>
    <w:rsid w:val="00D93130"/>
    <w:rsid w:val="00D9334F"/>
    <w:rsid w:val="00D93806"/>
    <w:rsid w:val="00D93F31"/>
    <w:rsid w:val="00D9420C"/>
    <w:rsid w:val="00D942AD"/>
    <w:rsid w:val="00D94314"/>
    <w:rsid w:val="00D94557"/>
    <w:rsid w:val="00D9467D"/>
    <w:rsid w:val="00D94863"/>
    <w:rsid w:val="00D94E73"/>
    <w:rsid w:val="00D94F78"/>
    <w:rsid w:val="00D956E1"/>
    <w:rsid w:val="00D95810"/>
    <w:rsid w:val="00D95940"/>
    <w:rsid w:val="00D95AF9"/>
    <w:rsid w:val="00D95B4B"/>
    <w:rsid w:val="00D95BD6"/>
    <w:rsid w:val="00D95C08"/>
    <w:rsid w:val="00D95CEF"/>
    <w:rsid w:val="00D96176"/>
    <w:rsid w:val="00D9632A"/>
    <w:rsid w:val="00D963B5"/>
    <w:rsid w:val="00D964AD"/>
    <w:rsid w:val="00D964AE"/>
    <w:rsid w:val="00D9747E"/>
    <w:rsid w:val="00D97A16"/>
    <w:rsid w:val="00D97C47"/>
    <w:rsid w:val="00D97D36"/>
    <w:rsid w:val="00DA0090"/>
    <w:rsid w:val="00DA0180"/>
    <w:rsid w:val="00DA0438"/>
    <w:rsid w:val="00DA04E4"/>
    <w:rsid w:val="00DA05C9"/>
    <w:rsid w:val="00DA08AE"/>
    <w:rsid w:val="00DA09C9"/>
    <w:rsid w:val="00DA0A7E"/>
    <w:rsid w:val="00DA0C01"/>
    <w:rsid w:val="00DA0E18"/>
    <w:rsid w:val="00DA1822"/>
    <w:rsid w:val="00DA1B75"/>
    <w:rsid w:val="00DA1EDB"/>
    <w:rsid w:val="00DA21B2"/>
    <w:rsid w:val="00DA233B"/>
    <w:rsid w:val="00DA2713"/>
    <w:rsid w:val="00DA2E7D"/>
    <w:rsid w:val="00DA30E9"/>
    <w:rsid w:val="00DA329F"/>
    <w:rsid w:val="00DA33BB"/>
    <w:rsid w:val="00DA351E"/>
    <w:rsid w:val="00DA3562"/>
    <w:rsid w:val="00DA39FD"/>
    <w:rsid w:val="00DA3BCE"/>
    <w:rsid w:val="00DA3D60"/>
    <w:rsid w:val="00DA4A62"/>
    <w:rsid w:val="00DA4C30"/>
    <w:rsid w:val="00DA4C88"/>
    <w:rsid w:val="00DA4D43"/>
    <w:rsid w:val="00DA4DDB"/>
    <w:rsid w:val="00DA4FF0"/>
    <w:rsid w:val="00DA5113"/>
    <w:rsid w:val="00DA53FE"/>
    <w:rsid w:val="00DA5BC8"/>
    <w:rsid w:val="00DA5E54"/>
    <w:rsid w:val="00DA60B4"/>
    <w:rsid w:val="00DA635B"/>
    <w:rsid w:val="00DA6452"/>
    <w:rsid w:val="00DA6670"/>
    <w:rsid w:val="00DA6907"/>
    <w:rsid w:val="00DA6A47"/>
    <w:rsid w:val="00DA72D7"/>
    <w:rsid w:val="00DA73AD"/>
    <w:rsid w:val="00DA73B1"/>
    <w:rsid w:val="00DA747C"/>
    <w:rsid w:val="00DA7925"/>
    <w:rsid w:val="00DA7E19"/>
    <w:rsid w:val="00DA7FC5"/>
    <w:rsid w:val="00DB021E"/>
    <w:rsid w:val="00DB04A8"/>
    <w:rsid w:val="00DB075E"/>
    <w:rsid w:val="00DB0DD4"/>
    <w:rsid w:val="00DB0EB4"/>
    <w:rsid w:val="00DB0F3C"/>
    <w:rsid w:val="00DB1109"/>
    <w:rsid w:val="00DB1296"/>
    <w:rsid w:val="00DB13C7"/>
    <w:rsid w:val="00DB18E5"/>
    <w:rsid w:val="00DB1A41"/>
    <w:rsid w:val="00DB1B14"/>
    <w:rsid w:val="00DB1E30"/>
    <w:rsid w:val="00DB1EBB"/>
    <w:rsid w:val="00DB2186"/>
    <w:rsid w:val="00DB24C1"/>
    <w:rsid w:val="00DB2B0A"/>
    <w:rsid w:val="00DB2B10"/>
    <w:rsid w:val="00DB2B8E"/>
    <w:rsid w:val="00DB2BC0"/>
    <w:rsid w:val="00DB35FF"/>
    <w:rsid w:val="00DB3BDC"/>
    <w:rsid w:val="00DB3FEA"/>
    <w:rsid w:val="00DB4009"/>
    <w:rsid w:val="00DB427F"/>
    <w:rsid w:val="00DB4495"/>
    <w:rsid w:val="00DB44F7"/>
    <w:rsid w:val="00DB46B3"/>
    <w:rsid w:val="00DB4905"/>
    <w:rsid w:val="00DB4F90"/>
    <w:rsid w:val="00DB5171"/>
    <w:rsid w:val="00DB576D"/>
    <w:rsid w:val="00DB5C79"/>
    <w:rsid w:val="00DB5E1F"/>
    <w:rsid w:val="00DB5F96"/>
    <w:rsid w:val="00DB5FC1"/>
    <w:rsid w:val="00DB6020"/>
    <w:rsid w:val="00DB618C"/>
    <w:rsid w:val="00DB6398"/>
    <w:rsid w:val="00DB67E0"/>
    <w:rsid w:val="00DB680C"/>
    <w:rsid w:val="00DB6A2A"/>
    <w:rsid w:val="00DB6AD7"/>
    <w:rsid w:val="00DB6F30"/>
    <w:rsid w:val="00DB7094"/>
    <w:rsid w:val="00DB71B1"/>
    <w:rsid w:val="00DB72ED"/>
    <w:rsid w:val="00DB73D0"/>
    <w:rsid w:val="00DB763C"/>
    <w:rsid w:val="00DB780A"/>
    <w:rsid w:val="00DB7AC1"/>
    <w:rsid w:val="00DB7DE9"/>
    <w:rsid w:val="00DC04DD"/>
    <w:rsid w:val="00DC0583"/>
    <w:rsid w:val="00DC0764"/>
    <w:rsid w:val="00DC0CF6"/>
    <w:rsid w:val="00DC13AD"/>
    <w:rsid w:val="00DC1477"/>
    <w:rsid w:val="00DC14EA"/>
    <w:rsid w:val="00DC19D8"/>
    <w:rsid w:val="00DC1AB5"/>
    <w:rsid w:val="00DC1DE2"/>
    <w:rsid w:val="00DC1EAE"/>
    <w:rsid w:val="00DC20D0"/>
    <w:rsid w:val="00DC2182"/>
    <w:rsid w:val="00DC2242"/>
    <w:rsid w:val="00DC22CB"/>
    <w:rsid w:val="00DC249B"/>
    <w:rsid w:val="00DC24D0"/>
    <w:rsid w:val="00DC2613"/>
    <w:rsid w:val="00DC26B5"/>
    <w:rsid w:val="00DC2D2E"/>
    <w:rsid w:val="00DC2D82"/>
    <w:rsid w:val="00DC30A7"/>
    <w:rsid w:val="00DC318A"/>
    <w:rsid w:val="00DC3B85"/>
    <w:rsid w:val="00DC3C2D"/>
    <w:rsid w:val="00DC3C46"/>
    <w:rsid w:val="00DC3D16"/>
    <w:rsid w:val="00DC3DA4"/>
    <w:rsid w:val="00DC3F7C"/>
    <w:rsid w:val="00DC3F83"/>
    <w:rsid w:val="00DC41C7"/>
    <w:rsid w:val="00DC445F"/>
    <w:rsid w:val="00DC4512"/>
    <w:rsid w:val="00DC464E"/>
    <w:rsid w:val="00DC4E5D"/>
    <w:rsid w:val="00DC51D2"/>
    <w:rsid w:val="00DC535F"/>
    <w:rsid w:val="00DC5644"/>
    <w:rsid w:val="00DC5705"/>
    <w:rsid w:val="00DC5D45"/>
    <w:rsid w:val="00DC5D4A"/>
    <w:rsid w:val="00DC5D94"/>
    <w:rsid w:val="00DC5E5B"/>
    <w:rsid w:val="00DC5F49"/>
    <w:rsid w:val="00DC62ED"/>
    <w:rsid w:val="00DC6618"/>
    <w:rsid w:val="00DC6918"/>
    <w:rsid w:val="00DC6A1C"/>
    <w:rsid w:val="00DC6C5C"/>
    <w:rsid w:val="00DC7220"/>
    <w:rsid w:val="00DC7655"/>
    <w:rsid w:val="00DC791A"/>
    <w:rsid w:val="00DD03C7"/>
    <w:rsid w:val="00DD0782"/>
    <w:rsid w:val="00DD0E46"/>
    <w:rsid w:val="00DD0EF2"/>
    <w:rsid w:val="00DD1065"/>
    <w:rsid w:val="00DD11EF"/>
    <w:rsid w:val="00DD135A"/>
    <w:rsid w:val="00DD1715"/>
    <w:rsid w:val="00DD17F9"/>
    <w:rsid w:val="00DD18A3"/>
    <w:rsid w:val="00DD1D39"/>
    <w:rsid w:val="00DD2584"/>
    <w:rsid w:val="00DD267B"/>
    <w:rsid w:val="00DD2880"/>
    <w:rsid w:val="00DD3161"/>
    <w:rsid w:val="00DD3691"/>
    <w:rsid w:val="00DD3B43"/>
    <w:rsid w:val="00DD3D63"/>
    <w:rsid w:val="00DD3DAF"/>
    <w:rsid w:val="00DD464C"/>
    <w:rsid w:val="00DD46D7"/>
    <w:rsid w:val="00DD4803"/>
    <w:rsid w:val="00DD488A"/>
    <w:rsid w:val="00DD494A"/>
    <w:rsid w:val="00DD4956"/>
    <w:rsid w:val="00DD4B55"/>
    <w:rsid w:val="00DD4F25"/>
    <w:rsid w:val="00DD5220"/>
    <w:rsid w:val="00DD526B"/>
    <w:rsid w:val="00DD5846"/>
    <w:rsid w:val="00DD599D"/>
    <w:rsid w:val="00DD5B33"/>
    <w:rsid w:val="00DD5B4E"/>
    <w:rsid w:val="00DD5E26"/>
    <w:rsid w:val="00DD60BB"/>
    <w:rsid w:val="00DD65C6"/>
    <w:rsid w:val="00DD6613"/>
    <w:rsid w:val="00DD6BC4"/>
    <w:rsid w:val="00DD6BCF"/>
    <w:rsid w:val="00DD727C"/>
    <w:rsid w:val="00DD743A"/>
    <w:rsid w:val="00DD7BD7"/>
    <w:rsid w:val="00DD7DB3"/>
    <w:rsid w:val="00DD7E62"/>
    <w:rsid w:val="00DE050B"/>
    <w:rsid w:val="00DE07C7"/>
    <w:rsid w:val="00DE0AE2"/>
    <w:rsid w:val="00DE0D86"/>
    <w:rsid w:val="00DE1E90"/>
    <w:rsid w:val="00DE1F26"/>
    <w:rsid w:val="00DE209E"/>
    <w:rsid w:val="00DE21BF"/>
    <w:rsid w:val="00DE24E6"/>
    <w:rsid w:val="00DE295A"/>
    <w:rsid w:val="00DE2F1F"/>
    <w:rsid w:val="00DE3C74"/>
    <w:rsid w:val="00DE3CB4"/>
    <w:rsid w:val="00DE3E1F"/>
    <w:rsid w:val="00DE3E94"/>
    <w:rsid w:val="00DE3F82"/>
    <w:rsid w:val="00DE41EE"/>
    <w:rsid w:val="00DE440E"/>
    <w:rsid w:val="00DE4553"/>
    <w:rsid w:val="00DE48AF"/>
    <w:rsid w:val="00DE495C"/>
    <w:rsid w:val="00DE4D3A"/>
    <w:rsid w:val="00DE4DE9"/>
    <w:rsid w:val="00DE51C5"/>
    <w:rsid w:val="00DE51CA"/>
    <w:rsid w:val="00DE51D4"/>
    <w:rsid w:val="00DE536E"/>
    <w:rsid w:val="00DE53AD"/>
    <w:rsid w:val="00DE541C"/>
    <w:rsid w:val="00DE547C"/>
    <w:rsid w:val="00DE572B"/>
    <w:rsid w:val="00DE6066"/>
    <w:rsid w:val="00DE60CB"/>
    <w:rsid w:val="00DE638F"/>
    <w:rsid w:val="00DE67C8"/>
    <w:rsid w:val="00DE68BE"/>
    <w:rsid w:val="00DE690D"/>
    <w:rsid w:val="00DE6B5B"/>
    <w:rsid w:val="00DE6DA4"/>
    <w:rsid w:val="00DE6E66"/>
    <w:rsid w:val="00DE6F67"/>
    <w:rsid w:val="00DE6F8B"/>
    <w:rsid w:val="00DE73F2"/>
    <w:rsid w:val="00DE745C"/>
    <w:rsid w:val="00DE7700"/>
    <w:rsid w:val="00DE7A19"/>
    <w:rsid w:val="00DE7A85"/>
    <w:rsid w:val="00DE7FFE"/>
    <w:rsid w:val="00DF0334"/>
    <w:rsid w:val="00DF0766"/>
    <w:rsid w:val="00DF07AD"/>
    <w:rsid w:val="00DF08AA"/>
    <w:rsid w:val="00DF08E6"/>
    <w:rsid w:val="00DF0ACB"/>
    <w:rsid w:val="00DF0AF3"/>
    <w:rsid w:val="00DF0BC0"/>
    <w:rsid w:val="00DF0BD5"/>
    <w:rsid w:val="00DF1257"/>
    <w:rsid w:val="00DF157A"/>
    <w:rsid w:val="00DF1903"/>
    <w:rsid w:val="00DF1C63"/>
    <w:rsid w:val="00DF1CCC"/>
    <w:rsid w:val="00DF1F06"/>
    <w:rsid w:val="00DF209D"/>
    <w:rsid w:val="00DF2502"/>
    <w:rsid w:val="00DF25DA"/>
    <w:rsid w:val="00DF281D"/>
    <w:rsid w:val="00DF28E7"/>
    <w:rsid w:val="00DF2A3F"/>
    <w:rsid w:val="00DF2C14"/>
    <w:rsid w:val="00DF2E40"/>
    <w:rsid w:val="00DF2E9A"/>
    <w:rsid w:val="00DF2F9D"/>
    <w:rsid w:val="00DF3149"/>
    <w:rsid w:val="00DF3301"/>
    <w:rsid w:val="00DF3364"/>
    <w:rsid w:val="00DF376C"/>
    <w:rsid w:val="00DF3BD4"/>
    <w:rsid w:val="00DF4430"/>
    <w:rsid w:val="00DF460F"/>
    <w:rsid w:val="00DF4899"/>
    <w:rsid w:val="00DF490B"/>
    <w:rsid w:val="00DF4951"/>
    <w:rsid w:val="00DF4A7D"/>
    <w:rsid w:val="00DF4CD3"/>
    <w:rsid w:val="00DF4CE0"/>
    <w:rsid w:val="00DF4D88"/>
    <w:rsid w:val="00DF4F22"/>
    <w:rsid w:val="00DF5344"/>
    <w:rsid w:val="00DF53F4"/>
    <w:rsid w:val="00DF565D"/>
    <w:rsid w:val="00DF5724"/>
    <w:rsid w:val="00DF5AD3"/>
    <w:rsid w:val="00DF5F63"/>
    <w:rsid w:val="00DF6345"/>
    <w:rsid w:val="00DF651B"/>
    <w:rsid w:val="00DF6539"/>
    <w:rsid w:val="00DF683B"/>
    <w:rsid w:val="00DF691A"/>
    <w:rsid w:val="00DF6927"/>
    <w:rsid w:val="00DF69C9"/>
    <w:rsid w:val="00DF6B5D"/>
    <w:rsid w:val="00DF6BF5"/>
    <w:rsid w:val="00DF6DCB"/>
    <w:rsid w:val="00DF7097"/>
    <w:rsid w:val="00DF731D"/>
    <w:rsid w:val="00DF7457"/>
    <w:rsid w:val="00DF74B9"/>
    <w:rsid w:val="00DF7535"/>
    <w:rsid w:val="00DF7766"/>
    <w:rsid w:val="00DF7B53"/>
    <w:rsid w:val="00DF7FDC"/>
    <w:rsid w:val="00E0003E"/>
    <w:rsid w:val="00E00115"/>
    <w:rsid w:val="00E00206"/>
    <w:rsid w:val="00E00DB9"/>
    <w:rsid w:val="00E00F84"/>
    <w:rsid w:val="00E018E4"/>
    <w:rsid w:val="00E01969"/>
    <w:rsid w:val="00E01E95"/>
    <w:rsid w:val="00E01F6E"/>
    <w:rsid w:val="00E027C5"/>
    <w:rsid w:val="00E0299B"/>
    <w:rsid w:val="00E02DF1"/>
    <w:rsid w:val="00E031F0"/>
    <w:rsid w:val="00E0397B"/>
    <w:rsid w:val="00E03B57"/>
    <w:rsid w:val="00E03C5F"/>
    <w:rsid w:val="00E03F3C"/>
    <w:rsid w:val="00E041E5"/>
    <w:rsid w:val="00E04550"/>
    <w:rsid w:val="00E0496D"/>
    <w:rsid w:val="00E04AFC"/>
    <w:rsid w:val="00E04BBA"/>
    <w:rsid w:val="00E04BEE"/>
    <w:rsid w:val="00E04EF2"/>
    <w:rsid w:val="00E04FE2"/>
    <w:rsid w:val="00E055BB"/>
    <w:rsid w:val="00E060C8"/>
    <w:rsid w:val="00E06247"/>
    <w:rsid w:val="00E069D6"/>
    <w:rsid w:val="00E06C8D"/>
    <w:rsid w:val="00E07C5F"/>
    <w:rsid w:val="00E1017F"/>
    <w:rsid w:val="00E101A3"/>
    <w:rsid w:val="00E10218"/>
    <w:rsid w:val="00E10792"/>
    <w:rsid w:val="00E10963"/>
    <w:rsid w:val="00E1096A"/>
    <w:rsid w:val="00E10BF1"/>
    <w:rsid w:val="00E10D2D"/>
    <w:rsid w:val="00E110DF"/>
    <w:rsid w:val="00E11164"/>
    <w:rsid w:val="00E112FC"/>
    <w:rsid w:val="00E1168E"/>
    <w:rsid w:val="00E116D8"/>
    <w:rsid w:val="00E11988"/>
    <w:rsid w:val="00E11C46"/>
    <w:rsid w:val="00E11C7E"/>
    <w:rsid w:val="00E11CC9"/>
    <w:rsid w:val="00E11DAA"/>
    <w:rsid w:val="00E11F9B"/>
    <w:rsid w:val="00E12404"/>
    <w:rsid w:val="00E124F1"/>
    <w:rsid w:val="00E12568"/>
    <w:rsid w:val="00E125A9"/>
    <w:rsid w:val="00E12658"/>
    <w:rsid w:val="00E1278E"/>
    <w:rsid w:val="00E12C03"/>
    <w:rsid w:val="00E12C2F"/>
    <w:rsid w:val="00E12CD8"/>
    <w:rsid w:val="00E12CFB"/>
    <w:rsid w:val="00E12D51"/>
    <w:rsid w:val="00E13028"/>
    <w:rsid w:val="00E1331B"/>
    <w:rsid w:val="00E13AAF"/>
    <w:rsid w:val="00E13C45"/>
    <w:rsid w:val="00E13C74"/>
    <w:rsid w:val="00E14154"/>
    <w:rsid w:val="00E141E2"/>
    <w:rsid w:val="00E1426E"/>
    <w:rsid w:val="00E142A5"/>
    <w:rsid w:val="00E1430D"/>
    <w:rsid w:val="00E14474"/>
    <w:rsid w:val="00E1465E"/>
    <w:rsid w:val="00E14901"/>
    <w:rsid w:val="00E14A44"/>
    <w:rsid w:val="00E14ADB"/>
    <w:rsid w:val="00E14BAC"/>
    <w:rsid w:val="00E152F1"/>
    <w:rsid w:val="00E15716"/>
    <w:rsid w:val="00E158AB"/>
    <w:rsid w:val="00E15946"/>
    <w:rsid w:val="00E159C1"/>
    <w:rsid w:val="00E15A01"/>
    <w:rsid w:val="00E15A24"/>
    <w:rsid w:val="00E15B3B"/>
    <w:rsid w:val="00E15DA9"/>
    <w:rsid w:val="00E15E94"/>
    <w:rsid w:val="00E15F76"/>
    <w:rsid w:val="00E15FE6"/>
    <w:rsid w:val="00E16056"/>
    <w:rsid w:val="00E160C3"/>
    <w:rsid w:val="00E16121"/>
    <w:rsid w:val="00E162BF"/>
    <w:rsid w:val="00E16619"/>
    <w:rsid w:val="00E1687E"/>
    <w:rsid w:val="00E169F5"/>
    <w:rsid w:val="00E16B1C"/>
    <w:rsid w:val="00E16B9A"/>
    <w:rsid w:val="00E16DEB"/>
    <w:rsid w:val="00E17006"/>
    <w:rsid w:val="00E17067"/>
    <w:rsid w:val="00E1744D"/>
    <w:rsid w:val="00E1760B"/>
    <w:rsid w:val="00E17818"/>
    <w:rsid w:val="00E17839"/>
    <w:rsid w:val="00E178D8"/>
    <w:rsid w:val="00E17A75"/>
    <w:rsid w:val="00E20191"/>
    <w:rsid w:val="00E202A2"/>
    <w:rsid w:val="00E20542"/>
    <w:rsid w:val="00E2064A"/>
    <w:rsid w:val="00E2095D"/>
    <w:rsid w:val="00E20C6E"/>
    <w:rsid w:val="00E21027"/>
    <w:rsid w:val="00E210DB"/>
    <w:rsid w:val="00E213E4"/>
    <w:rsid w:val="00E2158E"/>
    <w:rsid w:val="00E21BF1"/>
    <w:rsid w:val="00E21D07"/>
    <w:rsid w:val="00E21ED4"/>
    <w:rsid w:val="00E22331"/>
    <w:rsid w:val="00E22439"/>
    <w:rsid w:val="00E22667"/>
    <w:rsid w:val="00E226F1"/>
    <w:rsid w:val="00E22966"/>
    <w:rsid w:val="00E22BBC"/>
    <w:rsid w:val="00E22C35"/>
    <w:rsid w:val="00E22FFA"/>
    <w:rsid w:val="00E23039"/>
    <w:rsid w:val="00E2333B"/>
    <w:rsid w:val="00E2356A"/>
    <w:rsid w:val="00E236D2"/>
    <w:rsid w:val="00E239CF"/>
    <w:rsid w:val="00E23B32"/>
    <w:rsid w:val="00E23DB6"/>
    <w:rsid w:val="00E23DE5"/>
    <w:rsid w:val="00E23DEB"/>
    <w:rsid w:val="00E23E72"/>
    <w:rsid w:val="00E245AD"/>
    <w:rsid w:val="00E24AA4"/>
    <w:rsid w:val="00E24B99"/>
    <w:rsid w:val="00E25486"/>
    <w:rsid w:val="00E2554E"/>
    <w:rsid w:val="00E256C1"/>
    <w:rsid w:val="00E2579F"/>
    <w:rsid w:val="00E25847"/>
    <w:rsid w:val="00E25AF5"/>
    <w:rsid w:val="00E25B4F"/>
    <w:rsid w:val="00E25C6D"/>
    <w:rsid w:val="00E25C7B"/>
    <w:rsid w:val="00E25EE9"/>
    <w:rsid w:val="00E25FFE"/>
    <w:rsid w:val="00E260A5"/>
    <w:rsid w:val="00E26224"/>
    <w:rsid w:val="00E2632C"/>
    <w:rsid w:val="00E263E6"/>
    <w:rsid w:val="00E2646C"/>
    <w:rsid w:val="00E2648C"/>
    <w:rsid w:val="00E266E8"/>
    <w:rsid w:val="00E269C5"/>
    <w:rsid w:val="00E269E2"/>
    <w:rsid w:val="00E26AC7"/>
    <w:rsid w:val="00E26BB3"/>
    <w:rsid w:val="00E26C44"/>
    <w:rsid w:val="00E26DCF"/>
    <w:rsid w:val="00E26FF0"/>
    <w:rsid w:val="00E2717C"/>
    <w:rsid w:val="00E27303"/>
    <w:rsid w:val="00E27537"/>
    <w:rsid w:val="00E275AB"/>
    <w:rsid w:val="00E27873"/>
    <w:rsid w:val="00E2792D"/>
    <w:rsid w:val="00E27C1D"/>
    <w:rsid w:val="00E27C80"/>
    <w:rsid w:val="00E27CDF"/>
    <w:rsid w:val="00E27F8A"/>
    <w:rsid w:val="00E30414"/>
    <w:rsid w:val="00E30620"/>
    <w:rsid w:val="00E306C3"/>
    <w:rsid w:val="00E307EF"/>
    <w:rsid w:val="00E30949"/>
    <w:rsid w:val="00E30CE3"/>
    <w:rsid w:val="00E30D4D"/>
    <w:rsid w:val="00E31293"/>
    <w:rsid w:val="00E314B7"/>
    <w:rsid w:val="00E315B5"/>
    <w:rsid w:val="00E316CF"/>
    <w:rsid w:val="00E318B1"/>
    <w:rsid w:val="00E31A01"/>
    <w:rsid w:val="00E31BB2"/>
    <w:rsid w:val="00E31E10"/>
    <w:rsid w:val="00E32208"/>
    <w:rsid w:val="00E32507"/>
    <w:rsid w:val="00E3268D"/>
    <w:rsid w:val="00E3280E"/>
    <w:rsid w:val="00E33294"/>
    <w:rsid w:val="00E3340C"/>
    <w:rsid w:val="00E337C4"/>
    <w:rsid w:val="00E33A41"/>
    <w:rsid w:val="00E33D47"/>
    <w:rsid w:val="00E33ED6"/>
    <w:rsid w:val="00E341C7"/>
    <w:rsid w:val="00E345B8"/>
    <w:rsid w:val="00E34768"/>
    <w:rsid w:val="00E3485D"/>
    <w:rsid w:val="00E35095"/>
    <w:rsid w:val="00E355ED"/>
    <w:rsid w:val="00E357F7"/>
    <w:rsid w:val="00E35D42"/>
    <w:rsid w:val="00E35FC5"/>
    <w:rsid w:val="00E36067"/>
    <w:rsid w:val="00E36100"/>
    <w:rsid w:val="00E36224"/>
    <w:rsid w:val="00E363CC"/>
    <w:rsid w:val="00E36684"/>
    <w:rsid w:val="00E36777"/>
    <w:rsid w:val="00E36AD8"/>
    <w:rsid w:val="00E36DB2"/>
    <w:rsid w:val="00E37133"/>
    <w:rsid w:val="00E37204"/>
    <w:rsid w:val="00E3727E"/>
    <w:rsid w:val="00E37333"/>
    <w:rsid w:val="00E37586"/>
    <w:rsid w:val="00E375F1"/>
    <w:rsid w:val="00E378E8"/>
    <w:rsid w:val="00E37900"/>
    <w:rsid w:val="00E379D5"/>
    <w:rsid w:val="00E40099"/>
    <w:rsid w:val="00E404DF"/>
    <w:rsid w:val="00E4054A"/>
    <w:rsid w:val="00E405B0"/>
    <w:rsid w:val="00E40752"/>
    <w:rsid w:val="00E40769"/>
    <w:rsid w:val="00E40A1E"/>
    <w:rsid w:val="00E40C2E"/>
    <w:rsid w:val="00E40F5F"/>
    <w:rsid w:val="00E41644"/>
    <w:rsid w:val="00E418F4"/>
    <w:rsid w:val="00E41B36"/>
    <w:rsid w:val="00E41E1F"/>
    <w:rsid w:val="00E427BC"/>
    <w:rsid w:val="00E4313B"/>
    <w:rsid w:val="00E431A1"/>
    <w:rsid w:val="00E434BC"/>
    <w:rsid w:val="00E4356E"/>
    <w:rsid w:val="00E43803"/>
    <w:rsid w:val="00E43BFA"/>
    <w:rsid w:val="00E43E44"/>
    <w:rsid w:val="00E44472"/>
    <w:rsid w:val="00E44815"/>
    <w:rsid w:val="00E448CB"/>
    <w:rsid w:val="00E44A92"/>
    <w:rsid w:val="00E44E92"/>
    <w:rsid w:val="00E44FD2"/>
    <w:rsid w:val="00E44FE3"/>
    <w:rsid w:val="00E44FEE"/>
    <w:rsid w:val="00E45443"/>
    <w:rsid w:val="00E455F8"/>
    <w:rsid w:val="00E458B0"/>
    <w:rsid w:val="00E45E76"/>
    <w:rsid w:val="00E45EA1"/>
    <w:rsid w:val="00E4639A"/>
    <w:rsid w:val="00E468C2"/>
    <w:rsid w:val="00E46CD6"/>
    <w:rsid w:val="00E46E67"/>
    <w:rsid w:val="00E46F8E"/>
    <w:rsid w:val="00E472FC"/>
    <w:rsid w:val="00E4754D"/>
    <w:rsid w:val="00E475AA"/>
    <w:rsid w:val="00E47825"/>
    <w:rsid w:val="00E479A1"/>
    <w:rsid w:val="00E47C46"/>
    <w:rsid w:val="00E50055"/>
    <w:rsid w:val="00E50474"/>
    <w:rsid w:val="00E5072B"/>
    <w:rsid w:val="00E50E6F"/>
    <w:rsid w:val="00E51243"/>
    <w:rsid w:val="00E512AC"/>
    <w:rsid w:val="00E51416"/>
    <w:rsid w:val="00E51817"/>
    <w:rsid w:val="00E51B61"/>
    <w:rsid w:val="00E51CB2"/>
    <w:rsid w:val="00E51D34"/>
    <w:rsid w:val="00E51D52"/>
    <w:rsid w:val="00E51F49"/>
    <w:rsid w:val="00E524C6"/>
    <w:rsid w:val="00E52688"/>
    <w:rsid w:val="00E5286F"/>
    <w:rsid w:val="00E52966"/>
    <w:rsid w:val="00E52CC4"/>
    <w:rsid w:val="00E532A9"/>
    <w:rsid w:val="00E533A3"/>
    <w:rsid w:val="00E5353C"/>
    <w:rsid w:val="00E537C2"/>
    <w:rsid w:val="00E537F0"/>
    <w:rsid w:val="00E53903"/>
    <w:rsid w:val="00E53A3D"/>
    <w:rsid w:val="00E53A86"/>
    <w:rsid w:val="00E53B36"/>
    <w:rsid w:val="00E541E2"/>
    <w:rsid w:val="00E546DC"/>
    <w:rsid w:val="00E54792"/>
    <w:rsid w:val="00E547B5"/>
    <w:rsid w:val="00E54B09"/>
    <w:rsid w:val="00E54DC7"/>
    <w:rsid w:val="00E5504A"/>
    <w:rsid w:val="00E557C2"/>
    <w:rsid w:val="00E55933"/>
    <w:rsid w:val="00E55994"/>
    <w:rsid w:val="00E55B30"/>
    <w:rsid w:val="00E55D99"/>
    <w:rsid w:val="00E56301"/>
    <w:rsid w:val="00E56322"/>
    <w:rsid w:val="00E56940"/>
    <w:rsid w:val="00E56A6D"/>
    <w:rsid w:val="00E56E02"/>
    <w:rsid w:val="00E56F18"/>
    <w:rsid w:val="00E57023"/>
    <w:rsid w:val="00E572B8"/>
    <w:rsid w:val="00E57A97"/>
    <w:rsid w:val="00E57F0C"/>
    <w:rsid w:val="00E60100"/>
    <w:rsid w:val="00E601F1"/>
    <w:rsid w:val="00E6034E"/>
    <w:rsid w:val="00E608E2"/>
    <w:rsid w:val="00E60919"/>
    <w:rsid w:val="00E60CB3"/>
    <w:rsid w:val="00E60DAD"/>
    <w:rsid w:val="00E60F12"/>
    <w:rsid w:val="00E61325"/>
    <w:rsid w:val="00E615E8"/>
    <w:rsid w:val="00E6176A"/>
    <w:rsid w:val="00E617E0"/>
    <w:rsid w:val="00E61B02"/>
    <w:rsid w:val="00E6252F"/>
    <w:rsid w:val="00E62544"/>
    <w:rsid w:val="00E6287D"/>
    <w:rsid w:val="00E62CC7"/>
    <w:rsid w:val="00E62CE3"/>
    <w:rsid w:val="00E62F2B"/>
    <w:rsid w:val="00E634E9"/>
    <w:rsid w:val="00E639F4"/>
    <w:rsid w:val="00E63B79"/>
    <w:rsid w:val="00E63EA3"/>
    <w:rsid w:val="00E640C6"/>
    <w:rsid w:val="00E645CF"/>
    <w:rsid w:val="00E64786"/>
    <w:rsid w:val="00E64A4C"/>
    <w:rsid w:val="00E65018"/>
    <w:rsid w:val="00E65046"/>
    <w:rsid w:val="00E652FB"/>
    <w:rsid w:val="00E653AA"/>
    <w:rsid w:val="00E65402"/>
    <w:rsid w:val="00E6595E"/>
    <w:rsid w:val="00E659A7"/>
    <w:rsid w:val="00E659D1"/>
    <w:rsid w:val="00E65AFA"/>
    <w:rsid w:val="00E65EA1"/>
    <w:rsid w:val="00E65F44"/>
    <w:rsid w:val="00E65F96"/>
    <w:rsid w:val="00E661B6"/>
    <w:rsid w:val="00E66235"/>
    <w:rsid w:val="00E66571"/>
    <w:rsid w:val="00E66589"/>
    <w:rsid w:val="00E66B92"/>
    <w:rsid w:val="00E66C20"/>
    <w:rsid w:val="00E66D6F"/>
    <w:rsid w:val="00E66EEA"/>
    <w:rsid w:val="00E67019"/>
    <w:rsid w:val="00E672BA"/>
    <w:rsid w:val="00E672BB"/>
    <w:rsid w:val="00E6750D"/>
    <w:rsid w:val="00E67782"/>
    <w:rsid w:val="00E677F9"/>
    <w:rsid w:val="00E67972"/>
    <w:rsid w:val="00E67D4B"/>
    <w:rsid w:val="00E67E0C"/>
    <w:rsid w:val="00E70075"/>
    <w:rsid w:val="00E706E9"/>
    <w:rsid w:val="00E7091B"/>
    <w:rsid w:val="00E71316"/>
    <w:rsid w:val="00E7132F"/>
    <w:rsid w:val="00E71BC4"/>
    <w:rsid w:val="00E71C46"/>
    <w:rsid w:val="00E728CB"/>
    <w:rsid w:val="00E72C7A"/>
    <w:rsid w:val="00E72CB9"/>
    <w:rsid w:val="00E72F3C"/>
    <w:rsid w:val="00E732A3"/>
    <w:rsid w:val="00E73729"/>
    <w:rsid w:val="00E73802"/>
    <w:rsid w:val="00E73847"/>
    <w:rsid w:val="00E73885"/>
    <w:rsid w:val="00E7399B"/>
    <w:rsid w:val="00E73B98"/>
    <w:rsid w:val="00E73FA8"/>
    <w:rsid w:val="00E74213"/>
    <w:rsid w:val="00E74407"/>
    <w:rsid w:val="00E7473C"/>
    <w:rsid w:val="00E74C54"/>
    <w:rsid w:val="00E74E76"/>
    <w:rsid w:val="00E75308"/>
    <w:rsid w:val="00E754C2"/>
    <w:rsid w:val="00E756CF"/>
    <w:rsid w:val="00E759BF"/>
    <w:rsid w:val="00E75A75"/>
    <w:rsid w:val="00E75DC0"/>
    <w:rsid w:val="00E75ED2"/>
    <w:rsid w:val="00E75FF7"/>
    <w:rsid w:val="00E76747"/>
    <w:rsid w:val="00E76970"/>
    <w:rsid w:val="00E770BD"/>
    <w:rsid w:val="00E776C9"/>
    <w:rsid w:val="00E77901"/>
    <w:rsid w:val="00E77BEB"/>
    <w:rsid w:val="00E77C8F"/>
    <w:rsid w:val="00E77D09"/>
    <w:rsid w:val="00E802E3"/>
    <w:rsid w:val="00E8085C"/>
    <w:rsid w:val="00E80ADF"/>
    <w:rsid w:val="00E80ECE"/>
    <w:rsid w:val="00E80F1E"/>
    <w:rsid w:val="00E813A1"/>
    <w:rsid w:val="00E81955"/>
    <w:rsid w:val="00E81DB4"/>
    <w:rsid w:val="00E81E12"/>
    <w:rsid w:val="00E825BD"/>
    <w:rsid w:val="00E827C0"/>
    <w:rsid w:val="00E827C7"/>
    <w:rsid w:val="00E8280C"/>
    <w:rsid w:val="00E82869"/>
    <w:rsid w:val="00E82CFE"/>
    <w:rsid w:val="00E82FC9"/>
    <w:rsid w:val="00E8331B"/>
    <w:rsid w:val="00E83387"/>
    <w:rsid w:val="00E83468"/>
    <w:rsid w:val="00E83E45"/>
    <w:rsid w:val="00E83E4C"/>
    <w:rsid w:val="00E83EEF"/>
    <w:rsid w:val="00E83F50"/>
    <w:rsid w:val="00E8458B"/>
    <w:rsid w:val="00E8470B"/>
    <w:rsid w:val="00E84B09"/>
    <w:rsid w:val="00E84D88"/>
    <w:rsid w:val="00E84EFA"/>
    <w:rsid w:val="00E84FE4"/>
    <w:rsid w:val="00E851C9"/>
    <w:rsid w:val="00E85515"/>
    <w:rsid w:val="00E85827"/>
    <w:rsid w:val="00E860C8"/>
    <w:rsid w:val="00E86123"/>
    <w:rsid w:val="00E863D5"/>
    <w:rsid w:val="00E864C1"/>
    <w:rsid w:val="00E8664C"/>
    <w:rsid w:val="00E8678A"/>
    <w:rsid w:val="00E86883"/>
    <w:rsid w:val="00E86AFA"/>
    <w:rsid w:val="00E86C43"/>
    <w:rsid w:val="00E86EA9"/>
    <w:rsid w:val="00E86F66"/>
    <w:rsid w:val="00E870B3"/>
    <w:rsid w:val="00E877C8"/>
    <w:rsid w:val="00E879A8"/>
    <w:rsid w:val="00E87AAA"/>
    <w:rsid w:val="00E87CA2"/>
    <w:rsid w:val="00E87CF1"/>
    <w:rsid w:val="00E87EB7"/>
    <w:rsid w:val="00E903F2"/>
    <w:rsid w:val="00E9049F"/>
    <w:rsid w:val="00E905B5"/>
    <w:rsid w:val="00E907E1"/>
    <w:rsid w:val="00E909F6"/>
    <w:rsid w:val="00E90EB2"/>
    <w:rsid w:val="00E9112D"/>
    <w:rsid w:val="00E9122F"/>
    <w:rsid w:val="00E916BA"/>
    <w:rsid w:val="00E91744"/>
    <w:rsid w:val="00E918EE"/>
    <w:rsid w:val="00E91933"/>
    <w:rsid w:val="00E91AB8"/>
    <w:rsid w:val="00E92079"/>
    <w:rsid w:val="00E92107"/>
    <w:rsid w:val="00E921FB"/>
    <w:rsid w:val="00E9224C"/>
    <w:rsid w:val="00E92645"/>
    <w:rsid w:val="00E926B8"/>
    <w:rsid w:val="00E9274F"/>
    <w:rsid w:val="00E928B2"/>
    <w:rsid w:val="00E928F9"/>
    <w:rsid w:val="00E92A81"/>
    <w:rsid w:val="00E92B27"/>
    <w:rsid w:val="00E93168"/>
    <w:rsid w:val="00E93204"/>
    <w:rsid w:val="00E933B1"/>
    <w:rsid w:val="00E935EA"/>
    <w:rsid w:val="00E93948"/>
    <w:rsid w:val="00E93FE3"/>
    <w:rsid w:val="00E94146"/>
    <w:rsid w:val="00E944CA"/>
    <w:rsid w:val="00E94837"/>
    <w:rsid w:val="00E94AE6"/>
    <w:rsid w:val="00E94E7B"/>
    <w:rsid w:val="00E95305"/>
    <w:rsid w:val="00E95322"/>
    <w:rsid w:val="00E95409"/>
    <w:rsid w:val="00E95BD0"/>
    <w:rsid w:val="00E95CE5"/>
    <w:rsid w:val="00E96324"/>
    <w:rsid w:val="00E96337"/>
    <w:rsid w:val="00E9641F"/>
    <w:rsid w:val="00E969B1"/>
    <w:rsid w:val="00E97074"/>
    <w:rsid w:val="00E97482"/>
    <w:rsid w:val="00E97541"/>
    <w:rsid w:val="00E975C3"/>
    <w:rsid w:val="00E976AC"/>
    <w:rsid w:val="00E978D2"/>
    <w:rsid w:val="00E97A6B"/>
    <w:rsid w:val="00E97A7A"/>
    <w:rsid w:val="00E97EEE"/>
    <w:rsid w:val="00EA03FD"/>
    <w:rsid w:val="00EA070D"/>
    <w:rsid w:val="00EA075A"/>
    <w:rsid w:val="00EA096F"/>
    <w:rsid w:val="00EA0F15"/>
    <w:rsid w:val="00EA103D"/>
    <w:rsid w:val="00EA132D"/>
    <w:rsid w:val="00EA1410"/>
    <w:rsid w:val="00EA14A7"/>
    <w:rsid w:val="00EA1848"/>
    <w:rsid w:val="00EA18EE"/>
    <w:rsid w:val="00EA19CB"/>
    <w:rsid w:val="00EA1B45"/>
    <w:rsid w:val="00EA1F0C"/>
    <w:rsid w:val="00EA1FBA"/>
    <w:rsid w:val="00EA20FF"/>
    <w:rsid w:val="00EA241A"/>
    <w:rsid w:val="00EA25F7"/>
    <w:rsid w:val="00EA2BE5"/>
    <w:rsid w:val="00EA2DD3"/>
    <w:rsid w:val="00EA300D"/>
    <w:rsid w:val="00EA30A2"/>
    <w:rsid w:val="00EA32D8"/>
    <w:rsid w:val="00EA36DA"/>
    <w:rsid w:val="00EA38E3"/>
    <w:rsid w:val="00EA390D"/>
    <w:rsid w:val="00EA3932"/>
    <w:rsid w:val="00EA3A25"/>
    <w:rsid w:val="00EA3A6B"/>
    <w:rsid w:val="00EA3ED0"/>
    <w:rsid w:val="00EA40C5"/>
    <w:rsid w:val="00EA47D1"/>
    <w:rsid w:val="00EA4964"/>
    <w:rsid w:val="00EA4B33"/>
    <w:rsid w:val="00EA4C5F"/>
    <w:rsid w:val="00EA5012"/>
    <w:rsid w:val="00EA503B"/>
    <w:rsid w:val="00EA5204"/>
    <w:rsid w:val="00EA528B"/>
    <w:rsid w:val="00EA55C3"/>
    <w:rsid w:val="00EA582B"/>
    <w:rsid w:val="00EA5852"/>
    <w:rsid w:val="00EA59BF"/>
    <w:rsid w:val="00EA5CE5"/>
    <w:rsid w:val="00EA5DB6"/>
    <w:rsid w:val="00EA5DD2"/>
    <w:rsid w:val="00EA604B"/>
    <w:rsid w:val="00EA6470"/>
    <w:rsid w:val="00EA679B"/>
    <w:rsid w:val="00EA6C7D"/>
    <w:rsid w:val="00EA6CCE"/>
    <w:rsid w:val="00EA6DF4"/>
    <w:rsid w:val="00EA6E37"/>
    <w:rsid w:val="00EA7166"/>
    <w:rsid w:val="00EA76CC"/>
    <w:rsid w:val="00EA78AF"/>
    <w:rsid w:val="00EA79EE"/>
    <w:rsid w:val="00EA7B01"/>
    <w:rsid w:val="00EA7BEE"/>
    <w:rsid w:val="00EA7C14"/>
    <w:rsid w:val="00EA7DF5"/>
    <w:rsid w:val="00EB0138"/>
    <w:rsid w:val="00EB0AAE"/>
    <w:rsid w:val="00EB0AEB"/>
    <w:rsid w:val="00EB0B76"/>
    <w:rsid w:val="00EB0BB7"/>
    <w:rsid w:val="00EB0E72"/>
    <w:rsid w:val="00EB1162"/>
    <w:rsid w:val="00EB12CF"/>
    <w:rsid w:val="00EB13A5"/>
    <w:rsid w:val="00EB141C"/>
    <w:rsid w:val="00EB142C"/>
    <w:rsid w:val="00EB15F1"/>
    <w:rsid w:val="00EB1907"/>
    <w:rsid w:val="00EB1B81"/>
    <w:rsid w:val="00EB1C3A"/>
    <w:rsid w:val="00EB275A"/>
    <w:rsid w:val="00EB2944"/>
    <w:rsid w:val="00EB2AB8"/>
    <w:rsid w:val="00EB2B26"/>
    <w:rsid w:val="00EB336E"/>
    <w:rsid w:val="00EB35CB"/>
    <w:rsid w:val="00EB3844"/>
    <w:rsid w:val="00EB3D3F"/>
    <w:rsid w:val="00EB3FAA"/>
    <w:rsid w:val="00EB4323"/>
    <w:rsid w:val="00EB43A8"/>
    <w:rsid w:val="00EB4562"/>
    <w:rsid w:val="00EB46C6"/>
    <w:rsid w:val="00EB489A"/>
    <w:rsid w:val="00EB494E"/>
    <w:rsid w:val="00EB49C5"/>
    <w:rsid w:val="00EB4AA0"/>
    <w:rsid w:val="00EB4FD7"/>
    <w:rsid w:val="00EB528A"/>
    <w:rsid w:val="00EB5685"/>
    <w:rsid w:val="00EB56BB"/>
    <w:rsid w:val="00EB580A"/>
    <w:rsid w:val="00EB5B18"/>
    <w:rsid w:val="00EB634D"/>
    <w:rsid w:val="00EB6363"/>
    <w:rsid w:val="00EB6552"/>
    <w:rsid w:val="00EB6B7C"/>
    <w:rsid w:val="00EB6EDA"/>
    <w:rsid w:val="00EB6F59"/>
    <w:rsid w:val="00EB72BD"/>
    <w:rsid w:val="00EB73FC"/>
    <w:rsid w:val="00EB74D5"/>
    <w:rsid w:val="00EB7815"/>
    <w:rsid w:val="00EB7AB1"/>
    <w:rsid w:val="00EC03BC"/>
    <w:rsid w:val="00EC04A0"/>
    <w:rsid w:val="00EC0779"/>
    <w:rsid w:val="00EC1349"/>
    <w:rsid w:val="00EC1599"/>
    <w:rsid w:val="00EC18E6"/>
    <w:rsid w:val="00EC1984"/>
    <w:rsid w:val="00EC1BA4"/>
    <w:rsid w:val="00EC234C"/>
    <w:rsid w:val="00EC251B"/>
    <w:rsid w:val="00EC2A2C"/>
    <w:rsid w:val="00EC2B51"/>
    <w:rsid w:val="00EC2DBE"/>
    <w:rsid w:val="00EC3668"/>
    <w:rsid w:val="00EC39F4"/>
    <w:rsid w:val="00EC3B7A"/>
    <w:rsid w:val="00EC3E3C"/>
    <w:rsid w:val="00EC43C6"/>
    <w:rsid w:val="00EC4412"/>
    <w:rsid w:val="00EC44E4"/>
    <w:rsid w:val="00EC4571"/>
    <w:rsid w:val="00EC47BC"/>
    <w:rsid w:val="00EC49F4"/>
    <w:rsid w:val="00EC4B8D"/>
    <w:rsid w:val="00EC4E77"/>
    <w:rsid w:val="00EC5162"/>
    <w:rsid w:val="00EC59F2"/>
    <w:rsid w:val="00EC5CB0"/>
    <w:rsid w:val="00EC5EBB"/>
    <w:rsid w:val="00EC5FB7"/>
    <w:rsid w:val="00EC6317"/>
    <w:rsid w:val="00EC6BE7"/>
    <w:rsid w:val="00EC6D45"/>
    <w:rsid w:val="00EC6FFD"/>
    <w:rsid w:val="00EC7C41"/>
    <w:rsid w:val="00ED007C"/>
    <w:rsid w:val="00ED0381"/>
    <w:rsid w:val="00ED0720"/>
    <w:rsid w:val="00ED0766"/>
    <w:rsid w:val="00ED07CC"/>
    <w:rsid w:val="00ED0959"/>
    <w:rsid w:val="00ED09ED"/>
    <w:rsid w:val="00ED0A4A"/>
    <w:rsid w:val="00ED0A95"/>
    <w:rsid w:val="00ED1022"/>
    <w:rsid w:val="00ED144E"/>
    <w:rsid w:val="00ED1A18"/>
    <w:rsid w:val="00ED1AF8"/>
    <w:rsid w:val="00ED1E5C"/>
    <w:rsid w:val="00ED20D5"/>
    <w:rsid w:val="00ED2179"/>
    <w:rsid w:val="00ED3211"/>
    <w:rsid w:val="00ED3529"/>
    <w:rsid w:val="00ED362C"/>
    <w:rsid w:val="00ED3649"/>
    <w:rsid w:val="00ED400B"/>
    <w:rsid w:val="00ED42B3"/>
    <w:rsid w:val="00ED4719"/>
    <w:rsid w:val="00ED47A5"/>
    <w:rsid w:val="00ED48E5"/>
    <w:rsid w:val="00ED4D17"/>
    <w:rsid w:val="00ED502F"/>
    <w:rsid w:val="00ED50FC"/>
    <w:rsid w:val="00ED5145"/>
    <w:rsid w:val="00ED5914"/>
    <w:rsid w:val="00ED5ADA"/>
    <w:rsid w:val="00ED5EC8"/>
    <w:rsid w:val="00ED5F45"/>
    <w:rsid w:val="00ED623B"/>
    <w:rsid w:val="00ED63C9"/>
    <w:rsid w:val="00ED6488"/>
    <w:rsid w:val="00ED667E"/>
    <w:rsid w:val="00ED6DB3"/>
    <w:rsid w:val="00ED6E5C"/>
    <w:rsid w:val="00ED6E9E"/>
    <w:rsid w:val="00ED709B"/>
    <w:rsid w:val="00ED745B"/>
    <w:rsid w:val="00ED7C94"/>
    <w:rsid w:val="00ED7DBA"/>
    <w:rsid w:val="00ED7ED8"/>
    <w:rsid w:val="00ED7FA3"/>
    <w:rsid w:val="00EE05F4"/>
    <w:rsid w:val="00EE0C1E"/>
    <w:rsid w:val="00EE0C43"/>
    <w:rsid w:val="00EE0C9B"/>
    <w:rsid w:val="00EE0DF8"/>
    <w:rsid w:val="00EE0F8B"/>
    <w:rsid w:val="00EE148C"/>
    <w:rsid w:val="00EE1600"/>
    <w:rsid w:val="00EE1640"/>
    <w:rsid w:val="00EE1A29"/>
    <w:rsid w:val="00EE1AC8"/>
    <w:rsid w:val="00EE2503"/>
    <w:rsid w:val="00EE2769"/>
    <w:rsid w:val="00EE2A45"/>
    <w:rsid w:val="00EE30C3"/>
    <w:rsid w:val="00EE30E2"/>
    <w:rsid w:val="00EE32E6"/>
    <w:rsid w:val="00EE3323"/>
    <w:rsid w:val="00EE335F"/>
    <w:rsid w:val="00EE34A4"/>
    <w:rsid w:val="00EE37CE"/>
    <w:rsid w:val="00EE37EA"/>
    <w:rsid w:val="00EE4839"/>
    <w:rsid w:val="00EE4868"/>
    <w:rsid w:val="00EE48EC"/>
    <w:rsid w:val="00EE49E6"/>
    <w:rsid w:val="00EE4D6C"/>
    <w:rsid w:val="00EE50FC"/>
    <w:rsid w:val="00EE5137"/>
    <w:rsid w:val="00EE51DC"/>
    <w:rsid w:val="00EE586A"/>
    <w:rsid w:val="00EE5A91"/>
    <w:rsid w:val="00EE5D80"/>
    <w:rsid w:val="00EE623D"/>
    <w:rsid w:val="00EE6A08"/>
    <w:rsid w:val="00EE6C9A"/>
    <w:rsid w:val="00EE6CD3"/>
    <w:rsid w:val="00EE6F47"/>
    <w:rsid w:val="00EE713A"/>
    <w:rsid w:val="00EE72E9"/>
    <w:rsid w:val="00EE79EE"/>
    <w:rsid w:val="00EF01CA"/>
    <w:rsid w:val="00EF043E"/>
    <w:rsid w:val="00EF1458"/>
    <w:rsid w:val="00EF163E"/>
    <w:rsid w:val="00EF2052"/>
    <w:rsid w:val="00EF20D7"/>
    <w:rsid w:val="00EF20DA"/>
    <w:rsid w:val="00EF268A"/>
    <w:rsid w:val="00EF2A96"/>
    <w:rsid w:val="00EF2CA1"/>
    <w:rsid w:val="00EF2D1A"/>
    <w:rsid w:val="00EF334A"/>
    <w:rsid w:val="00EF3419"/>
    <w:rsid w:val="00EF345B"/>
    <w:rsid w:val="00EF389B"/>
    <w:rsid w:val="00EF3B1A"/>
    <w:rsid w:val="00EF3EC9"/>
    <w:rsid w:val="00EF3FFA"/>
    <w:rsid w:val="00EF412D"/>
    <w:rsid w:val="00EF43D2"/>
    <w:rsid w:val="00EF4632"/>
    <w:rsid w:val="00EF47D4"/>
    <w:rsid w:val="00EF483D"/>
    <w:rsid w:val="00EF4C88"/>
    <w:rsid w:val="00EF4C8A"/>
    <w:rsid w:val="00EF4D11"/>
    <w:rsid w:val="00EF4D14"/>
    <w:rsid w:val="00EF4E4F"/>
    <w:rsid w:val="00EF4ED3"/>
    <w:rsid w:val="00EF5870"/>
    <w:rsid w:val="00EF5876"/>
    <w:rsid w:val="00EF593A"/>
    <w:rsid w:val="00EF5B04"/>
    <w:rsid w:val="00EF5EF1"/>
    <w:rsid w:val="00EF5F4D"/>
    <w:rsid w:val="00EF5F7D"/>
    <w:rsid w:val="00EF6080"/>
    <w:rsid w:val="00EF615B"/>
    <w:rsid w:val="00EF6210"/>
    <w:rsid w:val="00EF6530"/>
    <w:rsid w:val="00EF686A"/>
    <w:rsid w:val="00EF6DAE"/>
    <w:rsid w:val="00EF6E85"/>
    <w:rsid w:val="00EF6F9B"/>
    <w:rsid w:val="00EF72B2"/>
    <w:rsid w:val="00EF76EF"/>
    <w:rsid w:val="00EF7A9D"/>
    <w:rsid w:val="00EF7B90"/>
    <w:rsid w:val="00F0019B"/>
    <w:rsid w:val="00F002D7"/>
    <w:rsid w:val="00F0049A"/>
    <w:rsid w:val="00F00560"/>
    <w:rsid w:val="00F00F9E"/>
    <w:rsid w:val="00F0119C"/>
    <w:rsid w:val="00F012E7"/>
    <w:rsid w:val="00F0136B"/>
    <w:rsid w:val="00F014A8"/>
    <w:rsid w:val="00F015FA"/>
    <w:rsid w:val="00F01695"/>
    <w:rsid w:val="00F016BC"/>
    <w:rsid w:val="00F018E5"/>
    <w:rsid w:val="00F018E8"/>
    <w:rsid w:val="00F018F3"/>
    <w:rsid w:val="00F018FC"/>
    <w:rsid w:val="00F01995"/>
    <w:rsid w:val="00F01CE0"/>
    <w:rsid w:val="00F01CEF"/>
    <w:rsid w:val="00F0232D"/>
    <w:rsid w:val="00F023C2"/>
    <w:rsid w:val="00F02457"/>
    <w:rsid w:val="00F024B3"/>
    <w:rsid w:val="00F025C6"/>
    <w:rsid w:val="00F02734"/>
    <w:rsid w:val="00F027E1"/>
    <w:rsid w:val="00F028DD"/>
    <w:rsid w:val="00F02950"/>
    <w:rsid w:val="00F02BDB"/>
    <w:rsid w:val="00F02E0B"/>
    <w:rsid w:val="00F02FB7"/>
    <w:rsid w:val="00F0319A"/>
    <w:rsid w:val="00F03215"/>
    <w:rsid w:val="00F03C55"/>
    <w:rsid w:val="00F04194"/>
    <w:rsid w:val="00F042CB"/>
    <w:rsid w:val="00F0441B"/>
    <w:rsid w:val="00F046FC"/>
    <w:rsid w:val="00F0519E"/>
    <w:rsid w:val="00F05352"/>
    <w:rsid w:val="00F0563D"/>
    <w:rsid w:val="00F056DA"/>
    <w:rsid w:val="00F05915"/>
    <w:rsid w:val="00F05A8D"/>
    <w:rsid w:val="00F05CB5"/>
    <w:rsid w:val="00F0600F"/>
    <w:rsid w:val="00F06795"/>
    <w:rsid w:val="00F068ED"/>
    <w:rsid w:val="00F06C08"/>
    <w:rsid w:val="00F06CB2"/>
    <w:rsid w:val="00F06DB4"/>
    <w:rsid w:val="00F06F5C"/>
    <w:rsid w:val="00F070FE"/>
    <w:rsid w:val="00F0711A"/>
    <w:rsid w:val="00F07623"/>
    <w:rsid w:val="00F07978"/>
    <w:rsid w:val="00F07A81"/>
    <w:rsid w:val="00F07B51"/>
    <w:rsid w:val="00F07E89"/>
    <w:rsid w:val="00F101A6"/>
    <w:rsid w:val="00F102D3"/>
    <w:rsid w:val="00F10866"/>
    <w:rsid w:val="00F10EE4"/>
    <w:rsid w:val="00F10FA5"/>
    <w:rsid w:val="00F11165"/>
    <w:rsid w:val="00F11177"/>
    <w:rsid w:val="00F11471"/>
    <w:rsid w:val="00F117B6"/>
    <w:rsid w:val="00F11801"/>
    <w:rsid w:val="00F11A9A"/>
    <w:rsid w:val="00F11B18"/>
    <w:rsid w:val="00F11BAC"/>
    <w:rsid w:val="00F11D25"/>
    <w:rsid w:val="00F11FA2"/>
    <w:rsid w:val="00F1232B"/>
    <w:rsid w:val="00F123C9"/>
    <w:rsid w:val="00F12AD7"/>
    <w:rsid w:val="00F12B6F"/>
    <w:rsid w:val="00F13022"/>
    <w:rsid w:val="00F132A6"/>
    <w:rsid w:val="00F13413"/>
    <w:rsid w:val="00F1361F"/>
    <w:rsid w:val="00F13A08"/>
    <w:rsid w:val="00F13E2B"/>
    <w:rsid w:val="00F13FA6"/>
    <w:rsid w:val="00F14126"/>
    <w:rsid w:val="00F1430D"/>
    <w:rsid w:val="00F147F7"/>
    <w:rsid w:val="00F14C90"/>
    <w:rsid w:val="00F150E9"/>
    <w:rsid w:val="00F15168"/>
    <w:rsid w:val="00F1540B"/>
    <w:rsid w:val="00F155C5"/>
    <w:rsid w:val="00F158AD"/>
    <w:rsid w:val="00F15F63"/>
    <w:rsid w:val="00F161C3"/>
    <w:rsid w:val="00F1621C"/>
    <w:rsid w:val="00F1650A"/>
    <w:rsid w:val="00F167D4"/>
    <w:rsid w:val="00F16CAB"/>
    <w:rsid w:val="00F1758D"/>
    <w:rsid w:val="00F1788A"/>
    <w:rsid w:val="00F17AA6"/>
    <w:rsid w:val="00F17D75"/>
    <w:rsid w:val="00F17E9C"/>
    <w:rsid w:val="00F17F33"/>
    <w:rsid w:val="00F20450"/>
    <w:rsid w:val="00F20849"/>
    <w:rsid w:val="00F208FE"/>
    <w:rsid w:val="00F20D53"/>
    <w:rsid w:val="00F211C1"/>
    <w:rsid w:val="00F21C0C"/>
    <w:rsid w:val="00F2217D"/>
    <w:rsid w:val="00F2223E"/>
    <w:rsid w:val="00F223C4"/>
    <w:rsid w:val="00F22466"/>
    <w:rsid w:val="00F227BE"/>
    <w:rsid w:val="00F22B25"/>
    <w:rsid w:val="00F22DD8"/>
    <w:rsid w:val="00F22E6A"/>
    <w:rsid w:val="00F23187"/>
    <w:rsid w:val="00F23C71"/>
    <w:rsid w:val="00F23E4E"/>
    <w:rsid w:val="00F23F2C"/>
    <w:rsid w:val="00F24307"/>
    <w:rsid w:val="00F243FA"/>
    <w:rsid w:val="00F24536"/>
    <w:rsid w:val="00F24648"/>
    <w:rsid w:val="00F247BE"/>
    <w:rsid w:val="00F249F8"/>
    <w:rsid w:val="00F24B97"/>
    <w:rsid w:val="00F25584"/>
    <w:rsid w:val="00F26317"/>
    <w:rsid w:val="00F26431"/>
    <w:rsid w:val="00F26516"/>
    <w:rsid w:val="00F26711"/>
    <w:rsid w:val="00F2695A"/>
    <w:rsid w:val="00F269E9"/>
    <w:rsid w:val="00F26B95"/>
    <w:rsid w:val="00F270B0"/>
    <w:rsid w:val="00F270EA"/>
    <w:rsid w:val="00F2711B"/>
    <w:rsid w:val="00F2771C"/>
    <w:rsid w:val="00F27B01"/>
    <w:rsid w:val="00F27D14"/>
    <w:rsid w:val="00F27FAA"/>
    <w:rsid w:val="00F30280"/>
    <w:rsid w:val="00F3087E"/>
    <w:rsid w:val="00F3122A"/>
    <w:rsid w:val="00F31293"/>
    <w:rsid w:val="00F3136B"/>
    <w:rsid w:val="00F314F1"/>
    <w:rsid w:val="00F3197E"/>
    <w:rsid w:val="00F31C53"/>
    <w:rsid w:val="00F31E8E"/>
    <w:rsid w:val="00F3238E"/>
    <w:rsid w:val="00F323FA"/>
    <w:rsid w:val="00F3272F"/>
    <w:rsid w:val="00F327EA"/>
    <w:rsid w:val="00F32968"/>
    <w:rsid w:val="00F32C83"/>
    <w:rsid w:val="00F32FD9"/>
    <w:rsid w:val="00F33156"/>
    <w:rsid w:val="00F336E7"/>
    <w:rsid w:val="00F338EA"/>
    <w:rsid w:val="00F33940"/>
    <w:rsid w:val="00F339B1"/>
    <w:rsid w:val="00F33DDC"/>
    <w:rsid w:val="00F3402F"/>
    <w:rsid w:val="00F3403C"/>
    <w:rsid w:val="00F3415E"/>
    <w:rsid w:val="00F34179"/>
    <w:rsid w:val="00F344A9"/>
    <w:rsid w:val="00F34716"/>
    <w:rsid w:val="00F34B31"/>
    <w:rsid w:val="00F34D0F"/>
    <w:rsid w:val="00F3565C"/>
    <w:rsid w:val="00F3567F"/>
    <w:rsid w:val="00F358AA"/>
    <w:rsid w:val="00F359F2"/>
    <w:rsid w:val="00F35A7D"/>
    <w:rsid w:val="00F35AD7"/>
    <w:rsid w:val="00F35B47"/>
    <w:rsid w:val="00F35D57"/>
    <w:rsid w:val="00F360F4"/>
    <w:rsid w:val="00F36A35"/>
    <w:rsid w:val="00F36B58"/>
    <w:rsid w:val="00F36D88"/>
    <w:rsid w:val="00F36DDA"/>
    <w:rsid w:val="00F36E23"/>
    <w:rsid w:val="00F36E59"/>
    <w:rsid w:val="00F37275"/>
    <w:rsid w:val="00F377FF"/>
    <w:rsid w:val="00F37F6B"/>
    <w:rsid w:val="00F40022"/>
    <w:rsid w:val="00F403AA"/>
    <w:rsid w:val="00F403C3"/>
    <w:rsid w:val="00F40647"/>
    <w:rsid w:val="00F408F1"/>
    <w:rsid w:val="00F40960"/>
    <w:rsid w:val="00F40C1D"/>
    <w:rsid w:val="00F40E00"/>
    <w:rsid w:val="00F40EED"/>
    <w:rsid w:val="00F40F85"/>
    <w:rsid w:val="00F4118B"/>
    <w:rsid w:val="00F415B6"/>
    <w:rsid w:val="00F415D4"/>
    <w:rsid w:val="00F4192A"/>
    <w:rsid w:val="00F419C0"/>
    <w:rsid w:val="00F41A42"/>
    <w:rsid w:val="00F41B75"/>
    <w:rsid w:val="00F420B2"/>
    <w:rsid w:val="00F42160"/>
    <w:rsid w:val="00F422E0"/>
    <w:rsid w:val="00F423E4"/>
    <w:rsid w:val="00F4277D"/>
    <w:rsid w:val="00F42842"/>
    <w:rsid w:val="00F42C8A"/>
    <w:rsid w:val="00F42D8C"/>
    <w:rsid w:val="00F42E08"/>
    <w:rsid w:val="00F42F10"/>
    <w:rsid w:val="00F43453"/>
    <w:rsid w:val="00F43902"/>
    <w:rsid w:val="00F4398D"/>
    <w:rsid w:val="00F43A14"/>
    <w:rsid w:val="00F43BC8"/>
    <w:rsid w:val="00F442E5"/>
    <w:rsid w:val="00F4468F"/>
    <w:rsid w:val="00F44B9A"/>
    <w:rsid w:val="00F44BF1"/>
    <w:rsid w:val="00F44BFB"/>
    <w:rsid w:val="00F4524F"/>
    <w:rsid w:val="00F452F7"/>
    <w:rsid w:val="00F45422"/>
    <w:rsid w:val="00F45792"/>
    <w:rsid w:val="00F45B60"/>
    <w:rsid w:val="00F46241"/>
    <w:rsid w:val="00F462BD"/>
    <w:rsid w:val="00F46A51"/>
    <w:rsid w:val="00F46D2B"/>
    <w:rsid w:val="00F46E40"/>
    <w:rsid w:val="00F47052"/>
    <w:rsid w:val="00F4713C"/>
    <w:rsid w:val="00F47311"/>
    <w:rsid w:val="00F474AA"/>
    <w:rsid w:val="00F4760A"/>
    <w:rsid w:val="00F47813"/>
    <w:rsid w:val="00F47CE4"/>
    <w:rsid w:val="00F47E10"/>
    <w:rsid w:val="00F5017D"/>
    <w:rsid w:val="00F50189"/>
    <w:rsid w:val="00F504E1"/>
    <w:rsid w:val="00F505A5"/>
    <w:rsid w:val="00F50756"/>
    <w:rsid w:val="00F508E3"/>
    <w:rsid w:val="00F5097E"/>
    <w:rsid w:val="00F50C5A"/>
    <w:rsid w:val="00F50CD1"/>
    <w:rsid w:val="00F50CD7"/>
    <w:rsid w:val="00F5145C"/>
    <w:rsid w:val="00F51648"/>
    <w:rsid w:val="00F51A0E"/>
    <w:rsid w:val="00F51D6D"/>
    <w:rsid w:val="00F51E4A"/>
    <w:rsid w:val="00F51FC2"/>
    <w:rsid w:val="00F52034"/>
    <w:rsid w:val="00F52182"/>
    <w:rsid w:val="00F52469"/>
    <w:rsid w:val="00F52563"/>
    <w:rsid w:val="00F526C2"/>
    <w:rsid w:val="00F52876"/>
    <w:rsid w:val="00F52B41"/>
    <w:rsid w:val="00F52B8E"/>
    <w:rsid w:val="00F530F9"/>
    <w:rsid w:val="00F53198"/>
    <w:rsid w:val="00F53219"/>
    <w:rsid w:val="00F5322C"/>
    <w:rsid w:val="00F534F5"/>
    <w:rsid w:val="00F537B6"/>
    <w:rsid w:val="00F539EA"/>
    <w:rsid w:val="00F53A3E"/>
    <w:rsid w:val="00F53AFE"/>
    <w:rsid w:val="00F53BE0"/>
    <w:rsid w:val="00F53CFD"/>
    <w:rsid w:val="00F54049"/>
    <w:rsid w:val="00F541C7"/>
    <w:rsid w:val="00F544AE"/>
    <w:rsid w:val="00F54913"/>
    <w:rsid w:val="00F54AF5"/>
    <w:rsid w:val="00F55236"/>
    <w:rsid w:val="00F557E3"/>
    <w:rsid w:val="00F55896"/>
    <w:rsid w:val="00F55BCF"/>
    <w:rsid w:val="00F55C13"/>
    <w:rsid w:val="00F55EC4"/>
    <w:rsid w:val="00F55FED"/>
    <w:rsid w:val="00F564B2"/>
    <w:rsid w:val="00F567C1"/>
    <w:rsid w:val="00F5693F"/>
    <w:rsid w:val="00F56AF7"/>
    <w:rsid w:val="00F56AF9"/>
    <w:rsid w:val="00F56D21"/>
    <w:rsid w:val="00F56EA3"/>
    <w:rsid w:val="00F571F2"/>
    <w:rsid w:val="00F576F8"/>
    <w:rsid w:val="00F5778A"/>
    <w:rsid w:val="00F57D07"/>
    <w:rsid w:val="00F57FAF"/>
    <w:rsid w:val="00F600DF"/>
    <w:rsid w:val="00F60206"/>
    <w:rsid w:val="00F6039A"/>
    <w:rsid w:val="00F6060A"/>
    <w:rsid w:val="00F609E8"/>
    <w:rsid w:val="00F60CB1"/>
    <w:rsid w:val="00F60CFE"/>
    <w:rsid w:val="00F60ED8"/>
    <w:rsid w:val="00F61020"/>
    <w:rsid w:val="00F61268"/>
    <w:rsid w:val="00F61296"/>
    <w:rsid w:val="00F6152F"/>
    <w:rsid w:val="00F61706"/>
    <w:rsid w:val="00F6173F"/>
    <w:rsid w:val="00F61888"/>
    <w:rsid w:val="00F6191B"/>
    <w:rsid w:val="00F61AA8"/>
    <w:rsid w:val="00F61E78"/>
    <w:rsid w:val="00F62096"/>
    <w:rsid w:val="00F622A1"/>
    <w:rsid w:val="00F62534"/>
    <w:rsid w:val="00F62BC8"/>
    <w:rsid w:val="00F62FE8"/>
    <w:rsid w:val="00F634B1"/>
    <w:rsid w:val="00F635C5"/>
    <w:rsid w:val="00F636D4"/>
    <w:rsid w:val="00F63768"/>
    <w:rsid w:val="00F638C9"/>
    <w:rsid w:val="00F63EC1"/>
    <w:rsid w:val="00F642A5"/>
    <w:rsid w:val="00F642CE"/>
    <w:rsid w:val="00F6452C"/>
    <w:rsid w:val="00F64541"/>
    <w:rsid w:val="00F645D2"/>
    <w:rsid w:val="00F64CCE"/>
    <w:rsid w:val="00F64F96"/>
    <w:rsid w:val="00F6542A"/>
    <w:rsid w:val="00F654F9"/>
    <w:rsid w:val="00F65658"/>
    <w:rsid w:val="00F65870"/>
    <w:rsid w:val="00F658DE"/>
    <w:rsid w:val="00F65A87"/>
    <w:rsid w:val="00F661CB"/>
    <w:rsid w:val="00F66268"/>
    <w:rsid w:val="00F66297"/>
    <w:rsid w:val="00F6645C"/>
    <w:rsid w:val="00F66562"/>
    <w:rsid w:val="00F665D0"/>
    <w:rsid w:val="00F66798"/>
    <w:rsid w:val="00F669D5"/>
    <w:rsid w:val="00F66D59"/>
    <w:rsid w:val="00F66F2E"/>
    <w:rsid w:val="00F672CB"/>
    <w:rsid w:val="00F67396"/>
    <w:rsid w:val="00F67686"/>
    <w:rsid w:val="00F67902"/>
    <w:rsid w:val="00F6791A"/>
    <w:rsid w:val="00F67A46"/>
    <w:rsid w:val="00F702AC"/>
    <w:rsid w:val="00F70416"/>
    <w:rsid w:val="00F7088A"/>
    <w:rsid w:val="00F710DB"/>
    <w:rsid w:val="00F711E0"/>
    <w:rsid w:val="00F7160F"/>
    <w:rsid w:val="00F71A3B"/>
    <w:rsid w:val="00F71CC1"/>
    <w:rsid w:val="00F71D07"/>
    <w:rsid w:val="00F720EE"/>
    <w:rsid w:val="00F72AFF"/>
    <w:rsid w:val="00F73316"/>
    <w:rsid w:val="00F73368"/>
    <w:rsid w:val="00F734B9"/>
    <w:rsid w:val="00F736E3"/>
    <w:rsid w:val="00F7379F"/>
    <w:rsid w:val="00F73941"/>
    <w:rsid w:val="00F7442A"/>
    <w:rsid w:val="00F74453"/>
    <w:rsid w:val="00F74656"/>
    <w:rsid w:val="00F74681"/>
    <w:rsid w:val="00F75DDF"/>
    <w:rsid w:val="00F76362"/>
    <w:rsid w:val="00F7670C"/>
    <w:rsid w:val="00F767E8"/>
    <w:rsid w:val="00F768B7"/>
    <w:rsid w:val="00F76BC4"/>
    <w:rsid w:val="00F76ED4"/>
    <w:rsid w:val="00F77204"/>
    <w:rsid w:val="00F7740F"/>
    <w:rsid w:val="00F77624"/>
    <w:rsid w:val="00F7777B"/>
    <w:rsid w:val="00F77A96"/>
    <w:rsid w:val="00F77B02"/>
    <w:rsid w:val="00F80023"/>
    <w:rsid w:val="00F802FE"/>
    <w:rsid w:val="00F803C7"/>
    <w:rsid w:val="00F80FD4"/>
    <w:rsid w:val="00F81E27"/>
    <w:rsid w:val="00F8236F"/>
    <w:rsid w:val="00F82816"/>
    <w:rsid w:val="00F829F0"/>
    <w:rsid w:val="00F82A7C"/>
    <w:rsid w:val="00F836D6"/>
    <w:rsid w:val="00F836F1"/>
    <w:rsid w:val="00F83B23"/>
    <w:rsid w:val="00F83CE3"/>
    <w:rsid w:val="00F84897"/>
    <w:rsid w:val="00F84C73"/>
    <w:rsid w:val="00F84F3D"/>
    <w:rsid w:val="00F851A2"/>
    <w:rsid w:val="00F85212"/>
    <w:rsid w:val="00F853DF"/>
    <w:rsid w:val="00F854A5"/>
    <w:rsid w:val="00F8572E"/>
    <w:rsid w:val="00F8578A"/>
    <w:rsid w:val="00F85B74"/>
    <w:rsid w:val="00F85D64"/>
    <w:rsid w:val="00F85E80"/>
    <w:rsid w:val="00F8608D"/>
    <w:rsid w:val="00F86311"/>
    <w:rsid w:val="00F8653D"/>
    <w:rsid w:val="00F86618"/>
    <w:rsid w:val="00F86724"/>
    <w:rsid w:val="00F868A9"/>
    <w:rsid w:val="00F86A3F"/>
    <w:rsid w:val="00F87036"/>
    <w:rsid w:val="00F870FD"/>
    <w:rsid w:val="00F87464"/>
    <w:rsid w:val="00F874FA"/>
    <w:rsid w:val="00F877E8"/>
    <w:rsid w:val="00F87836"/>
    <w:rsid w:val="00F8787A"/>
    <w:rsid w:val="00F87F4D"/>
    <w:rsid w:val="00F90409"/>
    <w:rsid w:val="00F904DE"/>
    <w:rsid w:val="00F906F7"/>
    <w:rsid w:val="00F907A5"/>
    <w:rsid w:val="00F90829"/>
    <w:rsid w:val="00F908C6"/>
    <w:rsid w:val="00F909CC"/>
    <w:rsid w:val="00F90C56"/>
    <w:rsid w:val="00F90D61"/>
    <w:rsid w:val="00F90DDD"/>
    <w:rsid w:val="00F91003"/>
    <w:rsid w:val="00F91255"/>
    <w:rsid w:val="00F91297"/>
    <w:rsid w:val="00F9133B"/>
    <w:rsid w:val="00F915A1"/>
    <w:rsid w:val="00F9162C"/>
    <w:rsid w:val="00F91A34"/>
    <w:rsid w:val="00F91E57"/>
    <w:rsid w:val="00F9201B"/>
    <w:rsid w:val="00F9220C"/>
    <w:rsid w:val="00F923BD"/>
    <w:rsid w:val="00F924DB"/>
    <w:rsid w:val="00F9270F"/>
    <w:rsid w:val="00F92FD3"/>
    <w:rsid w:val="00F92FE1"/>
    <w:rsid w:val="00F93031"/>
    <w:rsid w:val="00F93393"/>
    <w:rsid w:val="00F9342A"/>
    <w:rsid w:val="00F934CC"/>
    <w:rsid w:val="00F9362B"/>
    <w:rsid w:val="00F93805"/>
    <w:rsid w:val="00F93810"/>
    <w:rsid w:val="00F9383E"/>
    <w:rsid w:val="00F939F2"/>
    <w:rsid w:val="00F93B4E"/>
    <w:rsid w:val="00F93DAF"/>
    <w:rsid w:val="00F93E82"/>
    <w:rsid w:val="00F94579"/>
    <w:rsid w:val="00F945E7"/>
    <w:rsid w:val="00F951AA"/>
    <w:rsid w:val="00F95C6F"/>
    <w:rsid w:val="00F95CA6"/>
    <w:rsid w:val="00F95D24"/>
    <w:rsid w:val="00F95FC6"/>
    <w:rsid w:val="00F9636F"/>
    <w:rsid w:val="00F9665F"/>
    <w:rsid w:val="00F969FE"/>
    <w:rsid w:val="00F96B92"/>
    <w:rsid w:val="00F971B3"/>
    <w:rsid w:val="00F971BD"/>
    <w:rsid w:val="00F971CA"/>
    <w:rsid w:val="00F9761D"/>
    <w:rsid w:val="00F976DA"/>
    <w:rsid w:val="00F97730"/>
    <w:rsid w:val="00FA0029"/>
    <w:rsid w:val="00FA0190"/>
    <w:rsid w:val="00FA030B"/>
    <w:rsid w:val="00FA0571"/>
    <w:rsid w:val="00FA07BC"/>
    <w:rsid w:val="00FA0B4A"/>
    <w:rsid w:val="00FA0D03"/>
    <w:rsid w:val="00FA0D7E"/>
    <w:rsid w:val="00FA0E37"/>
    <w:rsid w:val="00FA0F94"/>
    <w:rsid w:val="00FA0FAC"/>
    <w:rsid w:val="00FA1181"/>
    <w:rsid w:val="00FA130E"/>
    <w:rsid w:val="00FA1AAC"/>
    <w:rsid w:val="00FA1C4F"/>
    <w:rsid w:val="00FA1C78"/>
    <w:rsid w:val="00FA1F01"/>
    <w:rsid w:val="00FA1F5C"/>
    <w:rsid w:val="00FA2341"/>
    <w:rsid w:val="00FA2360"/>
    <w:rsid w:val="00FA283F"/>
    <w:rsid w:val="00FA2880"/>
    <w:rsid w:val="00FA30E7"/>
    <w:rsid w:val="00FA314C"/>
    <w:rsid w:val="00FA337B"/>
    <w:rsid w:val="00FA33C3"/>
    <w:rsid w:val="00FA343A"/>
    <w:rsid w:val="00FA35D1"/>
    <w:rsid w:val="00FA3F41"/>
    <w:rsid w:val="00FA3F94"/>
    <w:rsid w:val="00FA434D"/>
    <w:rsid w:val="00FA4514"/>
    <w:rsid w:val="00FA4730"/>
    <w:rsid w:val="00FA47CC"/>
    <w:rsid w:val="00FA4BAB"/>
    <w:rsid w:val="00FA4D88"/>
    <w:rsid w:val="00FA4F8B"/>
    <w:rsid w:val="00FA505B"/>
    <w:rsid w:val="00FA5553"/>
    <w:rsid w:val="00FA557F"/>
    <w:rsid w:val="00FA5775"/>
    <w:rsid w:val="00FA5A76"/>
    <w:rsid w:val="00FA5DA8"/>
    <w:rsid w:val="00FA5DB7"/>
    <w:rsid w:val="00FA6472"/>
    <w:rsid w:val="00FA65BC"/>
    <w:rsid w:val="00FA6925"/>
    <w:rsid w:val="00FA6986"/>
    <w:rsid w:val="00FA6C69"/>
    <w:rsid w:val="00FA728B"/>
    <w:rsid w:val="00FA747A"/>
    <w:rsid w:val="00FA7A9A"/>
    <w:rsid w:val="00FA7D92"/>
    <w:rsid w:val="00FA7E9A"/>
    <w:rsid w:val="00FA7EB7"/>
    <w:rsid w:val="00FB0101"/>
    <w:rsid w:val="00FB0245"/>
    <w:rsid w:val="00FB036B"/>
    <w:rsid w:val="00FB052D"/>
    <w:rsid w:val="00FB06C6"/>
    <w:rsid w:val="00FB0708"/>
    <w:rsid w:val="00FB079F"/>
    <w:rsid w:val="00FB0848"/>
    <w:rsid w:val="00FB08ED"/>
    <w:rsid w:val="00FB0AA2"/>
    <w:rsid w:val="00FB0CE0"/>
    <w:rsid w:val="00FB105A"/>
    <w:rsid w:val="00FB125A"/>
    <w:rsid w:val="00FB13C4"/>
    <w:rsid w:val="00FB1694"/>
    <w:rsid w:val="00FB1B58"/>
    <w:rsid w:val="00FB1E4E"/>
    <w:rsid w:val="00FB1E82"/>
    <w:rsid w:val="00FB25D8"/>
    <w:rsid w:val="00FB2637"/>
    <w:rsid w:val="00FB29F9"/>
    <w:rsid w:val="00FB2A2D"/>
    <w:rsid w:val="00FB30B4"/>
    <w:rsid w:val="00FB32A4"/>
    <w:rsid w:val="00FB32DE"/>
    <w:rsid w:val="00FB3BE5"/>
    <w:rsid w:val="00FB3C04"/>
    <w:rsid w:val="00FB3C3A"/>
    <w:rsid w:val="00FB40A1"/>
    <w:rsid w:val="00FB412E"/>
    <w:rsid w:val="00FB4440"/>
    <w:rsid w:val="00FB44E9"/>
    <w:rsid w:val="00FB4758"/>
    <w:rsid w:val="00FB483A"/>
    <w:rsid w:val="00FB49C3"/>
    <w:rsid w:val="00FB53C6"/>
    <w:rsid w:val="00FB5894"/>
    <w:rsid w:val="00FB594D"/>
    <w:rsid w:val="00FB5CEF"/>
    <w:rsid w:val="00FB5DC1"/>
    <w:rsid w:val="00FB5E6B"/>
    <w:rsid w:val="00FB60E3"/>
    <w:rsid w:val="00FB6174"/>
    <w:rsid w:val="00FB6815"/>
    <w:rsid w:val="00FB689A"/>
    <w:rsid w:val="00FB6A70"/>
    <w:rsid w:val="00FB6B13"/>
    <w:rsid w:val="00FB6D50"/>
    <w:rsid w:val="00FB7069"/>
    <w:rsid w:val="00FB77A0"/>
    <w:rsid w:val="00FB7B1F"/>
    <w:rsid w:val="00FB7E26"/>
    <w:rsid w:val="00FB7EA9"/>
    <w:rsid w:val="00FB7FBC"/>
    <w:rsid w:val="00FC019E"/>
    <w:rsid w:val="00FC0234"/>
    <w:rsid w:val="00FC04BC"/>
    <w:rsid w:val="00FC04E4"/>
    <w:rsid w:val="00FC0643"/>
    <w:rsid w:val="00FC065C"/>
    <w:rsid w:val="00FC1460"/>
    <w:rsid w:val="00FC1507"/>
    <w:rsid w:val="00FC15F4"/>
    <w:rsid w:val="00FC1695"/>
    <w:rsid w:val="00FC19B4"/>
    <w:rsid w:val="00FC1A8A"/>
    <w:rsid w:val="00FC1D01"/>
    <w:rsid w:val="00FC2326"/>
    <w:rsid w:val="00FC29D1"/>
    <w:rsid w:val="00FC2A81"/>
    <w:rsid w:val="00FC2D90"/>
    <w:rsid w:val="00FC3049"/>
    <w:rsid w:val="00FC3A15"/>
    <w:rsid w:val="00FC3E2A"/>
    <w:rsid w:val="00FC3E44"/>
    <w:rsid w:val="00FC3E4C"/>
    <w:rsid w:val="00FC49BB"/>
    <w:rsid w:val="00FC4B1F"/>
    <w:rsid w:val="00FC4EFD"/>
    <w:rsid w:val="00FC4F14"/>
    <w:rsid w:val="00FC4FC5"/>
    <w:rsid w:val="00FC5003"/>
    <w:rsid w:val="00FC52AB"/>
    <w:rsid w:val="00FC5EA0"/>
    <w:rsid w:val="00FC5FF0"/>
    <w:rsid w:val="00FC660B"/>
    <w:rsid w:val="00FC676B"/>
    <w:rsid w:val="00FC6965"/>
    <w:rsid w:val="00FC6CF5"/>
    <w:rsid w:val="00FC6F15"/>
    <w:rsid w:val="00FC6FA8"/>
    <w:rsid w:val="00FC704C"/>
    <w:rsid w:val="00FC7114"/>
    <w:rsid w:val="00FC719A"/>
    <w:rsid w:val="00FC719B"/>
    <w:rsid w:val="00FC7273"/>
    <w:rsid w:val="00FC7296"/>
    <w:rsid w:val="00FC74A4"/>
    <w:rsid w:val="00FC794A"/>
    <w:rsid w:val="00FC79AE"/>
    <w:rsid w:val="00FC7BE9"/>
    <w:rsid w:val="00FC7DDC"/>
    <w:rsid w:val="00FC7F25"/>
    <w:rsid w:val="00FD0225"/>
    <w:rsid w:val="00FD025D"/>
    <w:rsid w:val="00FD042F"/>
    <w:rsid w:val="00FD04E6"/>
    <w:rsid w:val="00FD0B80"/>
    <w:rsid w:val="00FD0BBD"/>
    <w:rsid w:val="00FD0FA2"/>
    <w:rsid w:val="00FD1A1D"/>
    <w:rsid w:val="00FD1C32"/>
    <w:rsid w:val="00FD1D52"/>
    <w:rsid w:val="00FD1D99"/>
    <w:rsid w:val="00FD2459"/>
    <w:rsid w:val="00FD272F"/>
    <w:rsid w:val="00FD27AE"/>
    <w:rsid w:val="00FD2C97"/>
    <w:rsid w:val="00FD314C"/>
    <w:rsid w:val="00FD3168"/>
    <w:rsid w:val="00FD32DD"/>
    <w:rsid w:val="00FD367B"/>
    <w:rsid w:val="00FD3865"/>
    <w:rsid w:val="00FD38BF"/>
    <w:rsid w:val="00FD3A93"/>
    <w:rsid w:val="00FD3BAC"/>
    <w:rsid w:val="00FD3CEB"/>
    <w:rsid w:val="00FD3DF3"/>
    <w:rsid w:val="00FD3F76"/>
    <w:rsid w:val="00FD4087"/>
    <w:rsid w:val="00FD44E4"/>
    <w:rsid w:val="00FD4561"/>
    <w:rsid w:val="00FD4926"/>
    <w:rsid w:val="00FD5129"/>
    <w:rsid w:val="00FD521B"/>
    <w:rsid w:val="00FD52A4"/>
    <w:rsid w:val="00FD55AE"/>
    <w:rsid w:val="00FD5878"/>
    <w:rsid w:val="00FD58E9"/>
    <w:rsid w:val="00FD59A2"/>
    <w:rsid w:val="00FD5A28"/>
    <w:rsid w:val="00FD5B11"/>
    <w:rsid w:val="00FD5CEC"/>
    <w:rsid w:val="00FD5DC1"/>
    <w:rsid w:val="00FD60AB"/>
    <w:rsid w:val="00FD616B"/>
    <w:rsid w:val="00FD655F"/>
    <w:rsid w:val="00FD65F4"/>
    <w:rsid w:val="00FD69FE"/>
    <w:rsid w:val="00FD6A4B"/>
    <w:rsid w:val="00FD7899"/>
    <w:rsid w:val="00FD7A10"/>
    <w:rsid w:val="00FD7AD2"/>
    <w:rsid w:val="00FD7EA5"/>
    <w:rsid w:val="00FE006F"/>
    <w:rsid w:val="00FE0169"/>
    <w:rsid w:val="00FE01F6"/>
    <w:rsid w:val="00FE05A0"/>
    <w:rsid w:val="00FE0B53"/>
    <w:rsid w:val="00FE0D32"/>
    <w:rsid w:val="00FE10D1"/>
    <w:rsid w:val="00FE14FC"/>
    <w:rsid w:val="00FE1566"/>
    <w:rsid w:val="00FE1824"/>
    <w:rsid w:val="00FE18EE"/>
    <w:rsid w:val="00FE1B5D"/>
    <w:rsid w:val="00FE1D8D"/>
    <w:rsid w:val="00FE367F"/>
    <w:rsid w:val="00FE38A0"/>
    <w:rsid w:val="00FE3940"/>
    <w:rsid w:val="00FE3A0F"/>
    <w:rsid w:val="00FE3CC3"/>
    <w:rsid w:val="00FE3D71"/>
    <w:rsid w:val="00FE3FAF"/>
    <w:rsid w:val="00FE3FBC"/>
    <w:rsid w:val="00FE40CB"/>
    <w:rsid w:val="00FE42DB"/>
    <w:rsid w:val="00FE43B7"/>
    <w:rsid w:val="00FE44F7"/>
    <w:rsid w:val="00FE4682"/>
    <w:rsid w:val="00FE4810"/>
    <w:rsid w:val="00FE4BB5"/>
    <w:rsid w:val="00FE4DD5"/>
    <w:rsid w:val="00FE4E35"/>
    <w:rsid w:val="00FE5521"/>
    <w:rsid w:val="00FE55C2"/>
    <w:rsid w:val="00FE5799"/>
    <w:rsid w:val="00FE593C"/>
    <w:rsid w:val="00FE5B83"/>
    <w:rsid w:val="00FE5F3B"/>
    <w:rsid w:val="00FE61A9"/>
    <w:rsid w:val="00FE65D5"/>
    <w:rsid w:val="00FE6774"/>
    <w:rsid w:val="00FE6785"/>
    <w:rsid w:val="00FE7DD2"/>
    <w:rsid w:val="00FE7E2E"/>
    <w:rsid w:val="00FE7F3E"/>
    <w:rsid w:val="00FF01B6"/>
    <w:rsid w:val="00FF01E9"/>
    <w:rsid w:val="00FF03E9"/>
    <w:rsid w:val="00FF06F4"/>
    <w:rsid w:val="00FF072C"/>
    <w:rsid w:val="00FF0B23"/>
    <w:rsid w:val="00FF0C91"/>
    <w:rsid w:val="00FF121C"/>
    <w:rsid w:val="00FF16CB"/>
    <w:rsid w:val="00FF1AD0"/>
    <w:rsid w:val="00FF27FC"/>
    <w:rsid w:val="00FF29DC"/>
    <w:rsid w:val="00FF2B85"/>
    <w:rsid w:val="00FF2BD2"/>
    <w:rsid w:val="00FF32E6"/>
    <w:rsid w:val="00FF340D"/>
    <w:rsid w:val="00FF355E"/>
    <w:rsid w:val="00FF3663"/>
    <w:rsid w:val="00FF3B44"/>
    <w:rsid w:val="00FF3D44"/>
    <w:rsid w:val="00FF4149"/>
    <w:rsid w:val="00FF439D"/>
    <w:rsid w:val="00FF48FB"/>
    <w:rsid w:val="00FF4FA6"/>
    <w:rsid w:val="00FF4FE8"/>
    <w:rsid w:val="00FF5214"/>
    <w:rsid w:val="00FF5379"/>
    <w:rsid w:val="00FF539B"/>
    <w:rsid w:val="00FF55DF"/>
    <w:rsid w:val="00FF5741"/>
    <w:rsid w:val="00FF58F8"/>
    <w:rsid w:val="00FF5A0E"/>
    <w:rsid w:val="00FF5CE6"/>
    <w:rsid w:val="00FF5E92"/>
    <w:rsid w:val="00FF628A"/>
    <w:rsid w:val="00FF681D"/>
    <w:rsid w:val="00FF6B85"/>
    <w:rsid w:val="00FF6DE8"/>
    <w:rsid w:val="00FF6F5C"/>
    <w:rsid w:val="00FF7120"/>
    <w:rsid w:val="00FF7458"/>
    <w:rsid w:val="00FF7828"/>
    <w:rsid w:val="00FF7915"/>
    <w:rsid w:val="00FF7B41"/>
    <w:rsid w:val="00FF7D62"/>
    <w:rsid w:val="00FF7E30"/>
    <w:rsid w:val="04B66799"/>
    <w:rsid w:val="06376BB3"/>
    <w:rsid w:val="0BD4D9C8"/>
    <w:rsid w:val="0D70AA29"/>
    <w:rsid w:val="1BEE95F3"/>
    <w:rsid w:val="1CDEC085"/>
    <w:rsid w:val="2725108B"/>
    <w:rsid w:val="3A6F7AE9"/>
    <w:rsid w:val="4A4A44BB"/>
    <w:rsid w:val="5B852602"/>
    <w:rsid w:val="600E743E"/>
    <w:rsid w:val="76BE792E"/>
    <w:rsid w:val="7AA614E4"/>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strokecolor="red">
      <v:stroke dashstyle="1 1" color="red" weight="1.25pt"/>
    </o:shapedefaults>
    <o:shapelayout v:ext="edit">
      <o:idmap v:ext="edit" data="2"/>
    </o:shapelayout>
  </w:shapeDefaults>
  <w:decimalSymbol w:val="."/>
  <w:listSeparator w:val=","/>
  <w14:docId w14:val="52C9BA63"/>
  <w15:docId w15:val="{BDB23401-49F3-4CEB-BA00-C90319FA76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uiPriority="0"/>
    <w:lsdException w:name="heading 1" w:uiPriority="1" w:qFormat="1"/>
    <w:lsdException w:name="heading 2" w:uiPriority="1" w:qFormat="1"/>
    <w:lsdException w:name="heading 3" w:uiPriority="9" w:qFormat="1"/>
    <w:lsdException w:name="heading 4" w:uiPriority="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10" w:unhideWhenUsed="1"/>
    <w:lsdException w:name="footer" w:semiHidden="1" w:uiPriority="98"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nhideWhenUsed="1"/>
    <w:lsdException w:name="No Spacing" w:semiHidden="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semiHidden="1" w:uiPriority="34" w:qFormat="1"/>
    <w:lsdException w:name="Quote" w:semiHidden="1" w:uiPriority="73" w:qFormat="1"/>
    <w:lsdException w:name="Intense Quote" w:semiHidden="1"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semiHidden="1" w:uiPriority="65" w:qFormat="1"/>
    <w:lsdException w:name="Intense Emphasis" w:semiHidden="1" w:uiPriority="66" w:qFormat="1"/>
    <w:lsdException w:name="Subtle Reference" w:semiHidden="1" w:uiPriority="67" w:qFormat="1"/>
    <w:lsdException w:name="Intense Reference" w:semiHidden="1" w:uiPriority="68" w:qFormat="1"/>
    <w:lsdException w:name="Book Title" w:semiHidden="1"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B72353"/>
  </w:style>
  <w:style w:type="paragraph" w:styleId="Heading1">
    <w:name w:val="heading 1"/>
    <w:next w:val="DHHSbody"/>
    <w:link w:val="Heading1Char"/>
    <w:uiPriority w:val="1"/>
    <w:qFormat/>
    <w:rsid w:val="009302EB"/>
    <w:pPr>
      <w:keepNext/>
      <w:keepLines/>
      <w:spacing w:after="240" w:line="480" w:lineRule="atLeast"/>
      <w:outlineLvl w:val="0"/>
    </w:pPr>
    <w:rPr>
      <w:rFonts w:ascii="Arial" w:hAnsi="Arial"/>
      <w:bCs/>
      <w:color w:val="AF272F"/>
      <w:sz w:val="44"/>
      <w:szCs w:val="44"/>
      <w:lang w:eastAsia="en-US"/>
    </w:rPr>
  </w:style>
  <w:style w:type="paragraph" w:styleId="Heading2">
    <w:name w:val="heading 2"/>
    <w:next w:val="DHHSbody"/>
    <w:link w:val="Heading2Char"/>
    <w:uiPriority w:val="1"/>
    <w:qFormat/>
    <w:rsid w:val="00E50474"/>
    <w:pPr>
      <w:keepNext/>
      <w:keepLines/>
      <w:spacing w:before="240" w:after="90" w:line="320" w:lineRule="atLeast"/>
      <w:outlineLvl w:val="1"/>
    </w:pPr>
    <w:rPr>
      <w:rFonts w:ascii="Arial" w:hAnsi="Arial"/>
      <w:b/>
      <w:color w:val="53565A"/>
      <w:sz w:val="32"/>
      <w:szCs w:val="28"/>
      <w:lang w:eastAsia="en-US"/>
    </w:rPr>
  </w:style>
  <w:style w:type="paragraph" w:styleId="Heading3">
    <w:name w:val="heading 3"/>
    <w:next w:val="DHHSbody"/>
    <w:link w:val="Heading3Char"/>
    <w:uiPriority w:val="9"/>
    <w:qFormat/>
    <w:rsid w:val="00E50474"/>
    <w:pPr>
      <w:keepNext/>
      <w:keepLines/>
      <w:spacing w:before="280" w:after="120" w:line="280" w:lineRule="atLeast"/>
      <w:outlineLvl w:val="2"/>
    </w:pPr>
    <w:rPr>
      <w:rFonts w:ascii="Arial" w:eastAsia="MS Gothic" w:hAnsi="Arial"/>
      <w:bCs/>
      <w:color w:val="53565A"/>
      <w:sz w:val="30"/>
      <w:szCs w:val="26"/>
      <w:lang w:eastAsia="en-US"/>
    </w:rPr>
  </w:style>
  <w:style w:type="paragraph" w:styleId="Heading4">
    <w:name w:val="heading 4"/>
    <w:next w:val="DHHSbody"/>
    <w:link w:val="Heading4Char"/>
    <w:uiPriority w:val="1"/>
    <w:qFormat/>
    <w:rsid w:val="00606436"/>
    <w:pPr>
      <w:keepNext/>
      <w:keepLines/>
      <w:spacing w:before="240" w:after="120" w:line="240" w:lineRule="atLeast"/>
      <w:outlineLvl w:val="3"/>
    </w:pPr>
    <w:rPr>
      <w:rFonts w:ascii="Arial" w:eastAsia="MS Mincho" w:hAnsi="Arial"/>
      <w:b/>
      <w:bCs/>
      <w:sz w:val="21"/>
      <w:lang w:eastAsia="en-US"/>
    </w:rPr>
  </w:style>
  <w:style w:type="paragraph" w:styleId="Heading5">
    <w:name w:val="heading 5"/>
    <w:next w:val="DHHSbody"/>
    <w:link w:val="Heading5Char"/>
    <w:uiPriority w:val="9"/>
    <w:qFormat/>
    <w:rsid w:val="0064412C"/>
    <w:pPr>
      <w:keepNext/>
      <w:keepLines/>
      <w:suppressAutoHyphens/>
      <w:spacing w:before="240" w:after="120" w:line="240" w:lineRule="atLeast"/>
      <w:outlineLvl w:val="4"/>
    </w:pPr>
    <w:rPr>
      <w:rFonts w:ascii="Arial" w:eastAsia="MS Mincho" w:hAnsi="Arial"/>
      <w:b/>
      <w:bCs/>
      <w:color w:val="AF272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9302EB"/>
    <w:rPr>
      <w:rFonts w:ascii="Arial" w:hAnsi="Arial"/>
      <w:bCs/>
      <w:color w:val="AF272F"/>
      <w:sz w:val="44"/>
      <w:szCs w:val="44"/>
      <w:lang w:eastAsia="en-US"/>
    </w:rPr>
  </w:style>
  <w:style w:type="character" w:customStyle="1" w:styleId="Heading2Char">
    <w:name w:val="Heading 2 Char"/>
    <w:link w:val="Heading2"/>
    <w:uiPriority w:val="1"/>
    <w:rsid w:val="00E50474"/>
    <w:rPr>
      <w:rFonts w:ascii="Arial" w:hAnsi="Arial"/>
      <w:b/>
      <w:color w:val="53565A"/>
      <w:sz w:val="32"/>
      <w:szCs w:val="28"/>
      <w:lang w:eastAsia="en-US"/>
    </w:rPr>
  </w:style>
  <w:style w:type="character" w:customStyle="1" w:styleId="Heading3Char">
    <w:name w:val="Heading 3 Char"/>
    <w:link w:val="Heading3"/>
    <w:uiPriority w:val="9"/>
    <w:rsid w:val="00E50474"/>
    <w:rPr>
      <w:rFonts w:ascii="Arial" w:eastAsia="MS Gothic" w:hAnsi="Arial"/>
      <w:bCs/>
      <w:color w:val="53565A"/>
      <w:sz w:val="30"/>
      <w:szCs w:val="26"/>
      <w:lang w:eastAsia="en-US"/>
    </w:rPr>
  </w:style>
  <w:style w:type="character" w:customStyle="1" w:styleId="Heading4Char">
    <w:name w:val="Heading 4 Char"/>
    <w:link w:val="Heading4"/>
    <w:uiPriority w:val="1"/>
    <w:rsid w:val="00606436"/>
    <w:rPr>
      <w:rFonts w:ascii="Arial" w:eastAsia="MS Mincho" w:hAnsi="Arial"/>
      <w:b/>
      <w:bCs/>
      <w:sz w:val="21"/>
      <w:lang w:eastAsia="en-US"/>
    </w:rPr>
  </w:style>
  <w:style w:type="paragraph" w:styleId="Header">
    <w:name w:val="header"/>
    <w:basedOn w:val="DHHSheader"/>
    <w:uiPriority w:val="10"/>
    <w:rsid w:val="004E380D"/>
  </w:style>
  <w:style w:type="paragraph" w:styleId="Footer">
    <w:name w:val="footer"/>
    <w:basedOn w:val="DHHSfooter"/>
    <w:uiPriority w:val="98"/>
    <w:rsid w:val="0031753A"/>
  </w:style>
  <w:style w:type="character" w:styleId="FollowedHyperlink">
    <w:name w:val="FollowedHyperlink"/>
    <w:uiPriority w:val="99"/>
    <w:rsid w:val="00E91933"/>
    <w:rPr>
      <w:color w:val="6633CC"/>
      <w:u w:val="dotted"/>
    </w:rPr>
  </w:style>
  <w:style w:type="paragraph" w:customStyle="1" w:styleId="DHHStabletext6pt">
    <w:name w:val="DHHS table text + 6pt"/>
    <w:basedOn w:val="Tabletext"/>
    <w:rsid w:val="00E91933"/>
    <w:pPr>
      <w:spacing w:after="120"/>
    </w:pPr>
  </w:style>
  <w:style w:type="paragraph" w:styleId="Subtitle">
    <w:name w:val="Subtitle"/>
    <w:basedOn w:val="Normal"/>
    <w:next w:val="Normal"/>
    <w:link w:val="SubtitleChar"/>
    <w:uiPriority w:val="11"/>
    <w:semiHidden/>
    <w:qFormat/>
    <w:rsid w:val="00E71C46"/>
    <w:pPr>
      <w:spacing w:after="60"/>
      <w:jc w:val="center"/>
    </w:pPr>
    <w:rPr>
      <w:rFonts w:ascii="Calibri Light" w:hAnsi="Calibri Light"/>
      <w:sz w:val="24"/>
      <w:szCs w:val="24"/>
    </w:rPr>
  </w:style>
  <w:style w:type="paragraph" w:styleId="EndnoteText">
    <w:name w:val="endnote text"/>
    <w:basedOn w:val="Normal"/>
    <w:semiHidden/>
    <w:rsid w:val="00EA6F2B"/>
    <w:rPr>
      <w:sz w:val="24"/>
      <w:szCs w:val="24"/>
    </w:rPr>
  </w:style>
  <w:style w:type="character" w:styleId="EndnoteReference">
    <w:name w:val="endnote reference"/>
    <w:aliases w:val="Endnote Text Char"/>
    <w:semiHidden/>
    <w:rsid w:val="00923608"/>
    <w:rPr>
      <w:rFonts w:ascii="Arial" w:hAnsi="Arial"/>
      <w:sz w:val="20"/>
      <w:vertAlign w:val="superscript"/>
    </w:rPr>
  </w:style>
  <w:style w:type="table" w:styleId="TableGrid">
    <w:name w:val="Table Grid"/>
    <w:basedOn w:val="TableNormal"/>
    <w:rsid w:val="00CD058C"/>
    <w:rPr>
      <w:rFonts w:ascii="Arial" w:hAnsi="Arial"/>
    </w:rPr>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semiHidden/>
    <w:rsid w:val="00DA7946"/>
  </w:style>
  <w:style w:type="paragraph" w:customStyle="1" w:styleId="DHHSreportsubtitle">
    <w:name w:val="DHHS report subtitle"/>
    <w:basedOn w:val="Normal"/>
    <w:uiPriority w:val="4"/>
    <w:rsid w:val="00630937"/>
    <w:pPr>
      <w:spacing w:after="120" w:line="380" w:lineRule="atLeast"/>
    </w:pPr>
    <w:rPr>
      <w:rFonts w:ascii="Arial" w:hAnsi="Arial"/>
      <w:color w:val="000000"/>
      <w:sz w:val="30"/>
      <w:szCs w:val="30"/>
    </w:rPr>
  </w:style>
  <w:style w:type="character" w:styleId="FootnoteReference">
    <w:name w:val="footnote reference"/>
    <w:uiPriority w:val="99"/>
    <w:rsid w:val="00A14570"/>
    <w:rPr>
      <w:rFonts w:ascii="Arial" w:hAnsi="Arial"/>
      <w:vertAlign w:val="superscript"/>
    </w:rPr>
  </w:style>
  <w:style w:type="paragraph" w:customStyle="1" w:styleId="DHHSreportmaintitle">
    <w:name w:val="DHHS report main title"/>
    <w:uiPriority w:val="4"/>
    <w:rsid w:val="00AB50C1"/>
    <w:pPr>
      <w:keepLines/>
      <w:spacing w:after="240" w:line="580" w:lineRule="atLeast"/>
    </w:pPr>
    <w:rPr>
      <w:rFonts w:ascii="Arial" w:hAnsi="Arial"/>
      <w:color w:val="D50032"/>
      <w:sz w:val="50"/>
      <w:szCs w:val="24"/>
      <w:lang w:eastAsia="en-US"/>
    </w:rPr>
  </w:style>
  <w:style w:type="paragraph" w:styleId="FootnoteText">
    <w:name w:val="footnote text"/>
    <w:basedOn w:val="Normal"/>
    <w:link w:val="FootnoteTextChar"/>
    <w:uiPriority w:val="99"/>
    <w:qFormat/>
    <w:rsid w:val="00EF412D"/>
    <w:pPr>
      <w:spacing w:before="60" w:after="60" w:line="220" w:lineRule="atLeast"/>
    </w:pPr>
    <w:rPr>
      <w:rFonts w:ascii="Arial" w:eastAsia="MS Gothic" w:hAnsi="Arial" w:cs="Arial"/>
      <w:sz w:val="18"/>
      <w:szCs w:val="16"/>
    </w:rPr>
  </w:style>
  <w:style w:type="paragraph" w:styleId="TOC1">
    <w:name w:val="toc 1"/>
    <w:basedOn w:val="Normal"/>
    <w:next w:val="Normal"/>
    <w:uiPriority w:val="39"/>
    <w:rsid w:val="00757D17"/>
    <w:pPr>
      <w:keepNext/>
      <w:keepLines/>
      <w:tabs>
        <w:tab w:val="right" w:leader="dot" w:pos="9299"/>
      </w:tabs>
      <w:spacing w:before="160" w:after="60" w:line="270" w:lineRule="atLeast"/>
    </w:pPr>
    <w:rPr>
      <w:rFonts w:ascii="Arial" w:hAnsi="Arial"/>
      <w:noProof/>
      <w:sz w:val="21"/>
    </w:rPr>
  </w:style>
  <w:style w:type="paragraph" w:styleId="TOC2">
    <w:name w:val="toc 2"/>
    <w:basedOn w:val="Normal"/>
    <w:next w:val="Normal"/>
    <w:uiPriority w:val="39"/>
    <w:rsid w:val="00B72353"/>
    <w:pPr>
      <w:keepNext/>
      <w:keepLines/>
      <w:tabs>
        <w:tab w:val="right" w:leader="dot" w:pos="9299"/>
      </w:tabs>
      <w:spacing w:after="60" w:line="270" w:lineRule="atLeast"/>
      <w:ind w:left="357"/>
    </w:pPr>
    <w:rPr>
      <w:rFonts w:ascii="Arial" w:hAnsi="Arial"/>
      <w:noProof/>
    </w:rPr>
  </w:style>
  <w:style w:type="paragraph" w:styleId="TOC3">
    <w:name w:val="toc 3"/>
    <w:basedOn w:val="Normal"/>
    <w:next w:val="Normal"/>
    <w:uiPriority w:val="39"/>
    <w:rsid w:val="00B72353"/>
    <w:pPr>
      <w:keepLines/>
      <w:tabs>
        <w:tab w:val="right" w:leader="dot" w:pos="9299"/>
      </w:tabs>
      <w:spacing w:after="60" w:line="270" w:lineRule="atLeast"/>
      <w:ind w:left="284"/>
    </w:pPr>
    <w:rPr>
      <w:rFonts w:ascii="Arial" w:hAnsi="Arial" w:cs="Arial"/>
      <w:color w:val="000000" w:themeColor="text1"/>
    </w:rPr>
  </w:style>
  <w:style w:type="paragraph" w:styleId="TOC4">
    <w:name w:val="toc 4"/>
    <w:basedOn w:val="Normal"/>
    <w:next w:val="Normal"/>
    <w:uiPriority w:val="39"/>
    <w:rsid w:val="00E969B1"/>
    <w:pPr>
      <w:keepLines/>
      <w:tabs>
        <w:tab w:val="right" w:leader="dot" w:pos="9299"/>
      </w:tabs>
      <w:spacing w:after="60" w:line="270" w:lineRule="atLeast"/>
      <w:ind w:left="567" w:right="680"/>
    </w:pPr>
    <w:rPr>
      <w:rFonts w:ascii="Arial" w:hAnsi="Arial" w:cs="Arial"/>
    </w:rPr>
  </w:style>
  <w:style w:type="paragraph" w:styleId="TOC5">
    <w:name w:val="toc 5"/>
    <w:basedOn w:val="Normal"/>
    <w:next w:val="Normal"/>
    <w:autoRedefine/>
    <w:uiPriority w:val="39"/>
    <w:rsid w:val="00862D33"/>
    <w:pPr>
      <w:ind w:left="800"/>
    </w:pPr>
  </w:style>
  <w:style w:type="paragraph" w:styleId="TOC6">
    <w:name w:val="toc 6"/>
    <w:basedOn w:val="Normal"/>
    <w:next w:val="Normal"/>
    <w:autoRedefine/>
    <w:uiPriority w:val="39"/>
    <w:rsid w:val="00862D33"/>
    <w:pPr>
      <w:ind w:left="1000"/>
    </w:pPr>
  </w:style>
  <w:style w:type="paragraph" w:styleId="TOC7">
    <w:name w:val="toc 7"/>
    <w:basedOn w:val="Normal"/>
    <w:next w:val="Normal"/>
    <w:autoRedefine/>
    <w:uiPriority w:val="39"/>
    <w:rsid w:val="00862D33"/>
    <w:pPr>
      <w:ind w:left="1200"/>
    </w:pPr>
  </w:style>
  <w:style w:type="paragraph" w:styleId="TOC8">
    <w:name w:val="toc 8"/>
    <w:basedOn w:val="Normal"/>
    <w:next w:val="Normal"/>
    <w:autoRedefine/>
    <w:uiPriority w:val="39"/>
    <w:rsid w:val="00862D33"/>
    <w:pPr>
      <w:ind w:left="1400"/>
    </w:pPr>
  </w:style>
  <w:style w:type="paragraph" w:styleId="TOC9">
    <w:name w:val="toc 9"/>
    <w:basedOn w:val="Normal"/>
    <w:next w:val="Normal"/>
    <w:autoRedefine/>
    <w:uiPriority w:val="39"/>
    <w:rsid w:val="00862D33"/>
    <w:pPr>
      <w:ind w:left="1600"/>
    </w:pPr>
  </w:style>
  <w:style w:type="paragraph" w:customStyle="1" w:styleId="Reportmaintitle">
    <w:name w:val="Report main title"/>
    <w:uiPriority w:val="4"/>
    <w:rsid w:val="00E50474"/>
    <w:pPr>
      <w:keepLines/>
      <w:spacing w:after="240" w:line="580" w:lineRule="atLeast"/>
    </w:pPr>
    <w:rPr>
      <w:rFonts w:ascii="Arial" w:hAnsi="Arial"/>
      <w:b/>
      <w:color w:val="AF272F"/>
      <w:sz w:val="48"/>
      <w:szCs w:val="48"/>
      <w:lang w:eastAsia="en-US"/>
    </w:rPr>
  </w:style>
  <w:style w:type="paragraph" w:customStyle="1" w:styleId="Reportsubtitle">
    <w:name w:val="Report subtitle"/>
    <w:uiPriority w:val="4"/>
    <w:rsid w:val="00E50474"/>
    <w:pPr>
      <w:spacing w:after="120" w:line="380" w:lineRule="atLeast"/>
    </w:pPr>
    <w:rPr>
      <w:rFonts w:ascii="Arial" w:hAnsi="Arial"/>
      <w:bCs/>
      <w:color w:val="53565A"/>
      <w:sz w:val="30"/>
      <w:szCs w:val="30"/>
      <w:lang w:eastAsia="en-US"/>
    </w:rPr>
  </w:style>
  <w:style w:type="paragraph" w:customStyle="1" w:styleId="Coverinstructions">
    <w:name w:val="Cover instructions"/>
    <w:rsid w:val="001A7E04"/>
    <w:pPr>
      <w:spacing w:after="200" w:line="320" w:lineRule="atLeast"/>
    </w:pPr>
    <w:rPr>
      <w:rFonts w:ascii="Arial" w:hAnsi="Arial"/>
      <w:color w:val="FFFFFF"/>
      <w:sz w:val="24"/>
      <w:lang w:eastAsia="en-US"/>
    </w:rPr>
  </w:style>
  <w:style w:type="character" w:customStyle="1" w:styleId="Heading5Char">
    <w:name w:val="Heading 5 Char"/>
    <w:link w:val="Heading5"/>
    <w:uiPriority w:val="9"/>
    <w:rsid w:val="0064412C"/>
    <w:rPr>
      <w:rFonts w:ascii="Arial" w:eastAsia="MS Mincho" w:hAnsi="Arial"/>
      <w:b/>
      <w:bCs/>
      <w:color w:val="AF272F"/>
      <w:lang w:eastAsia="en-US"/>
    </w:rPr>
  </w:style>
  <w:style w:type="paragraph" w:styleId="DocumentMap">
    <w:name w:val="Document Map"/>
    <w:basedOn w:val="Normal"/>
    <w:link w:val="DocumentMapChar"/>
    <w:uiPriority w:val="99"/>
    <w:semiHidden/>
    <w:unhideWhenUsed/>
    <w:rsid w:val="001E0EA3"/>
    <w:rPr>
      <w:rFonts w:ascii="Lucida Grande" w:hAnsi="Lucida Grande" w:cs="Lucida Grande"/>
      <w:sz w:val="24"/>
      <w:szCs w:val="24"/>
    </w:rPr>
  </w:style>
  <w:style w:type="character" w:customStyle="1" w:styleId="DocumentMapChar">
    <w:name w:val="Document Map Char"/>
    <w:link w:val="DocumentMap"/>
    <w:uiPriority w:val="99"/>
    <w:semiHidden/>
    <w:rsid w:val="001E0EA3"/>
    <w:rPr>
      <w:rFonts w:ascii="Lucida Grande" w:hAnsi="Lucida Grande" w:cs="Lucida Grande"/>
      <w:sz w:val="24"/>
      <w:szCs w:val="24"/>
    </w:rPr>
  </w:style>
  <w:style w:type="character" w:styleId="Hyperlink">
    <w:name w:val="Hyperlink"/>
    <w:uiPriority w:val="99"/>
    <w:rsid w:val="00977C63"/>
    <w:rPr>
      <w:color w:val="3366FF"/>
      <w:u w:val="dotted"/>
    </w:rPr>
  </w:style>
  <w:style w:type="paragraph" w:customStyle="1" w:styleId="DHHSbody">
    <w:name w:val="DHHS body"/>
    <w:link w:val="DHHSbodyChar"/>
    <w:qFormat/>
    <w:rsid w:val="00E30414"/>
    <w:pPr>
      <w:spacing w:after="120" w:line="270" w:lineRule="atLeast"/>
    </w:pPr>
    <w:rPr>
      <w:rFonts w:ascii="Arial" w:eastAsia="Times" w:hAnsi="Arial"/>
      <w:lang w:eastAsia="en-US"/>
    </w:rPr>
  </w:style>
  <w:style w:type="paragraph" w:customStyle="1" w:styleId="Bullet1">
    <w:name w:val="Bullet 1"/>
    <w:basedOn w:val="DHHSbody"/>
    <w:uiPriority w:val="99"/>
    <w:qFormat/>
    <w:rsid w:val="0057168A"/>
    <w:pPr>
      <w:numPr>
        <w:numId w:val="1"/>
      </w:numPr>
      <w:spacing w:after="40"/>
    </w:pPr>
    <w:rPr>
      <w:sz w:val="21"/>
    </w:rPr>
  </w:style>
  <w:style w:type="paragraph" w:customStyle="1" w:styleId="DHHSnumberloweralpha">
    <w:name w:val="DHHS number lower alpha"/>
    <w:basedOn w:val="DHHSbody"/>
    <w:uiPriority w:val="3"/>
    <w:rsid w:val="00CF7CB6"/>
    <w:pPr>
      <w:numPr>
        <w:ilvl w:val="2"/>
        <w:numId w:val="2"/>
      </w:numPr>
    </w:pPr>
  </w:style>
  <w:style w:type="paragraph" w:customStyle="1" w:styleId="DHHSnumberloweralphaindent">
    <w:name w:val="DHHS number lower alpha indent"/>
    <w:basedOn w:val="DHHSbody"/>
    <w:uiPriority w:val="3"/>
    <w:rsid w:val="00CF7CB6"/>
    <w:pPr>
      <w:numPr>
        <w:ilvl w:val="3"/>
        <w:numId w:val="2"/>
      </w:numPr>
    </w:pPr>
  </w:style>
  <w:style w:type="paragraph" w:customStyle="1" w:styleId="Tablefigurenote">
    <w:name w:val="Table/figure note"/>
    <w:uiPriority w:val="4"/>
    <w:rsid w:val="0057168A"/>
    <w:pPr>
      <w:spacing w:before="60" w:after="60" w:line="240" w:lineRule="exact"/>
    </w:pPr>
    <w:rPr>
      <w:rFonts w:ascii="Arial" w:hAnsi="Arial"/>
      <w:lang w:eastAsia="en-US"/>
    </w:rPr>
  </w:style>
  <w:style w:type="paragraph" w:customStyle="1" w:styleId="Tabletext">
    <w:name w:val="Table text"/>
    <w:qFormat/>
    <w:rsid w:val="00EF412D"/>
    <w:pPr>
      <w:spacing w:before="80" w:after="60"/>
    </w:pPr>
    <w:rPr>
      <w:rFonts w:ascii="Arial" w:hAnsi="Arial"/>
      <w:sz w:val="21"/>
      <w:lang w:eastAsia="en-US"/>
    </w:rPr>
  </w:style>
  <w:style w:type="paragraph" w:customStyle="1" w:styleId="Tablecaption">
    <w:name w:val="Table caption"/>
    <w:next w:val="DHHSbody"/>
    <w:uiPriority w:val="3"/>
    <w:qFormat/>
    <w:rsid w:val="00EF412D"/>
    <w:pPr>
      <w:keepNext/>
      <w:keepLines/>
      <w:spacing w:before="240" w:after="120" w:line="240" w:lineRule="atLeast"/>
    </w:pPr>
    <w:rPr>
      <w:rFonts w:ascii="Arial" w:hAnsi="Arial"/>
      <w:b/>
      <w:sz w:val="21"/>
      <w:lang w:eastAsia="en-US"/>
    </w:rPr>
  </w:style>
  <w:style w:type="paragraph" w:customStyle="1" w:styleId="Figurecaption">
    <w:name w:val="Figure caption"/>
    <w:next w:val="DHHSbody"/>
    <w:rsid w:val="00EF412D"/>
    <w:pPr>
      <w:keepNext/>
      <w:keepLines/>
      <w:spacing w:before="240" w:after="120"/>
    </w:pPr>
    <w:rPr>
      <w:rFonts w:ascii="Arial" w:hAnsi="Arial"/>
      <w:b/>
      <w:sz w:val="21"/>
      <w:lang w:eastAsia="en-US"/>
    </w:rPr>
  </w:style>
  <w:style w:type="paragraph" w:customStyle="1" w:styleId="DHHSfooter">
    <w:name w:val="DHHS footer"/>
    <w:uiPriority w:val="11"/>
    <w:rsid w:val="00E969B1"/>
    <w:pPr>
      <w:tabs>
        <w:tab w:val="right" w:pos="9299"/>
      </w:tabs>
    </w:pPr>
    <w:rPr>
      <w:rFonts w:ascii="Arial" w:hAnsi="Arial" w:cs="Arial"/>
      <w:sz w:val="18"/>
      <w:szCs w:val="18"/>
      <w:lang w:eastAsia="en-US"/>
    </w:rPr>
  </w:style>
  <w:style w:type="paragraph" w:customStyle="1" w:styleId="Bullet2">
    <w:name w:val="Bullet 2"/>
    <w:basedOn w:val="DHHSbody"/>
    <w:uiPriority w:val="99"/>
    <w:qFormat/>
    <w:rsid w:val="0057168A"/>
    <w:pPr>
      <w:numPr>
        <w:ilvl w:val="2"/>
        <w:numId w:val="1"/>
      </w:numPr>
      <w:spacing w:after="40"/>
    </w:pPr>
    <w:rPr>
      <w:sz w:val="21"/>
    </w:rPr>
  </w:style>
  <w:style w:type="paragraph" w:customStyle="1" w:styleId="DHHSheader">
    <w:name w:val="DHHS header"/>
    <w:basedOn w:val="DHHSfooter"/>
    <w:uiPriority w:val="11"/>
    <w:rsid w:val="00E969B1"/>
  </w:style>
  <w:style w:type="character" w:styleId="Strong">
    <w:name w:val="Strong"/>
    <w:uiPriority w:val="22"/>
    <w:qFormat/>
    <w:rsid w:val="00DC19D8"/>
    <w:rPr>
      <w:b/>
      <w:bCs/>
    </w:rPr>
  </w:style>
  <w:style w:type="paragraph" w:customStyle="1" w:styleId="DHHSnumberdigit">
    <w:name w:val="DHHS number digit"/>
    <w:basedOn w:val="DHHSbody"/>
    <w:uiPriority w:val="2"/>
    <w:rsid w:val="00CF7CB6"/>
    <w:pPr>
      <w:numPr>
        <w:numId w:val="2"/>
      </w:numPr>
    </w:pPr>
  </w:style>
  <w:style w:type="paragraph" w:customStyle="1" w:styleId="Tablecolhead">
    <w:name w:val="Table col head"/>
    <w:uiPriority w:val="3"/>
    <w:qFormat/>
    <w:rsid w:val="00EF412D"/>
    <w:pPr>
      <w:spacing w:before="80" w:after="60"/>
    </w:pPr>
    <w:rPr>
      <w:rFonts w:ascii="Arial" w:hAnsi="Arial"/>
      <w:b/>
      <w:color w:val="AF272F"/>
      <w:sz w:val="21"/>
      <w:lang w:eastAsia="en-US"/>
    </w:rPr>
  </w:style>
  <w:style w:type="paragraph" w:customStyle="1" w:styleId="Bodyaftertablefigure">
    <w:name w:val="Body after table/figure"/>
    <w:basedOn w:val="DHHSbody"/>
    <w:next w:val="DHHSbody"/>
    <w:rsid w:val="0057168A"/>
    <w:pPr>
      <w:spacing w:before="240"/>
    </w:pPr>
    <w:rPr>
      <w:sz w:val="21"/>
    </w:rPr>
  </w:style>
  <w:style w:type="paragraph" w:customStyle="1" w:styleId="DHHSbullet1lastline">
    <w:name w:val="DHHS bullet 1 last line"/>
    <w:basedOn w:val="Bullet1"/>
    <w:uiPriority w:val="99"/>
    <w:qFormat/>
    <w:rsid w:val="00CF7CB6"/>
    <w:pPr>
      <w:numPr>
        <w:ilvl w:val="1"/>
      </w:numPr>
      <w:spacing w:after="120"/>
    </w:pPr>
  </w:style>
  <w:style w:type="paragraph" w:customStyle="1" w:styleId="DHHSbullet2lastline">
    <w:name w:val="DHHS bullet 2 last line"/>
    <w:basedOn w:val="Bullet2"/>
    <w:uiPriority w:val="99"/>
    <w:qFormat/>
    <w:rsid w:val="00CF7CB6"/>
    <w:pPr>
      <w:numPr>
        <w:ilvl w:val="3"/>
      </w:numPr>
      <w:spacing w:after="120"/>
    </w:pPr>
  </w:style>
  <w:style w:type="paragraph" w:customStyle="1" w:styleId="Tablebullet">
    <w:name w:val="Table bullet"/>
    <w:basedOn w:val="Tabletext"/>
    <w:uiPriority w:val="99"/>
    <w:qFormat/>
    <w:rsid w:val="00CF7CB6"/>
    <w:pPr>
      <w:numPr>
        <w:ilvl w:val="6"/>
        <w:numId w:val="1"/>
      </w:numPr>
    </w:pPr>
  </w:style>
  <w:style w:type="paragraph" w:customStyle="1" w:styleId="TOCheadingreport">
    <w:name w:val="TOC heading report"/>
    <w:basedOn w:val="Heading1"/>
    <w:link w:val="TOCheadingreportChar"/>
    <w:uiPriority w:val="5"/>
    <w:rsid w:val="00606436"/>
    <w:pPr>
      <w:outlineLvl w:val="9"/>
    </w:pPr>
  </w:style>
  <w:style w:type="character" w:customStyle="1" w:styleId="TOCheadingreportChar">
    <w:name w:val="TOC heading report Char"/>
    <w:link w:val="TOCheadingreport"/>
    <w:uiPriority w:val="5"/>
    <w:rsid w:val="00606436"/>
    <w:rPr>
      <w:rFonts w:ascii="Arial" w:hAnsi="Arial"/>
      <w:bCs/>
      <w:color w:val="AF272F"/>
      <w:sz w:val="44"/>
      <w:szCs w:val="44"/>
      <w:lang w:eastAsia="en-US"/>
    </w:rPr>
  </w:style>
  <w:style w:type="paragraph" w:customStyle="1" w:styleId="DHHSaccessibilitypara">
    <w:name w:val="DHHS accessibility para"/>
    <w:uiPriority w:val="8"/>
    <w:rsid w:val="00B0300B"/>
    <w:pPr>
      <w:spacing w:after="300" w:line="300" w:lineRule="atLeast"/>
    </w:pPr>
    <w:rPr>
      <w:rFonts w:ascii="Arial" w:eastAsia="Times" w:hAnsi="Arial"/>
      <w:sz w:val="24"/>
      <w:szCs w:val="19"/>
      <w:lang w:eastAsia="en-US"/>
    </w:rPr>
  </w:style>
  <w:style w:type="paragraph" w:customStyle="1" w:styleId="DHHSbodynospace">
    <w:name w:val="DHHS body no space"/>
    <w:basedOn w:val="DHHSbody"/>
    <w:uiPriority w:val="3"/>
    <w:qFormat/>
    <w:rsid w:val="00CA6D4E"/>
    <w:pPr>
      <w:spacing w:after="0"/>
    </w:pPr>
  </w:style>
  <w:style w:type="paragraph" w:customStyle="1" w:styleId="DHHSquote">
    <w:name w:val="DHHS quote"/>
    <w:basedOn w:val="DHHSbody"/>
    <w:uiPriority w:val="4"/>
    <w:rsid w:val="00E75ED2"/>
    <w:pPr>
      <w:ind w:left="397"/>
    </w:pPr>
    <w:rPr>
      <w:szCs w:val="18"/>
    </w:rPr>
  </w:style>
  <w:style w:type="numbering" w:customStyle="1" w:styleId="ZZBullets">
    <w:name w:val="ZZ Bullets"/>
    <w:rsid w:val="00CF7CB6"/>
    <w:pPr>
      <w:numPr>
        <w:numId w:val="1"/>
      </w:numPr>
    </w:pPr>
  </w:style>
  <w:style w:type="paragraph" w:customStyle="1" w:styleId="DHHSbulletindent">
    <w:name w:val="DHHS bullet indent"/>
    <w:basedOn w:val="DHHSbody"/>
    <w:uiPriority w:val="99"/>
    <w:rsid w:val="00CF7CB6"/>
    <w:pPr>
      <w:numPr>
        <w:ilvl w:val="4"/>
        <w:numId w:val="1"/>
      </w:numPr>
      <w:spacing w:after="40"/>
    </w:pPr>
  </w:style>
  <w:style w:type="paragraph" w:customStyle="1" w:styleId="DHHSbulletindentlastline">
    <w:name w:val="DHHS bullet indent last line"/>
    <w:basedOn w:val="DHHSbody"/>
    <w:uiPriority w:val="99"/>
    <w:rsid w:val="00CF7CB6"/>
    <w:pPr>
      <w:numPr>
        <w:ilvl w:val="5"/>
        <w:numId w:val="1"/>
      </w:numPr>
    </w:pPr>
  </w:style>
  <w:style w:type="numbering" w:customStyle="1" w:styleId="ZZNumbers">
    <w:name w:val="ZZ Numbers"/>
    <w:rsid w:val="00CF7CB6"/>
    <w:pPr>
      <w:numPr>
        <w:numId w:val="2"/>
      </w:numPr>
    </w:pPr>
  </w:style>
  <w:style w:type="paragraph" w:customStyle="1" w:styleId="DHHSnumberlowerroman">
    <w:name w:val="DHHS number lower roman"/>
    <w:basedOn w:val="DHHSbody"/>
    <w:uiPriority w:val="3"/>
    <w:rsid w:val="00CF7CB6"/>
    <w:pPr>
      <w:numPr>
        <w:ilvl w:val="4"/>
        <w:numId w:val="2"/>
      </w:numPr>
    </w:pPr>
  </w:style>
  <w:style w:type="paragraph" w:customStyle="1" w:styleId="DHHSnumberlowerromanindent">
    <w:name w:val="DHHS number lower roman indent"/>
    <w:basedOn w:val="DHHSbody"/>
    <w:uiPriority w:val="3"/>
    <w:rsid w:val="00CF7CB6"/>
    <w:pPr>
      <w:numPr>
        <w:ilvl w:val="5"/>
        <w:numId w:val="2"/>
      </w:numPr>
    </w:pPr>
  </w:style>
  <w:style w:type="paragraph" w:customStyle="1" w:styleId="DHHSnumberdigitindent">
    <w:name w:val="DHHS number digit indent"/>
    <w:basedOn w:val="DHHSnumberloweralphaindent"/>
    <w:uiPriority w:val="3"/>
    <w:rsid w:val="00CF7CB6"/>
    <w:pPr>
      <w:numPr>
        <w:ilvl w:val="1"/>
      </w:numPr>
    </w:pPr>
  </w:style>
  <w:style w:type="character" w:customStyle="1" w:styleId="SubtitleChar">
    <w:name w:val="Subtitle Char"/>
    <w:link w:val="Subtitle"/>
    <w:uiPriority w:val="11"/>
    <w:semiHidden/>
    <w:rsid w:val="00E71C46"/>
    <w:rPr>
      <w:rFonts w:ascii="Calibri Light" w:eastAsia="Times New Roman" w:hAnsi="Calibri Light" w:cs="Times New Roman"/>
      <w:sz w:val="24"/>
      <w:szCs w:val="24"/>
      <w:lang w:eastAsia="en-US"/>
    </w:rPr>
  </w:style>
  <w:style w:type="paragraph" w:styleId="Title">
    <w:name w:val="Title"/>
    <w:basedOn w:val="Normal"/>
    <w:next w:val="Normal"/>
    <w:link w:val="TitleChar"/>
    <w:uiPriority w:val="10"/>
    <w:semiHidden/>
    <w:qFormat/>
    <w:rsid w:val="00E71C46"/>
    <w:pPr>
      <w:spacing w:before="240" w:after="60"/>
      <w:jc w:val="center"/>
    </w:pPr>
    <w:rPr>
      <w:rFonts w:ascii="Calibri Light" w:hAnsi="Calibri Light"/>
      <w:b/>
      <w:bCs/>
      <w:kern w:val="28"/>
      <w:sz w:val="32"/>
      <w:szCs w:val="32"/>
    </w:rPr>
  </w:style>
  <w:style w:type="character" w:customStyle="1" w:styleId="TitleChar">
    <w:name w:val="Title Char"/>
    <w:link w:val="Title"/>
    <w:uiPriority w:val="10"/>
    <w:semiHidden/>
    <w:rsid w:val="00E71C46"/>
    <w:rPr>
      <w:rFonts w:ascii="Calibri Light" w:eastAsia="Times New Roman" w:hAnsi="Calibri Light" w:cs="Times New Roman"/>
      <w:b/>
      <w:bCs/>
      <w:kern w:val="28"/>
      <w:sz w:val="32"/>
      <w:szCs w:val="32"/>
      <w:lang w:eastAsia="en-US"/>
    </w:rPr>
  </w:style>
  <w:style w:type="character" w:customStyle="1" w:styleId="DHHSbodyChar">
    <w:name w:val="DHHS body Char"/>
    <w:link w:val="DHHSbody"/>
    <w:rsid w:val="00945A28"/>
    <w:rPr>
      <w:rFonts w:ascii="Arial" w:eastAsia="Times" w:hAnsi="Arial"/>
      <w:lang w:eastAsia="en-US"/>
    </w:rPr>
  </w:style>
  <w:style w:type="paragraph" w:styleId="BalloonText">
    <w:name w:val="Balloon Text"/>
    <w:basedOn w:val="Normal"/>
    <w:link w:val="BalloonTextChar"/>
    <w:uiPriority w:val="99"/>
    <w:semiHidden/>
    <w:unhideWhenUsed/>
    <w:rsid w:val="00945A28"/>
    <w:rPr>
      <w:rFonts w:ascii="Tahoma" w:hAnsi="Tahoma" w:cs="Tahoma"/>
      <w:sz w:val="16"/>
      <w:szCs w:val="16"/>
    </w:rPr>
  </w:style>
  <w:style w:type="character" w:customStyle="1" w:styleId="BalloonTextChar">
    <w:name w:val="Balloon Text Char"/>
    <w:link w:val="BalloonText"/>
    <w:uiPriority w:val="99"/>
    <w:semiHidden/>
    <w:rsid w:val="00945A28"/>
    <w:rPr>
      <w:rFonts w:ascii="Tahoma" w:hAnsi="Tahoma" w:cs="Tahoma"/>
      <w:sz w:val="16"/>
      <w:szCs w:val="16"/>
      <w:lang w:eastAsia="en-US"/>
    </w:rPr>
  </w:style>
  <w:style w:type="paragraph" w:customStyle="1" w:styleId="font5">
    <w:name w:val="font5"/>
    <w:basedOn w:val="Normal"/>
    <w:rsid w:val="00DE68BE"/>
    <w:pPr>
      <w:spacing w:before="100" w:beforeAutospacing="1" w:after="100" w:afterAutospacing="1"/>
    </w:pPr>
    <w:rPr>
      <w:rFonts w:ascii="Calibri" w:hAnsi="Calibri"/>
      <w:color w:val="000000"/>
      <w:sz w:val="26"/>
      <w:szCs w:val="26"/>
    </w:rPr>
  </w:style>
  <w:style w:type="paragraph" w:customStyle="1" w:styleId="font6">
    <w:name w:val="font6"/>
    <w:basedOn w:val="Normal"/>
    <w:rsid w:val="00DE68BE"/>
    <w:pPr>
      <w:spacing w:before="100" w:beforeAutospacing="1" w:after="100" w:afterAutospacing="1"/>
    </w:pPr>
    <w:rPr>
      <w:rFonts w:ascii="Calibri" w:hAnsi="Calibri"/>
      <w:color w:val="FF0000"/>
      <w:sz w:val="26"/>
      <w:szCs w:val="26"/>
    </w:rPr>
  </w:style>
  <w:style w:type="paragraph" w:customStyle="1" w:styleId="font7">
    <w:name w:val="font7"/>
    <w:basedOn w:val="Normal"/>
    <w:rsid w:val="00DE68BE"/>
    <w:pPr>
      <w:spacing w:before="100" w:beforeAutospacing="1" w:after="100" w:afterAutospacing="1"/>
    </w:pPr>
    <w:rPr>
      <w:rFonts w:ascii="Calibri" w:hAnsi="Calibri"/>
      <w:color w:val="000000"/>
      <w:sz w:val="26"/>
      <w:szCs w:val="26"/>
    </w:rPr>
  </w:style>
  <w:style w:type="paragraph" w:customStyle="1" w:styleId="xl65">
    <w:name w:val="xl65"/>
    <w:basedOn w:val="Normal"/>
    <w:rsid w:val="00DE68BE"/>
    <w:pPr>
      <w:spacing w:before="100" w:beforeAutospacing="1" w:after="100" w:afterAutospacing="1"/>
    </w:pPr>
    <w:rPr>
      <w:sz w:val="26"/>
      <w:szCs w:val="26"/>
    </w:rPr>
  </w:style>
  <w:style w:type="paragraph" w:customStyle="1" w:styleId="xl66">
    <w:name w:val="xl66"/>
    <w:basedOn w:val="Normal"/>
    <w:rsid w:val="00DE68BE"/>
    <w:pPr>
      <w:spacing w:before="100" w:beforeAutospacing="1" w:after="100" w:afterAutospacing="1"/>
      <w:jc w:val="center"/>
    </w:pPr>
    <w:rPr>
      <w:sz w:val="26"/>
      <w:szCs w:val="26"/>
    </w:rPr>
  </w:style>
  <w:style w:type="paragraph" w:customStyle="1" w:styleId="xl67">
    <w:name w:val="xl67"/>
    <w:basedOn w:val="Normal"/>
    <w:rsid w:val="00DE68BE"/>
    <w:pPr>
      <w:spacing w:before="100" w:beforeAutospacing="1" w:after="100" w:afterAutospacing="1"/>
    </w:pPr>
    <w:rPr>
      <w:sz w:val="26"/>
      <w:szCs w:val="26"/>
    </w:rPr>
  </w:style>
  <w:style w:type="paragraph" w:customStyle="1" w:styleId="xl68">
    <w:name w:val="xl68"/>
    <w:basedOn w:val="Normal"/>
    <w:rsid w:val="00DE68BE"/>
    <w:pPr>
      <w:spacing w:before="100" w:beforeAutospacing="1" w:after="100" w:afterAutospacing="1"/>
    </w:pPr>
    <w:rPr>
      <w:sz w:val="26"/>
      <w:szCs w:val="26"/>
    </w:rPr>
  </w:style>
  <w:style w:type="paragraph" w:customStyle="1" w:styleId="xl69">
    <w:name w:val="xl69"/>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6"/>
      <w:szCs w:val="26"/>
    </w:rPr>
  </w:style>
  <w:style w:type="paragraph" w:customStyle="1" w:styleId="xl70">
    <w:name w:val="xl70"/>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6"/>
      <w:szCs w:val="26"/>
    </w:rPr>
  </w:style>
  <w:style w:type="paragraph" w:customStyle="1" w:styleId="xl71">
    <w:name w:val="xl71"/>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72">
    <w:name w:val="xl72"/>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73">
    <w:name w:val="xl73"/>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6"/>
      <w:szCs w:val="26"/>
    </w:rPr>
  </w:style>
  <w:style w:type="paragraph" w:customStyle="1" w:styleId="xl74">
    <w:name w:val="xl74"/>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75">
    <w:name w:val="xl75"/>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6"/>
      <w:szCs w:val="26"/>
    </w:rPr>
  </w:style>
  <w:style w:type="paragraph" w:customStyle="1" w:styleId="xl76">
    <w:name w:val="xl76"/>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77">
    <w:name w:val="xl77"/>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78">
    <w:name w:val="xl78"/>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color w:val="4BACC6"/>
      <w:sz w:val="26"/>
      <w:szCs w:val="26"/>
    </w:rPr>
  </w:style>
  <w:style w:type="paragraph" w:customStyle="1" w:styleId="xl79">
    <w:name w:val="xl79"/>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sz w:val="26"/>
      <w:szCs w:val="26"/>
    </w:rPr>
  </w:style>
  <w:style w:type="paragraph" w:customStyle="1" w:styleId="xl80">
    <w:name w:val="xl80"/>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81">
    <w:name w:val="xl81"/>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82">
    <w:name w:val="xl82"/>
    <w:basedOn w:val="Normal"/>
    <w:rsid w:val="00DE68BE"/>
    <w:pPr>
      <w:pBdr>
        <w:top w:val="single" w:sz="4" w:space="0" w:color="auto"/>
        <w:left w:val="single" w:sz="4" w:space="0" w:color="auto"/>
        <w:right w:val="single" w:sz="4" w:space="0" w:color="auto"/>
      </w:pBdr>
      <w:spacing w:before="100" w:beforeAutospacing="1" w:after="100" w:afterAutospacing="1"/>
      <w:textAlignment w:val="center"/>
    </w:pPr>
    <w:rPr>
      <w:color w:val="000000"/>
      <w:sz w:val="26"/>
      <w:szCs w:val="26"/>
    </w:rPr>
  </w:style>
  <w:style w:type="paragraph" w:customStyle="1" w:styleId="xl83">
    <w:name w:val="xl83"/>
    <w:basedOn w:val="Normal"/>
    <w:rsid w:val="00DE68BE"/>
    <w:pPr>
      <w:pBdr>
        <w:top w:val="single" w:sz="4" w:space="0" w:color="auto"/>
        <w:left w:val="single" w:sz="4" w:space="0" w:color="auto"/>
        <w:right w:val="single" w:sz="4" w:space="0" w:color="auto"/>
      </w:pBdr>
      <w:spacing w:before="100" w:beforeAutospacing="1" w:after="100" w:afterAutospacing="1"/>
      <w:textAlignment w:val="center"/>
    </w:pPr>
    <w:rPr>
      <w:color w:val="000000"/>
      <w:sz w:val="26"/>
      <w:szCs w:val="26"/>
    </w:rPr>
  </w:style>
  <w:style w:type="paragraph" w:customStyle="1" w:styleId="xl84">
    <w:name w:val="xl84"/>
    <w:basedOn w:val="Normal"/>
    <w:rsid w:val="00DE68BE"/>
    <w:pPr>
      <w:pBdr>
        <w:top w:val="single" w:sz="4" w:space="0" w:color="auto"/>
        <w:left w:val="single" w:sz="4" w:space="0" w:color="auto"/>
        <w:right w:val="single" w:sz="4" w:space="0" w:color="auto"/>
      </w:pBdr>
      <w:spacing w:before="100" w:beforeAutospacing="1" w:after="100" w:afterAutospacing="1"/>
      <w:jc w:val="center"/>
    </w:pPr>
    <w:rPr>
      <w:sz w:val="26"/>
      <w:szCs w:val="26"/>
    </w:rPr>
  </w:style>
  <w:style w:type="paragraph" w:customStyle="1" w:styleId="xl85">
    <w:name w:val="xl85"/>
    <w:basedOn w:val="Normal"/>
    <w:rsid w:val="00DE68BE"/>
    <w:pPr>
      <w:pBdr>
        <w:top w:val="single" w:sz="4" w:space="0" w:color="auto"/>
        <w:left w:val="single" w:sz="4" w:space="0" w:color="auto"/>
        <w:right w:val="single" w:sz="4" w:space="0" w:color="auto"/>
      </w:pBdr>
      <w:spacing w:before="100" w:beforeAutospacing="1" w:after="100" w:afterAutospacing="1"/>
    </w:pPr>
    <w:rPr>
      <w:sz w:val="26"/>
      <w:szCs w:val="26"/>
    </w:rPr>
  </w:style>
  <w:style w:type="paragraph" w:customStyle="1" w:styleId="xl86">
    <w:name w:val="xl86"/>
    <w:basedOn w:val="Normal"/>
    <w:rsid w:val="00DE68BE"/>
    <w:pPr>
      <w:pBdr>
        <w:top w:val="single" w:sz="4" w:space="0" w:color="auto"/>
        <w:left w:val="single" w:sz="4" w:space="0" w:color="auto"/>
        <w:right w:val="single" w:sz="4" w:space="0" w:color="auto"/>
      </w:pBdr>
      <w:spacing w:before="100" w:beforeAutospacing="1" w:after="100" w:afterAutospacing="1"/>
    </w:pPr>
    <w:rPr>
      <w:sz w:val="26"/>
      <w:szCs w:val="26"/>
    </w:rPr>
  </w:style>
  <w:style w:type="paragraph" w:customStyle="1" w:styleId="xl87">
    <w:name w:val="xl87"/>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6"/>
      <w:szCs w:val="26"/>
    </w:rPr>
  </w:style>
  <w:style w:type="paragraph" w:customStyle="1" w:styleId="xl88">
    <w:name w:val="xl88"/>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6"/>
      <w:szCs w:val="26"/>
    </w:rPr>
  </w:style>
  <w:style w:type="paragraph" w:customStyle="1" w:styleId="xl89">
    <w:name w:val="xl89"/>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90">
    <w:name w:val="xl90"/>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91">
    <w:name w:val="xl91"/>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6"/>
      <w:szCs w:val="26"/>
    </w:rPr>
  </w:style>
  <w:style w:type="paragraph" w:customStyle="1" w:styleId="xl92">
    <w:name w:val="xl92"/>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6"/>
      <w:szCs w:val="26"/>
    </w:rPr>
  </w:style>
  <w:style w:type="paragraph" w:customStyle="1" w:styleId="xl93">
    <w:name w:val="xl93"/>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94">
    <w:name w:val="xl94"/>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95">
    <w:name w:val="xl95"/>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96">
    <w:name w:val="xl96"/>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97">
    <w:name w:val="xl97"/>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98">
    <w:name w:val="xl98"/>
    <w:basedOn w:val="Normal"/>
    <w:rsid w:val="00DE68BE"/>
    <w:pPr>
      <w:pBdr>
        <w:top w:val="single" w:sz="4" w:space="0" w:color="auto"/>
        <w:left w:val="single" w:sz="4" w:space="0" w:color="auto"/>
        <w:right w:val="single" w:sz="4" w:space="0" w:color="auto"/>
      </w:pBdr>
      <w:spacing w:before="100" w:beforeAutospacing="1" w:after="100" w:afterAutospacing="1"/>
    </w:pPr>
    <w:rPr>
      <w:sz w:val="26"/>
      <w:szCs w:val="26"/>
    </w:rPr>
  </w:style>
  <w:style w:type="paragraph" w:customStyle="1" w:styleId="xl99">
    <w:name w:val="xl99"/>
    <w:basedOn w:val="Normal"/>
    <w:rsid w:val="00DE68BE"/>
    <w:pPr>
      <w:spacing w:before="100" w:beforeAutospacing="1" w:after="100" w:afterAutospacing="1"/>
    </w:pPr>
    <w:rPr>
      <w:sz w:val="26"/>
      <w:szCs w:val="26"/>
    </w:rPr>
  </w:style>
  <w:style w:type="paragraph" w:styleId="ListParagraph">
    <w:name w:val="List Paragraph"/>
    <w:basedOn w:val="Normal"/>
    <w:link w:val="ListParagraphChar"/>
    <w:uiPriority w:val="34"/>
    <w:qFormat/>
    <w:rsid w:val="00DE68BE"/>
    <w:pPr>
      <w:ind w:left="720"/>
      <w:contextualSpacing/>
    </w:pPr>
  </w:style>
  <w:style w:type="character" w:customStyle="1" w:styleId="bold1">
    <w:name w:val="bold1"/>
    <w:rsid w:val="00DE68BE"/>
    <w:rPr>
      <w:b/>
      <w:bCs/>
    </w:rPr>
  </w:style>
  <w:style w:type="paragraph" w:styleId="Caption">
    <w:name w:val="caption"/>
    <w:basedOn w:val="Normal"/>
    <w:next w:val="Normal"/>
    <w:uiPriority w:val="35"/>
    <w:unhideWhenUsed/>
    <w:qFormat/>
    <w:rsid w:val="0040536B"/>
    <w:pPr>
      <w:spacing w:after="200"/>
    </w:pPr>
    <w:rPr>
      <w:rFonts w:ascii="Arial" w:hAnsi="Arial"/>
      <w:b/>
      <w:bCs/>
      <w:color w:val="000000" w:themeColor="text1"/>
      <w:szCs w:val="18"/>
    </w:rPr>
  </w:style>
  <w:style w:type="character" w:customStyle="1" w:styleId="mdrpropertyvalue">
    <w:name w:val="mdrpropertyvalue"/>
    <w:rsid w:val="00DE68BE"/>
  </w:style>
  <w:style w:type="character" w:customStyle="1" w:styleId="ListParagraphChar">
    <w:name w:val="List Paragraph Char"/>
    <w:link w:val="ListParagraph"/>
    <w:uiPriority w:val="34"/>
    <w:locked/>
    <w:rsid w:val="00DF1903"/>
    <w:rPr>
      <w:rFonts w:ascii="Cambria" w:hAnsi="Cambria"/>
      <w:lang w:eastAsia="en-US"/>
    </w:rPr>
  </w:style>
  <w:style w:type="paragraph" w:customStyle="1" w:styleId="Default">
    <w:name w:val="Default"/>
    <w:rsid w:val="00AF4AE2"/>
    <w:pPr>
      <w:autoSpaceDE w:val="0"/>
      <w:autoSpaceDN w:val="0"/>
      <w:adjustRightInd w:val="0"/>
    </w:pPr>
    <w:rPr>
      <w:rFonts w:ascii="Trebuchet MS" w:hAnsi="Trebuchet MS" w:cs="Trebuchet MS"/>
      <w:color w:val="000000"/>
      <w:sz w:val="24"/>
      <w:szCs w:val="24"/>
    </w:rPr>
  </w:style>
  <w:style w:type="character" w:styleId="CommentReference">
    <w:name w:val="annotation reference"/>
    <w:uiPriority w:val="99"/>
    <w:unhideWhenUsed/>
    <w:rsid w:val="00941F64"/>
    <w:rPr>
      <w:sz w:val="16"/>
      <w:szCs w:val="16"/>
    </w:rPr>
  </w:style>
  <w:style w:type="paragraph" w:styleId="CommentText">
    <w:name w:val="annotation text"/>
    <w:basedOn w:val="Normal"/>
    <w:link w:val="CommentTextChar"/>
    <w:uiPriority w:val="99"/>
    <w:unhideWhenUsed/>
    <w:rsid w:val="00941F64"/>
  </w:style>
  <w:style w:type="character" w:customStyle="1" w:styleId="CommentTextChar">
    <w:name w:val="Comment Text Char"/>
    <w:link w:val="CommentText"/>
    <w:uiPriority w:val="99"/>
    <w:rsid w:val="00941F64"/>
    <w:rPr>
      <w:rFonts w:ascii="Cambria" w:hAnsi="Cambria"/>
      <w:lang w:eastAsia="en-US"/>
    </w:rPr>
  </w:style>
  <w:style w:type="paragraph" w:styleId="CommentSubject">
    <w:name w:val="annotation subject"/>
    <w:basedOn w:val="CommentText"/>
    <w:next w:val="CommentText"/>
    <w:link w:val="CommentSubjectChar"/>
    <w:uiPriority w:val="99"/>
    <w:semiHidden/>
    <w:unhideWhenUsed/>
    <w:rsid w:val="00941F64"/>
    <w:rPr>
      <w:b/>
      <w:bCs/>
    </w:rPr>
  </w:style>
  <w:style w:type="character" w:customStyle="1" w:styleId="CommentSubjectChar">
    <w:name w:val="Comment Subject Char"/>
    <w:link w:val="CommentSubject"/>
    <w:uiPriority w:val="99"/>
    <w:semiHidden/>
    <w:rsid w:val="00941F64"/>
    <w:rPr>
      <w:rFonts w:ascii="Cambria" w:hAnsi="Cambria"/>
      <w:b/>
      <w:bCs/>
      <w:lang w:eastAsia="en-US"/>
    </w:rPr>
  </w:style>
  <w:style w:type="character" w:customStyle="1" w:styleId="FootnoteTextChar">
    <w:name w:val="Footnote Text Char"/>
    <w:link w:val="FootnoteText"/>
    <w:uiPriority w:val="99"/>
    <w:rsid w:val="00EF412D"/>
    <w:rPr>
      <w:rFonts w:ascii="Arial" w:eastAsia="MS Gothic" w:hAnsi="Arial" w:cs="Arial"/>
      <w:sz w:val="18"/>
      <w:szCs w:val="16"/>
    </w:rPr>
  </w:style>
  <w:style w:type="character" w:styleId="Emphasis">
    <w:name w:val="Emphasis"/>
    <w:uiPriority w:val="20"/>
    <w:qFormat/>
    <w:rsid w:val="00D12C33"/>
    <w:rPr>
      <w:b/>
      <w:bCs/>
      <w:i w:val="0"/>
      <w:iCs w:val="0"/>
    </w:rPr>
  </w:style>
  <w:style w:type="character" w:customStyle="1" w:styleId="st1">
    <w:name w:val="st1"/>
    <w:rsid w:val="00D12C33"/>
  </w:style>
  <w:style w:type="character" w:customStyle="1" w:styleId="A2">
    <w:name w:val="A2"/>
    <w:uiPriority w:val="99"/>
    <w:rsid w:val="00876DF5"/>
    <w:rPr>
      <w:rFonts w:cs="Foco CC"/>
      <w:color w:val="000000"/>
      <w:sz w:val="18"/>
      <w:szCs w:val="18"/>
    </w:rPr>
  </w:style>
  <w:style w:type="character" w:customStyle="1" w:styleId="A5">
    <w:name w:val="A5"/>
    <w:uiPriority w:val="99"/>
    <w:rsid w:val="00A732AD"/>
    <w:rPr>
      <w:rFonts w:cs="Foco CC Light"/>
      <w:color w:val="000000"/>
      <w:sz w:val="20"/>
      <w:szCs w:val="20"/>
    </w:rPr>
  </w:style>
  <w:style w:type="paragraph" w:customStyle="1" w:styleId="DHHStabletextcentred">
    <w:name w:val="DHHS table text centred"/>
    <w:basedOn w:val="Tabletext"/>
    <w:rsid w:val="0064412C"/>
    <w:pPr>
      <w:spacing w:line="360" w:lineRule="auto"/>
    </w:pPr>
  </w:style>
  <w:style w:type="paragraph" w:customStyle="1" w:styleId="ARtabletextright">
    <w:name w:val="AR table text right"/>
    <w:basedOn w:val="Normal"/>
    <w:uiPriority w:val="99"/>
    <w:qFormat/>
    <w:rsid w:val="00794E61"/>
    <w:pPr>
      <w:spacing w:before="80" w:after="60"/>
      <w:jc w:val="right"/>
    </w:pPr>
    <w:rPr>
      <w:rFonts w:ascii="Arial" w:eastAsia="Times" w:hAnsi="Arial" w:cs="Arial"/>
      <w:sz w:val="18"/>
      <w:szCs w:val="18"/>
    </w:rPr>
  </w:style>
  <w:style w:type="paragraph" w:styleId="NormalWeb">
    <w:name w:val="Normal (Web)"/>
    <w:basedOn w:val="Normal"/>
    <w:uiPriority w:val="99"/>
    <w:unhideWhenUsed/>
    <w:rsid w:val="003818EB"/>
    <w:pPr>
      <w:spacing w:before="100" w:beforeAutospacing="1" w:after="100" w:afterAutospacing="1"/>
    </w:pPr>
    <w:rPr>
      <w:sz w:val="24"/>
      <w:szCs w:val="24"/>
    </w:rPr>
  </w:style>
  <w:style w:type="character" w:customStyle="1" w:styleId="ilfuvd">
    <w:name w:val="ilfuvd"/>
    <w:rsid w:val="00687D02"/>
  </w:style>
  <w:style w:type="table" w:customStyle="1" w:styleId="TableGridLight1">
    <w:name w:val="Table Grid Light1"/>
    <w:basedOn w:val="TableNormal"/>
    <w:uiPriority w:val="40"/>
    <w:rsid w:val="00CF7061"/>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xmsonormal">
    <w:name w:val="x_msonormal"/>
    <w:basedOn w:val="Normal"/>
    <w:rsid w:val="0092565D"/>
    <w:pPr>
      <w:spacing w:before="100" w:beforeAutospacing="1" w:after="100" w:afterAutospacing="1"/>
    </w:pPr>
    <w:rPr>
      <w:sz w:val="24"/>
      <w:szCs w:val="24"/>
    </w:rPr>
  </w:style>
  <w:style w:type="paragraph" w:customStyle="1" w:styleId="xdhhstablecolhead">
    <w:name w:val="x_dhhstablecolhead"/>
    <w:basedOn w:val="Normal"/>
    <w:rsid w:val="0092565D"/>
    <w:pPr>
      <w:spacing w:before="100" w:beforeAutospacing="1" w:after="100" w:afterAutospacing="1"/>
    </w:pPr>
    <w:rPr>
      <w:sz w:val="24"/>
      <w:szCs w:val="24"/>
    </w:rPr>
  </w:style>
  <w:style w:type="paragraph" w:customStyle="1" w:styleId="xdhhstabletext">
    <w:name w:val="x_dhhstabletext"/>
    <w:basedOn w:val="Normal"/>
    <w:rsid w:val="0092565D"/>
    <w:pPr>
      <w:spacing w:before="100" w:beforeAutospacing="1" w:after="100" w:afterAutospacing="1"/>
    </w:pPr>
    <w:rPr>
      <w:sz w:val="24"/>
      <w:szCs w:val="24"/>
    </w:rPr>
  </w:style>
  <w:style w:type="paragraph" w:styleId="PlainText">
    <w:name w:val="Plain Text"/>
    <w:basedOn w:val="Normal"/>
    <w:link w:val="PlainTextChar"/>
    <w:uiPriority w:val="99"/>
    <w:semiHidden/>
    <w:unhideWhenUsed/>
    <w:rsid w:val="0058190F"/>
    <w:rPr>
      <w:rFonts w:ascii="Calibri" w:eastAsia="Calibri" w:hAnsi="Calibri"/>
      <w:sz w:val="22"/>
      <w:szCs w:val="21"/>
    </w:rPr>
  </w:style>
  <w:style w:type="character" w:customStyle="1" w:styleId="PlainTextChar">
    <w:name w:val="Plain Text Char"/>
    <w:link w:val="PlainText"/>
    <w:uiPriority w:val="99"/>
    <w:semiHidden/>
    <w:rsid w:val="0058190F"/>
    <w:rPr>
      <w:rFonts w:ascii="Calibri" w:eastAsia="Calibri" w:hAnsi="Calibri"/>
      <w:sz w:val="22"/>
      <w:szCs w:val="21"/>
      <w:lang w:eastAsia="en-US"/>
    </w:rPr>
  </w:style>
  <w:style w:type="paragraph" w:customStyle="1" w:styleId="DHHStablecolumnheadblack">
    <w:name w:val="DHHS table column head black"/>
    <w:basedOn w:val="Tablecolhead"/>
    <w:rsid w:val="00C1114C"/>
    <w:rPr>
      <w:color w:val="000000" w:themeColor="text1"/>
    </w:rPr>
  </w:style>
  <w:style w:type="paragraph" w:customStyle="1" w:styleId="CopyrightDetails">
    <w:name w:val="Copyright Details"/>
    <w:basedOn w:val="Normal"/>
    <w:rsid w:val="00663309"/>
    <w:pPr>
      <w:spacing w:line="260" w:lineRule="exact"/>
      <w:ind w:right="3820"/>
    </w:pPr>
    <w:rPr>
      <w:rFonts w:ascii="Arial" w:hAnsi="Arial"/>
      <w:color w:val="747378"/>
      <w:sz w:val="18"/>
      <w:szCs w:val="24"/>
    </w:rPr>
  </w:style>
  <w:style w:type="character" w:customStyle="1" w:styleId="UnresolvedMention1">
    <w:name w:val="Unresolved Mention1"/>
    <w:basedOn w:val="DefaultParagraphFont"/>
    <w:uiPriority w:val="99"/>
    <w:semiHidden/>
    <w:unhideWhenUsed/>
    <w:rsid w:val="00C4317A"/>
    <w:rPr>
      <w:color w:val="605E5C"/>
      <w:shd w:val="clear" w:color="auto" w:fill="E1DFDD"/>
    </w:rPr>
  </w:style>
  <w:style w:type="character" w:customStyle="1" w:styleId="cca-citation">
    <w:name w:val="cca-citation"/>
    <w:basedOn w:val="DefaultParagraphFont"/>
    <w:rsid w:val="0048790B"/>
  </w:style>
  <w:style w:type="character" w:customStyle="1" w:styleId="UnresolvedMention2">
    <w:name w:val="Unresolved Mention2"/>
    <w:basedOn w:val="DefaultParagraphFont"/>
    <w:uiPriority w:val="99"/>
    <w:semiHidden/>
    <w:unhideWhenUsed/>
    <w:rsid w:val="00662045"/>
    <w:rPr>
      <w:color w:val="605E5C"/>
      <w:shd w:val="clear" w:color="auto" w:fill="E1DFDD"/>
    </w:rPr>
  </w:style>
  <w:style w:type="character" w:customStyle="1" w:styleId="sr-only1">
    <w:name w:val="sr-only1"/>
    <w:basedOn w:val="DefaultParagraphFont"/>
    <w:rsid w:val="00F969FE"/>
    <w:rPr>
      <w:bdr w:val="none" w:sz="0" w:space="0" w:color="auto" w:frame="1"/>
    </w:rPr>
  </w:style>
  <w:style w:type="paragraph" w:customStyle="1" w:styleId="Compact">
    <w:name w:val="Compact"/>
    <w:basedOn w:val="BodyText"/>
    <w:qFormat/>
    <w:rsid w:val="006C24CC"/>
    <w:pPr>
      <w:spacing w:before="36" w:after="36"/>
    </w:pPr>
    <w:rPr>
      <w:rFonts w:asciiTheme="minorHAnsi" w:eastAsiaTheme="minorHAnsi" w:hAnsiTheme="minorHAnsi" w:cstheme="minorBidi"/>
      <w:sz w:val="24"/>
      <w:szCs w:val="24"/>
      <w:lang w:val="en-US"/>
    </w:rPr>
  </w:style>
  <w:style w:type="paragraph" w:styleId="BodyText">
    <w:name w:val="Body Text"/>
    <w:basedOn w:val="Normal"/>
    <w:link w:val="BodyTextChar"/>
    <w:uiPriority w:val="99"/>
    <w:semiHidden/>
    <w:unhideWhenUsed/>
    <w:rsid w:val="006C24CC"/>
    <w:pPr>
      <w:spacing w:after="120"/>
    </w:pPr>
  </w:style>
  <w:style w:type="character" w:customStyle="1" w:styleId="BodyTextChar">
    <w:name w:val="Body Text Char"/>
    <w:basedOn w:val="DefaultParagraphFont"/>
    <w:link w:val="BodyText"/>
    <w:uiPriority w:val="99"/>
    <w:semiHidden/>
    <w:rsid w:val="006C24CC"/>
    <w:rPr>
      <w:rFonts w:ascii="Cambria" w:hAnsi="Cambria"/>
      <w:lang w:eastAsia="en-US"/>
    </w:rPr>
  </w:style>
  <w:style w:type="paragraph" w:customStyle="1" w:styleId="DHHStablecolumnheadwhite">
    <w:name w:val="DHHS table column head white"/>
    <w:basedOn w:val="DHHStablecolumnheadblack"/>
    <w:rsid w:val="00C1114C"/>
    <w:rPr>
      <w:color w:val="FFFFFF" w:themeColor="background1"/>
    </w:rPr>
  </w:style>
  <w:style w:type="character" w:styleId="HTMLCite">
    <w:name w:val="HTML Cite"/>
    <w:basedOn w:val="DefaultParagraphFont"/>
    <w:uiPriority w:val="99"/>
    <w:semiHidden/>
    <w:unhideWhenUsed/>
    <w:rsid w:val="00802511"/>
    <w:rPr>
      <w:i/>
      <w:iCs/>
    </w:rPr>
  </w:style>
  <w:style w:type="character" w:customStyle="1" w:styleId="cit-auth">
    <w:name w:val="cit-auth"/>
    <w:basedOn w:val="DefaultParagraphFont"/>
    <w:rsid w:val="00802511"/>
  </w:style>
  <w:style w:type="character" w:customStyle="1" w:styleId="cit-source">
    <w:name w:val="cit-source"/>
    <w:basedOn w:val="DefaultParagraphFont"/>
    <w:rsid w:val="00802511"/>
  </w:style>
  <w:style w:type="character" w:customStyle="1" w:styleId="cit-publ-loc">
    <w:name w:val="cit-publ-loc"/>
    <w:basedOn w:val="DefaultParagraphFont"/>
    <w:rsid w:val="00802511"/>
  </w:style>
  <w:style w:type="character" w:customStyle="1" w:styleId="cit-publ-name">
    <w:name w:val="cit-publ-name"/>
    <w:basedOn w:val="DefaultParagraphFont"/>
    <w:rsid w:val="00802511"/>
  </w:style>
  <w:style w:type="character" w:customStyle="1" w:styleId="cit-pub-date">
    <w:name w:val="cit-pub-date"/>
    <w:basedOn w:val="DefaultParagraphFont"/>
    <w:rsid w:val="00802511"/>
  </w:style>
  <w:style w:type="paragraph" w:customStyle="1" w:styleId="Pa9">
    <w:name w:val="Pa9"/>
    <w:basedOn w:val="Default"/>
    <w:next w:val="Default"/>
    <w:uiPriority w:val="99"/>
    <w:rsid w:val="00A45BB3"/>
    <w:pPr>
      <w:spacing w:line="221" w:lineRule="atLeast"/>
    </w:pPr>
    <w:rPr>
      <w:rFonts w:ascii="Open Sans Light" w:hAnsi="Open Sans Light" w:cs="Times New Roman"/>
      <w:color w:val="auto"/>
    </w:rPr>
  </w:style>
  <w:style w:type="character" w:customStyle="1" w:styleId="A8">
    <w:name w:val="A8"/>
    <w:uiPriority w:val="99"/>
    <w:rsid w:val="00A45BB3"/>
    <w:rPr>
      <w:rFonts w:ascii="Open Sans" w:hAnsi="Open Sans" w:cs="Open Sans"/>
      <w:color w:val="000000"/>
      <w:sz w:val="12"/>
      <w:szCs w:val="12"/>
    </w:rPr>
  </w:style>
  <w:style w:type="character" w:customStyle="1" w:styleId="mixed-citation">
    <w:name w:val="mixed-citation"/>
    <w:basedOn w:val="DefaultParagraphFont"/>
    <w:rsid w:val="008C14DD"/>
  </w:style>
  <w:style w:type="character" w:customStyle="1" w:styleId="ref-journal">
    <w:name w:val="ref-journal"/>
    <w:basedOn w:val="DefaultParagraphFont"/>
    <w:rsid w:val="008C14DD"/>
  </w:style>
  <w:style w:type="character" w:customStyle="1" w:styleId="cca-new-window">
    <w:name w:val="cca-new-window"/>
    <w:basedOn w:val="DefaultParagraphFont"/>
    <w:rsid w:val="00E44E92"/>
  </w:style>
  <w:style w:type="character" w:customStyle="1" w:styleId="UnresolvedMention3">
    <w:name w:val="Unresolved Mention3"/>
    <w:basedOn w:val="DefaultParagraphFont"/>
    <w:uiPriority w:val="99"/>
    <w:semiHidden/>
    <w:unhideWhenUsed/>
    <w:rsid w:val="00014A8F"/>
    <w:rPr>
      <w:color w:val="605E5C"/>
      <w:shd w:val="clear" w:color="auto" w:fill="E1DFDD"/>
    </w:rPr>
  </w:style>
  <w:style w:type="character" w:customStyle="1" w:styleId="citation">
    <w:name w:val="citation"/>
    <w:basedOn w:val="DefaultParagraphFont"/>
    <w:rsid w:val="003E0089"/>
  </w:style>
  <w:style w:type="character" w:customStyle="1" w:styleId="xref-sep">
    <w:name w:val="xref-sep"/>
    <w:basedOn w:val="DefaultParagraphFont"/>
    <w:rsid w:val="008444E7"/>
  </w:style>
  <w:style w:type="character" w:customStyle="1" w:styleId="groupname">
    <w:name w:val="groupname"/>
    <w:basedOn w:val="DefaultParagraphFont"/>
    <w:rsid w:val="00883852"/>
  </w:style>
  <w:style w:type="character" w:customStyle="1" w:styleId="othertitle">
    <w:name w:val="othertitle"/>
    <w:basedOn w:val="DefaultParagraphFont"/>
    <w:rsid w:val="00883852"/>
  </w:style>
  <w:style w:type="character" w:customStyle="1" w:styleId="publisherlocation">
    <w:name w:val="publisherlocation"/>
    <w:basedOn w:val="DefaultParagraphFont"/>
    <w:rsid w:val="00883852"/>
  </w:style>
  <w:style w:type="character" w:customStyle="1" w:styleId="pubyear">
    <w:name w:val="pubyear"/>
    <w:basedOn w:val="DefaultParagraphFont"/>
    <w:rsid w:val="00883852"/>
  </w:style>
  <w:style w:type="character" w:customStyle="1" w:styleId="element-citation">
    <w:name w:val="element-citation"/>
    <w:basedOn w:val="DefaultParagraphFont"/>
    <w:rsid w:val="00BD1EB3"/>
  </w:style>
  <w:style w:type="paragraph" w:styleId="HTMLPreformatted">
    <w:name w:val="HTML Preformatted"/>
    <w:basedOn w:val="Normal"/>
    <w:link w:val="HTMLPreformattedChar"/>
    <w:uiPriority w:val="99"/>
    <w:unhideWhenUsed/>
    <w:rsid w:val="00386D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uiPriority w:val="99"/>
    <w:rsid w:val="00386D51"/>
    <w:rPr>
      <w:rFonts w:ascii="Courier New" w:hAnsi="Courier New" w:cs="Courier New"/>
    </w:rPr>
  </w:style>
  <w:style w:type="character" w:customStyle="1" w:styleId="A3">
    <w:name w:val="A3"/>
    <w:uiPriority w:val="99"/>
    <w:rsid w:val="009264F6"/>
    <w:rPr>
      <w:rFonts w:cs="Open Sans"/>
      <w:color w:val="000000"/>
      <w:sz w:val="20"/>
      <w:szCs w:val="20"/>
    </w:rPr>
  </w:style>
  <w:style w:type="character" w:customStyle="1" w:styleId="normaltextrun">
    <w:name w:val="normaltextrun"/>
    <w:basedOn w:val="DefaultParagraphFont"/>
    <w:rsid w:val="00E306C3"/>
  </w:style>
  <w:style w:type="character" w:customStyle="1" w:styleId="UnresolvedMention4">
    <w:name w:val="Unresolved Mention4"/>
    <w:basedOn w:val="DefaultParagraphFont"/>
    <w:uiPriority w:val="99"/>
    <w:semiHidden/>
    <w:unhideWhenUsed/>
    <w:rsid w:val="000836BA"/>
    <w:rPr>
      <w:color w:val="605E5C"/>
      <w:shd w:val="clear" w:color="auto" w:fill="E1DFDD"/>
    </w:rPr>
  </w:style>
  <w:style w:type="table" w:customStyle="1" w:styleId="PlainTable21">
    <w:name w:val="Plain Table 21"/>
    <w:basedOn w:val="TableNormal"/>
    <w:uiPriority w:val="42"/>
    <w:rsid w:val="00E26C44"/>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e24kjd">
    <w:name w:val="e24kjd"/>
    <w:basedOn w:val="DefaultParagraphFont"/>
    <w:rsid w:val="00EE6F47"/>
  </w:style>
  <w:style w:type="paragraph" w:customStyle="1" w:styleId="c-article-identifiersitem">
    <w:name w:val="c-article-identifiers__item"/>
    <w:basedOn w:val="Normal"/>
    <w:rsid w:val="007951A6"/>
    <w:pPr>
      <w:pBdr>
        <w:right w:val="single" w:sz="6" w:space="9" w:color="CCCCCC"/>
      </w:pBdr>
      <w:spacing w:before="100" w:beforeAutospacing="1" w:after="100" w:afterAutospacing="1"/>
      <w:ind w:right="180"/>
    </w:pPr>
    <w:rPr>
      <w:sz w:val="24"/>
      <w:szCs w:val="24"/>
    </w:rPr>
  </w:style>
  <w:style w:type="paragraph" w:customStyle="1" w:styleId="c-navitem">
    <w:name w:val="c-nav__item"/>
    <w:basedOn w:val="Normal"/>
    <w:rsid w:val="007951A6"/>
    <w:pPr>
      <w:spacing w:before="100" w:beforeAutospacing="1" w:after="100" w:afterAutospacing="1"/>
    </w:pPr>
    <w:rPr>
      <w:sz w:val="24"/>
      <w:szCs w:val="24"/>
    </w:rPr>
  </w:style>
  <w:style w:type="character" w:customStyle="1" w:styleId="u-text-open-access">
    <w:name w:val="u-text-open-access"/>
    <w:basedOn w:val="DefaultParagraphFont"/>
    <w:rsid w:val="007951A6"/>
  </w:style>
  <w:style w:type="character" w:customStyle="1" w:styleId="openpeerreview">
    <w:name w:val="openpeerreview"/>
    <w:basedOn w:val="DefaultParagraphFont"/>
    <w:rsid w:val="007951A6"/>
  </w:style>
  <w:style w:type="paragraph" w:customStyle="1" w:styleId="author2">
    <w:name w:val="author2"/>
    <w:basedOn w:val="Normal"/>
    <w:rsid w:val="007951A6"/>
    <w:pPr>
      <w:spacing w:before="100" w:beforeAutospacing="1" w:after="100" w:afterAutospacing="1"/>
      <w:ind w:right="72"/>
      <w:textAlignment w:val="bottom"/>
    </w:pPr>
    <w:rPr>
      <w:sz w:val="24"/>
      <w:szCs w:val="24"/>
    </w:rPr>
  </w:style>
  <w:style w:type="character" w:customStyle="1" w:styleId="authorname4">
    <w:name w:val="authorname4"/>
    <w:basedOn w:val="DefaultParagraphFont"/>
    <w:rsid w:val="007951A6"/>
  </w:style>
  <w:style w:type="character" w:customStyle="1" w:styleId="u-sronly1">
    <w:name w:val="u-sronly1"/>
    <w:basedOn w:val="DefaultParagraphFont"/>
    <w:rsid w:val="007951A6"/>
    <w:rPr>
      <w:bdr w:val="none" w:sz="0" w:space="0" w:color="auto" w:frame="1"/>
    </w:rPr>
  </w:style>
  <w:style w:type="paragraph" w:customStyle="1" w:styleId="DHHStablebulletindent">
    <w:name w:val="DHHS table bullet indent"/>
    <w:basedOn w:val="Tablebullet"/>
    <w:rsid w:val="005865E9"/>
    <w:pPr>
      <w:numPr>
        <w:numId w:val="26"/>
      </w:numPr>
      <w:ind w:left="2098"/>
    </w:pPr>
  </w:style>
  <w:style w:type="character" w:customStyle="1" w:styleId="UnresolvedMention5">
    <w:name w:val="Unresolved Mention5"/>
    <w:basedOn w:val="DefaultParagraphFont"/>
    <w:uiPriority w:val="99"/>
    <w:semiHidden/>
    <w:unhideWhenUsed/>
    <w:rsid w:val="00932808"/>
    <w:rPr>
      <w:color w:val="605E5C"/>
      <w:shd w:val="clear" w:color="auto" w:fill="E1DFDD"/>
    </w:rPr>
  </w:style>
  <w:style w:type="character" w:styleId="UnresolvedMention">
    <w:name w:val="Unresolved Mention"/>
    <w:basedOn w:val="DefaultParagraphFont"/>
    <w:uiPriority w:val="99"/>
    <w:semiHidden/>
    <w:unhideWhenUsed/>
    <w:rsid w:val="007479E4"/>
    <w:rPr>
      <w:color w:val="605E5C"/>
      <w:shd w:val="clear" w:color="auto" w:fill="E1DFDD"/>
    </w:rPr>
  </w:style>
  <w:style w:type="paragraph" w:styleId="Revision">
    <w:name w:val="Revision"/>
    <w:hidden/>
    <w:uiPriority w:val="71"/>
    <w:semiHidden/>
    <w:rsid w:val="00D61F7B"/>
  </w:style>
  <w:style w:type="paragraph" w:customStyle="1" w:styleId="Bulletafternumbers1">
    <w:name w:val="Bullet after numbers 1"/>
    <w:basedOn w:val="Normal"/>
    <w:uiPriority w:val="4"/>
    <w:rsid w:val="001D6AF1"/>
    <w:pPr>
      <w:numPr>
        <w:ilvl w:val="2"/>
        <w:numId w:val="63"/>
      </w:numPr>
      <w:spacing w:after="120" w:line="280" w:lineRule="atLeast"/>
    </w:pPr>
    <w:rPr>
      <w:rFonts w:ascii="Arial" w:eastAsia="Arial Bold" w:hAnsi="Arial" w:cs="Arial Bold"/>
      <w:sz w:val="21"/>
      <w:lang w:eastAsia="en-US"/>
    </w:rPr>
  </w:style>
  <w:style w:type="numbering" w:customStyle="1" w:styleId="ZZNumbersdigit">
    <w:name w:val="ZZ Numbers digit"/>
    <w:rsid w:val="001D6AF1"/>
    <w:pPr>
      <w:numPr>
        <w:numId w:val="62"/>
      </w:numPr>
    </w:pPr>
  </w:style>
  <w:style w:type="paragraph" w:customStyle="1" w:styleId="Numberdigit">
    <w:name w:val="Number digit"/>
    <w:basedOn w:val="Normal"/>
    <w:uiPriority w:val="2"/>
    <w:rsid w:val="001D6AF1"/>
    <w:pPr>
      <w:numPr>
        <w:numId w:val="63"/>
      </w:numPr>
      <w:spacing w:after="120" w:line="280" w:lineRule="atLeast"/>
    </w:pPr>
    <w:rPr>
      <w:rFonts w:ascii="Arial" w:eastAsia="Arial Bold" w:hAnsi="Arial" w:cs="Arial Bold"/>
      <w:sz w:val="21"/>
      <w:lang w:eastAsia="en-US"/>
    </w:rPr>
  </w:style>
  <w:style w:type="paragraph" w:customStyle="1" w:styleId="Numberdigitindent">
    <w:name w:val="Number digit indent"/>
    <w:basedOn w:val="Normal"/>
    <w:uiPriority w:val="3"/>
    <w:rsid w:val="001D6AF1"/>
    <w:pPr>
      <w:numPr>
        <w:ilvl w:val="1"/>
        <w:numId w:val="63"/>
      </w:numPr>
      <w:spacing w:after="120" w:line="280" w:lineRule="atLeast"/>
    </w:pPr>
    <w:rPr>
      <w:rFonts w:ascii="Arial" w:eastAsia="Arial Bold" w:hAnsi="Arial" w:cs="Arial Bold"/>
      <w:sz w:val="21"/>
      <w:lang w:eastAsia="en-US"/>
    </w:rPr>
  </w:style>
  <w:style w:type="paragraph" w:customStyle="1" w:styleId="Bulletafternumbers2">
    <w:name w:val="Bullet after numbers 2"/>
    <w:basedOn w:val="Normal"/>
    <w:rsid w:val="001D6AF1"/>
    <w:pPr>
      <w:numPr>
        <w:ilvl w:val="3"/>
        <w:numId w:val="63"/>
      </w:numPr>
      <w:spacing w:after="120" w:line="280" w:lineRule="atLeast"/>
    </w:pPr>
    <w:rPr>
      <w:rFonts w:ascii="Arial" w:eastAsia="Arial Bold" w:hAnsi="Arial" w:cs="Arial Bold"/>
      <w:sz w:val="21"/>
      <w:lang w:eastAsia="en-US"/>
    </w:rPr>
  </w:style>
  <w:style w:type="paragraph" w:customStyle="1" w:styleId="Body">
    <w:name w:val="Body"/>
    <w:link w:val="BodyChar"/>
    <w:qFormat/>
    <w:rsid w:val="00DB67E0"/>
    <w:pPr>
      <w:spacing w:after="120" w:line="280" w:lineRule="atLeast"/>
    </w:pPr>
    <w:rPr>
      <w:rFonts w:ascii="Arial" w:eastAsia="Times" w:hAnsi="Arial"/>
      <w:sz w:val="21"/>
      <w:lang w:eastAsia="en-US"/>
    </w:rPr>
  </w:style>
  <w:style w:type="character" w:customStyle="1" w:styleId="BodyChar">
    <w:name w:val="Body Char"/>
    <w:basedOn w:val="DefaultParagraphFont"/>
    <w:link w:val="Body"/>
    <w:locked/>
    <w:rsid w:val="00DB67E0"/>
    <w:rPr>
      <w:rFonts w:ascii="Arial" w:eastAsia="Times" w:hAnsi="Arial"/>
      <w:sz w:val="21"/>
      <w:lang w:eastAsia="en-US"/>
    </w:rPr>
  </w:style>
  <w:style w:type="character" w:customStyle="1" w:styleId="aihref">
    <w:name w:val="aihref"/>
    <w:basedOn w:val="DefaultParagraphFont"/>
    <w:rsid w:val="006F705D"/>
  </w:style>
  <w:style w:type="character" w:customStyle="1" w:styleId="rpl-text-label">
    <w:name w:val="rpl-text-label"/>
    <w:basedOn w:val="DefaultParagraphFont"/>
    <w:rsid w:val="00341F9F"/>
  </w:style>
  <w:style w:type="character" w:customStyle="1" w:styleId="rpl-text-icongroup">
    <w:name w:val="rpl-text-icon__group"/>
    <w:basedOn w:val="DefaultParagraphFont"/>
    <w:rsid w:val="00341F9F"/>
  </w:style>
  <w:style w:type="character" w:customStyle="1" w:styleId="ref-vol">
    <w:name w:val="ref-vol"/>
    <w:basedOn w:val="DefaultParagraphFont"/>
    <w:rsid w:val="00B65EC7"/>
  </w:style>
  <w:style w:type="character" w:customStyle="1" w:styleId="rpl-linkinner">
    <w:name w:val="rpl-link__inner"/>
    <w:basedOn w:val="DefaultParagraphFont"/>
    <w:rsid w:val="008E5EAE"/>
  </w:style>
  <w:style w:type="paragraph" w:customStyle="1" w:styleId="Documenttitle">
    <w:name w:val="Document title"/>
    <w:uiPriority w:val="8"/>
    <w:rsid w:val="00982751"/>
    <w:pPr>
      <w:spacing w:after="240" w:line="560" w:lineRule="atLeast"/>
    </w:pPr>
    <w:rPr>
      <w:rFonts w:ascii="Arial" w:hAnsi="Arial"/>
      <w:b/>
      <w:color w:val="AF272F"/>
      <w:sz w:val="48"/>
      <w:szCs w:val="50"/>
      <w:lang w:eastAsia="en-US"/>
    </w:rPr>
  </w:style>
  <w:style w:type="paragraph" w:customStyle="1" w:styleId="Documentsubtitle">
    <w:name w:val="Document subtitle"/>
    <w:uiPriority w:val="8"/>
    <w:rsid w:val="00831BD7"/>
    <w:pPr>
      <w:spacing w:after="120"/>
    </w:pPr>
    <w:rPr>
      <w:rFonts w:ascii="Arial" w:hAnsi="Arial"/>
      <w:color w:val="53565A"/>
      <w:sz w:val="28"/>
      <w:szCs w:val="24"/>
      <w:lang w:eastAsia="en-US"/>
    </w:rPr>
  </w:style>
  <w:style w:type="character" w:customStyle="1" w:styleId="xcontentpasted0">
    <w:name w:val="x_contentpasted0"/>
    <w:basedOn w:val="DefaultParagraphFont"/>
    <w:rsid w:val="00097697"/>
  </w:style>
  <w:style w:type="paragraph" w:customStyle="1" w:styleId="Bodyafterbullets">
    <w:name w:val="Body after bullets"/>
    <w:basedOn w:val="Body"/>
    <w:rsid w:val="0057168A"/>
    <w:pPr>
      <w:spacing w:before="120"/>
    </w:pPr>
  </w:style>
  <w:style w:type="paragraph" w:customStyle="1" w:styleId="Imprint">
    <w:name w:val="Imprint"/>
    <w:basedOn w:val="Normal"/>
    <w:rsid w:val="00E50474"/>
    <w:pPr>
      <w:spacing w:after="60" w:line="270" w:lineRule="atLeast"/>
    </w:pPr>
    <w:rPr>
      <w:rFonts w:ascii="Arial" w:eastAsia="Times" w:hAnsi="Arial"/>
    </w:rPr>
  </w:style>
  <w:style w:type="paragraph" w:customStyle="1" w:styleId="Accessibilitypara">
    <w:name w:val="Accessibility para"/>
    <w:basedOn w:val="Normal"/>
    <w:rsid w:val="00E50474"/>
    <w:pPr>
      <w:spacing w:before="240" w:after="200" w:line="300" w:lineRule="atLeast"/>
    </w:pPr>
    <w:rPr>
      <w:rFonts w:ascii="Arial" w:eastAsia="Times" w:hAnsi="Arial"/>
      <w:sz w:val="24"/>
      <w:szCs w:val="19"/>
    </w:rPr>
  </w:style>
  <w:style w:type="paragraph" w:customStyle="1" w:styleId="DHHStablefigurenote">
    <w:name w:val="DHHS table/figure note"/>
    <w:uiPriority w:val="4"/>
    <w:rsid w:val="00E53B36"/>
    <w:pPr>
      <w:spacing w:before="60" w:after="60" w:line="240" w:lineRule="exact"/>
    </w:pPr>
    <w:rPr>
      <w:rFonts w:ascii="Arial" w:hAnsi="Arial"/>
      <w:i/>
      <w:sz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1055">
      <w:bodyDiv w:val="1"/>
      <w:marLeft w:val="0"/>
      <w:marRight w:val="0"/>
      <w:marTop w:val="0"/>
      <w:marBottom w:val="0"/>
      <w:divBdr>
        <w:top w:val="none" w:sz="0" w:space="0" w:color="auto"/>
        <w:left w:val="none" w:sz="0" w:space="0" w:color="auto"/>
        <w:bottom w:val="none" w:sz="0" w:space="0" w:color="auto"/>
        <w:right w:val="none" w:sz="0" w:space="0" w:color="auto"/>
      </w:divBdr>
    </w:div>
    <w:div w:id="25520348">
      <w:bodyDiv w:val="1"/>
      <w:marLeft w:val="0"/>
      <w:marRight w:val="0"/>
      <w:marTop w:val="0"/>
      <w:marBottom w:val="0"/>
      <w:divBdr>
        <w:top w:val="none" w:sz="0" w:space="0" w:color="auto"/>
        <w:left w:val="none" w:sz="0" w:space="0" w:color="auto"/>
        <w:bottom w:val="none" w:sz="0" w:space="0" w:color="auto"/>
        <w:right w:val="none" w:sz="0" w:space="0" w:color="auto"/>
      </w:divBdr>
    </w:div>
    <w:div w:id="28533404">
      <w:bodyDiv w:val="1"/>
      <w:marLeft w:val="0"/>
      <w:marRight w:val="0"/>
      <w:marTop w:val="0"/>
      <w:marBottom w:val="0"/>
      <w:divBdr>
        <w:top w:val="none" w:sz="0" w:space="0" w:color="auto"/>
        <w:left w:val="none" w:sz="0" w:space="0" w:color="auto"/>
        <w:bottom w:val="none" w:sz="0" w:space="0" w:color="auto"/>
        <w:right w:val="none" w:sz="0" w:space="0" w:color="auto"/>
      </w:divBdr>
    </w:div>
    <w:div w:id="44453430">
      <w:bodyDiv w:val="1"/>
      <w:marLeft w:val="0"/>
      <w:marRight w:val="0"/>
      <w:marTop w:val="0"/>
      <w:marBottom w:val="0"/>
      <w:divBdr>
        <w:top w:val="none" w:sz="0" w:space="0" w:color="auto"/>
        <w:left w:val="none" w:sz="0" w:space="0" w:color="auto"/>
        <w:bottom w:val="none" w:sz="0" w:space="0" w:color="auto"/>
        <w:right w:val="none" w:sz="0" w:space="0" w:color="auto"/>
      </w:divBdr>
    </w:div>
    <w:div w:id="46803123">
      <w:bodyDiv w:val="1"/>
      <w:marLeft w:val="0"/>
      <w:marRight w:val="0"/>
      <w:marTop w:val="0"/>
      <w:marBottom w:val="0"/>
      <w:divBdr>
        <w:top w:val="none" w:sz="0" w:space="0" w:color="auto"/>
        <w:left w:val="none" w:sz="0" w:space="0" w:color="auto"/>
        <w:bottom w:val="none" w:sz="0" w:space="0" w:color="auto"/>
        <w:right w:val="none" w:sz="0" w:space="0" w:color="auto"/>
      </w:divBdr>
    </w:div>
    <w:div w:id="55711502">
      <w:bodyDiv w:val="1"/>
      <w:marLeft w:val="0"/>
      <w:marRight w:val="0"/>
      <w:marTop w:val="0"/>
      <w:marBottom w:val="0"/>
      <w:divBdr>
        <w:top w:val="none" w:sz="0" w:space="0" w:color="auto"/>
        <w:left w:val="none" w:sz="0" w:space="0" w:color="auto"/>
        <w:bottom w:val="none" w:sz="0" w:space="0" w:color="auto"/>
        <w:right w:val="none" w:sz="0" w:space="0" w:color="auto"/>
      </w:divBdr>
    </w:div>
    <w:div w:id="65882098">
      <w:bodyDiv w:val="1"/>
      <w:marLeft w:val="0"/>
      <w:marRight w:val="0"/>
      <w:marTop w:val="0"/>
      <w:marBottom w:val="0"/>
      <w:divBdr>
        <w:top w:val="none" w:sz="0" w:space="0" w:color="auto"/>
        <w:left w:val="none" w:sz="0" w:space="0" w:color="auto"/>
        <w:bottom w:val="none" w:sz="0" w:space="0" w:color="auto"/>
        <w:right w:val="none" w:sz="0" w:space="0" w:color="auto"/>
      </w:divBdr>
    </w:div>
    <w:div w:id="94056875">
      <w:bodyDiv w:val="1"/>
      <w:marLeft w:val="0"/>
      <w:marRight w:val="0"/>
      <w:marTop w:val="0"/>
      <w:marBottom w:val="0"/>
      <w:divBdr>
        <w:top w:val="none" w:sz="0" w:space="0" w:color="auto"/>
        <w:left w:val="none" w:sz="0" w:space="0" w:color="auto"/>
        <w:bottom w:val="none" w:sz="0" w:space="0" w:color="auto"/>
        <w:right w:val="none" w:sz="0" w:space="0" w:color="auto"/>
      </w:divBdr>
    </w:div>
    <w:div w:id="112359686">
      <w:bodyDiv w:val="1"/>
      <w:marLeft w:val="0"/>
      <w:marRight w:val="0"/>
      <w:marTop w:val="0"/>
      <w:marBottom w:val="0"/>
      <w:divBdr>
        <w:top w:val="none" w:sz="0" w:space="0" w:color="auto"/>
        <w:left w:val="none" w:sz="0" w:space="0" w:color="auto"/>
        <w:bottom w:val="none" w:sz="0" w:space="0" w:color="auto"/>
        <w:right w:val="none" w:sz="0" w:space="0" w:color="auto"/>
      </w:divBdr>
    </w:div>
    <w:div w:id="141583538">
      <w:bodyDiv w:val="1"/>
      <w:marLeft w:val="0"/>
      <w:marRight w:val="0"/>
      <w:marTop w:val="0"/>
      <w:marBottom w:val="0"/>
      <w:divBdr>
        <w:top w:val="none" w:sz="0" w:space="0" w:color="auto"/>
        <w:left w:val="none" w:sz="0" w:space="0" w:color="auto"/>
        <w:bottom w:val="none" w:sz="0" w:space="0" w:color="auto"/>
        <w:right w:val="none" w:sz="0" w:space="0" w:color="auto"/>
      </w:divBdr>
    </w:div>
    <w:div w:id="151919617">
      <w:bodyDiv w:val="1"/>
      <w:marLeft w:val="0"/>
      <w:marRight w:val="0"/>
      <w:marTop w:val="0"/>
      <w:marBottom w:val="0"/>
      <w:divBdr>
        <w:top w:val="none" w:sz="0" w:space="0" w:color="auto"/>
        <w:left w:val="none" w:sz="0" w:space="0" w:color="auto"/>
        <w:bottom w:val="none" w:sz="0" w:space="0" w:color="auto"/>
        <w:right w:val="none" w:sz="0" w:space="0" w:color="auto"/>
      </w:divBdr>
      <w:divsChild>
        <w:div w:id="1242326133">
          <w:marLeft w:val="0"/>
          <w:marRight w:val="0"/>
          <w:marTop w:val="0"/>
          <w:marBottom w:val="0"/>
          <w:divBdr>
            <w:top w:val="none" w:sz="0" w:space="0" w:color="auto"/>
            <w:left w:val="none" w:sz="0" w:space="0" w:color="auto"/>
            <w:bottom w:val="none" w:sz="0" w:space="0" w:color="auto"/>
            <w:right w:val="none" w:sz="0" w:space="0" w:color="auto"/>
          </w:divBdr>
          <w:divsChild>
            <w:div w:id="562713224">
              <w:marLeft w:val="-225"/>
              <w:marRight w:val="-225"/>
              <w:marTop w:val="0"/>
              <w:marBottom w:val="0"/>
              <w:divBdr>
                <w:top w:val="none" w:sz="0" w:space="0" w:color="auto"/>
                <w:left w:val="none" w:sz="0" w:space="0" w:color="auto"/>
                <w:bottom w:val="none" w:sz="0" w:space="0" w:color="auto"/>
                <w:right w:val="none" w:sz="0" w:space="0" w:color="auto"/>
              </w:divBdr>
              <w:divsChild>
                <w:div w:id="2102676966">
                  <w:marLeft w:val="0"/>
                  <w:marRight w:val="0"/>
                  <w:marTop w:val="0"/>
                  <w:marBottom w:val="0"/>
                  <w:divBdr>
                    <w:top w:val="none" w:sz="0" w:space="0" w:color="auto"/>
                    <w:left w:val="none" w:sz="0" w:space="0" w:color="auto"/>
                    <w:bottom w:val="none" w:sz="0" w:space="0" w:color="auto"/>
                    <w:right w:val="none" w:sz="0" w:space="0" w:color="auto"/>
                  </w:divBdr>
                  <w:divsChild>
                    <w:div w:id="808285475">
                      <w:marLeft w:val="0"/>
                      <w:marRight w:val="0"/>
                      <w:marTop w:val="0"/>
                      <w:marBottom w:val="0"/>
                      <w:divBdr>
                        <w:top w:val="none" w:sz="0" w:space="0" w:color="auto"/>
                        <w:left w:val="none" w:sz="0" w:space="0" w:color="auto"/>
                        <w:bottom w:val="none" w:sz="0" w:space="0" w:color="auto"/>
                        <w:right w:val="none" w:sz="0" w:space="0" w:color="auto"/>
                      </w:divBdr>
                      <w:divsChild>
                        <w:div w:id="829756188">
                          <w:marLeft w:val="0"/>
                          <w:marRight w:val="0"/>
                          <w:marTop w:val="0"/>
                          <w:marBottom w:val="0"/>
                          <w:divBdr>
                            <w:top w:val="none" w:sz="0" w:space="0" w:color="auto"/>
                            <w:left w:val="none" w:sz="0" w:space="0" w:color="auto"/>
                            <w:bottom w:val="none" w:sz="0" w:space="0" w:color="auto"/>
                            <w:right w:val="none" w:sz="0" w:space="0" w:color="auto"/>
                          </w:divBdr>
                          <w:divsChild>
                            <w:div w:id="1454976555">
                              <w:marLeft w:val="0"/>
                              <w:marRight w:val="0"/>
                              <w:marTop w:val="0"/>
                              <w:marBottom w:val="240"/>
                              <w:divBdr>
                                <w:top w:val="none" w:sz="0" w:space="0" w:color="auto"/>
                                <w:left w:val="none" w:sz="0" w:space="0" w:color="auto"/>
                                <w:bottom w:val="none" w:sz="0" w:space="0" w:color="auto"/>
                                <w:right w:val="none" w:sz="0" w:space="0" w:color="auto"/>
                              </w:divBdr>
                              <w:divsChild>
                                <w:div w:id="1041589874">
                                  <w:marLeft w:val="0"/>
                                  <w:marRight w:val="0"/>
                                  <w:marTop w:val="0"/>
                                  <w:marBottom w:val="0"/>
                                  <w:divBdr>
                                    <w:top w:val="none" w:sz="0" w:space="0" w:color="auto"/>
                                    <w:left w:val="none" w:sz="0" w:space="0" w:color="auto"/>
                                    <w:bottom w:val="none" w:sz="0" w:space="0" w:color="auto"/>
                                    <w:right w:val="none" w:sz="0" w:space="0" w:color="auto"/>
                                  </w:divBdr>
                                  <w:divsChild>
                                    <w:div w:id="450365025">
                                      <w:marLeft w:val="0"/>
                                      <w:marRight w:val="0"/>
                                      <w:marTop w:val="0"/>
                                      <w:marBottom w:val="0"/>
                                      <w:divBdr>
                                        <w:top w:val="none" w:sz="0" w:space="0" w:color="auto"/>
                                        <w:left w:val="none" w:sz="0" w:space="0" w:color="auto"/>
                                        <w:bottom w:val="none" w:sz="0" w:space="0" w:color="auto"/>
                                        <w:right w:val="none" w:sz="0" w:space="0" w:color="auto"/>
                                      </w:divBdr>
                                      <w:divsChild>
                                        <w:div w:id="151221093">
                                          <w:marLeft w:val="0"/>
                                          <w:marRight w:val="0"/>
                                          <w:marTop w:val="0"/>
                                          <w:marBottom w:val="0"/>
                                          <w:divBdr>
                                            <w:top w:val="none" w:sz="0" w:space="0" w:color="auto"/>
                                            <w:left w:val="none" w:sz="0" w:space="0" w:color="auto"/>
                                            <w:bottom w:val="none" w:sz="0" w:space="0" w:color="auto"/>
                                            <w:right w:val="none" w:sz="0" w:space="0" w:color="auto"/>
                                          </w:divBdr>
                                          <w:divsChild>
                                            <w:div w:id="712002689">
                                              <w:marLeft w:val="0"/>
                                              <w:marRight w:val="0"/>
                                              <w:marTop w:val="0"/>
                                              <w:marBottom w:val="0"/>
                                              <w:divBdr>
                                                <w:top w:val="none" w:sz="0" w:space="0" w:color="auto"/>
                                                <w:left w:val="none" w:sz="0" w:space="0" w:color="auto"/>
                                                <w:bottom w:val="none" w:sz="0" w:space="0" w:color="auto"/>
                                                <w:right w:val="none" w:sz="0" w:space="0" w:color="auto"/>
                                              </w:divBdr>
                                              <w:divsChild>
                                                <w:div w:id="419717154">
                                                  <w:marLeft w:val="0"/>
                                                  <w:marRight w:val="0"/>
                                                  <w:marTop w:val="0"/>
                                                  <w:marBottom w:val="0"/>
                                                  <w:divBdr>
                                                    <w:top w:val="none" w:sz="0" w:space="0" w:color="auto"/>
                                                    <w:left w:val="none" w:sz="0" w:space="0" w:color="auto"/>
                                                    <w:bottom w:val="none" w:sz="0" w:space="0" w:color="auto"/>
                                                    <w:right w:val="none" w:sz="0" w:space="0" w:color="auto"/>
                                                  </w:divBdr>
                                                  <w:divsChild>
                                                    <w:div w:id="2084639436">
                                                      <w:marLeft w:val="0"/>
                                                      <w:marRight w:val="0"/>
                                                      <w:marTop w:val="0"/>
                                                      <w:marBottom w:val="0"/>
                                                      <w:divBdr>
                                                        <w:top w:val="none" w:sz="0" w:space="0" w:color="auto"/>
                                                        <w:left w:val="none" w:sz="0" w:space="0" w:color="auto"/>
                                                        <w:bottom w:val="none" w:sz="0" w:space="0" w:color="auto"/>
                                                        <w:right w:val="none" w:sz="0" w:space="0" w:color="auto"/>
                                                      </w:divBdr>
                                                      <w:divsChild>
                                                        <w:div w:id="2126339112">
                                                          <w:marLeft w:val="0"/>
                                                          <w:marRight w:val="0"/>
                                                          <w:marTop w:val="0"/>
                                                          <w:marBottom w:val="0"/>
                                                          <w:divBdr>
                                                            <w:top w:val="none" w:sz="0" w:space="0" w:color="auto"/>
                                                            <w:left w:val="none" w:sz="0" w:space="0" w:color="auto"/>
                                                            <w:bottom w:val="none" w:sz="0" w:space="0" w:color="auto"/>
                                                            <w:right w:val="none" w:sz="0" w:space="0" w:color="auto"/>
                                                          </w:divBdr>
                                                          <w:divsChild>
                                                            <w:div w:id="1365204945">
                                                              <w:marLeft w:val="0"/>
                                                              <w:marRight w:val="0"/>
                                                              <w:marTop w:val="0"/>
                                                              <w:marBottom w:val="0"/>
                                                              <w:divBdr>
                                                                <w:top w:val="none" w:sz="0" w:space="0" w:color="auto"/>
                                                                <w:left w:val="none" w:sz="0" w:space="0" w:color="auto"/>
                                                                <w:bottom w:val="none" w:sz="0" w:space="0" w:color="auto"/>
                                                                <w:right w:val="none" w:sz="0" w:space="0" w:color="auto"/>
                                                              </w:divBdr>
                                                              <w:divsChild>
                                                                <w:div w:id="784884428">
                                                                  <w:marLeft w:val="0"/>
                                                                  <w:marRight w:val="0"/>
                                                                  <w:marTop w:val="0"/>
                                                                  <w:marBottom w:val="0"/>
                                                                  <w:divBdr>
                                                                    <w:top w:val="none" w:sz="0" w:space="0" w:color="auto"/>
                                                                    <w:left w:val="none" w:sz="0" w:space="0" w:color="auto"/>
                                                                    <w:bottom w:val="none" w:sz="0" w:space="0" w:color="auto"/>
                                                                    <w:right w:val="none" w:sz="0" w:space="0" w:color="auto"/>
                                                                  </w:divBdr>
                                                                  <w:divsChild>
                                                                    <w:div w:id="1862082323">
                                                                      <w:marLeft w:val="0"/>
                                                                      <w:marRight w:val="0"/>
                                                                      <w:marTop w:val="0"/>
                                                                      <w:marBottom w:val="0"/>
                                                                      <w:divBdr>
                                                                        <w:top w:val="none" w:sz="0" w:space="0" w:color="auto"/>
                                                                        <w:left w:val="none" w:sz="0" w:space="0" w:color="auto"/>
                                                                        <w:bottom w:val="none" w:sz="0" w:space="0" w:color="auto"/>
                                                                        <w:right w:val="none" w:sz="0" w:space="0" w:color="auto"/>
                                                                      </w:divBdr>
                                                                      <w:divsChild>
                                                                        <w:div w:id="1829207655">
                                                                          <w:marLeft w:val="0"/>
                                                                          <w:marRight w:val="0"/>
                                                                          <w:marTop w:val="0"/>
                                                                          <w:marBottom w:val="0"/>
                                                                          <w:divBdr>
                                                                            <w:top w:val="none" w:sz="0" w:space="0" w:color="auto"/>
                                                                            <w:left w:val="none" w:sz="0" w:space="0" w:color="auto"/>
                                                                            <w:bottom w:val="none" w:sz="0" w:space="0" w:color="auto"/>
                                                                            <w:right w:val="none" w:sz="0" w:space="0" w:color="auto"/>
                                                                          </w:divBdr>
                                                                          <w:divsChild>
                                                                            <w:div w:id="1628514223">
                                                                              <w:marLeft w:val="0"/>
                                                                              <w:marRight w:val="0"/>
                                                                              <w:marTop w:val="0"/>
                                                                              <w:marBottom w:val="0"/>
                                                                              <w:divBdr>
                                                                                <w:top w:val="none" w:sz="0" w:space="0" w:color="auto"/>
                                                                                <w:left w:val="none" w:sz="0" w:space="0" w:color="auto"/>
                                                                                <w:bottom w:val="none" w:sz="0" w:space="0" w:color="auto"/>
                                                                                <w:right w:val="none" w:sz="0" w:space="0" w:color="auto"/>
                                                                              </w:divBdr>
                                                                              <w:divsChild>
                                                                                <w:div w:id="1472207846">
                                                                                  <w:marLeft w:val="0"/>
                                                                                  <w:marRight w:val="0"/>
                                                                                  <w:marTop w:val="0"/>
                                                                                  <w:marBottom w:val="0"/>
                                                                                  <w:divBdr>
                                                                                    <w:top w:val="none" w:sz="0" w:space="0" w:color="auto"/>
                                                                                    <w:left w:val="none" w:sz="0" w:space="0" w:color="auto"/>
                                                                                    <w:bottom w:val="none" w:sz="0" w:space="0" w:color="auto"/>
                                                                                    <w:right w:val="none" w:sz="0" w:space="0" w:color="auto"/>
                                                                                  </w:divBdr>
                                                                                  <w:divsChild>
                                                                                    <w:div w:id="1844471827">
                                                                                      <w:marLeft w:val="0"/>
                                                                                      <w:marRight w:val="0"/>
                                                                                      <w:marTop w:val="0"/>
                                                                                      <w:marBottom w:val="0"/>
                                                                                      <w:divBdr>
                                                                                        <w:top w:val="none" w:sz="0" w:space="0" w:color="auto"/>
                                                                                        <w:left w:val="none" w:sz="0" w:space="0" w:color="auto"/>
                                                                                        <w:bottom w:val="none" w:sz="0" w:space="0" w:color="auto"/>
                                                                                        <w:right w:val="none" w:sz="0" w:space="0" w:color="auto"/>
                                                                                      </w:divBdr>
                                                                                      <w:divsChild>
                                                                                        <w:div w:id="1844785679">
                                                                                          <w:marLeft w:val="0"/>
                                                                                          <w:marRight w:val="0"/>
                                                                                          <w:marTop w:val="0"/>
                                                                                          <w:marBottom w:val="0"/>
                                                                                          <w:divBdr>
                                                                                            <w:top w:val="single" w:sz="6" w:space="15" w:color="EBEBEB"/>
                                                                                            <w:left w:val="single" w:sz="6" w:space="15" w:color="EBEBEB"/>
                                                                                            <w:bottom w:val="single" w:sz="6" w:space="15" w:color="EBEBEB"/>
                                                                                            <w:right w:val="single" w:sz="6" w:space="15" w:color="EBEBEB"/>
                                                                                          </w:divBdr>
                                                                                          <w:divsChild>
                                                                                            <w:div w:id="432015804">
                                                                                              <w:marLeft w:val="0"/>
                                                                                              <w:marRight w:val="0"/>
                                                                                              <w:marTop w:val="0"/>
                                                                                              <w:marBottom w:val="0"/>
                                                                                              <w:divBdr>
                                                                                                <w:top w:val="none" w:sz="0" w:space="0" w:color="auto"/>
                                                                                                <w:left w:val="none" w:sz="0" w:space="0" w:color="auto"/>
                                                                                                <w:bottom w:val="none" w:sz="0" w:space="0" w:color="auto"/>
                                                                                                <w:right w:val="none" w:sz="0" w:space="0" w:color="auto"/>
                                                                                              </w:divBdr>
                                                                                              <w:divsChild>
                                                                                                <w:div w:id="1529952488">
                                                                                                  <w:marLeft w:val="0"/>
                                                                                                  <w:marRight w:val="0"/>
                                                                                                  <w:marTop w:val="0"/>
                                                                                                  <w:marBottom w:val="0"/>
                                                                                                  <w:divBdr>
                                                                                                    <w:top w:val="none" w:sz="0" w:space="0" w:color="auto"/>
                                                                                                    <w:left w:val="none" w:sz="0" w:space="0" w:color="auto"/>
                                                                                                    <w:bottom w:val="none" w:sz="0" w:space="0" w:color="auto"/>
                                                                                                    <w:right w:val="none" w:sz="0" w:space="0" w:color="auto"/>
                                                                                                  </w:divBdr>
                                                                                                </w:div>
                                                                                                <w:div w:id="1921328992">
                                                                                                  <w:marLeft w:val="0"/>
                                                                                                  <w:marRight w:val="0"/>
                                                                                                  <w:marTop w:val="0"/>
                                                                                                  <w:marBottom w:val="0"/>
                                                                                                  <w:divBdr>
                                                                                                    <w:top w:val="none" w:sz="0" w:space="0" w:color="auto"/>
                                                                                                    <w:left w:val="none" w:sz="0" w:space="0" w:color="auto"/>
                                                                                                    <w:bottom w:val="none" w:sz="0" w:space="0" w:color="auto"/>
                                                                                                    <w:right w:val="none" w:sz="0" w:space="0" w:color="auto"/>
                                                                                                  </w:divBdr>
                                                                                                  <w:divsChild>
                                                                                                    <w:div w:id="110017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7619276">
      <w:bodyDiv w:val="1"/>
      <w:marLeft w:val="0"/>
      <w:marRight w:val="0"/>
      <w:marTop w:val="0"/>
      <w:marBottom w:val="0"/>
      <w:divBdr>
        <w:top w:val="none" w:sz="0" w:space="0" w:color="auto"/>
        <w:left w:val="none" w:sz="0" w:space="0" w:color="auto"/>
        <w:bottom w:val="none" w:sz="0" w:space="0" w:color="auto"/>
        <w:right w:val="none" w:sz="0" w:space="0" w:color="auto"/>
      </w:divBdr>
    </w:div>
    <w:div w:id="170797921">
      <w:bodyDiv w:val="1"/>
      <w:marLeft w:val="0"/>
      <w:marRight w:val="0"/>
      <w:marTop w:val="0"/>
      <w:marBottom w:val="0"/>
      <w:divBdr>
        <w:top w:val="none" w:sz="0" w:space="0" w:color="auto"/>
        <w:left w:val="none" w:sz="0" w:space="0" w:color="auto"/>
        <w:bottom w:val="none" w:sz="0" w:space="0" w:color="auto"/>
        <w:right w:val="none" w:sz="0" w:space="0" w:color="auto"/>
      </w:divBdr>
      <w:divsChild>
        <w:div w:id="2044473534">
          <w:marLeft w:val="0"/>
          <w:marRight w:val="0"/>
          <w:marTop w:val="0"/>
          <w:marBottom w:val="0"/>
          <w:divBdr>
            <w:top w:val="none" w:sz="0" w:space="0" w:color="auto"/>
            <w:left w:val="none" w:sz="0" w:space="0" w:color="auto"/>
            <w:bottom w:val="none" w:sz="0" w:space="0" w:color="auto"/>
            <w:right w:val="none" w:sz="0" w:space="0" w:color="auto"/>
          </w:divBdr>
          <w:divsChild>
            <w:div w:id="845290474">
              <w:marLeft w:val="-225"/>
              <w:marRight w:val="-225"/>
              <w:marTop w:val="0"/>
              <w:marBottom w:val="0"/>
              <w:divBdr>
                <w:top w:val="none" w:sz="0" w:space="0" w:color="auto"/>
                <w:left w:val="none" w:sz="0" w:space="0" w:color="auto"/>
                <w:bottom w:val="none" w:sz="0" w:space="0" w:color="auto"/>
                <w:right w:val="none" w:sz="0" w:space="0" w:color="auto"/>
              </w:divBdr>
              <w:divsChild>
                <w:div w:id="1127043563">
                  <w:marLeft w:val="0"/>
                  <w:marRight w:val="0"/>
                  <w:marTop w:val="0"/>
                  <w:marBottom w:val="0"/>
                  <w:divBdr>
                    <w:top w:val="none" w:sz="0" w:space="0" w:color="auto"/>
                    <w:left w:val="none" w:sz="0" w:space="0" w:color="auto"/>
                    <w:bottom w:val="none" w:sz="0" w:space="0" w:color="auto"/>
                    <w:right w:val="none" w:sz="0" w:space="0" w:color="auto"/>
                  </w:divBdr>
                  <w:divsChild>
                    <w:div w:id="102236712">
                      <w:marLeft w:val="0"/>
                      <w:marRight w:val="0"/>
                      <w:marTop w:val="0"/>
                      <w:marBottom w:val="0"/>
                      <w:divBdr>
                        <w:top w:val="none" w:sz="0" w:space="0" w:color="auto"/>
                        <w:left w:val="none" w:sz="0" w:space="0" w:color="auto"/>
                        <w:bottom w:val="none" w:sz="0" w:space="0" w:color="auto"/>
                        <w:right w:val="none" w:sz="0" w:space="0" w:color="auto"/>
                      </w:divBdr>
                      <w:divsChild>
                        <w:div w:id="1299334469">
                          <w:marLeft w:val="0"/>
                          <w:marRight w:val="0"/>
                          <w:marTop w:val="0"/>
                          <w:marBottom w:val="0"/>
                          <w:divBdr>
                            <w:top w:val="none" w:sz="0" w:space="0" w:color="auto"/>
                            <w:left w:val="none" w:sz="0" w:space="0" w:color="auto"/>
                            <w:bottom w:val="none" w:sz="0" w:space="0" w:color="auto"/>
                            <w:right w:val="none" w:sz="0" w:space="0" w:color="auto"/>
                          </w:divBdr>
                          <w:divsChild>
                            <w:div w:id="1368531415">
                              <w:marLeft w:val="0"/>
                              <w:marRight w:val="0"/>
                              <w:marTop w:val="0"/>
                              <w:marBottom w:val="240"/>
                              <w:divBdr>
                                <w:top w:val="none" w:sz="0" w:space="0" w:color="auto"/>
                                <w:left w:val="none" w:sz="0" w:space="0" w:color="auto"/>
                                <w:bottom w:val="none" w:sz="0" w:space="0" w:color="auto"/>
                                <w:right w:val="none" w:sz="0" w:space="0" w:color="auto"/>
                              </w:divBdr>
                              <w:divsChild>
                                <w:div w:id="1766656743">
                                  <w:marLeft w:val="0"/>
                                  <w:marRight w:val="0"/>
                                  <w:marTop w:val="0"/>
                                  <w:marBottom w:val="0"/>
                                  <w:divBdr>
                                    <w:top w:val="none" w:sz="0" w:space="0" w:color="auto"/>
                                    <w:left w:val="none" w:sz="0" w:space="0" w:color="auto"/>
                                    <w:bottom w:val="none" w:sz="0" w:space="0" w:color="auto"/>
                                    <w:right w:val="none" w:sz="0" w:space="0" w:color="auto"/>
                                  </w:divBdr>
                                  <w:divsChild>
                                    <w:div w:id="225339695">
                                      <w:marLeft w:val="0"/>
                                      <w:marRight w:val="0"/>
                                      <w:marTop w:val="0"/>
                                      <w:marBottom w:val="0"/>
                                      <w:divBdr>
                                        <w:top w:val="none" w:sz="0" w:space="0" w:color="auto"/>
                                        <w:left w:val="none" w:sz="0" w:space="0" w:color="auto"/>
                                        <w:bottom w:val="none" w:sz="0" w:space="0" w:color="auto"/>
                                        <w:right w:val="none" w:sz="0" w:space="0" w:color="auto"/>
                                      </w:divBdr>
                                      <w:divsChild>
                                        <w:div w:id="798496016">
                                          <w:marLeft w:val="0"/>
                                          <w:marRight w:val="0"/>
                                          <w:marTop w:val="0"/>
                                          <w:marBottom w:val="0"/>
                                          <w:divBdr>
                                            <w:top w:val="none" w:sz="0" w:space="0" w:color="auto"/>
                                            <w:left w:val="none" w:sz="0" w:space="0" w:color="auto"/>
                                            <w:bottom w:val="none" w:sz="0" w:space="0" w:color="auto"/>
                                            <w:right w:val="none" w:sz="0" w:space="0" w:color="auto"/>
                                          </w:divBdr>
                                          <w:divsChild>
                                            <w:div w:id="1315643882">
                                              <w:marLeft w:val="0"/>
                                              <w:marRight w:val="0"/>
                                              <w:marTop w:val="0"/>
                                              <w:marBottom w:val="0"/>
                                              <w:divBdr>
                                                <w:top w:val="none" w:sz="0" w:space="0" w:color="auto"/>
                                                <w:left w:val="none" w:sz="0" w:space="0" w:color="auto"/>
                                                <w:bottom w:val="none" w:sz="0" w:space="0" w:color="auto"/>
                                                <w:right w:val="none" w:sz="0" w:space="0" w:color="auto"/>
                                              </w:divBdr>
                                              <w:divsChild>
                                                <w:div w:id="1300723085">
                                                  <w:marLeft w:val="0"/>
                                                  <w:marRight w:val="0"/>
                                                  <w:marTop w:val="0"/>
                                                  <w:marBottom w:val="0"/>
                                                  <w:divBdr>
                                                    <w:top w:val="none" w:sz="0" w:space="0" w:color="auto"/>
                                                    <w:left w:val="none" w:sz="0" w:space="0" w:color="auto"/>
                                                    <w:bottom w:val="none" w:sz="0" w:space="0" w:color="auto"/>
                                                    <w:right w:val="none" w:sz="0" w:space="0" w:color="auto"/>
                                                  </w:divBdr>
                                                  <w:divsChild>
                                                    <w:div w:id="1187405406">
                                                      <w:marLeft w:val="0"/>
                                                      <w:marRight w:val="0"/>
                                                      <w:marTop w:val="0"/>
                                                      <w:marBottom w:val="0"/>
                                                      <w:divBdr>
                                                        <w:top w:val="none" w:sz="0" w:space="0" w:color="auto"/>
                                                        <w:left w:val="none" w:sz="0" w:space="0" w:color="auto"/>
                                                        <w:bottom w:val="none" w:sz="0" w:space="0" w:color="auto"/>
                                                        <w:right w:val="none" w:sz="0" w:space="0" w:color="auto"/>
                                                      </w:divBdr>
                                                      <w:divsChild>
                                                        <w:div w:id="146827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7499656">
      <w:bodyDiv w:val="1"/>
      <w:marLeft w:val="0"/>
      <w:marRight w:val="0"/>
      <w:marTop w:val="0"/>
      <w:marBottom w:val="0"/>
      <w:divBdr>
        <w:top w:val="none" w:sz="0" w:space="0" w:color="auto"/>
        <w:left w:val="none" w:sz="0" w:space="0" w:color="auto"/>
        <w:bottom w:val="none" w:sz="0" w:space="0" w:color="auto"/>
        <w:right w:val="none" w:sz="0" w:space="0" w:color="auto"/>
      </w:divBdr>
    </w:div>
    <w:div w:id="186339035">
      <w:bodyDiv w:val="1"/>
      <w:marLeft w:val="0"/>
      <w:marRight w:val="0"/>
      <w:marTop w:val="0"/>
      <w:marBottom w:val="0"/>
      <w:divBdr>
        <w:top w:val="none" w:sz="0" w:space="0" w:color="auto"/>
        <w:left w:val="none" w:sz="0" w:space="0" w:color="auto"/>
        <w:bottom w:val="none" w:sz="0" w:space="0" w:color="auto"/>
        <w:right w:val="none" w:sz="0" w:space="0" w:color="auto"/>
      </w:divBdr>
    </w:div>
    <w:div w:id="187719587">
      <w:bodyDiv w:val="1"/>
      <w:marLeft w:val="0"/>
      <w:marRight w:val="0"/>
      <w:marTop w:val="0"/>
      <w:marBottom w:val="0"/>
      <w:divBdr>
        <w:top w:val="none" w:sz="0" w:space="0" w:color="auto"/>
        <w:left w:val="none" w:sz="0" w:space="0" w:color="auto"/>
        <w:bottom w:val="none" w:sz="0" w:space="0" w:color="auto"/>
        <w:right w:val="none" w:sz="0" w:space="0" w:color="auto"/>
      </w:divBdr>
    </w:div>
    <w:div w:id="200367608">
      <w:bodyDiv w:val="1"/>
      <w:marLeft w:val="0"/>
      <w:marRight w:val="0"/>
      <w:marTop w:val="0"/>
      <w:marBottom w:val="0"/>
      <w:divBdr>
        <w:top w:val="none" w:sz="0" w:space="0" w:color="auto"/>
        <w:left w:val="none" w:sz="0" w:space="0" w:color="auto"/>
        <w:bottom w:val="none" w:sz="0" w:space="0" w:color="auto"/>
        <w:right w:val="none" w:sz="0" w:space="0" w:color="auto"/>
      </w:divBdr>
    </w:div>
    <w:div w:id="228006418">
      <w:bodyDiv w:val="1"/>
      <w:marLeft w:val="0"/>
      <w:marRight w:val="0"/>
      <w:marTop w:val="0"/>
      <w:marBottom w:val="0"/>
      <w:divBdr>
        <w:top w:val="none" w:sz="0" w:space="0" w:color="auto"/>
        <w:left w:val="none" w:sz="0" w:space="0" w:color="auto"/>
        <w:bottom w:val="none" w:sz="0" w:space="0" w:color="auto"/>
        <w:right w:val="none" w:sz="0" w:space="0" w:color="auto"/>
      </w:divBdr>
    </w:div>
    <w:div w:id="228077508">
      <w:bodyDiv w:val="1"/>
      <w:marLeft w:val="0"/>
      <w:marRight w:val="0"/>
      <w:marTop w:val="0"/>
      <w:marBottom w:val="0"/>
      <w:divBdr>
        <w:top w:val="none" w:sz="0" w:space="0" w:color="auto"/>
        <w:left w:val="none" w:sz="0" w:space="0" w:color="auto"/>
        <w:bottom w:val="none" w:sz="0" w:space="0" w:color="auto"/>
        <w:right w:val="none" w:sz="0" w:space="0" w:color="auto"/>
      </w:divBdr>
    </w:div>
    <w:div w:id="234363049">
      <w:bodyDiv w:val="1"/>
      <w:marLeft w:val="0"/>
      <w:marRight w:val="0"/>
      <w:marTop w:val="0"/>
      <w:marBottom w:val="0"/>
      <w:divBdr>
        <w:top w:val="none" w:sz="0" w:space="0" w:color="auto"/>
        <w:left w:val="none" w:sz="0" w:space="0" w:color="auto"/>
        <w:bottom w:val="none" w:sz="0" w:space="0" w:color="auto"/>
        <w:right w:val="none" w:sz="0" w:space="0" w:color="auto"/>
      </w:divBdr>
    </w:div>
    <w:div w:id="238953588">
      <w:bodyDiv w:val="1"/>
      <w:marLeft w:val="0"/>
      <w:marRight w:val="0"/>
      <w:marTop w:val="0"/>
      <w:marBottom w:val="0"/>
      <w:divBdr>
        <w:top w:val="none" w:sz="0" w:space="0" w:color="auto"/>
        <w:left w:val="none" w:sz="0" w:space="0" w:color="auto"/>
        <w:bottom w:val="none" w:sz="0" w:space="0" w:color="auto"/>
        <w:right w:val="none" w:sz="0" w:space="0" w:color="auto"/>
      </w:divBdr>
    </w:div>
    <w:div w:id="266238490">
      <w:bodyDiv w:val="1"/>
      <w:marLeft w:val="0"/>
      <w:marRight w:val="0"/>
      <w:marTop w:val="0"/>
      <w:marBottom w:val="0"/>
      <w:divBdr>
        <w:top w:val="none" w:sz="0" w:space="0" w:color="auto"/>
        <w:left w:val="none" w:sz="0" w:space="0" w:color="auto"/>
        <w:bottom w:val="none" w:sz="0" w:space="0" w:color="auto"/>
        <w:right w:val="none" w:sz="0" w:space="0" w:color="auto"/>
      </w:divBdr>
    </w:div>
    <w:div w:id="272440907">
      <w:bodyDiv w:val="1"/>
      <w:marLeft w:val="0"/>
      <w:marRight w:val="0"/>
      <w:marTop w:val="0"/>
      <w:marBottom w:val="0"/>
      <w:divBdr>
        <w:top w:val="none" w:sz="0" w:space="0" w:color="auto"/>
        <w:left w:val="none" w:sz="0" w:space="0" w:color="auto"/>
        <w:bottom w:val="none" w:sz="0" w:space="0" w:color="auto"/>
        <w:right w:val="none" w:sz="0" w:space="0" w:color="auto"/>
      </w:divBdr>
    </w:div>
    <w:div w:id="289168893">
      <w:bodyDiv w:val="1"/>
      <w:marLeft w:val="0"/>
      <w:marRight w:val="0"/>
      <w:marTop w:val="0"/>
      <w:marBottom w:val="0"/>
      <w:divBdr>
        <w:top w:val="none" w:sz="0" w:space="0" w:color="auto"/>
        <w:left w:val="none" w:sz="0" w:space="0" w:color="auto"/>
        <w:bottom w:val="none" w:sz="0" w:space="0" w:color="auto"/>
        <w:right w:val="none" w:sz="0" w:space="0" w:color="auto"/>
      </w:divBdr>
    </w:div>
    <w:div w:id="293221730">
      <w:bodyDiv w:val="1"/>
      <w:marLeft w:val="0"/>
      <w:marRight w:val="0"/>
      <w:marTop w:val="0"/>
      <w:marBottom w:val="0"/>
      <w:divBdr>
        <w:top w:val="none" w:sz="0" w:space="0" w:color="auto"/>
        <w:left w:val="none" w:sz="0" w:space="0" w:color="auto"/>
        <w:bottom w:val="none" w:sz="0" w:space="0" w:color="auto"/>
        <w:right w:val="none" w:sz="0" w:space="0" w:color="auto"/>
      </w:divBdr>
    </w:div>
    <w:div w:id="296303291">
      <w:bodyDiv w:val="1"/>
      <w:marLeft w:val="0"/>
      <w:marRight w:val="0"/>
      <w:marTop w:val="0"/>
      <w:marBottom w:val="0"/>
      <w:divBdr>
        <w:top w:val="none" w:sz="0" w:space="0" w:color="auto"/>
        <w:left w:val="none" w:sz="0" w:space="0" w:color="auto"/>
        <w:bottom w:val="none" w:sz="0" w:space="0" w:color="auto"/>
        <w:right w:val="none" w:sz="0" w:space="0" w:color="auto"/>
      </w:divBdr>
    </w:div>
    <w:div w:id="332995918">
      <w:bodyDiv w:val="1"/>
      <w:marLeft w:val="0"/>
      <w:marRight w:val="0"/>
      <w:marTop w:val="0"/>
      <w:marBottom w:val="0"/>
      <w:divBdr>
        <w:top w:val="none" w:sz="0" w:space="0" w:color="auto"/>
        <w:left w:val="none" w:sz="0" w:space="0" w:color="auto"/>
        <w:bottom w:val="none" w:sz="0" w:space="0" w:color="auto"/>
        <w:right w:val="none" w:sz="0" w:space="0" w:color="auto"/>
      </w:divBdr>
    </w:div>
    <w:div w:id="335111853">
      <w:bodyDiv w:val="1"/>
      <w:marLeft w:val="0"/>
      <w:marRight w:val="0"/>
      <w:marTop w:val="0"/>
      <w:marBottom w:val="0"/>
      <w:divBdr>
        <w:top w:val="none" w:sz="0" w:space="0" w:color="auto"/>
        <w:left w:val="none" w:sz="0" w:space="0" w:color="auto"/>
        <w:bottom w:val="none" w:sz="0" w:space="0" w:color="auto"/>
        <w:right w:val="none" w:sz="0" w:space="0" w:color="auto"/>
      </w:divBdr>
      <w:divsChild>
        <w:div w:id="939026076">
          <w:marLeft w:val="0"/>
          <w:marRight w:val="0"/>
          <w:marTop w:val="0"/>
          <w:marBottom w:val="0"/>
          <w:divBdr>
            <w:top w:val="none" w:sz="0" w:space="0" w:color="auto"/>
            <w:left w:val="none" w:sz="0" w:space="0" w:color="auto"/>
            <w:bottom w:val="none" w:sz="0" w:space="0" w:color="auto"/>
            <w:right w:val="none" w:sz="0" w:space="0" w:color="auto"/>
          </w:divBdr>
          <w:divsChild>
            <w:div w:id="1016923491">
              <w:marLeft w:val="0"/>
              <w:marRight w:val="0"/>
              <w:marTop w:val="0"/>
              <w:marBottom w:val="0"/>
              <w:divBdr>
                <w:top w:val="none" w:sz="0" w:space="0" w:color="auto"/>
                <w:left w:val="none" w:sz="0" w:space="0" w:color="auto"/>
                <w:bottom w:val="none" w:sz="0" w:space="0" w:color="auto"/>
                <w:right w:val="none" w:sz="0" w:space="0" w:color="auto"/>
              </w:divBdr>
              <w:divsChild>
                <w:div w:id="898594676">
                  <w:marLeft w:val="0"/>
                  <w:marRight w:val="0"/>
                  <w:marTop w:val="300"/>
                  <w:marBottom w:val="0"/>
                  <w:divBdr>
                    <w:top w:val="none" w:sz="0" w:space="0" w:color="auto"/>
                    <w:left w:val="none" w:sz="0" w:space="0" w:color="auto"/>
                    <w:bottom w:val="none" w:sz="0" w:space="0" w:color="auto"/>
                    <w:right w:val="none" w:sz="0" w:space="0" w:color="auto"/>
                  </w:divBdr>
                  <w:divsChild>
                    <w:div w:id="825440144">
                      <w:marLeft w:val="0"/>
                      <w:marRight w:val="0"/>
                      <w:marTop w:val="0"/>
                      <w:marBottom w:val="0"/>
                      <w:divBdr>
                        <w:top w:val="none" w:sz="0" w:space="0" w:color="auto"/>
                        <w:left w:val="none" w:sz="0" w:space="0" w:color="auto"/>
                        <w:bottom w:val="none" w:sz="0" w:space="0" w:color="auto"/>
                        <w:right w:val="none" w:sz="0" w:space="0" w:color="auto"/>
                      </w:divBdr>
                      <w:divsChild>
                        <w:div w:id="68452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263657">
      <w:bodyDiv w:val="1"/>
      <w:marLeft w:val="0"/>
      <w:marRight w:val="0"/>
      <w:marTop w:val="0"/>
      <w:marBottom w:val="0"/>
      <w:divBdr>
        <w:top w:val="none" w:sz="0" w:space="0" w:color="auto"/>
        <w:left w:val="none" w:sz="0" w:space="0" w:color="auto"/>
        <w:bottom w:val="none" w:sz="0" w:space="0" w:color="auto"/>
        <w:right w:val="none" w:sz="0" w:space="0" w:color="auto"/>
      </w:divBdr>
    </w:div>
    <w:div w:id="352191370">
      <w:bodyDiv w:val="1"/>
      <w:marLeft w:val="0"/>
      <w:marRight w:val="0"/>
      <w:marTop w:val="0"/>
      <w:marBottom w:val="0"/>
      <w:divBdr>
        <w:top w:val="none" w:sz="0" w:space="0" w:color="auto"/>
        <w:left w:val="none" w:sz="0" w:space="0" w:color="auto"/>
        <w:bottom w:val="none" w:sz="0" w:space="0" w:color="auto"/>
        <w:right w:val="none" w:sz="0" w:space="0" w:color="auto"/>
      </w:divBdr>
    </w:div>
    <w:div w:id="352267885">
      <w:bodyDiv w:val="1"/>
      <w:marLeft w:val="0"/>
      <w:marRight w:val="0"/>
      <w:marTop w:val="0"/>
      <w:marBottom w:val="0"/>
      <w:divBdr>
        <w:top w:val="none" w:sz="0" w:space="0" w:color="auto"/>
        <w:left w:val="none" w:sz="0" w:space="0" w:color="auto"/>
        <w:bottom w:val="none" w:sz="0" w:space="0" w:color="auto"/>
        <w:right w:val="none" w:sz="0" w:space="0" w:color="auto"/>
      </w:divBdr>
    </w:div>
    <w:div w:id="378016614">
      <w:bodyDiv w:val="1"/>
      <w:marLeft w:val="0"/>
      <w:marRight w:val="0"/>
      <w:marTop w:val="0"/>
      <w:marBottom w:val="0"/>
      <w:divBdr>
        <w:top w:val="none" w:sz="0" w:space="0" w:color="auto"/>
        <w:left w:val="none" w:sz="0" w:space="0" w:color="auto"/>
        <w:bottom w:val="none" w:sz="0" w:space="0" w:color="auto"/>
        <w:right w:val="none" w:sz="0" w:space="0" w:color="auto"/>
      </w:divBdr>
    </w:div>
    <w:div w:id="415176234">
      <w:bodyDiv w:val="1"/>
      <w:marLeft w:val="0"/>
      <w:marRight w:val="0"/>
      <w:marTop w:val="0"/>
      <w:marBottom w:val="0"/>
      <w:divBdr>
        <w:top w:val="none" w:sz="0" w:space="0" w:color="auto"/>
        <w:left w:val="none" w:sz="0" w:space="0" w:color="auto"/>
        <w:bottom w:val="none" w:sz="0" w:space="0" w:color="auto"/>
        <w:right w:val="none" w:sz="0" w:space="0" w:color="auto"/>
      </w:divBdr>
    </w:div>
    <w:div w:id="430518272">
      <w:bodyDiv w:val="1"/>
      <w:marLeft w:val="0"/>
      <w:marRight w:val="0"/>
      <w:marTop w:val="0"/>
      <w:marBottom w:val="0"/>
      <w:divBdr>
        <w:top w:val="none" w:sz="0" w:space="0" w:color="auto"/>
        <w:left w:val="none" w:sz="0" w:space="0" w:color="auto"/>
        <w:bottom w:val="none" w:sz="0" w:space="0" w:color="auto"/>
        <w:right w:val="none" w:sz="0" w:space="0" w:color="auto"/>
      </w:divBdr>
    </w:div>
    <w:div w:id="448816446">
      <w:bodyDiv w:val="1"/>
      <w:marLeft w:val="0"/>
      <w:marRight w:val="0"/>
      <w:marTop w:val="0"/>
      <w:marBottom w:val="0"/>
      <w:divBdr>
        <w:top w:val="none" w:sz="0" w:space="0" w:color="auto"/>
        <w:left w:val="none" w:sz="0" w:space="0" w:color="auto"/>
        <w:bottom w:val="none" w:sz="0" w:space="0" w:color="auto"/>
        <w:right w:val="none" w:sz="0" w:space="0" w:color="auto"/>
      </w:divBdr>
    </w:div>
    <w:div w:id="463811524">
      <w:bodyDiv w:val="1"/>
      <w:marLeft w:val="0"/>
      <w:marRight w:val="0"/>
      <w:marTop w:val="0"/>
      <w:marBottom w:val="0"/>
      <w:divBdr>
        <w:top w:val="none" w:sz="0" w:space="0" w:color="auto"/>
        <w:left w:val="none" w:sz="0" w:space="0" w:color="auto"/>
        <w:bottom w:val="none" w:sz="0" w:space="0" w:color="auto"/>
        <w:right w:val="none" w:sz="0" w:space="0" w:color="auto"/>
      </w:divBdr>
    </w:div>
    <w:div w:id="504636690">
      <w:bodyDiv w:val="1"/>
      <w:marLeft w:val="0"/>
      <w:marRight w:val="0"/>
      <w:marTop w:val="0"/>
      <w:marBottom w:val="0"/>
      <w:divBdr>
        <w:top w:val="none" w:sz="0" w:space="0" w:color="auto"/>
        <w:left w:val="none" w:sz="0" w:space="0" w:color="auto"/>
        <w:bottom w:val="none" w:sz="0" w:space="0" w:color="auto"/>
        <w:right w:val="none" w:sz="0" w:space="0" w:color="auto"/>
      </w:divBdr>
    </w:div>
    <w:div w:id="512107648">
      <w:bodyDiv w:val="1"/>
      <w:marLeft w:val="0"/>
      <w:marRight w:val="0"/>
      <w:marTop w:val="0"/>
      <w:marBottom w:val="0"/>
      <w:divBdr>
        <w:top w:val="none" w:sz="0" w:space="0" w:color="auto"/>
        <w:left w:val="none" w:sz="0" w:space="0" w:color="auto"/>
        <w:bottom w:val="none" w:sz="0" w:space="0" w:color="auto"/>
        <w:right w:val="none" w:sz="0" w:space="0" w:color="auto"/>
      </w:divBdr>
    </w:div>
    <w:div w:id="519393989">
      <w:bodyDiv w:val="1"/>
      <w:marLeft w:val="0"/>
      <w:marRight w:val="0"/>
      <w:marTop w:val="0"/>
      <w:marBottom w:val="0"/>
      <w:divBdr>
        <w:top w:val="none" w:sz="0" w:space="0" w:color="auto"/>
        <w:left w:val="none" w:sz="0" w:space="0" w:color="auto"/>
        <w:bottom w:val="none" w:sz="0" w:space="0" w:color="auto"/>
        <w:right w:val="none" w:sz="0" w:space="0" w:color="auto"/>
      </w:divBdr>
    </w:div>
    <w:div w:id="524949508">
      <w:bodyDiv w:val="1"/>
      <w:marLeft w:val="0"/>
      <w:marRight w:val="0"/>
      <w:marTop w:val="0"/>
      <w:marBottom w:val="0"/>
      <w:divBdr>
        <w:top w:val="none" w:sz="0" w:space="0" w:color="auto"/>
        <w:left w:val="none" w:sz="0" w:space="0" w:color="auto"/>
        <w:bottom w:val="none" w:sz="0" w:space="0" w:color="auto"/>
        <w:right w:val="none" w:sz="0" w:space="0" w:color="auto"/>
      </w:divBdr>
    </w:div>
    <w:div w:id="530262676">
      <w:bodyDiv w:val="1"/>
      <w:marLeft w:val="0"/>
      <w:marRight w:val="0"/>
      <w:marTop w:val="0"/>
      <w:marBottom w:val="0"/>
      <w:divBdr>
        <w:top w:val="none" w:sz="0" w:space="0" w:color="auto"/>
        <w:left w:val="none" w:sz="0" w:space="0" w:color="auto"/>
        <w:bottom w:val="none" w:sz="0" w:space="0" w:color="auto"/>
        <w:right w:val="none" w:sz="0" w:space="0" w:color="auto"/>
      </w:divBdr>
    </w:div>
    <w:div w:id="545220927">
      <w:bodyDiv w:val="1"/>
      <w:marLeft w:val="0"/>
      <w:marRight w:val="0"/>
      <w:marTop w:val="0"/>
      <w:marBottom w:val="0"/>
      <w:divBdr>
        <w:top w:val="none" w:sz="0" w:space="0" w:color="auto"/>
        <w:left w:val="none" w:sz="0" w:space="0" w:color="auto"/>
        <w:bottom w:val="none" w:sz="0" w:space="0" w:color="auto"/>
        <w:right w:val="none" w:sz="0" w:space="0" w:color="auto"/>
      </w:divBdr>
    </w:div>
    <w:div w:id="599417258">
      <w:bodyDiv w:val="1"/>
      <w:marLeft w:val="0"/>
      <w:marRight w:val="0"/>
      <w:marTop w:val="0"/>
      <w:marBottom w:val="0"/>
      <w:divBdr>
        <w:top w:val="none" w:sz="0" w:space="0" w:color="auto"/>
        <w:left w:val="none" w:sz="0" w:space="0" w:color="auto"/>
        <w:bottom w:val="none" w:sz="0" w:space="0" w:color="auto"/>
        <w:right w:val="none" w:sz="0" w:space="0" w:color="auto"/>
      </w:divBdr>
    </w:div>
    <w:div w:id="616645604">
      <w:bodyDiv w:val="1"/>
      <w:marLeft w:val="0"/>
      <w:marRight w:val="0"/>
      <w:marTop w:val="0"/>
      <w:marBottom w:val="0"/>
      <w:divBdr>
        <w:top w:val="none" w:sz="0" w:space="0" w:color="auto"/>
        <w:left w:val="none" w:sz="0" w:space="0" w:color="auto"/>
        <w:bottom w:val="none" w:sz="0" w:space="0" w:color="auto"/>
        <w:right w:val="none" w:sz="0" w:space="0" w:color="auto"/>
      </w:divBdr>
    </w:div>
    <w:div w:id="635448777">
      <w:bodyDiv w:val="1"/>
      <w:marLeft w:val="0"/>
      <w:marRight w:val="0"/>
      <w:marTop w:val="0"/>
      <w:marBottom w:val="0"/>
      <w:divBdr>
        <w:top w:val="none" w:sz="0" w:space="0" w:color="auto"/>
        <w:left w:val="none" w:sz="0" w:space="0" w:color="auto"/>
        <w:bottom w:val="none" w:sz="0" w:space="0" w:color="auto"/>
        <w:right w:val="none" w:sz="0" w:space="0" w:color="auto"/>
      </w:divBdr>
    </w:div>
    <w:div w:id="650215422">
      <w:bodyDiv w:val="1"/>
      <w:marLeft w:val="0"/>
      <w:marRight w:val="0"/>
      <w:marTop w:val="0"/>
      <w:marBottom w:val="0"/>
      <w:divBdr>
        <w:top w:val="none" w:sz="0" w:space="0" w:color="auto"/>
        <w:left w:val="none" w:sz="0" w:space="0" w:color="auto"/>
        <w:bottom w:val="none" w:sz="0" w:space="0" w:color="auto"/>
        <w:right w:val="none" w:sz="0" w:space="0" w:color="auto"/>
      </w:divBdr>
    </w:div>
    <w:div w:id="679164074">
      <w:bodyDiv w:val="1"/>
      <w:marLeft w:val="0"/>
      <w:marRight w:val="0"/>
      <w:marTop w:val="0"/>
      <w:marBottom w:val="0"/>
      <w:divBdr>
        <w:top w:val="none" w:sz="0" w:space="0" w:color="auto"/>
        <w:left w:val="none" w:sz="0" w:space="0" w:color="auto"/>
        <w:bottom w:val="none" w:sz="0" w:space="0" w:color="auto"/>
        <w:right w:val="none" w:sz="0" w:space="0" w:color="auto"/>
      </w:divBdr>
    </w:div>
    <w:div w:id="692650648">
      <w:bodyDiv w:val="1"/>
      <w:marLeft w:val="0"/>
      <w:marRight w:val="0"/>
      <w:marTop w:val="0"/>
      <w:marBottom w:val="0"/>
      <w:divBdr>
        <w:top w:val="none" w:sz="0" w:space="0" w:color="auto"/>
        <w:left w:val="none" w:sz="0" w:space="0" w:color="auto"/>
        <w:bottom w:val="none" w:sz="0" w:space="0" w:color="auto"/>
        <w:right w:val="none" w:sz="0" w:space="0" w:color="auto"/>
      </w:divBdr>
    </w:div>
    <w:div w:id="700518678">
      <w:bodyDiv w:val="1"/>
      <w:marLeft w:val="0"/>
      <w:marRight w:val="0"/>
      <w:marTop w:val="0"/>
      <w:marBottom w:val="0"/>
      <w:divBdr>
        <w:top w:val="none" w:sz="0" w:space="0" w:color="auto"/>
        <w:left w:val="none" w:sz="0" w:space="0" w:color="auto"/>
        <w:bottom w:val="none" w:sz="0" w:space="0" w:color="auto"/>
        <w:right w:val="none" w:sz="0" w:space="0" w:color="auto"/>
      </w:divBdr>
    </w:div>
    <w:div w:id="701591281">
      <w:bodyDiv w:val="1"/>
      <w:marLeft w:val="0"/>
      <w:marRight w:val="0"/>
      <w:marTop w:val="0"/>
      <w:marBottom w:val="0"/>
      <w:divBdr>
        <w:top w:val="none" w:sz="0" w:space="0" w:color="auto"/>
        <w:left w:val="none" w:sz="0" w:space="0" w:color="auto"/>
        <w:bottom w:val="none" w:sz="0" w:space="0" w:color="auto"/>
        <w:right w:val="none" w:sz="0" w:space="0" w:color="auto"/>
      </w:divBdr>
      <w:divsChild>
        <w:div w:id="128279446">
          <w:marLeft w:val="0"/>
          <w:marRight w:val="0"/>
          <w:marTop w:val="0"/>
          <w:marBottom w:val="0"/>
          <w:divBdr>
            <w:top w:val="none" w:sz="0" w:space="0" w:color="auto"/>
            <w:left w:val="none" w:sz="0" w:space="0" w:color="auto"/>
            <w:bottom w:val="none" w:sz="0" w:space="0" w:color="auto"/>
            <w:right w:val="none" w:sz="0" w:space="0" w:color="auto"/>
          </w:divBdr>
          <w:divsChild>
            <w:div w:id="174460045">
              <w:marLeft w:val="-225"/>
              <w:marRight w:val="-225"/>
              <w:marTop w:val="0"/>
              <w:marBottom w:val="0"/>
              <w:divBdr>
                <w:top w:val="none" w:sz="0" w:space="0" w:color="auto"/>
                <w:left w:val="none" w:sz="0" w:space="0" w:color="auto"/>
                <w:bottom w:val="none" w:sz="0" w:space="0" w:color="auto"/>
                <w:right w:val="none" w:sz="0" w:space="0" w:color="auto"/>
              </w:divBdr>
              <w:divsChild>
                <w:div w:id="1821385307">
                  <w:marLeft w:val="0"/>
                  <w:marRight w:val="0"/>
                  <w:marTop w:val="0"/>
                  <w:marBottom w:val="0"/>
                  <w:divBdr>
                    <w:top w:val="none" w:sz="0" w:space="0" w:color="auto"/>
                    <w:left w:val="none" w:sz="0" w:space="0" w:color="auto"/>
                    <w:bottom w:val="none" w:sz="0" w:space="0" w:color="auto"/>
                    <w:right w:val="none" w:sz="0" w:space="0" w:color="auto"/>
                  </w:divBdr>
                  <w:divsChild>
                    <w:div w:id="1804303501">
                      <w:marLeft w:val="0"/>
                      <w:marRight w:val="0"/>
                      <w:marTop w:val="0"/>
                      <w:marBottom w:val="0"/>
                      <w:divBdr>
                        <w:top w:val="none" w:sz="0" w:space="0" w:color="auto"/>
                        <w:left w:val="none" w:sz="0" w:space="0" w:color="auto"/>
                        <w:bottom w:val="none" w:sz="0" w:space="0" w:color="auto"/>
                        <w:right w:val="none" w:sz="0" w:space="0" w:color="auto"/>
                      </w:divBdr>
                      <w:divsChild>
                        <w:div w:id="1726223507">
                          <w:marLeft w:val="0"/>
                          <w:marRight w:val="0"/>
                          <w:marTop w:val="0"/>
                          <w:marBottom w:val="0"/>
                          <w:divBdr>
                            <w:top w:val="none" w:sz="0" w:space="0" w:color="auto"/>
                            <w:left w:val="none" w:sz="0" w:space="0" w:color="auto"/>
                            <w:bottom w:val="none" w:sz="0" w:space="0" w:color="auto"/>
                            <w:right w:val="none" w:sz="0" w:space="0" w:color="auto"/>
                          </w:divBdr>
                          <w:divsChild>
                            <w:div w:id="2046522275">
                              <w:marLeft w:val="0"/>
                              <w:marRight w:val="0"/>
                              <w:marTop w:val="0"/>
                              <w:marBottom w:val="240"/>
                              <w:divBdr>
                                <w:top w:val="none" w:sz="0" w:space="0" w:color="auto"/>
                                <w:left w:val="none" w:sz="0" w:space="0" w:color="auto"/>
                                <w:bottom w:val="none" w:sz="0" w:space="0" w:color="auto"/>
                                <w:right w:val="none" w:sz="0" w:space="0" w:color="auto"/>
                              </w:divBdr>
                              <w:divsChild>
                                <w:div w:id="763915685">
                                  <w:marLeft w:val="0"/>
                                  <w:marRight w:val="0"/>
                                  <w:marTop w:val="0"/>
                                  <w:marBottom w:val="0"/>
                                  <w:divBdr>
                                    <w:top w:val="none" w:sz="0" w:space="0" w:color="auto"/>
                                    <w:left w:val="none" w:sz="0" w:space="0" w:color="auto"/>
                                    <w:bottom w:val="none" w:sz="0" w:space="0" w:color="auto"/>
                                    <w:right w:val="none" w:sz="0" w:space="0" w:color="auto"/>
                                  </w:divBdr>
                                  <w:divsChild>
                                    <w:div w:id="1965765747">
                                      <w:marLeft w:val="0"/>
                                      <w:marRight w:val="0"/>
                                      <w:marTop w:val="0"/>
                                      <w:marBottom w:val="0"/>
                                      <w:divBdr>
                                        <w:top w:val="none" w:sz="0" w:space="0" w:color="auto"/>
                                        <w:left w:val="none" w:sz="0" w:space="0" w:color="auto"/>
                                        <w:bottom w:val="none" w:sz="0" w:space="0" w:color="auto"/>
                                        <w:right w:val="none" w:sz="0" w:space="0" w:color="auto"/>
                                      </w:divBdr>
                                      <w:divsChild>
                                        <w:div w:id="424349613">
                                          <w:marLeft w:val="0"/>
                                          <w:marRight w:val="0"/>
                                          <w:marTop w:val="0"/>
                                          <w:marBottom w:val="0"/>
                                          <w:divBdr>
                                            <w:top w:val="none" w:sz="0" w:space="0" w:color="auto"/>
                                            <w:left w:val="none" w:sz="0" w:space="0" w:color="auto"/>
                                            <w:bottom w:val="none" w:sz="0" w:space="0" w:color="auto"/>
                                            <w:right w:val="none" w:sz="0" w:space="0" w:color="auto"/>
                                          </w:divBdr>
                                          <w:divsChild>
                                            <w:div w:id="1890071456">
                                              <w:marLeft w:val="0"/>
                                              <w:marRight w:val="0"/>
                                              <w:marTop w:val="0"/>
                                              <w:marBottom w:val="0"/>
                                              <w:divBdr>
                                                <w:top w:val="none" w:sz="0" w:space="0" w:color="auto"/>
                                                <w:left w:val="none" w:sz="0" w:space="0" w:color="auto"/>
                                                <w:bottom w:val="none" w:sz="0" w:space="0" w:color="auto"/>
                                                <w:right w:val="none" w:sz="0" w:space="0" w:color="auto"/>
                                              </w:divBdr>
                                              <w:divsChild>
                                                <w:div w:id="1159927319">
                                                  <w:marLeft w:val="0"/>
                                                  <w:marRight w:val="0"/>
                                                  <w:marTop w:val="0"/>
                                                  <w:marBottom w:val="0"/>
                                                  <w:divBdr>
                                                    <w:top w:val="none" w:sz="0" w:space="0" w:color="auto"/>
                                                    <w:left w:val="none" w:sz="0" w:space="0" w:color="auto"/>
                                                    <w:bottom w:val="none" w:sz="0" w:space="0" w:color="auto"/>
                                                    <w:right w:val="none" w:sz="0" w:space="0" w:color="auto"/>
                                                  </w:divBdr>
                                                  <w:divsChild>
                                                    <w:div w:id="313143398">
                                                      <w:marLeft w:val="0"/>
                                                      <w:marRight w:val="0"/>
                                                      <w:marTop w:val="0"/>
                                                      <w:marBottom w:val="0"/>
                                                      <w:divBdr>
                                                        <w:top w:val="none" w:sz="0" w:space="0" w:color="auto"/>
                                                        <w:left w:val="none" w:sz="0" w:space="0" w:color="auto"/>
                                                        <w:bottom w:val="none" w:sz="0" w:space="0" w:color="auto"/>
                                                        <w:right w:val="none" w:sz="0" w:space="0" w:color="auto"/>
                                                      </w:divBdr>
                                                      <w:divsChild>
                                                        <w:div w:id="23674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22679434">
      <w:bodyDiv w:val="1"/>
      <w:marLeft w:val="0"/>
      <w:marRight w:val="0"/>
      <w:marTop w:val="0"/>
      <w:marBottom w:val="0"/>
      <w:divBdr>
        <w:top w:val="none" w:sz="0" w:space="0" w:color="auto"/>
        <w:left w:val="none" w:sz="0" w:space="0" w:color="auto"/>
        <w:bottom w:val="none" w:sz="0" w:space="0" w:color="auto"/>
        <w:right w:val="none" w:sz="0" w:space="0" w:color="auto"/>
      </w:divBdr>
    </w:div>
    <w:div w:id="725226542">
      <w:bodyDiv w:val="1"/>
      <w:marLeft w:val="0"/>
      <w:marRight w:val="0"/>
      <w:marTop w:val="0"/>
      <w:marBottom w:val="0"/>
      <w:divBdr>
        <w:top w:val="none" w:sz="0" w:space="0" w:color="auto"/>
        <w:left w:val="none" w:sz="0" w:space="0" w:color="auto"/>
        <w:bottom w:val="none" w:sz="0" w:space="0" w:color="auto"/>
        <w:right w:val="none" w:sz="0" w:space="0" w:color="auto"/>
      </w:divBdr>
    </w:div>
    <w:div w:id="734157840">
      <w:bodyDiv w:val="1"/>
      <w:marLeft w:val="0"/>
      <w:marRight w:val="0"/>
      <w:marTop w:val="0"/>
      <w:marBottom w:val="0"/>
      <w:divBdr>
        <w:top w:val="none" w:sz="0" w:space="0" w:color="auto"/>
        <w:left w:val="none" w:sz="0" w:space="0" w:color="auto"/>
        <w:bottom w:val="none" w:sz="0" w:space="0" w:color="auto"/>
        <w:right w:val="none" w:sz="0" w:space="0" w:color="auto"/>
      </w:divBdr>
    </w:div>
    <w:div w:id="734355625">
      <w:bodyDiv w:val="1"/>
      <w:marLeft w:val="0"/>
      <w:marRight w:val="0"/>
      <w:marTop w:val="0"/>
      <w:marBottom w:val="0"/>
      <w:divBdr>
        <w:top w:val="none" w:sz="0" w:space="0" w:color="auto"/>
        <w:left w:val="none" w:sz="0" w:space="0" w:color="auto"/>
        <w:bottom w:val="none" w:sz="0" w:space="0" w:color="auto"/>
        <w:right w:val="none" w:sz="0" w:space="0" w:color="auto"/>
      </w:divBdr>
    </w:div>
    <w:div w:id="748962048">
      <w:bodyDiv w:val="1"/>
      <w:marLeft w:val="0"/>
      <w:marRight w:val="0"/>
      <w:marTop w:val="0"/>
      <w:marBottom w:val="0"/>
      <w:divBdr>
        <w:top w:val="none" w:sz="0" w:space="0" w:color="auto"/>
        <w:left w:val="none" w:sz="0" w:space="0" w:color="auto"/>
        <w:bottom w:val="none" w:sz="0" w:space="0" w:color="auto"/>
        <w:right w:val="none" w:sz="0" w:space="0" w:color="auto"/>
      </w:divBdr>
      <w:divsChild>
        <w:div w:id="331841069">
          <w:marLeft w:val="0"/>
          <w:marRight w:val="0"/>
          <w:marTop w:val="0"/>
          <w:marBottom w:val="0"/>
          <w:divBdr>
            <w:top w:val="none" w:sz="0" w:space="0" w:color="auto"/>
            <w:left w:val="none" w:sz="0" w:space="0" w:color="auto"/>
            <w:bottom w:val="none" w:sz="0" w:space="0" w:color="auto"/>
            <w:right w:val="none" w:sz="0" w:space="0" w:color="auto"/>
          </w:divBdr>
          <w:divsChild>
            <w:div w:id="591931932">
              <w:marLeft w:val="-225"/>
              <w:marRight w:val="-225"/>
              <w:marTop w:val="0"/>
              <w:marBottom w:val="0"/>
              <w:divBdr>
                <w:top w:val="none" w:sz="0" w:space="0" w:color="auto"/>
                <w:left w:val="none" w:sz="0" w:space="0" w:color="auto"/>
                <w:bottom w:val="none" w:sz="0" w:space="0" w:color="auto"/>
                <w:right w:val="none" w:sz="0" w:space="0" w:color="auto"/>
              </w:divBdr>
              <w:divsChild>
                <w:div w:id="1389111436">
                  <w:marLeft w:val="0"/>
                  <w:marRight w:val="0"/>
                  <w:marTop w:val="0"/>
                  <w:marBottom w:val="0"/>
                  <w:divBdr>
                    <w:top w:val="none" w:sz="0" w:space="0" w:color="auto"/>
                    <w:left w:val="none" w:sz="0" w:space="0" w:color="auto"/>
                    <w:bottom w:val="none" w:sz="0" w:space="0" w:color="auto"/>
                    <w:right w:val="none" w:sz="0" w:space="0" w:color="auto"/>
                  </w:divBdr>
                  <w:divsChild>
                    <w:div w:id="175073680">
                      <w:marLeft w:val="0"/>
                      <w:marRight w:val="0"/>
                      <w:marTop w:val="0"/>
                      <w:marBottom w:val="0"/>
                      <w:divBdr>
                        <w:top w:val="none" w:sz="0" w:space="0" w:color="auto"/>
                        <w:left w:val="none" w:sz="0" w:space="0" w:color="auto"/>
                        <w:bottom w:val="none" w:sz="0" w:space="0" w:color="auto"/>
                        <w:right w:val="none" w:sz="0" w:space="0" w:color="auto"/>
                      </w:divBdr>
                      <w:divsChild>
                        <w:div w:id="625279954">
                          <w:marLeft w:val="0"/>
                          <w:marRight w:val="0"/>
                          <w:marTop w:val="0"/>
                          <w:marBottom w:val="0"/>
                          <w:divBdr>
                            <w:top w:val="none" w:sz="0" w:space="0" w:color="auto"/>
                            <w:left w:val="none" w:sz="0" w:space="0" w:color="auto"/>
                            <w:bottom w:val="none" w:sz="0" w:space="0" w:color="auto"/>
                            <w:right w:val="none" w:sz="0" w:space="0" w:color="auto"/>
                          </w:divBdr>
                          <w:divsChild>
                            <w:div w:id="814029296">
                              <w:marLeft w:val="0"/>
                              <w:marRight w:val="0"/>
                              <w:marTop w:val="0"/>
                              <w:marBottom w:val="240"/>
                              <w:divBdr>
                                <w:top w:val="none" w:sz="0" w:space="0" w:color="auto"/>
                                <w:left w:val="none" w:sz="0" w:space="0" w:color="auto"/>
                                <w:bottom w:val="none" w:sz="0" w:space="0" w:color="auto"/>
                                <w:right w:val="none" w:sz="0" w:space="0" w:color="auto"/>
                              </w:divBdr>
                              <w:divsChild>
                                <w:div w:id="687484292">
                                  <w:marLeft w:val="0"/>
                                  <w:marRight w:val="0"/>
                                  <w:marTop w:val="0"/>
                                  <w:marBottom w:val="0"/>
                                  <w:divBdr>
                                    <w:top w:val="none" w:sz="0" w:space="0" w:color="auto"/>
                                    <w:left w:val="none" w:sz="0" w:space="0" w:color="auto"/>
                                    <w:bottom w:val="none" w:sz="0" w:space="0" w:color="auto"/>
                                    <w:right w:val="none" w:sz="0" w:space="0" w:color="auto"/>
                                  </w:divBdr>
                                  <w:divsChild>
                                    <w:div w:id="179197732">
                                      <w:marLeft w:val="0"/>
                                      <w:marRight w:val="0"/>
                                      <w:marTop w:val="0"/>
                                      <w:marBottom w:val="0"/>
                                      <w:divBdr>
                                        <w:top w:val="none" w:sz="0" w:space="0" w:color="auto"/>
                                        <w:left w:val="none" w:sz="0" w:space="0" w:color="auto"/>
                                        <w:bottom w:val="none" w:sz="0" w:space="0" w:color="auto"/>
                                        <w:right w:val="none" w:sz="0" w:space="0" w:color="auto"/>
                                      </w:divBdr>
                                      <w:divsChild>
                                        <w:div w:id="1076440901">
                                          <w:marLeft w:val="0"/>
                                          <w:marRight w:val="0"/>
                                          <w:marTop w:val="0"/>
                                          <w:marBottom w:val="0"/>
                                          <w:divBdr>
                                            <w:top w:val="none" w:sz="0" w:space="0" w:color="auto"/>
                                            <w:left w:val="none" w:sz="0" w:space="0" w:color="auto"/>
                                            <w:bottom w:val="none" w:sz="0" w:space="0" w:color="auto"/>
                                            <w:right w:val="none" w:sz="0" w:space="0" w:color="auto"/>
                                          </w:divBdr>
                                          <w:divsChild>
                                            <w:div w:id="217866001">
                                              <w:marLeft w:val="0"/>
                                              <w:marRight w:val="0"/>
                                              <w:marTop w:val="0"/>
                                              <w:marBottom w:val="0"/>
                                              <w:divBdr>
                                                <w:top w:val="none" w:sz="0" w:space="0" w:color="auto"/>
                                                <w:left w:val="none" w:sz="0" w:space="0" w:color="auto"/>
                                                <w:bottom w:val="none" w:sz="0" w:space="0" w:color="auto"/>
                                                <w:right w:val="none" w:sz="0" w:space="0" w:color="auto"/>
                                              </w:divBdr>
                                              <w:divsChild>
                                                <w:div w:id="296840970">
                                                  <w:marLeft w:val="0"/>
                                                  <w:marRight w:val="0"/>
                                                  <w:marTop w:val="0"/>
                                                  <w:marBottom w:val="0"/>
                                                  <w:divBdr>
                                                    <w:top w:val="none" w:sz="0" w:space="0" w:color="auto"/>
                                                    <w:left w:val="none" w:sz="0" w:space="0" w:color="auto"/>
                                                    <w:bottom w:val="none" w:sz="0" w:space="0" w:color="auto"/>
                                                    <w:right w:val="none" w:sz="0" w:space="0" w:color="auto"/>
                                                  </w:divBdr>
                                                  <w:divsChild>
                                                    <w:div w:id="137842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63384597">
      <w:bodyDiv w:val="1"/>
      <w:marLeft w:val="0"/>
      <w:marRight w:val="0"/>
      <w:marTop w:val="0"/>
      <w:marBottom w:val="0"/>
      <w:divBdr>
        <w:top w:val="none" w:sz="0" w:space="0" w:color="auto"/>
        <w:left w:val="none" w:sz="0" w:space="0" w:color="auto"/>
        <w:bottom w:val="none" w:sz="0" w:space="0" w:color="auto"/>
        <w:right w:val="none" w:sz="0" w:space="0" w:color="auto"/>
      </w:divBdr>
      <w:divsChild>
        <w:div w:id="1195997100">
          <w:marLeft w:val="0"/>
          <w:marRight w:val="0"/>
          <w:marTop w:val="0"/>
          <w:marBottom w:val="0"/>
          <w:divBdr>
            <w:top w:val="none" w:sz="0" w:space="0" w:color="auto"/>
            <w:left w:val="none" w:sz="0" w:space="0" w:color="auto"/>
            <w:bottom w:val="none" w:sz="0" w:space="0" w:color="auto"/>
            <w:right w:val="none" w:sz="0" w:space="0" w:color="auto"/>
          </w:divBdr>
          <w:divsChild>
            <w:div w:id="1110709618">
              <w:marLeft w:val="0"/>
              <w:marRight w:val="0"/>
              <w:marTop w:val="0"/>
              <w:marBottom w:val="0"/>
              <w:divBdr>
                <w:top w:val="none" w:sz="0" w:space="0" w:color="auto"/>
                <w:left w:val="none" w:sz="0" w:space="0" w:color="auto"/>
                <w:bottom w:val="none" w:sz="0" w:space="0" w:color="auto"/>
                <w:right w:val="none" w:sz="0" w:space="0" w:color="auto"/>
              </w:divBdr>
              <w:divsChild>
                <w:div w:id="953361993">
                  <w:marLeft w:val="0"/>
                  <w:marRight w:val="0"/>
                  <w:marTop w:val="0"/>
                  <w:marBottom w:val="0"/>
                  <w:divBdr>
                    <w:top w:val="none" w:sz="0" w:space="0" w:color="auto"/>
                    <w:left w:val="none" w:sz="0" w:space="0" w:color="auto"/>
                    <w:bottom w:val="none" w:sz="0" w:space="0" w:color="auto"/>
                    <w:right w:val="none" w:sz="0" w:space="0" w:color="auto"/>
                  </w:divBdr>
                  <w:divsChild>
                    <w:div w:id="1643542424">
                      <w:marLeft w:val="0"/>
                      <w:marRight w:val="0"/>
                      <w:marTop w:val="0"/>
                      <w:marBottom w:val="0"/>
                      <w:divBdr>
                        <w:top w:val="none" w:sz="0" w:space="0" w:color="auto"/>
                        <w:left w:val="none" w:sz="0" w:space="0" w:color="auto"/>
                        <w:bottom w:val="none" w:sz="0" w:space="0" w:color="auto"/>
                        <w:right w:val="none" w:sz="0" w:space="0" w:color="auto"/>
                      </w:divBdr>
                      <w:divsChild>
                        <w:div w:id="618878521">
                          <w:marLeft w:val="0"/>
                          <w:marRight w:val="0"/>
                          <w:marTop w:val="0"/>
                          <w:marBottom w:val="0"/>
                          <w:divBdr>
                            <w:top w:val="none" w:sz="0" w:space="0" w:color="auto"/>
                            <w:left w:val="none" w:sz="0" w:space="0" w:color="auto"/>
                            <w:bottom w:val="none" w:sz="0" w:space="0" w:color="auto"/>
                            <w:right w:val="none" w:sz="0" w:space="0" w:color="auto"/>
                          </w:divBdr>
                          <w:divsChild>
                            <w:div w:id="1151097746">
                              <w:marLeft w:val="0"/>
                              <w:marRight w:val="0"/>
                              <w:marTop w:val="0"/>
                              <w:marBottom w:val="0"/>
                              <w:divBdr>
                                <w:top w:val="none" w:sz="0" w:space="0" w:color="auto"/>
                                <w:left w:val="none" w:sz="0" w:space="0" w:color="auto"/>
                                <w:bottom w:val="none" w:sz="0" w:space="0" w:color="auto"/>
                                <w:right w:val="none" w:sz="0" w:space="0" w:color="auto"/>
                              </w:divBdr>
                              <w:divsChild>
                                <w:div w:id="807934319">
                                  <w:marLeft w:val="0"/>
                                  <w:marRight w:val="0"/>
                                  <w:marTop w:val="0"/>
                                  <w:marBottom w:val="0"/>
                                  <w:divBdr>
                                    <w:top w:val="none" w:sz="0" w:space="0" w:color="auto"/>
                                    <w:left w:val="none" w:sz="0" w:space="0" w:color="auto"/>
                                    <w:bottom w:val="none" w:sz="0" w:space="0" w:color="auto"/>
                                    <w:right w:val="none" w:sz="0" w:space="0" w:color="auto"/>
                                  </w:divBdr>
                                  <w:divsChild>
                                    <w:div w:id="481386274">
                                      <w:marLeft w:val="0"/>
                                      <w:marRight w:val="0"/>
                                      <w:marTop w:val="0"/>
                                      <w:marBottom w:val="0"/>
                                      <w:divBdr>
                                        <w:top w:val="none" w:sz="0" w:space="0" w:color="auto"/>
                                        <w:left w:val="none" w:sz="0" w:space="0" w:color="auto"/>
                                        <w:bottom w:val="none" w:sz="0" w:space="0" w:color="auto"/>
                                        <w:right w:val="none" w:sz="0" w:space="0" w:color="auto"/>
                                      </w:divBdr>
                                      <w:divsChild>
                                        <w:div w:id="622073775">
                                          <w:marLeft w:val="0"/>
                                          <w:marRight w:val="0"/>
                                          <w:marTop w:val="0"/>
                                          <w:marBottom w:val="0"/>
                                          <w:divBdr>
                                            <w:top w:val="none" w:sz="0" w:space="0" w:color="auto"/>
                                            <w:left w:val="none" w:sz="0" w:space="0" w:color="auto"/>
                                            <w:bottom w:val="none" w:sz="0" w:space="0" w:color="auto"/>
                                            <w:right w:val="none" w:sz="0" w:space="0" w:color="auto"/>
                                          </w:divBdr>
                                          <w:divsChild>
                                            <w:div w:id="1674725395">
                                              <w:marLeft w:val="0"/>
                                              <w:marRight w:val="0"/>
                                              <w:marTop w:val="0"/>
                                              <w:marBottom w:val="0"/>
                                              <w:divBdr>
                                                <w:top w:val="none" w:sz="0" w:space="0" w:color="auto"/>
                                                <w:left w:val="none" w:sz="0" w:space="0" w:color="auto"/>
                                                <w:bottom w:val="none" w:sz="0" w:space="0" w:color="auto"/>
                                                <w:right w:val="none" w:sz="0" w:space="0" w:color="auto"/>
                                              </w:divBdr>
                                              <w:divsChild>
                                                <w:div w:id="836379776">
                                                  <w:marLeft w:val="0"/>
                                                  <w:marRight w:val="0"/>
                                                  <w:marTop w:val="0"/>
                                                  <w:marBottom w:val="0"/>
                                                  <w:divBdr>
                                                    <w:top w:val="none" w:sz="0" w:space="0" w:color="auto"/>
                                                    <w:left w:val="none" w:sz="0" w:space="0" w:color="auto"/>
                                                    <w:bottom w:val="none" w:sz="0" w:space="0" w:color="auto"/>
                                                    <w:right w:val="none" w:sz="0" w:space="0" w:color="auto"/>
                                                  </w:divBdr>
                                                  <w:divsChild>
                                                    <w:div w:id="753429319">
                                                      <w:marLeft w:val="0"/>
                                                      <w:marRight w:val="0"/>
                                                      <w:marTop w:val="0"/>
                                                      <w:marBottom w:val="0"/>
                                                      <w:divBdr>
                                                        <w:top w:val="none" w:sz="0" w:space="0" w:color="auto"/>
                                                        <w:left w:val="none" w:sz="0" w:space="0" w:color="auto"/>
                                                        <w:bottom w:val="none" w:sz="0" w:space="0" w:color="auto"/>
                                                        <w:right w:val="none" w:sz="0" w:space="0" w:color="auto"/>
                                                      </w:divBdr>
                                                      <w:divsChild>
                                                        <w:div w:id="72897443">
                                                          <w:marLeft w:val="0"/>
                                                          <w:marRight w:val="0"/>
                                                          <w:marTop w:val="0"/>
                                                          <w:marBottom w:val="0"/>
                                                          <w:divBdr>
                                                            <w:top w:val="none" w:sz="0" w:space="0" w:color="auto"/>
                                                            <w:left w:val="none" w:sz="0" w:space="0" w:color="auto"/>
                                                            <w:bottom w:val="none" w:sz="0" w:space="0" w:color="auto"/>
                                                            <w:right w:val="none" w:sz="0" w:space="0" w:color="auto"/>
                                                          </w:divBdr>
                                                          <w:divsChild>
                                                            <w:div w:id="742026438">
                                                              <w:marLeft w:val="0"/>
                                                              <w:marRight w:val="0"/>
                                                              <w:marTop w:val="0"/>
                                                              <w:marBottom w:val="0"/>
                                                              <w:divBdr>
                                                                <w:top w:val="none" w:sz="0" w:space="0" w:color="auto"/>
                                                                <w:left w:val="none" w:sz="0" w:space="0" w:color="auto"/>
                                                                <w:bottom w:val="none" w:sz="0" w:space="0" w:color="auto"/>
                                                                <w:right w:val="none" w:sz="0" w:space="0" w:color="auto"/>
                                                              </w:divBdr>
                                                              <w:divsChild>
                                                                <w:div w:id="1541434020">
                                                                  <w:marLeft w:val="0"/>
                                                                  <w:marRight w:val="0"/>
                                                                  <w:marTop w:val="0"/>
                                                                  <w:marBottom w:val="0"/>
                                                                  <w:divBdr>
                                                                    <w:top w:val="none" w:sz="0" w:space="0" w:color="auto"/>
                                                                    <w:left w:val="none" w:sz="0" w:space="0" w:color="auto"/>
                                                                    <w:bottom w:val="none" w:sz="0" w:space="0" w:color="auto"/>
                                                                    <w:right w:val="none" w:sz="0" w:space="0" w:color="auto"/>
                                                                  </w:divBdr>
                                                                  <w:divsChild>
                                                                    <w:div w:id="92670128">
                                                                      <w:marLeft w:val="0"/>
                                                                      <w:marRight w:val="0"/>
                                                                      <w:marTop w:val="0"/>
                                                                      <w:marBottom w:val="0"/>
                                                                      <w:divBdr>
                                                                        <w:top w:val="none" w:sz="0" w:space="0" w:color="auto"/>
                                                                        <w:left w:val="none" w:sz="0" w:space="0" w:color="auto"/>
                                                                        <w:bottom w:val="none" w:sz="0" w:space="0" w:color="auto"/>
                                                                        <w:right w:val="none" w:sz="0" w:space="0" w:color="auto"/>
                                                                      </w:divBdr>
                                                                    </w:div>
                                                                    <w:div w:id="576744065">
                                                                      <w:marLeft w:val="0"/>
                                                                      <w:marRight w:val="0"/>
                                                                      <w:marTop w:val="0"/>
                                                                      <w:marBottom w:val="0"/>
                                                                      <w:divBdr>
                                                                        <w:top w:val="none" w:sz="0" w:space="0" w:color="auto"/>
                                                                        <w:left w:val="none" w:sz="0" w:space="0" w:color="auto"/>
                                                                        <w:bottom w:val="none" w:sz="0" w:space="0" w:color="auto"/>
                                                                        <w:right w:val="none" w:sz="0" w:space="0" w:color="auto"/>
                                                                      </w:divBdr>
                                                                      <w:divsChild>
                                                                        <w:div w:id="225261406">
                                                                          <w:marLeft w:val="0"/>
                                                                          <w:marRight w:val="0"/>
                                                                          <w:marTop w:val="0"/>
                                                                          <w:marBottom w:val="0"/>
                                                                          <w:divBdr>
                                                                            <w:top w:val="none" w:sz="0" w:space="0" w:color="auto"/>
                                                                            <w:left w:val="none" w:sz="0" w:space="0" w:color="auto"/>
                                                                            <w:bottom w:val="none" w:sz="0" w:space="0" w:color="auto"/>
                                                                            <w:right w:val="none" w:sz="0" w:space="0" w:color="auto"/>
                                                                          </w:divBdr>
                                                                          <w:divsChild>
                                                                            <w:div w:id="1925331468">
                                                                              <w:marLeft w:val="0"/>
                                                                              <w:marRight w:val="0"/>
                                                                              <w:marTop w:val="0"/>
                                                                              <w:marBottom w:val="0"/>
                                                                              <w:divBdr>
                                                                                <w:top w:val="none" w:sz="0" w:space="0" w:color="auto"/>
                                                                                <w:left w:val="none" w:sz="0" w:space="0" w:color="auto"/>
                                                                                <w:bottom w:val="none" w:sz="0" w:space="0" w:color="auto"/>
                                                                                <w:right w:val="none" w:sz="0" w:space="0" w:color="auto"/>
                                                                              </w:divBdr>
                                                                            </w:div>
                                                                            <w:div w:id="2078550489">
                                                                              <w:marLeft w:val="0"/>
                                                                              <w:marRight w:val="0"/>
                                                                              <w:marTop w:val="0"/>
                                                                              <w:marBottom w:val="0"/>
                                                                              <w:divBdr>
                                                                                <w:top w:val="none" w:sz="0" w:space="0" w:color="auto"/>
                                                                                <w:left w:val="none" w:sz="0" w:space="0" w:color="auto"/>
                                                                                <w:bottom w:val="none" w:sz="0" w:space="0" w:color="auto"/>
                                                                                <w:right w:val="none" w:sz="0" w:space="0" w:color="auto"/>
                                                                              </w:divBdr>
                                                                            </w:div>
                                                                          </w:divsChild>
                                                                        </w:div>
                                                                        <w:div w:id="477646683">
                                                                          <w:marLeft w:val="0"/>
                                                                          <w:marRight w:val="0"/>
                                                                          <w:marTop w:val="0"/>
                                                                          <w:marBottom w:val="0"/>
                                                                          <w:divBdr>
                                                                            <w:top w:val="none" w:sz="0" w:space="0" w:color="auto"/>
                                                                            <w:left w:val="none" w:sz="0" w:space="0" w:color="auto"/>
                                                                            <w:bottom w:val="none" w:sz="0" w:space="0" w:color="auto"/>
                                                                            <w:right w:val="none" w:sz="0" w:space="0" w:color="auto"/>
                                                                          </w:divBdr>
                                                                          <w:divsChild>
                                                                            <w:div w:id="985623550">
                                                                              <w:marLeft w:val="0"/>
                                                                              <w:marRight w:val="0"/>
                                                                              <w:marTop w:val="0"/>
                                                                              <w:marBottom w:val="0"/>
                                                                              <w:divBdr>
                                                                                <w:top w:val="none" w:sz="0" w:space="0" w:color="auto"/>
                                                                                <w:left w:val="none" w:sz="0" w:space="0" w:color="auto"/>
                                                                                <w:bottom w:val="none" w:sz="0" w:space="0" w:color="auto"/>
                                                                                <w:right w:val="none" w:sz="0" w:space="0" w:color="auto"/>
                                                                              </w:divBdr>
                                                                            </w:div>
                                                                            <w:div w:id="1841895507">
                                                                              <w:marLeft w:val="0"/>
                                                                              <w:marRight w:val="0"/>
                                                                              <w:marTop w:val="0"/>
                                                                              <w:marBottom w:val="0"/>
                                                                              <w:divBdr>
                                                                                <w:top w:val="none" w:sz="0" w:space="0" w:color="auto"/>
                                                                                <w:left w:val="none" w:sz="0" w:space="0" w:color="auto"/>
                                                                                <w:bottom w:val="none" w:sz="0" w:space="0" w:color="auto"/>
                                                                                <w:right w:val="none" w:sz="0" w:space="0" w:color="auto"/>
                                                                              </w:divBdr>
                                                                            </w:div>
                                                                          </w:divsChild>
                                                                        </w:div>
                                                                        <w:div w:id="1198199335">
                                                                          <w:marLeft w:val="0"/>
                                                                          <w:marRight w:val="0"/>
                                                                          <w:marTop w:val="0"/>
                                                                          <w:marBottom w:val="0"/>
                                                                          <w:divBdr>
                                                                            <w:top w:val="none" w:sz="0" w:space="0" w:color="auto"/>
                                                                            <w:left w:val="none" w:sz="0" w:space="0" w:color="auto"/>
                                                                            <w:bottom w:val="none" w:sz="0" w:space="0" w:color="auto"/>
                                                                            <w:right w:val="none" w:sz="0" w:space="0" w:color="auto"/>
                                                                          </w:divBdr>
                                                                          <w:divsChild>
                                                                            <w:div w:id="1143352662">
                                                                              <w:marLeft w:val="0"/>
                                                                              <w:marRight w:val="0"/>
                                                                              <w:marTop w:val="0"/>
                                                                              <w:marBottom w:val="0"/>
                                                                              <w:divBdr>
                                                                                <w:top w:val="none" w:sz="0" w:space="0" w:color="auto"/>
                                                                                <w:left w:val="none" w:sz="0" w:space="0" w:color="auto"/>
                                                                                <w:bottom w:val="none" w:sz="0" w:space="0" w:color="auto"/>
                                                                                <w:right w:val="none" w:sz="0" w:space="0" w:color="auto"/>
                                                                              </w:divBdr>
                                                                            </w:div>
                                                                            <w:div w:id="181478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587259">
                                                                      <w:marLeft w:val="0"/>
                                                                      <w:marRight w:val="0"/>
                                                                      <w:marTop w:val="0"/>
                                                                      <w:marBottom w:val="0"/>
                                                                      <w:divBdr>
                                                                        <w:top w:val="none" w:sz="0" w:space="0" w:color="auto"/>
                                                                        <w:left w:val="none" w:sz="0" w:space="0" w:color="auto"/>
                                                                        <w:bottom w:val="none" w:sz="0" w:space="0" w:color="auto"/>
                                                                        <w:right w:val="none" w:sz="0" w:space="0" w:color="auto"/>
                                                                      </w:divBdr>
                                                                    </w:div>
                                                                    <w:div w:id="1336037037">
                                                                      <w:marLeft w:val="0"/>
                                                                      <w:marRight w:val="0"/>
                                                                      <w:marTop w:val="0"/>
                                                                      <w:marBottom w:val="0"/>
                                                                      <w:divBdr>
                                                                        <w:top w:val="none" w:sz="0" w:space="0" w:color="auto"/>
                                                                        <w:left w:val="none" w:sz="0" w:space="0" w:color="auto"/>
                                                                        <w:bottom w:val="none" w:sz="0" w:space="0" w:color="auto"/>
                                                                        <w:right w:val="none" w:sz="0" w:space="0" w:color="auto"/>
                                                                      </w:divBdr>
                                                                    </w:div>
                                                                    <w:div w:id="1463188141">
                                                                      <w:marLeft w:val="0"/>
                                                                      <w:marRight w:val="0"/>
                                                                      <w:marTop w:val="0"/>
                                                                      <w:marBottom w:val="0"/>
                                                                      <w:divBdr>
                                                                        <w:top w:val="none" w:sz="0" w:space="0" w:color="auto"/>
                                                                        <w:left w:val="none" w:sz="0" w:space="0" w:color="auto"/>
                                                                        <w:bottom w:val="none" w:sz="0" w:space="0" w:color="auto"/>
                                                                        <w:right w:val="none" w:sz="0" w:space="0" w:color="auto"/>
                                                                      </w:divBdr>
                                                                    </w:div>
                                                                    <w:div w:id="1781487285">
                                                                      <w:marLeft w:val="0"/>
                                                                      <w:marRight w:val="0"/>
                                                                      <w:marTop w:val="0"/>
                                                                      <w:marBottom w:val="0"/>
                                                                      <w:divBdr>
                                                                        <w:top w:val="none" w:sz="0" w:space="0" w:color="auto"/>
                                                                        <w:left w:val="none" w:sz="0" w:space="0" w:color="auto"/>
                                                                        <w:bottom w:val="none" w:sz="0" w:space="0" w:color="auto"/>
                                                                        <w:right w:val="none" w:sz="0" w:space="0" w:color="auto"/>
                                                                      </w:divBdr>
                                                                    </w:div>
                                                                    <w:div w:id="1850102838">
                                                                      <w:marLeft w:val="0"/>
                                                                      <w:marRight w:val="0"/>
                                                                      <w:marTop w:val="0"/>
                                                                      <w:marBottom w:val="0"/>
                                                                      <w:divBdr>
                                                                        <w:top w:val="none" w:sz="0" w:space="0" w:color="auto"/>
                                                                        <w:left w:val="none" w:sz="0" w:space="0" w:color="auto"/>
                                                                        <w:bottom w:val="none" w:sz="0" w:space="0" w:color="auto"/>
                                                                        <w:right w:val="none" w:sz="0" w:space="0" w:color="auto"/>
                                                                      </w:divBdr>
                                                                    </w:div>
                                                                    <w:div w:id="2034304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64233620">
      <w:bodyDiv w:val="1"/>
      <w:marLeft w:val="0"/>
      <w:marRight w:val="0"/>
      <w:marTop w:val="0"/>
      <w:marBottom w:val="0"/>
      <w:divBdr>
        <w:top w:val="none" w:sz="0" w:space="0" w:color="auto"/>
        <w:left w:val="none" w:sz="0" w:space="0" w:color="auto"/>
        <w:bottom w:val="none" w:sz="0" w:space="0" w:color="auto"/>
        <w:right w:val="none" w:sz="0" w:space="0" w:color="auto"/>
      </w:divBdr>
    </w:div>
    <w:div w:id="776297344">
      <w:bodyDiv w:val="1"/>
      <w:marLeft w:val="0"/>
      <w:marRight w:val="0"/>
      <w:marTop w:val="0"/>
      <w:marBottom w:val="0"/>
      <w:divBdr>
        <w:top w:val="none" w:sz="0" w:space="0" w:color="auto"/>
        <w:left w:val="none" w:sz="0" w:space="0" w:color="auto"/>
        <w:bottom w:val="none" w:sz="0" w:space="0" w:color="auto"/>
        <w:right w:val="none" w:sz="0" w:space="0" w:color="auto"/>
      </w:divBdr>
    </w:div>
    <w:div w:id="793403314">
      <w:bodyDiv w:val="1"/>
      <w:marLeft w:val="0"/>
      <w:marRight w:val="0"/>
      <w:marTop w:val="0"/>
      <w:marBottom w:val="0"/>
      <w:divBdr>
        <w:top w:val="none" w:sz="0" w:space="0" w:color="auto"/>
        <w:left w:val="none" w:sz="0" w:space="0" w:color="auto"/>
        <w:bottom w:val="none" w:sz="0" w:space="0" w:color="auto"/>
        <w:right w:val="none" w:sz="0" w:space="0" w:color="auto"/>
      </w:divBdr>
    </w:div>
    <w:div w:id="794756557">
      <w:bodyDiv w:val="1"/>
      <w:marLeft w:val="0"/>
      <w:marRight w:val="0"/>
      <w:marTop w:val="0"/>
      <w:marBottom w:val="0"/>
      <w:divBdr>
        <w:top w:val="none" w:sz="0" w:space="0" w:color="auto"/>
        <w:left w:val="none" w:sz="0" w:space="0" w:color="auto"/>
        <w:bottom w:val="none" w:sz="0" w:space="0" w:color="auto"/>
        <w:right w:val="none" w:sz="0" w:space="0" w:color="auto"/>
      </w:divBdr>
    </w:div>
    <w:div w:id="806506143">
      <w:bodyDiv w:val="1"/>
      <w:marLeft w:val="0"/>
      <w:marRight w:val="0"/>
      <w:marTop w:val="0"/>
      <w:marBottom w:val="0"/>
      <w:divBdr>
        <w:top w:val="none" w:sz="0" w:space="0" w:color="auto"/>
        <w:left w:val="none" w:sz="0" w:space="0" w:color="auto"/>
        <w:bottom w:val="none" w:sz="0" w:space="0" w:color="auto"/>
        <w:right w:val="none" w:sz="0" w:space="0" w:color="auto"/>
      </w:divBdr>
      <w:divsChild>
        <w:div w:id="1342511564">
          <w:marLeft w:val="0"/>
          <w:marRight w:val="0"/>
          <w:marTop w:val="0"/>
          <w:marBottom w:val="0"/>
          <w:divBdr>
            <w:top w:val="none" w:sz="0" w:space="0" w:color="auto"/>
            <w:left w:val="none" w:sz="0" w:space="0" w:color="auto"/>
            <w:bottom w:val="none" w:sz="0" w:space="0" w:color="auto"/>
            <w:right w:val="none" w:sz="0" w:space="0" w:color="auto"/>
          </w:divBdr>
          <w:divsChild>
            <w:div w:id="1832410040">
              <w:marLeft w:val="0"/>
              <w:marRight w:val="0"/>
              <w:marTop w:val="0"/>
              <w:marBottom w:val="0"/>
              <w:divBdr>
                <w:top w:val="none" w:sz="0" w:space="0" w:color="auto"/>
                <w:left w:val="none" w:sz="0" w:space="0" w:color="auto"/>
                <w:bottom w:val="none" w:sz="0" w:space="0" w:color="auto"/>
                <w:right w:val="none" w:sz="0" w:space="0" w:color="auto"/>
              </w:divBdr>
              <w:divsChild>
                <w:div w:id="920791062">
                  <w:marLeft w:val="0"/>
                  <w:marRight w:val="0"/>
                  <w:marTop w:val="0"/>
                  <w:marBottom w:val="0"/>
                  <w:divBdr>
                    <w:top w:val="none" w:sz="0" w:space="0" w:color="auto"/>
                    <w:left w:val="none" w:sz="0" w:space="0" w:color="auto"/>
                    <w:bottom w:val="none" w:sz="0" w:space="0" w:color="auto"/>
                    <w:right w:val="none" w:sz="0" w:space="0" w:color="auto"/>
                  </w:divBdr>
                  <w:divsChild>
                    <w:div w:id="286133327">
                      <w:marLeft w:val="0"/>
                      <w:marRight w:val="0"/>
                      <w:marTop w:val="0"/>
                      <w:marBottom w:val="0"/>
                      <w:divBdr>
                        <w:top w:val="single" w:sz="48" w:space="0" w:color="auto"/>
                        <w:left w:val="single" w:sz="48" w:space="0" w:color="auto"/>
                        <w:bottom w:val="single" w:sz="48" w:space="0" w:color="auto"/>
                        <w:right w:val="single" w:sz="48" w:space="0" w:color="auto"/>
                      </w:divBdr>
                      <w:divsChild>
                        <w:div w:id="640382878">
                          <w:marLeft w:val="0"/>
                          <w:marRight w:val="0"/>
                          <w:marTop w:val="0"/>
                          <w:marBottom w:val="0"/>
                          <w:divBdr>
                            <w:top w:val="none" w:sz="0" w:space="0" w:color="auto"/>
                            <w:left w:val="none" w:sz="0" w:space="0" w:color="auto"/>
                            <w:bottom w:val="none" w:sz="0" w:space="0" w:color="auto"/>
                            <w:right w:val="none" w:sz="0" w:space="0" w:color="auto"/>
                          </w:divBdr>
                          <w:divsChild>
                            <w:div w:id="1737119781">
                              <w:marLeft w:val="0"/>
                              <w:marRight w:val="0"/>
                              <w:marTop w:val="0"/>
                              <w:marBottom w:val="0"/>
                              <w:divBdr>
                                <w:top w:val="none" w:sz="0" w:space="0" w:color="auto"/>
                                <w:left w:val="none" w:sz="0" w:space="0" w:color="auto"/>
                                <w:bottom w:val="none" w:sz="0" w:space="0" w:color="auto"/>
                                <w:right w:val="none" w:sz="0" w:space="0" w:color="auto"/>
                              </w:divBdr>
                              <w:divsChild>
                                <w:div w:id="427119162">
                                  <w:marLeft w:val="0"/>
                                  <w:marRight w:val="0"/>
                                  <w:marTop w:val="0"/>
                                  <w:marBottom w:val="0"/>
                                  <w:divBdr>
                                    <w:top w:val="none" w:sz="0" w:space="0" w:color="auto"/>
                                    <w:left w:val="none" w:sz="0" w:space="0" w:color="auto"/>
                                    <w:bottom w:val="none" w:sz="0" w:space="0" w:color="auto"/>
                                    <w:right w:val="none" w:sz="0" w:space="0" w:color="auto"/>
                                  </w:divBdr>
                                </w:div>
                                <w:div w:id="647511774">
                                  <w:marLeft w:val="0"/>
                                  <w:marRight w:val="0"/>
                                  <w:marTop w:val="0"/>
                                  <w:marBottom w:val="0"/>
                                  <w:divBdr>
                                    <w:top w:val="none" w:sz="0" w:space="0" w:color="auto"/>
                                    <w:left w:val="none" w:sz="0" w:space="0" w:color="auto"/>
                                    <w:bottom w:val="none" w:sz="0" w:space="0" w:color="auto"/>
                                    <w:right w:val="none" w:sz="0" w:space="0" w:color="auto"/>
                                  </w:divBdr>
                                </w:div>
                                <w:div w:id="158317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6241625">
      <w:bodyDiv w:val="1"/>
      <w:marLeft w:val="0"/>
      <w:marRight w:val="0"/>
      <w:marTop w:val="0"/>
      <w:marBottom w:val="0"/>
      <w:divBdr>
        <w:top w:val="none" w:sz="0" w:space="0" w:color="auto"/>
        <w:left w:val="none" w:sz="0" w:space="0" w:color="auto"/>
        <w:bottom w:val="none" w:sz="0" w:space="0" w:color="auto"/>
        <w:right w:val="none" w:sz="0" w:space="0" w:color="auto"/>
      </w:divBdr>
    </w:div>
    <w:div w:id="845709082">
      <w:bodyDiv w:val="1"/>
      <w:marLeft w:val="0"/>
      <w:marRight w:val="0"/>
      <w:marTop w:val="0"/>
      <w:marBottom w:val="0"/>
      <w:divBdr>
        <w:top w:val="none" w:sz="0" w:space="0" w:color="auto"/>
        <w:left w:val="none" w:sz="0" w:space="0" w:color="auto"/>
        <w:bottom w:val="none" w:sz="0" w:space="0" w:color="auto"/>
        <w:right w:val="none" w:sz="0" w:space="0" w:color="auto"/>
      </w:divBdr>
      <w:divsChild>
        <w:div w:id="1363552013">
          <w:marLeft w:val="0"/>
          <w:marRight w:val="0"/>
          <w:marTop w:val="0"/>
          <w:marBottom w:val="0"/>
          <w:divBdr>
            <w:top w:val="none" w:sz="0" w:space="0" w:color="auto"/>
            <w:left w:val="none" w:sz="0" w:space="0" w:color="auto"/>
            <w:bottom w:val="none" w:sz="0" w:space="0" w:color="auto"/>
            <w:right w:val="none" w:sz="0" w:space="0" w:color="auto"/>
          </w:divBdr>
          <w:divsChild>
            <w:div w:id="853767685">
              <w:marLeft w:val="-225"/>
              <w:marRight w:val="-225"/>
              <w:marTop w:val="0"/>
              <w:marBottom w:val="0"/>
              <w:divBdr>
                <w:top w:val="none" w:sz="0" w:space="0" w:color="auto"/>
                <w:left w:val="none" w:sz="0" w:space="0" w:color="auto"/>
                <w:bottom w:val="none" w:sz="0" w:space="0" w:color="auto"/>
                <w:right w:val="none" w:sz="0" w:space="0" w:color="auto"/>
              </w:divBdr>
              <w:divsChild>
                <w:div w:id="1455901486">
                  <w:marLeft w:val="0"/>
                  <w:marRight w:val="0"/>
                  <w:marTop w:val="0"/>
                  <w:marBottom w:val="0"/>
                  <w:divBdr>
                    <w:top w:val="none" w:sz="0" w:space="0" w:color="auto"/>
                    <w:left w:val="none" w:sz="0" w:space="0" w:color="auto"/>
                    <w:bottom w:val="none" w:sz="0" w:space="0" w:color="auto"/>
                    <w:right w:val="none" w:sz="0" w:space="0" w:color="auto"/>
                  </w:divBdr>
                  <w:divsChild>
                    <w:div w:id="1059207694">
                      <w:marLeft w:val="0"/>
                      <w:marRight w:val="0"/>
                      <w:marTop w:val="0"/>
                      <w:marBottom w:val="0"/>
                      <w:divBdr>
                        <w:top w:val="none" w:sz="0" w:space="0" w:color="auto"/>
                        <w:left w:val="none" w:sz="0" w:space="0" w:color="auto"/>
                        <w:bottom w:val="none" w:sz="0" w:space="0" w:color="auto"/>
                        <w:right w:val="none" w:sz="0" w:space="0" w:color="auto"/>
                      </w:divBdr>
                      <w:divsChild>
                        <w:div w:id="31736618">
                          <w:marLeft w:val="0"/>
                          <w:marRight w:val="0"/>
                          <w:marTop w:val="0"/>
                          <w:marBottom w:val="0"/>
                          <w:divBdr>
                            <w:top w:val="none" w:sz="0" w:space="0" w:color="auto"/>
                            <w:left w:val="none" w:sz="0" w:space="0" w:color="auto"/>
                            <w:bottom w:val="none" w:sz="0" w:space="0" w:color="auto"/>
                            <w:right w:val="none" w:sz="0" w:space="0" w:color="auto"/>
                          </w:divBdr>
                          <w:divsChild>
                            <w:div w:id="256209107">
                              <w:marLeft w:val="0"/>
                              <w:marRight w:val="0"/>
                              <w:marTop w:val="0"/>
                              <w:marBottom w:val="0"/>
                              <w:divBdr>
                                <w:top w:val="none" w:sz="0" w:space="0" w:color="auto"/>
                                <w:left w:val="none" w:sz="0" w:space="0" w:color="auto"/>
                                <w:bottom w:val="none" w:sz="0" w:space="0" w:color="auto"/>
                                <w:right w:val="none" w:sz="0" w:space="0" w:color="auto"/>
                              </w:divBdr>
                              <w:divsChild>
                                <w:div w:id="2084638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6723760">
      <w:bodyDiv w:val="1"/>
      <w:marLeft w:val="0"/>
      <w:marRight w:val="0"/>
      <w:marTop w:val="0"/>
      <w:marBottom w:val="0"/>
      <w:divBdr>
        <w:top w:val="none" w:sz="0" w:space="0" w:color="auto"/>
        <w:left w:val="none" w:sz="0" w:space="0" w:color="auto"/>
        <w:bottom w:val="none" w:sz="0" w:space="0" w:color="auto"/>
        <w:right w:val="none" w:sz="0" w:space="0" w:color="auto"/>
      </w:divBdr>
      <w:divsChild>
        <w:div w:id="1349328309">
          <w:marLeft w:val="0"/>
          <w:marRight w:val="0"/>
          <w:marTop w:val="0"/>
          <w:marBottom w:val="0"/>
          <w:divBdr>
            <w:top w:val="none" w:sz="0" w:space="0" w:color="auto"/>
            <w:left w:val="none" w:sz="0" w:space="0" w:color="auto"/>
            <w:bottom w:val="none" w:sz="0" w:space="0" w:color="auto"/>
            <w:right w:val="none" w:sz="0" w:space="0" w:color="auto"/>
          </w:divBdr>
          <w:divsChild>
            <w:div w:id="1869903415">
              <w:marLeft w:val="0"/>
              <w:marRight w:val="0"/>
              <w:marTop w:val="0"/>
              <w:marBottom w:val="0"/>
              <w:divBdr>
                <w:top w:val="none" w:sz="0" w:space="0" w:color="auto"/>
                <w:left w:val="none" w:sz="0" w:space="0" w:color="auto"/>
                <w:bottom w:val="none" w:sz="0" w:space="0" w:color="auto"/>
                <w:right w:val="none" w:sz="0" w:space="0" w:color="auto"/>
              </w:divBdr>
              <w:divsChild>
                <w:div w:id="849415996">
                  <w:marLeft w:val="0"/>
                  <w:marRight w:val="0"/>
                  <w:marTop w:val="0"/>
                  <w:marBottom w:val="0"/>
                  <w:divBdr>
                    <w:top w:val="none" w:sz="0" w:space="0" w:color="auto"/>
                    <w:left w:val="none" w:sz="0" w:space="0" w:color="auto"/>
                    <w:bottom w:val="none" w:sz="0" w:space="0" w:color="auto"/>
                    <w:right w:val="none" w:sz="0" w:space="0" w:color="auto"/>
                  </w:divBdr>
                  <w:divsChild>
                    <w:div w:id="268898556">
                      <w:marLeft w:val="0"/>
                      <w:marRight w:val="0"/>
                      <w:marTop w:val="0"/>
                      <w:marBottom w:val="0"/>
                      <w:divBdr>
                        <w:top w:val="none" w:sz="0" w:space="0" w:color="auto"/>
                        <w:left w:val="none" w:sz="0" w:space="0" w:color="auto"/>
                        <w:bottom w:val="none" w:sz="0" w:space="0" w:color="auto"/>
                        <w:right w:val="none" w:sz="0" w:space="0" w:color="auto"/>
                      </w:divBdr>
                      <w:divsChild>
                        <w:div w:id="1746605571">
                          <w:marLeft w:val="0"/>
                          <w:marRight w:val="0"/>
                          <w:marTop w:val="0"/>
                          <w:marBottom w:val="0"/>
                          <w:divBdr>
                            <w:top w:val="none" w:sz="0" w:space="0" w:color="auto"/>
                            <w:left w:val="none" w:sz="0" w:space="0" w:color="auto"/>
                            <w:bottom w:val="none" w:sz="0" w:space="0" w:color="auto"/>
                            <w:right w:val="none" w:sz="0" w:space="0" w:color="auto"/>
                          </w:divBdr>
                          <w:divsChild>
                            <w:div w:id="2046246435">
                              <w:marLeft w:val="0"/>
                              <w:marRight w:val="0"/>
                              <w:marTop w:val="0"/>
                              <w:marBottom w:val="0"/>
                              <w:divBdr>
                                <w:top w:val="none" w:sz="0" w:space="0" w:color="auto"/>
                                <w:left w:val="none" w:sz="0" w:space="0" w:color="auto"/>
                                <w:bottom w:val="none" w:sz="0" w:space="0" w:color="auto"/>
                                <w:right w:val="none" w:sz="0" w:space="0" w:color="auto"/>
                              </w:divBdr>
                              <w:divsChild>
                                <w:div w:id="56786419">
                                  <w:marLeft w:val="0"/>
                                  <w:marRight w:val="0"/>
                                  <w:marTop w:val="0"/>
                                  <w:marBottom w:val="0"/>
                                  <w:divBdr>
                                    <w:top w:val="none" w:sz="0" w:space="0" w:color="auto"/>
                                    <w:left w:val="none" w:sz="0" w:space="0" w:color="auto"/>
                                    <w:bottom w:val="none" w:sz="0" w:space="0" w:color="auto"/>
                                    <w:right w:val="none" w:sz="0" w:space="0" w:color="auto"/>
                                  </w:divBdr>
                                  <w:divsChild>
                                    <w:div w:id="1899703416">
                                      <w:marLeft w:val="0"/>
                                      <w:marRight w:val="0"/>
                                      <w:marTop w:val="0"/>
                                      <w:marBottom w:val="0"/>
                                      <w:divBdr>
                                        <w:top w:val="none" w:sz="0" w:space="0" w:color="auto"/>
                                        <w:left w:val="none" w:sz="0" w:space="0" w:color="auto"/>
                                        <w:bottom w:val="none" w:sz="0" w:space="0" w:color="auto"/>
                                        <w:right w:val="none" w:sz="0" w:space="0" w:color="auto"/>
                                      </w:divBdr>
                                      <w:divsChild>
                                        <w:div w:id="1728645867">
                                          <w:marLeft w:val="0"/>
                                          <w:marRight w:val="0"/>
                                          <w:marTop w:val="0"/>
                                          <w:marBottom w:val="0"/>
                                          <w:divBdr>
                                            <w:top w:val="none" w:sz="0" w:space="0" w:color="auto"/>
                                            <w:left w:val="none" w:sz="0" w:space="0" w:color="auto"/>
                                            <w:bottom w:val="none" w:sz="0" w:space="0" w:color="auto"/>
                                            <w:right w:val="none" w:sz="0" w:space="0" w:color="auto"/>
                                          </w:divBdr>
                                          <w:divsChild>
                                            <w:div w:id="1021860292">
                                              <w:marLeft w:val="0"/>
                                              <w:marRight w:val="0"/>
                                              <w:marTop w:val="0"/>
                                              <w:marBottom w:val="0"/>
                                              <w:divBdr>
                                                <w:top w:val="none" w:sz="0" w:space="0" w:color="auto"/>
                                                <w:left w:val="none" w:sz="0" w:space="0" w:color="auto"/>
                                                <w:bottom w:val="none" w:sz="0" w:space="0" w:color="auto"/>
                                                <w:right w:val="none" w:sz="0" w:space="0" w:color="auto"/>
                                              </w:divBdr>
                                              <w:divsChild>
                                                <w:div w:id="215363999">
                                                  <w:marLeft w:val="0"/>
                                                  <w:marRight w:val="0"/>
                                                  <w:marTop w:val="0"/>
                                                  <w:marBottom w:val="0"/>
                                                  <w:divBdr>
                                                    <w:top w:val="none" w:sz="0" w:space="0" w:color="auto"/>
                                                    <w:left w:val="none" w:sz="0" w:space="0" w:color="auto"/>
                                                    <w:bottom w:val="none" w:sz="0" w:space="0" w:color="auto"/>
                                                    <w:right w:val="none" w:sz="0" w:space="0" w:color="auto"/>
                                                  </w:divBdr>
                                                  <w:divsChild>
                                                    <w:div w:id="380523356">
                                                      <w:marLeft w:val="0"/>
                                                      <w:marRight w:val="0"/>
                                                      <w:marTop w:val="0"/>
                                                      <w:marBottom w:val="0"/>
                                                      <w:divBdr>
                                                        <w:top w:val="none" w:sz="0" w:space="0" w:color="auto"/>
                                                        <w:left w:val="none" w:sz="0" w:space="0" w:color="auto"/>
                                                        <w:bottom w:val="none" w:sz="0" w:space="0" w:color="auto"/>
                                                        <w:right w:val="none" w:sz="0" w:space="0" w:color="auto"/>
                                                      </w:divBdr>
                                                      <w:divsChild>
                                                        <w:div w:id="1280650117">
                                                          <w:marLeft w:val="0"/>
                                                          <w:marRight w:val="0"/>
                                                          <w:marTop w:val="0"/>
                                                          <w:marBottom w:val="0"/>
                                                          <w:divBdr>
                                                            <w:top w:val="none" w:sz="0" w:space="0" w:color="auto"/>
                                                            <w:left w:val="none" w:sz="0" w:space="0" w:color="auto"/>
                                                            <w:bottom w:val="none" w:sz="0" w:space="0" w:color="auto"/>
                                                            <w:right w:val="none" w:sz="0" w:space="0" w:color="auto"/>
                                                          </w:divBdr>
                                                          <w:divsChild>
                                                            <w:div w:id="1061363229">
                                                              <w:marLeft w:val="0"/>
                                                              <w:marRight w:val="0"/>
                                                              <w:marTop w:val="0"/>
                                                              <w:marBottom w:val="0"/>
                                                              <w:divBdr>
                                                                <w:top w:val="none" w:sz="0" w:space="0" w:color="auto"/>
                                                                <w:left w:val="none" w:sz="0" w:space="0" w:color="auto"/>
                                                                <w:bottom w:val="none" w:sz="0" w:space="0" w:color="auto"/>
                                                                <w:right w:val="none" w:sz="0" w:space="0" w:color="auto"/>
                                                              </w:divBdr>
                                                              <w:divsChild>
                                                                <w:div w:id="820002838">
                                                                  <w:marLeft w:val="0"/>
                                                                  <w:marRight w:val="75"/>
                                                                  <w:marTop w:val="0"/>
                                                                  <w:marBottom w:val="0"/>
                                                                  <w:divBdr>
                                                                    <w:top w:val="none" w:sz="0" w:space="0" w:color="auto"/>
                                                                    <w:left w:val="none" w:sz="0" w:space="0" w:color="auto"/>
                                                                    <w:bottom w:val="none" w:sz="0" w:space="0" w:color="auto"/>
                                                                    <w:right w:val="none" w:sz="0" w:space="0" w:color="auto"/>
                                                                  </w:divBdr>
                                                                </w:div>
                                                                <w:div w:id="1703483265">
                                                                  <w:marLeft w:val="0"/>
                                                                  <w:marRight w:val="0"/>
                                                                  <w:marTop w:val="0"/>
                                                                  <w:marBottom w:val="0"/>
                                                                  <w:divBdr>
                                                                    <w:top w:val="none" w:sz="0" w:space="0" w:color="auto"/>
                                                                    <w:left w:val="none" w:sz="0" w:space="0" w:color="auto"/>
                                                                    <w:bottom w:val="none" w:sz="0" w:space="0" w:color="auto"/>
                                                                    <w:right w:val="none" w:sz="0" w:space="0" w:color="auto"/>
                                                                  </w:divBdr>
                                                                  <w:divsChild>
                                                                    <w:div w:id="28654324">
                                                                      <w:marLeft w:val="0"/>
                                                                      <w:marRight w:val="0"/>
                                                                      <w:marTop w:val="0"/>
                                                                      <w:marBottom w:val="0"/>
                                                                      <w:divBdr>
                                                                        <w:top w:val="none" w:sz="0" w:space="0" w:color="auto"/>
                                                                        <w:left w:val="none" w:sz="0" w:space="0" w:color="auto"/>
                                                                        <w:bottom w:val="none" w:sz="0" w:space="0" w:color="auto"/>
                                                                        <w:right w:val="none" w:sz="0" w:space="0" w:color="auto"/>
                                                                      </w:divBdr>
                                                                    </w:div>
                                                                    <w:div w:id="184757536">
                                                                      <w:marLeft w:val="0"/>
                                                                      <w:marRight w:val="0"/>
                                                                      <w:marTop w:val="0"/>
                                                                      <w:marBottom w:val="0"/>
                                                                      <w:divBdr>
                                                                        <w:top w:val="none" w:sz="0" w:space="0" w:color="auto"/>
                                                                        <w:left w:val="none" w:sz="0" w:space="0" w:color="auto"/>
                                                                        <w:bottom w:val="none" w:sz="0" w:space="0" w:color="auto"/>
                                                                        <w:right w:val="none" w:sz="0" w:space="0" w:color="auto"/>
                                                                      </w:divBdr>
                                                                    </w:div>
                                                                    <w:div w:id="393817722">
                                                                      <w:marLeft w:val="0"/>
                                                                      <w:marRight w:val="0"/>
                                                                      <w:marTop w:val="0"/>
                                                                      <w:marBottom w:val="0"/>
                                                                      <w:divBdr>
                                                                        <w:top w:val="none" w:sz="0" w:space="0" w:color="auto"/>
                                                                        <w:left w:val="none" w:sz="0" w:space="0" w:color="auto"/>
                                                                        <w:bottom w:val="none" w:sz="0" w:space="0" w:color="auto"/>
                                                                        <w:right w:val="none" w:sz="0" w:space="0" w:color="auto"/>
                                                                      </w:divBdr>
                                                                    </w:div>
                                                                    <w:div w:id="876045105">
                                                                      <w:marLeft w:val="0"/>
                                                                      <w:marRight w:val="0"/>
                                                                      <w:marTop w:val="0"/>
                                                                      <w:marBottom w:val="0"/>
                                                                      <w:divBdr>
                                                                        <w:top w:val="none" w:sz="0" w:space="0" w:color="auto"/>
                                                                        <w:left w:val="none" w:sz="0" w:space="0" w:color="auto"/>
                                                                        <w:bottom w:val="none" w:sz="0" w:space="0" w:color="auto"/>
                                                                        <w:right w:val="none" w:sz="0" w:space="0" w:color="auto"/>
                                                                      </w:divBdr>
                                                                    </w:div>
                                                                    <w:div w:id="1105348749">
                                                                      <w:marLeft w:val="0"/>
                                                                      <w:marRight w:val="0"/>
                                                                      <w:marTop w:val="0"/>
                                                                      <w:marBottom w:val="0"/>
                                                                      <w:divBdr>
                                                                        <w:top w:val="none" w:sz="0" w:space="0" w:color="auto"/>
                                                                        <w:left w:val="none" w:sz="0" w:space="0" w:color="auto"/>
                                                                        <w:bottom w:val="none" w:sz="0" w:space="0" w:color="auto"/>
                                                                        <w:right w:val="none" w:sz="0" w:space="0" w:color="auto"/>
                                                                      </w:divBdr>
                                                                    </w:div>
                                                                    <w:div w:id="1117411678">
                                                                      <w:marLeft w:val="0"/>
                                                                      <w:marRight w:val="0"/>
                                                                      <w:marTop w:val="0"/>
                                                                      <w:marBottom w:val="0"/>
                                                                      <w:divBdr>
                                                                        <w:top w:val="none" w:sz="0" w:space="0" w:color="auto"/>
                                                                        <w:left w:val="none" w:sz="0" w:space="0" w:color="auto"/>
                                                                        <w:bottom w:val="none" w:sz="0" w:space="0" w:color="auto"/>
                                                                        <w:right w:val="none" w:sz="0" w:space="0" w:color="auto"/>
                                                                      </w:divBdr>
                                                                    </w:div>
                                                                    <w:div w:id="1205559724">
                                                                      <w:marLeft w:val="0"/>
                                                                      <w:marRight w:val="0"/>
                                                                      <w:marTop w:val="0"/>
                                                                      <w:marBottom w:val="0"/>
                                                                      <w:divBdr>
                                                                        <w:top w:val="none" w:sz="0" w:space="0" w:color="auto"/>
                                                                        <w:left w:val="none" w:sz="0" w:space="0" w:color="auto"/>
                                                                        <w:bottom w:val="none" w:sz="0" w:space="0" w:color="auto"/>
                                                                        <w:right w:val="none" w:sz="0" w:space="0" w:color="auto"/>
                                                                      </w:divBdr>
                                                                    </w:div>
                                                                    <w:div w:id="1870607018">
                                                                      <w:marLeft w:val="0"/>
                                                                      <w:marRight w:val="0"/>
                                                                      <w:marTop w:val="0"/>
                                                                      <w:marBottom w:val="0"/>
                                                                      <w:divBdr>
                                                                        <w:top w:val="none" w:sz="0" w:space="0" w:color="auto"/>
                                                                        <w:left w:val="none" w:sz="0" w:space="0" w:color="auto"/>
                                                                        <w:bottom w:val="none" w:sz="0" w:space="0" w:color="auto"/>
                                                                        <w:right w:val="none" w:sz="0" w:space="0" w:color="auto"/>
                                                                      </w:divBdr>
                                                                      <w:divsChild>
                                                                        <w:div w:id="420878930">
                                                                          <w:marLeft w:val="0"/>
                                                                          <w:marRight w:val="0"/>
                                                                          <w:marTop w:val="0"/>
                                                                          <w:marBottom w:val="0"/>
                                                                          <w:divBdr>
                                                                            <w:top w:val="none" w:sz="0" w:space="0" w:color="auto"/>
                                                                            <w:left w:val="none" w:sz="0" w:space="0" w:color="auto"/>
                                                                            <w:bottom w:val="none" w:sz="0" w:space="0" w:color="auto"/>
                                                                            <w:right w:val="none" w:sz="0" w:space="0" w:color="auto"/>
                                                                          </w:divBdr>
                                                                          <w:divsChild>
                                                                            <w:div w:id="392236032">
                                                                              <w:marLeft w:val="0"/>
                                                                              <w:marRight w:val="0"/>
                                                                              <w:marTop w:val="0"/>
                                                                              <w:marBottom w:val="0"/>
                                                                              <w:divBdr>
                                                                                <w:top w:val="none" w:sz="0" w:space="0" w:color="auto"/>
                                                                                <w:left w:val="none" w:sz="0" w:space="0" w:color="auto"/>
                                                                                <w:bottom w:val="none" w:sz="0" w:space="0" w:color="auto"/>
                                                                                <w:right w:val="none" w:sz="0" w:space="0" w:color="auto"/>
                                                                              </w:divBdr>
                                                                            </w:div>
                                                                            <w:div w:id="2017998956">
                                                                              <w:marLeft w:val="0"/>
                                                                              <w:marRight w:val="0"/>
                                                                              <w:marTop w:val="0"/>
                                                                              <w:marBottom w:val="0"/>
                                                                              <w:divBdr>
                                                                                <w:top w:val="none" w:sz="0" w:space="0" w:color="auto"/>
                                                                                <w:left w:val="none" w:sz="0" w:space="0" w:color="auto"/>
                                                                                <w:bottom w:val="none" w:sz="0" w:space="0" w:color="auto"/>
                                                                                <w:right w:val="none" w:sz="0" w:space="0" w:color="auto"/>
                                                                              </w:divBdr>
                                                                            </w:div>
                                                                          </w:divsChild>
                                                                        </w:div>
                                                                        <w:div w:id="1105809665">
                                                                          <w:marLeft w:val="0"/>
                                                                          <w:marRight w:val="0"/>
                                                                          <w:marTop w:val="0"/>
                                                                          <w:marBottom w:val="0"/>
                                                                          <w:divBdr>
                                                                            <w:top w:val="none" w:sz="0" w:space="0" w:color="auto"/>
                                                                            <w:left w:val="none" w:sz="0" w:space="0" w:color="auto"/>
                                                                            <w:bottom w:val="none" w:sz="0" w:space="0" w:color="auto"/>
                                                                            <w:right w:val="none" w:sz="0" w:space="0" w:color="auto"/>
                                                                          </w:divBdr>
                                                                          <w:divsChild>
                                                                            <w:div w:id="1437363393">
                                                                              <w:marLeft w:val="0"/>
                                                                              <w:marRight w:val="0"/>
                                                                              <w:marTop w:val="0"/>
                                                                              <w:marBottom w:val="0"/>
                                                                              <w:divBdr>
                                                                                <w:top w:val="none" w:sz="0" w:space="0" w:color="auto"/>
                                                                                <w:left w:val="none" w:sz="0" w:space="0" w:color="auto"/>
                                                                                <w:bottom w:val="none" w:sz="0" w:space="0" w:color="auto"/>
                                                                                <w:right w:val="none" w:sz="0" w:space="0" w:color="auto"/>
                                                                              </w:divBdr>
                                                                            </w:div>
                                                                            <w:div w:id="1471677095">
                                                                              <w:marLeft w:val="0"/>
                                                                              <w:marRight w:val="0"/>
                                                                              <w:marTop w:val="0"/>
                                                                              <w:marBottom w:val="0"/>
                                                                              <w:divBdr>
                                                                                <w:top w:val="none" w:sz="0" w:space="0" w:color="auto"/>
                                                                                <w:left w:val="none" w:sz="0" w:space="0" w:color="auto"/>
                                                                                <w:bottom w:val="none" w:sz="0" w:space="0" w:color="auto"/>
                                                                                <w:right w:val="none" w:sz="0" w:space="0" w:color="auto"/>
                                                                              </w:divBdr>
                                                                            </w:div>
                                                                          </w:divsChild>
                                                                        </w:div>
                                                                        <w:div w:id="1115631949">
                                                                          <w:marLeft w:val="0"/>
                                                                          <w:marRight w:val="0"/>
                                                                          <w:marTop w:val="0"/>
                                                                          <w:marBottom w:val="0"/>
                                                                          <w:divBdr>
                                                                            <w:top w:val="none" w:sz="0" w:space="0" w:color="auto"/>
                                                                            <w:left w:val="none" w:sz="0" w:space="0" w:color="auto"/>
                                                                            <w:bottom w:val="none" w:sz="0" w:space="0" w:color="auto"/>
                                                                            <w:right w:val="none" w:sz="0" w:space="0" w:color="auto"/>
                                                                          </w:divBdr>
                                                                          <w:divsChild>
                                                                            <w:div w:id="653491728">
                                                                              <w:marLeft w:val="0"/>
                                                                              <w:marRight w:val="0"/>
                                                                              <w:marTop w:val="0"/>
                                                                              <w:marBottom w:val="0"/>
                                                                              <w:divBdr>
                                                                                <w:top w:val="none" w:sz="0" w:space="0" w:color="auto"/>
                                                                                <w:left w:val="none" w:sz="0" w:space="0" w:color="auto"/>
                                                                                <w:bottom w:val="none" w:sz="0" w:space="0" w:color="auto"/>
                                                                                <w:right w:val="none" w:sz="0" w:space="0" w:color="auto"/>
                                                                              </w:divBdr>
                                                                            </w:div>
                                                                            <w:div w:id="1232153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0418155">
                                                      <w:marLeft w:val="0"/>
                                                      <w:marRight w:val="0"/>
                                                      <w:marTop w:val="0"/>
                                                      <w:marBottom w:val="0"/>
                                                      <w:divBdr>
                                                        <w:top w:val="none" w:sz="0" w:space="0" w:color="auto"/>
                                                        <w:left w:val="none" w:sz="0" w:space="0" w:color="auto"/>
                                                        <w:bottom w:val="none" w:sz="0" w:space="0" w:color="auto"/>
                                                        <w:right w:val="none" w:sz="0" w:space="0" w:color="auto"/>
                                                      </w:divBdr>
                                                      <w:divsChild>
                                                        <w:div w:id="2119134715">
                                                          <w:marLeft w:val="0"/>
                                                          <w:marRight w:val="0"/>
                                                          <w:marTop w:val="0"/>
                                                          <w:marBottom w:val="0"/>
                                                          <w:divBdr>
                                                            <w:top w:val="none" w:sz="0" w:space="0" w:color="auto"/>
                                                            <w:left w:val="none" w:sz="0" w:space="0" w:color="auto"/>
                                                            <w:bottom w:val="none" w:sz="0" w:space="0" w:color="auto"/>
                                                            <w:right w:val="none" w:sz="0" w:space="0" w:color="auto"/>
                                                          </w:divBdr>
                                                          <w:divsChild>
                                                            <w:div w:id="2082362571">
                                                              <w:marLeft w:val="0"/>
                                                              <w:marRight w:val="0"/>
                                                              <w:marTop w:val="0"/>
                                                              <w:marBottom w:val="0"/>
                                                              <w:divBdr>
                                                                <w:top w:val="none" w:sz="0" w:space="0" w:color="auto"/>
                                                                <w:left w:val="none" w:sz="0" w:space="0" w:color="auto"/>
                                                                <w:bottom w:val="none" w:sz="0" w:space="0" w:color="auto"/>
                                                                <w:right w:val="none" w:sz="0" w:space="0" w:color="auto"/>
                                                              </w:divBdr>
                                                              <w:divsChild>
                                                                <w:div w:id="407576044">
                                                                  <w:marLeft w:val="0"/>
                                                                  <w:marRight w:val="0"/>
                                                                  <w:marTop w:val="0"/>
                                                                  <w:marBottom w:val="0"/>
                                                                  <w:divBdr>
                                                                    <w:top w:val="none" w:sz="0" w:space="0" w:color="auto"/>
                                                                    <w:left w:val="none" w:sz="0" w:space="0" w:color="auto"/>
                                                                    <w:bottom w:val="none" w:sz="0" w:space="0" w:color="auto"/>
                                                                    <w:right w:val="none" w:sz="0" w:space="0" w:color="auto"/>
                                                                  </w:divBdr>
                                                                  <w:divsChild>
                                                                    <w:div w:id="35206620">
                                                                      <w:marLeft w:val="0"/>
                                                                      <w:marRight w:val="0"/>
                                                                      <w:marTop w:val="0"/>
                                                                      <w:marBottom w:val="0"/>
                                                                      <w:divBdr>
                                                                        <w:top w:val="none" w:sz="0" w:space="0" w:color="auto"/>
                                                                        <w:left w:val="none" w:sz="0" w:space="0" w:color="auto"/>
                                                                        <w:bottom w:val="none" w:sz="0" w:space="0" w:color="auto"/>
                                                                        <w:right w:val="none" w:sz="0" w:space="0" w:color="auto"/>
                                                                      </w:divBdr>
                                                                    </w:div>
                                                                    <w:div w:id="450779811">
                                                                      <w:marLeft w:val="0"/>
                                                                      <w:marRight w:val="0"/>
                                                                      <w:marTop w:val="0"/>
                                                                      <w:marBottom w:val="0"/>
                                                                      <w:divBdr>
                                                                        <w:top w:val="none" w:sz="0" w:space="0" w:color="auto"/>
                                                                        <w:left w:val="none" w:sz="0" w:space="0" w:color="auto"/>
                                                                        <w:bottom w:val="none" w:sz="0" w:space="0" w:color="auto"/>
                                                                        <w:right w:val="none" w:sz="0" w:space="0" w:color="auto"/>
                                                                      </w:divBdr>
                                                                    </w:div>
                                                                    <w:div w:id="1121193928">
                                                                      <w:marLeft w:val="0"/>
                                                                      <w:marRight w:val="0"/>
                                                                      <w:marTop w:val="0"/>
                                                                      <w:marBottom w:val="0"/>
                                                                      <w:divBdr>
                                                                        <w:top w:val="none" w:sz="0" w:space="0" w:color="auto"/>
                                                                        <w:left w:val="none" w:sz="0" w:space="0" w:color="auto"/>
                                                                        <w:bottom w:val="none" w:sz="0" w:space="0" w:color="auto"/>
                                                                        <w:right w:val="none" w:sz="0" w:space="0" w:color="auto"/>
                                                                      </w:divBdr>
                                                                    </w:div>
                                                                    <w:div w:id="1444836760">
                                                                      <w:marLeft w:val="0"/>
                                                                      <w:marRight w:val="0"/>
                                                                      <w:marTop w:val="0"/>
                                                                      <w:marBottom w:val="0"/>
                                                                      <w:divBdr>
                                                                        <w:top w:val="none" w:sz="0" w:space="0" w:color="auto"/>
                                                                        <w:left w:val="none" w:sz="0" w:space="0" w:color="auto"/>
                                                                        <w:bottom w:val="none" w:sz="0" w:space="0" w:color="auto"/>
                                                                        <w:right w:val="none" w:sz="0" w:space="0" w:color="auto"/>
                                                                      </w:divBdr>
                                                                    </w:div>
                                                                    <w:div w:id="1525248808">
                                                                      <w:marLeft w:val="0"/>
                                                                      <w:marRight w:val="0"/>
                                                                      <w:marTop w:val="0"/>
                                                                      <w:marBottom w:val="0"/>
                                                                      <w:divBdr>
                                                                        <w:top w:val="none" w:sz="0" w:space="0" w:color="auto"/>
                                                                        <w:left w:val="none" w:sz="0" w:space="0" w:color="auto"/>
                                                                        <w:bottom w:val="none" w:sz="0" w:space="0" w:color="auto"/>
                                                                        <w:right w:val="none" w:sz="0" w:space="0" w:color="auto"/>
                                                                      </w:divBdr>
                                                                      <w:divsChild>
                                                                        <w:div w:id="647829363">
                                                                          <w:marLeft w:val="0"/>
                                                                          <w:marRight w:val="0"/>
                                                                          <w:marTop w:val="0"/>
                                                                          <w:marBottom w:val="0"/>
                                                                          <w:divBdr>
                                                                            <w:top w:val="none" w:sz="0" w:space="0" w:color="auto"/>
                                                                            <w:left w:val="none" w:sz="0" w:space="0" w:color="auto"/>
                                                                            <w:bottom w:val="none" w:sz="0" w:space="0" w:color="auto"/>
                                                                            <w:right w:val="none" w:sz="0" w:space="0" w:color="auto"/>
                                                                          </w:divBdr>
                                                                          <w:divsChild>
                                                                            <w:div w:id="1980070922">
                                                                              <w:marLeft w:val="0"/>
                                                                              <w:marRight w:val="0"/>
                                                                              <w:marTop w:val="0"/>
                                                                              <w:marBottom w:val="0"/>
                                                                              <w:divBdr>
                                                                                <w:top w:val="none" w:sz="0" w:space="0" w:color="auto"/>
                                                                                <w:left w:val="none" w:sz="0" w:space="0" w:color="auto"/>
                                                                                <w:bottom w:val="none" w:sz="0" w:space="0" w:color="auto"/>
                                                                                <w:right w:val="none" w:sz="0" w:space="0" w:color="auto"/>
                                                                              </w:divBdr>
                                                                            </w:div>
                                                                            <w:div w:id="2129004524">
                                                                              <w:marLeft w:val="0"/>
                                                                              <w:marRight w:val="0"/>
                                                                              <w:marTop w:val="0"/>
                                                                              <w:marBottom w:val="0"/>
                                                                              <w:divBdr>
                                                                                <w:top w:val="none" w:sz="0" w:space="0" w:color="auto"/>
                                                                                <w:left w:val="none" w:sz="0" w:space="0" w:color="auto"/>
                                                                                <w:bottom w:val="none" w:sz="0" w:space="0" w:color="auto"/>
                                                                                <w:right w:val="none" w:sz="0" w:space="0" w:color="auto"/>
                                                                              </w:divBdr>
                                                                            </w:div>
                                                                          </w:divsChild>
                                                                        </w:div>
                                                                        <w:div w:id="1359698589">
                                                                          <w:marLeft w:val="0"/>
                                                                          <w:marRight w:val="0"/>
                                                                          <w:marTop w:val="0"/>
                                                                          <w:marBottom w:val="0"/>
                                                                          <w:divBdr>
                                                                            <w:top w:val="none" w:sz="0" w:space="0" w:color="auto"/>
                                                                            <w:left w:val="none" w:sz="0" w:space="0" w:color="auto"/>
                                                                            <w:bottom w:val="none" w:sz="0" w:space="0" w:color="auto"/>
                                                                            <w:right w:val="none" w:sz="0" w:space="0" w:color="auto"/>
                                                                          </w:divBdr>
                                                                          <w:divsChild>
                                                                            <w:div w:id="28263341">
                                                                              <w:marLeft w:val="0"/>
                                                                              <w:marRight w:val="0"/>
                                                                              <w:marTop w:val="0"/>
                                                                              <w:marBottom w:val="0"/>
                                                                              <w:divBdr>
                                                                                <w:top w:val="none" w:sz="0" w:space="0" w:color="auto"/>
                                                                                <w:left w:val="none" w:sz="0" w:space="0" w:color="auto"/>
                                                                                <w:bottom w:val="none" w:sz="0" w:space="0" w:color="auto"/>
                                                                                <w:right w:val="none" w:sz="0" w:space="0" w:color="auto"/>
                                                                              </w:divBdr>
                                                                            </w:div>
                                                                            <w:div w:id="1035741330">
                                                                              <w:marLeft w:val="0"/>
                                                                              <w:marRight w:val="0"/>
                                                                              <w:marTop w:val="0"/>
                                                                              <w:marBottom w:val="0"/>
                                                                              <w:divBdr>
                                                                                <w:top w:val="none" w:sz="0" w:space="0" w:color="auto"/>
                                                                                <w:left w:val="none" w:sz="0" w:space="0" w:color="auto"/>
                                                                                <w:bottom w:val="none" w:sz="0" w:space="0" w:color="auto"/>
                                                                                <w:right w:val="none" w:sz="0" w:space="0" w:color="auto"/>
                                                                              </w:divBdr>
                                                                            </w:div>
                                                                          </w:divsChild>
                                                                        </w:div>
                                                                        <w:div w:id="1434520885">
                                                                          <w:marLeft w:val="0"/>
                                                                          <w:marRight w:val="0"/>
                                                                          <w:marTop w:val="0"/>
                                                                          <w:marBottom w:val="0"/>
                                                                          <w:divBdr>
                                                                            <w:top w:val="none" w:sz="0" w:space="0" w:color="auto"/>
                                                                            <w:left w:val="none" w:sz="0" w:space="0" w:color="auto"/>
                                                                            <w:bottom w:val="none" w:sz="0" w:space="0" w:color="auto"/>
                                                                            <w:right w:val="none" w:sz="0" w:space="0" w:color="auto"/>
                                                                          </w:divBdr>
                                                                          <w:divsChild>
                                                                            <w:div w:id="66924673">
                                                                              <w:marLeft w:val="0"/>
                                                                              <w:marRight w:val="0"/>
                                                                              <w:marTop w:val="0"/>
                                                                              <w:marBottom w:val="0"/>
                                                                              <w:divBdr>
                                                                                <w:top w:val="none" w:sz="0" w:space="0" w:color="auto"/>
                                                                                <w:left w:val="none" w:sz="0" w:space="0" w:color="auto"/>
                                                                                <w:bottom w:val="none" w:sz="0" w:space="0" w:color="auto"/>
                                                                                <w:right w:val="none" w:sz="0" w:space="0" w:color="auto"/>
                                                                              </w:divBdr>
                                                                            </w:div>
                                                                            <w:div w:id="45633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595181">
                                                                      <w:marLeft w:val="0"/>
                                                                      <w:marRight w:val="0"/>
                                                                      <w:marTop w:val="0"/>
                                                                      <w:marBottom w:val="0"/>
                                                                      <w:divBdr>
                                                                        <w:top w:val="none" w:sz="0" w:space="0" w:color="auto"/>
                                                                        <w:left w:val="none" w:sz="0" w:space="0" w:color="auto"/>
                                                                        <w:bottom w:val="none" w:sz="0" w:space="0" w:color="auto"/>
                                                                        <w:right w:val="none" w:sz="0" w:space="0" w:color="auto"/>
                                                                      </w:divBdr>
                                                                    </w:div>
                                                                    <w:div w:id="1843356923">
                                                                      <w:marLeft w:val="0"/>
                                                                      <w:marRight w:val="0"/>
                                                                      <w:marTop w:val="0"/>
                                                                      <w:marBottom w:val="0"/>
                                                                      <w:divBdr>
                                                                        <w:top w:val="none" w:sz="0" w:space="0" w:color="auto"/>
                                                                        <w:left w:val="none" w:sz="0" w:space="0" w:color="auto"/>
                                                                        <w:bottom w:val="none" w:sz="0" w:space="0" w:color="auto"/>
                                                                        <w:right w:val="none" w:sz="0" w:space="0" w:color="auto"/>
                                                                      </w:divBdr>
                                                                      <w:divsChild>
                                                                        <w:div w:id="80220444">
                                                                          <w:marLeft w:val="0"/>
                                                                          <w:marRight w:val="0"/>
                                                                          <w:marTop w:val="0"/>
                                                                          <w:marBottom w:val="0"/>
                                                                          <w:divBdr>
                                                                            <w:top w:val="none" w:sz="0" w:space="0" w:color="auto"/>
                                                                            <w:left w:val="none" w:sz="0" w:space="0" w:color="auto"/>
                                                                            <w:bottom w:val="none" w:sz="0" w:space="0" w:color="auto"/>
                                                                            <w:right w:val="none" w:sz="0" w:space="0" w:color="auto"/>
                                                                          </w:divBdr>
                                                                        </w:div>
                                                                        <w:div w:id="528376277">
                                                                          <w:marLeft w:val="0"/>
                                                                          <w:marRight w:val="0"/>
                                                                          <w:marTop w:val="0"/>
                                                                          <w:marBottom w:val="0"/>
                                                                          <w:divBdr>
                                                                            <w:top w:val="none" w:sz="0" w:space="0" w:color="auto"/>
                                                                            <w:left w:val="none" w:sz="0" w:space="0" w:color="auto"/>
                                                                            <w:bottom w:val="none" w:sz="0" w:space="0" w:color="auto"/>
                                                                            <w:right w:val="none" w:sz="0" w:space="0" w:color="auto"/>
                                                                          </w:divBdr>
                                                                        </w:div>
                                                                        <w:div w:id="1201095118">
                                                                          <w:marLeft w:val="0"/>
                                                                          <w:marRight w:val="0"/>
                                                                          <w:marTop w:val="0"/>
                                                                          <w:marBottom w:val="0"/>
                                                                          <w:divBdr>
                                                                            <w:top w:val="none" w:sz="0" w:space="0" w:color="auto"/>
                                                                            <w:left w:val="none" w:sz="0" w:space="0" w:color="auto"/>
                                                                            <w:bottom w:val="none" w:sz="0" w:space="0" w:color="auto"/>
                                                                            <w:right w:val="none" w:sz="0" w:space="0" w:color="auto"/>
                                                                          </w:divBdr>
                                                                        </w:div>
                                                                        <w:div w:id="1340617082">
                                                                          <w:marLeft w:val="0"/>
                                                                          <w:marRight w:val="0"/>
                                                                          <w:marTop w:val="0"/>
                                                                          <w:marBottom w:val="0"/>
                                                                          <w:divBdr>
                                                                            <w:top w:val="none" w:sz="0" w:space="0" w:color="auto"/>
                                                                            <w:left w:val="none" w:sz="0" w:space="0" w:color="auto"/>
                                                                            <w:bottom w:val="none" w:sz="0" w:space="0" w:color="auto"/>
                                                                            <w:right w:val="none" w:sz="0" w:space="0" w:color="auto"/>
                                                                          </w:divBdr>
                                                                        </w:div>
                                                                      </w:divsChild>
                                                                    </w:div>
                                                                    <w:div w:id="2051102404">
                                                                      <w:marLeft w:val="0"/>
                                                                      <w:marRight w:val="0"/>
                                                                      <w:marTop w:val="0"/>
                                                                      <w:marBottom w:val="0"/>
                                                                      <w:divBdr>
                                                                        <w:top w:val="none" w:sz="0" w:space="0" w:color="auto"/>
                                                                        <w:left w:val="none" w:sz="0" w:space="0" w:color="auto"/>
                                                                        <w:bottom w:val="none" w:sz="0" w:space="0" w:color="auto"/>
                                                                        <w:right w:val="none" w:sz="0" w:space="0" w:color="auto"/>
                                                                      </w:divBdr>
                                                                    </w:div>
                                                                    <w:div w:id="206015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915632374">
      <w:bodyDiv w:val="1"/>
      <w:marLeft w:val="0"/>
      <w:marRight w:val="0"/>
      <w:marTop w:val="0"/>
      <w:marBottom w:val="0"/>
      <w:divBdr>
        <w:top w:val="none" w:sz="0" w:space="0" w:color="auto"/>
        <w:left w:val="none" w:sz="0" w:space="0" w:color="auto"/>
        <w:bottom w:val="none" w:sz="0" w:space="0" w:color="auto"/>
        <w:right w:val="none" w:sz="0" w:space="0" w:color="auto"/>
      </w:divBdr>
    </w:div>
    <w:div w:id="957613454">
      <w:bodyDiv w:val="1"/>
      <w:marLeft w:val="0"/>
      <w:marRight w:val="0"/>
      <w:marTop w:val="0"/>
      <w:marBottom w:val="0"/>
      <w:divBdr>
        <w:top w:val="none" w:sz="0" w:space="0" w:color="auto"/>
        <w:left w:val="none" w:sz="0" w:space="0" w:color="auto"/>
        <w:bottom w:val="none" w:sz="0" w:space="0" w:color="auto"/>
        <w:right w:val="none" w:sz="0" w:space="0" w:color="auto"/>
      </w:divBdr>
    </w:div>
    <w:div w:id="983312610">
      <w:bodyDiv w:val="1"/>
      <w:marLeft w:val="0"/>
      <w:marRight w:val="0"/>
      <w:marTop w:val="0"/>
      <w:marBottom w:val="0"/>
      <w:divBdr>
        <w:top w:val="none" w:sz="0" w:space="0" w:color="auto"/>
        <w:left w:val="none" w:sz="0" w:space="0" w:color="auto"/>
        <w:bottom w:val="none" w:sz="0" w:space="0" w:color="auto"/>
        <w:right w:val="none" w:sz="0" w:space="0" w:color="auto"/>
      </w:divBdr>
    </w:div>
    <w:div w:id="989867623">
      <w:bodyDiv w:val="1"/>
      <w:marLeft w:val="0"/>
      <w:marRight w:val="0"/>
      <w:marTop w:val="0"/>
      <w:marBottom w:val="0"/>
      <w:divBdr>
        <w:top w:val="none" w:sz="0" w:space="0" w:color="auto"/>
        <w:left w:val="none" w:sz="0" w:space="0" w:color="auto"/>
        <w:bottom w:val="none" w:sz="0" w:space="0" w:color="auto"/>
        <w:right w:val="none" w:sz="0" w:space="0" w:color="auto"/>
      </w:divBdr>
    </w:div>
    <w:div w:id="994184357">
      <w:bodyDiv w:val="1"/>
      <w:marLeft w:val="0"/>
      <w:marRight w:val="0"/>
      <w:marTop w:val="0"/>
      <w:marBottom w:val="0"/>
      <w:divBdr>
        <w:top w:val="none" w:sz="0" w:space="0" w:color="auto"/>
        <w:left w:val="none" w:sz="0" w:space="0" w:color="auto"/>
        <w:bottom w:val="none" w:sz="0" w:space="0" w:color="auto"/>
        <w:right w:val="none" w:sz="0" w:space="0" w:color="auto"/>
      </w:divBdr>
    </w:div>
    <w:div w:id="994990724">
      <w:bodyDiv w:val="1"/>
      <w:marLeft w:val="0"/>
      <w:marRight w:val="0"/>
      <w:marTop w:val="0"/>
      <w:marBottom w:val="0"/>
      <w:divBdr>
        <w:top w:val="none" w:sz="0" w:space="0" w:color="auto"/>
        <w:left w:val="none" w:sz="0" w:space="0" w:color="auto"/>
        <w:bottom w:val="none" w:sz="0" w:space="0" w:color="auto"/>
        <w:right w:val="none" w:sz="0" w:space="0" w:color="auto"/>
      </w:divBdr>
    </w:div>
    <w:div w:id="1018391720">
      <w:bodyDiv w:val="1"/>
      <w:marLeft w:val="0"/>
      <w:marRight w:val="0"/>
      <w:marTop w:val="0"/>
      <w:marBottom w:val="0"/>
      <w:divBdr>
        <w:top w:val="none" w:sz="0" w:space="0" w:color="auto"/>
        <w:left w:val="none" w:sz="0" w:space="0" w:color="auto"/>
        <w:bottom w:val="none" w:sz="0" w:space="0" w:color="auto"/>
        <w:right w:val="none" w:sz="0" w:space="0" w:color="auto"/>
      </w:divBdr>
    </w:div>
    <w:div w:id="1021934732">
      <w:bodyDiv w:val="1"/>
      <w:marLeft w:val="0"/>
      <w:marRight w:val="0"/>
      <w:marTop w:val="0"/>
      <w:marBottom w:val="0"/>
      <w:divBdr>
        <w:top w:val="none" w:sz="0" w:space="0" w:color="auto"/>
        <w:left w:val="none" w:sz="0" w:space="0" w:color="auto"/>
        <w:bottom w:val="none" w:sz="0" w:space="0" w:color="auto"/>
        <w:right w:val="none" w:sz="0" w:space="0" w:color="auto"/>
      </w:divBdr>
    </w:div>
    <w:div w:id="1032414042">
      <w:bodyDiv w:val="1"/>
      <w:marLeft w:val="0"/>
      <w:marRight w:val="0"/>
      <w:marTop w:val="0"/>
      <w:marBottom w:val="0"/>
      <w:divBdr>
        <w:top w:val="none" w:sz="0" w:space="0" w:color="auto"/>
        <w:left w:val="none" w:sz="0" w:space="0" w:color="auto"/>
        <w:bottom w:val="none" w:sz="0" w:space="0" w:color="auto"/>
        <w:right w:val="none" w:sz="0" w:space="0" w:color="auto"/>
      </w:divBdr>
    </w:div>
    <w:div w:id="1048184892">
      <w:bodyDiv w:val="1"/>
      <w:marLeft w:val="0"/>
      <w:marRight w:val="0"/>
      <w:marTop w:val="0"/>
      <w:marBottom w:val="0"/>
      <w:divBdr>
        <w:top w:val="none" w:sz="0" w:space="0" w:color="auto"/>
        <w:left w:val="none" w:sz="0" w:space="0" w:color="auto"/>
        <w:bottom w:val="none" w:sz="0" w:space="0" w:color="auto"/>
        <w:right w:val="none" w:sz="0" w:space="0" w:color="auto"/>
      </w:divBdr>
    </w:div>
    <w:div w:id="1065448753">
      <w:bodyDiv w:val="1"/>
      <w:marLeft w:val="0"/>
      <w:marRight w:val="0"/>
      <w:marTop w:val="0"/>
      <w:marBottom w:val="0"/>
      <w:divBdr>
        <w:top w:val="none" w:sz="0" w:space="0" w:color="auto"/>
        <w:left w:val="none" w:sz="0" w:space="0" w:color="auto"/>
        <w:bottom w:val="none" w:sz="0" w:space="0" w:color="auto"/>
        <w:right w:val="none" w:sz="0" w:space="0" w:color="auto"/>
      </w:divBdr>
      <w:divsChild>
        <w:div w:id="855734729">
          <w:marLeft w:val="0"/>
          <w:marRight w:val="0"/>
          <w:marTop w:val="0"/>
          <w:marBottom w:val="0"/>
          <w:divBdr>
            <w:top w:val="none" w:sz="0" w:space="0" w:color="auto"/>
            <w:left w:val="none" w:sz="0" w:space="0" w:color="auto"/>
            <w:bottom w:val="none" w:sz="0" w:space="0" w:color="auto"/>
            <w:right w:val="none" w:sz="0" w:space="0" w:color="auto"/>
          </w:divBdr>
          <w:divsChild>
            <w:div w:id="114303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668709">
      <w:bodyDiv w:val="1"/>
      <w:marLeft w:val="0"/>
      <w:marRight w:val="0"/>
      <w:marTop w:val="0"/>
      <w:marBottom w:val="0"/>
      <w:divBdr>
        <w:top w:val="none" w:sz="0" w:space="0" w:color="auto"/>
        <w:left w:val="none" w:sz="0" w:space="0" w:color="auto"/>
        <w:bottom w:val="none" w:sz="0" w:space="0" w:color="auto"/>
        <w:right w:val="none" w:sz="0" w:space="0" w:color="auto"/>
      </w:divBdr>
    </w:div>
    <w:div w:id="1075080873">
      <w:bodyDiv w:val="1"/>
      <w:marLeft w:val="0"/>
      <w:marRight w:val="0"/>
      <w:marTop w:val="0"/>
      <w:marBottom w:val="0"/>
      <w:divBdr>
        <w:top w:val="none" w:sz="0" w:space="0" w:color="auto"/>
        <w:left w:val="none" w:sz="0" w:space="0" w:color="auto"/>
        <w:bottom w:val="none" w:sz="0" w:space="0" w:color="auto"/>
        <w:right w:val="none" w:sz="0" w:space="0" w:color="auto"/>
      </w:divBdr>
    </w:div>
    <w:div w:id="1098217052">
      <w:bodyDiv w:val="1"/>
      <w:marLeft w:val="0"/>
      <w:marRight w:val="0"/>
      <w:marTop w:val="0"/>
      <w:marBottom w:val="0"/>
      <w:divBdr>
        <w:top w:val="none" w:sz="0" w:space="0" w:color="auto"/>
        <w:left w:val="none" w:sz="0" w:space="0" w:color="auto"/>
        <w:bottom w:val="none" w:sz="0" w:space="0" w:color="auto"/>
        <w:right w:val="none" w:sz="0" w:space="0" w:color="auto"/>
      </w:divBdr>
    </w:div>
    <w:div w:id="1139224380">
      <w:bodyDiv w:val="1"/>
      <w:marLeft w:val="0"/>
      <w:marRight w:val="0"/>
      <w:marTop w:val="0"/>
      <w:marBottom w:val="0"/>
      <w:divBdr>
        <w:top w:val="none" w:sz="0" w:space="0" w:color="auto"/>
        <w:left w:val="none" w:sz="0" w:space="0" w:color="auto"/>
        <w:bottom w:val="none" w:sz="0" w:space="0" w:color="auto"/>
        <w:right w:val="none" w:sz="0" w:space="0" w:color="auto"/>
      </w:divBdr>
    </w:div>
    <w:div w:id="1142191072">
      <w:bodyDiv w:val="1"/>
      <w:marLeft w:val="0"/>
      <w:marRight w:val="0"/>
      <w:marTop w:val="0"/>
      <w:marBottom w:val="0"/>
      <w:divBdr>
        <w:top w:val="none" w:sz="0" w:space="0" w:color="auto"/>
        <w:left w:val="none" w:sz="0" w:space="0" w:color="auto"/>
        <w:bottom w:val="none" w:sz="0" w:space="0" w:color="auto"/>
        <w:right w:val="none" w:sz="0" w:space="0" w:color="auto"/>
      </w:divBdr>
    </w:div>
    <w:div w:id="1152257418">
      <w:bodyDiv w:val="1"/>
      <w:marLeft w:val="0"/>
      <w:marRight w:val="0"/>
      <w:marTop w:val="0"/>
      <w:marBottom w:val="0"/>
      <w:divBdr>
        <w:top w:val="none" w:sz="0" w:space="0" w:color="auto"/>
        <w:left w:val="none" w:sz="0" w:space="0" w:color="auto"/>
        <w:bottom w:val="none" w:sz="0" w:space="0" w:color="auto"/>
        <w:right w:val="none" w:sz="0" w:space="0" w:color="auto"/>
      </w:divBdr>
    </w:div>
    <w:div w:id="1175804792">
      <w:bodyDiv w:val="1"/>
      <w:marLeft w:val="0"/>
      <w:marRight w:val="0"/>
      <w:marTop w:val="0"/>
      <w:marBottom w:val="0"/>
      <w:divBdr>
        <w:top w:val="none" w:sz="0" w:space="0" w:color="auto"/>
        <w:left w:val="none" w:sz="0" w:space="0" w:color="auto"/>
        <w:bottom w:val="none" w:sz="0" w:space="0" w:color="auto"/>
        <w:right w:val="none" w:sz="0" w:space="0" w:color="auto"/>
      </w:divBdr>
    </w:div>
    <w:div w:id="1204100755">
      <w:bodyDiv w:val="1"/>
      <w:marLeft w:val="0"/>
      <w:marRight w:val="0"/>
      <w:marTop w:val="0"/>
      <w:marBottom w:val="0"/>
      <w:divBdr>
        <w:top w:val="none" w:sz="0" w:space="0" w:color="auto"/>
        <w:left w:val="none" w:sz="0" w:space="0" w:color="auto"/>
        <w:bottom w:val="none" w:sz="0" w:space="0" w:color="auto"/>
        <w:right w:val="none" w:sz="0" w:space="0" w:color="auto"/>
      </w:divBdr>
    </w:div>
    <w:div w:id="1210609189">
      <w:bodyDiv w:val="1"/>
      <w:marLeft w:val="0"/>
      <w:marRight w:val="0"/>
      <w:marTop w:val="0"/>
      <w:marBottom w:val="0"/>
      <w:divBdr>
        <w:top w:val="none" w:sz="0" w:space="0" w:color="auto"/>
        <w:left w:val="none" w:sz="0" w:space="0" w:color="auto"/>
        <w:bottom w:val="none" w:sz="0" w:space="0" w:color="auto"/>
        <w:right w:val="none" w:sz="0" w:space="0" w:color="auto"/>
      </w:divBdr>
    </w:div>
    <w:div w:id="1240289102">
      <w:bodyDiv w:val="1"/>
      <w:marLeft w:val="0"/>
      <w:marRight w:val="0"/>
      <w:marTop w:val="0"/>
      <w:marBottom w:val="0"/>
      <w:divBdr>
        <w:top w:val="none" w:sz="0" w:space="0" w:color="auto"/>
        <w:left w:val="none" w:sz="0" w:space="0" w:color="auto"/>
        <w:bottom w:val="none" w:sz="0" w:space="0" w:color="auto"/>
        <w:right w:val="none" w:sz="0" w:space="0" w:color="auto"/>
      </w:divBdr>
    </w:div>
    <w:div w:id="1258096395">
      <w:bodyDiv w:val="1"/>
      <w:marLeft w:val="0"/>
      <w:marRight w:val="0"/>
      <w:marTop w:val="0"/>
      <w:marBottom w:val="0"/>
      <w:divBdr>
        <w:top w:val="none" w:sz="0" w:space="0" w:color="auto"/>
        <w:left w:val="none" w:sz="0" w:space="0" w:color="auto"/>
        <w:bottom w:val="none" w:sz="0" w:space="0" w:color="auto"/>
        <w:right w:val="none" w:sz="0" w:space="0" w:color="auto"/>
      </w:divBdr>
    </w:div>
    <w:div w:id="1293056992">
      <w:bodyDiv w:val="1"/>
      <w:marLeft w:val="0"/>
      <w:marRight w:val="0"/>
      <w:marTop w:val="0"/>
      <w:marBottom w:val="0"/>
      <w:divBdr>
        <w:top w:val="none" w:sz="0" w:space="0" w:color="auto"/>
        <w:left w:val="none" w:sz="0" w:space="0" w:color="auto"/>
        <w:bottom w:val="none" w:sz="0" w:space="0" w:color="auto"/>
        <w:right w:val="none" w:sz="0" w:space="0" w:color="auto"/>
      </w:divBdr>
      <w:divsChild>
        <w:div w:id="368261886">
          <w:marLeft w:val="0"/>
          <w:marRight w:val="0"/>
          <w:marTop w:val="0"/>
          <w:marBottom w:val="0"/>
          <w:divBdr>
            <w:top w:val="none" w:sz="0" w:space="0" w:color="auto"/>
            <w:left w:val="none" w:sz="0" w:space="0" w:color="auto"/>
            <w:bottom w:val="none" w:sz="0" w:space="0" w:color="auto"/>
            <w:right w:val="none" w:sz="0" w:space="0" w:color="auto"/>
          </w:divBdr>
          <w:divsChild>
            <w:div w:id="773553325">
              <w:marLeft w:val="-225"/>
              <w:marRight w:val="-225"/>
              <w:marTop w:val="0"/>
              <w:marBottom w:val="0"/>
              <w:divBdr>
                <w:top w:val="none" w:sz="0" w:space="0" w:color="auto"/>
                <w:left w:val="none" w:sz="0" w:space="0" w:color="auto"/>
                <w:bottom w:val="none" w:sz="0" w:space="0" w:color="auto"/>
                <w:right w:val="none" w:sz="0" w:space="0" w:color="auto"/>
              </w:divBdr>
              <w:divsChild>
                <w:div w:id="484123865">
                  <w:marLeft w:val="0"/>
                  <w:marRight w:val="0"/>
                  <w:marTop w:val="0"/>
                  <w:marBottom w:val="0"/>
                  <w:divBdr>
                    <w:top w:val="none" w:sz="0" w:space="0" w:color="auto"/>
                    <w:left w:val="none" w:sz="0" w:space="0" w:color="auto"/>
                    <w:bottom w:val="none" w:sz="0" w:space="0" w:color="auto"/>
                    <w:right w:val="none" w:sz="0" w:space="0" w:color="auto"/>
                  </w:divBdr>
                  <w:divsChild>
                    <w:div w:id="931284157">
                      <w:marLeft w:val="0"/>
                      <w:marRight w:val="0"/>
                      <w:marTop w:val="0"/>
                      <w:marBottom w:val="0"/>
                      <w:divBdr>
                        <w:top w:val="none" w:sz="0" w:space="0" w:color="auto"/>
                        <w:left w:val="none" w:sz="0" w:space="0" w:color="auto"/>
                        <w:bottom w:val="none" w:sz="0" w:space="0" w:color="auto"/>
                        <w:right w:val="none" w:sz="0" w:space="0" w:color="auto"/>
                      </w:divBdr>
                      <w:divsChild>
                        <w:div w:id="758253583">
                          <w:marLeft w:val="0"/>
                          <w:marRight w:val="0"/>
                          <w:marTop w:val="0"/>
                          <w:marBottom w:val="0"/>
                          <w:divBdr>
                            <w:top w:val="none" w:sz="0" w:space="0" w:color="auto"/>
                            <w:left w:val="none" w:sz="0" w:space="0" w:color="auto"/>
                            <w:bottom w:val="none" w:sz="0" w:space="0" w:color="auto"/>
                            <w:right w:val="none" w:sz="0" w:space="0" w:color="auto"/>
                          </w:divBdr>
                          <w:divsChild>
                            <w:div w:id="1100682623">
                              <w:marLeft w:val="0"/>
                              <w:marRight w:val="0"/>
                              <w:marTop w:val="0"/>
                              <w:marBottom w:val="240"/>
                              <w:divBdr>
                                <w:top w:val="none" w:sz="0" w:space="0" w:color="auto"/>
                                <w:left w:val="none" w:sz="0" w:space="0" w:color="auto"/>
                                <w:bottom w:val="none" w:sz="0" w:space="0" w:color="auto"/>
                                <w:right w:val="none" w:sz="0" w:space="0" w:color="auto"/>
                              </w:divBdr>
                              <w:divsChild>
                                <w:div w:id="798184679">
                                  <w:marLeft w:val="0"/>
                                  <w:marRight w:val="0"/>
                                  <w:marTop w:val="0"/>
                                  <w:marBottom w:val="0"/>
                                  <w:divBdr>
                                    <w:top w:val="none" w:sz="0" w:space="0" w:color="auto"/>
                                    <w:left w:val="none" w:sz="0" w:space="0" w:color="auto"/>
                                    <w:bottom w:val="none" w:sz="0" w:space="0" w:color="auto"/>
                                    <w:right w:val="none" w:sz="0" w:space="0" w:color="auto"/>
                                  </w:divBdr>
                                  <w:divsChild>
                                    <w:div w:id="1009720293">
                                      <w:marLeft w:val="0"/>
                                      <w:marRight w:val="0"/>
                                      <w:marTop w:val="0"/>
                                      <w:marBottom w:val="0"/>
                                      <w:divBdr>
                                        <w:top w:val="none" w:sz="0" w:space="0" w:color="auto"/>
                                        <w:left w:val="none" w:sz="0" w:space="0" w:color="auto"/>
                                        <w:bottom w:val="none" w:sz="0" w:space="0" w:color="auto"/>
                                        <w:right w:val="none" w:sz="0" w:space="0" w:color="auto"/>
                                      </w:divBdr>
                                      <w:divsChild>
                                        <w:div w:id="1401559600">
                                          <w:marLeft w:val="0"/>
                                          <w:marRight w:val="0"/>
                                          <w:marTop w:val="0"/>
                                          <w:marBottom w:val="0"/>
                                          <w:divBdr>
                                            <w:top w:val="none" w:sz="0" w:space="0" w:color="auto"/>
                                            <w:left w:val="none" w:sz="0" w:space="0" w:color="auto"/>
                                            <w:bottom w:val="none" w:sz="0" w:space="0" w:color="auto"/>
                                            <w:right w:val="none" w:sz="0" w:space="0" w:color="auto"/>
                                          </w:divBdr>
                                          <w:divsChild>
                                            <w:div w:id="1356730098">
                                              <w:marLeft w:val="0"/>
                                              <w:marRight w:val="0"/>
                                              <w:marTop w:val="0"/>
                                              <w:marBottom w:val="0"/>
                                              <w:divBdr>
                                                <w:top w:val="none" w:sz="0" w:space="0" w:color="auto"/>
                                                <w:left w:val="none" w:sz="0" w:space="0" w:color="auto"/>
                                                <w:bottom w:val="none" w:sz="0" w:space="0" w:color="auto"/>
                                                <w:right w:val="none" w:sz="0" w:space="0" w:color="auto"/>
                                              </w:divBdr>
                                              <w:divsChild>
                                                <w:div w:id="156421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00964861">
      <w:bodyDiv w:val="1"/>
      <w:marLeft w:val="0"/>
      <w:marRight w:val="0"/>
      <w:marTop w:val="0"/>
      <w:marBottom w:val="0"/>
      <w:divBdr>
        <w:top w:val="none" w:sz="0" w:space="0" w:color="auto"/>
        <w:left w:val="none" w:sz="0" w:space="0" w:color="auto"/>
        <w:bottom w:val="none" w:sz="0" w:space="0" w:color="auto"/>
        <w:right w:val="none" w:sz="0" w:space="0" w:color="auto"/>
      </w:divBdr>
    </w:div>
    <w:div w:id="1309361919">
      <w:bodyDiv w:val="1"/>
      <w:marLeft w:val="0"/>
      <w:marRight w:val="0"/>
      <w:marTop w:val="0"/>
      <w:marBottom w:val="0"/>
      <w:divBdr>
        <w:top w:val="none" w:sz="0" w:space="0" w:color="auto"/>
        <w:left w:val="none" w:sz="0" w:space="0" w:color="auto"/>
        <w:bottom w:val="none" w:sz="0" w:space="0" w:color="auto"/>
        <w:right w:val="none" w:sz="0" w:space="0" w:color="auto"/>
      </w:divBdr>
      <w:divsChild>
        <w:div w:id="891114797">
          <w:marLeft w:val="0"/>
          <w:marRight w:val="0"/>
          <w:marTop w:val="0"/>
          <w:marBottom w:val="0"/>
          <w:divBdr>
            <w:top w:val="none" w:sz="0" w:space="0" w:color="auto"/>
            <w:left w:val="none" w:sz="0" w:space="0" w:color="auto"/>
            <w:bottom w:val="none" w:sz="0" w:space="0" w:color="auto"/>
            <w:right w:val="none" w:sz="0" w:space="0" w:color="auto"/>
          </w:divBdr>
          <w:divsChild>
            <w:div w:id="1419326749">
              <w:marLeft w:val="0"/>
              <w:marRight w:val="0"/>
              <w:marTop w:val="0"/>
              <w:marBottom w:val="4500"/>
              <w:divBdr>
                <w:top w:val="none" w:sz="0" w:space="0" w:color="auto"/>
                <w:left w:val="none" w:sz="0" w:space="0" w:color="auto"/>
                <w:bottom w:val="none" w:sz="0" w:space="0" w:color="auto"/>
                <w:right w:val="none" w:sz="0" w:space="0" w:color="auto"/>
              </w:divBdr>
              <w:divsChild>
                <w:div w:id="1231042022">
                  <w:marLeft w:val="0"/>
                  <w:marRight w:val="0"/>
                  <w:marTop w:val="0"/>
                  <w:marBottom w:val="0"/>
                  <w:divBdr>
                    <w:top w:val="none" w:sz="0" w:space="0" w:color="auto"/>
                    <w:left w:val="none" w:sz="0" w:space="0" w:color="auto"/>
                    <w:bottom w:val="none" w:sz="0" w:space="0" w:color="auto"/>
                    <w:right w:val="none" w:sz="0" w:space="0" w:color="auto"/>
                  </w:divBdr>
                  <w:divsChild>
                    <w:div w:id="1643535889">
                      <w:marLeft w:val="0"/>
                      <w:marRight w:val="0"/>
                      <w:marTop w:val="0"/>
                      <w:marBottom w:val="0"/>
                      <w:divBdr>
                        <w:top w:val="none" w:sz="0" w:space="0" w:color="auto"/>
                        <w:left w:val="none" w:sz="0" w:space="0" w:color="auto"/>
                        <w:bottom w:val="none" w:sz="0" w:space="0" w:color="auto"/>
                        <w:right w:val="none" w:sz="0" w:space="0" w:color="auto"/>
                      </w:divBdr>
                      <w:divsChild>
                        <w:div w:id="170992208">
                          <w:marLeft w:val="0"/>
                          <w:marRight w:val="0"/>
                          <w:marTop w:val="0"/>
                          <w:marBottom w:val="0"/>
                          <w:divBdr>
                            <w:top w:val="none" w:sz="0" w:space="0" w:color="auto"/>
                            <w:left w:val="none" w:sz="0" w:space="0" w:color="auto"/>
                            <w:bottom w:val="none" w:sz="0" w:space="0" w:color="auto"/>
                            <w:right w:val="none" w:sz="0" w:space="0" w:color="auto"/>
                          </w:divBdr>
                          <w:divsChild>
                            <w:div w:id="1698919789">
                              <w:marLeft w:val="150"/>
                              <w:marRight w:val="150"/>
                              <w:marTop w:val="0"/>
                              <w:marBottom w:val="0"/>
                              <w:divBdr>
                                <w:top w:val="none" w:sz="0" w:space="0" w:color="auto"/>
                                <w:left w:val="none" w:sz="0" w:space="0" w:color="auto"/>
                                <w:bottom w:val="none" w:sz="0" w:space="0" w:color="auto"/>
                                <w:right w:val="none" w:sz="0" w:space="0" w:color="auto"/>
                              </w:divBdr>
                              <w:divsChild>
                                <w:div w:id="2128814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0748279">
      <w:bodyDiv w:val="1"/>
      <w:marLeft w:val="0"/>
      <w:marRight w:val="0"/>
      <w:marTop w:val="0"/>
      <w:marBottom w:val="0"/>
      <w:divBdr>
        <w:top w:val="none" w:sz="0" w:space="0" w:color="auto"/>
        <w:left w:val="none" w:sz="0" w:space="0" w:color="auto"/>
        <w:bottom w:val="none" w:sz="0" w:space="0" w:color="auto"/>
        <w:right w:val="none" w:sz="0" w:space="0" w:color="auto"/>
      </w:divBdr>
    </w:div>
    <w:div w:id="1324357340">
      <w:bodyDiv w:val="1"/>
      <w:marLeft w:val="0"/>
      <w:marRight w:val="0"/>
      <w:marTop w:val="0"/>
      <w:marBottom w:val="0"/>
      <w:divBdr>
        <w:top w:val="none" w:sz="0" w:space="0" w:color="auto"/>
        <w:left w:val="none" w:sz="0" w:space="0" w:color="auto"/>
        <w:bottom w:val="none" w:sz="0" w:space="0" w:color="auto"/>
        <w:right w:val="none" w:sz="0" w:space="0" w:color="auto"/>
      </w:divBdr>
      <w:divsChild>
        <w:div w:id="1033307629">
          <w:marLeft w:val="0"/>
          <w:marRight w:val="0"/>
          <w:marTop w:val="0"/>
          <w:marBottom w:val="0"/>
          <w:divBdr>
            <w:top w:val="none" w:sz="0" w:space="0" w:color="auto"/>
            <w:left w:val="none" w:sz="0" w:space="0" w:color="auto"/>
            <w:bottom w:val="none" w:sz="0" w:space="0" w:color="auto"/>
            <w:right w:val="none" w:sz="0" w:space="0" w:color="auto"/>
          </w:divBdr>
        </w:div>
        <w:div w:id="1559128983">
          <w:marLeft w:val="0"/>
          <w:marRight w:val="0"/>
          <w:marTop w:val="0"/>
          <w:marBottom w:val="0"/>
          <w:divBdr>
            <w:top w:val="none" w:sz="0" w:space="0" w:color="auto"/>
            <w:left w:val="none" w:sz="0" w:space="0" w:color="auto"/>
            <w:bottom w:val="none" w:sz="0" w:space="0" w:color="auto"/>
            <w:right w:val="none" w:sz="0" w:space="0" w:color="auto"/>
          </w:divBdr>
        </w:div>
        <w:div w:id="385027971">
          <w:marLeft w:val="0"/>
          <w:marRight w:val="0"/>
          <w:marTop w:val="0"/>
          <w:marBottom w:val="0"/>
          <w:divBdr>
            <w:top w:val="none" w:sz="0" w:space="0" w:color="auto"/>
            <w:left w:val="none" w:sz="0" w:space="0" w:color="auto"/>
            <w:bottom w:val="none" w:sz="0" w:space="0" w:color="auto"/>
            <w:right w:val="none" w:sz="0" w:space="0" w:color="auto"/>
          </w:divBdr>
        </w:div>
        <w:div w:id="315498967">
          <w:marLeft w:val="0"/>
          <w:marRight w:val="0"/>
          <w:marTop w:val="0"/>
          <w:marBottom w:val="0"/>
          <w:divBdr>
            <w:top w:val="none" w:sz="0" w:space="0" w:color="auto"/>
            <w:left w:val="none" w:sz="0" w:space="0" w:color="auto"/>
            <w:bottom w:val="none" w:sz="0" w:space="0" w:color="auto"/>
            <w:right w:val="none" w:sz="0" w:space="0" w:color="auto"/>
          </w:divBdr>
        </w:div>
        <w:div w:id="982925446">
          <w:marLeft w:val="0"/>
          <w:marRight w:val="0"/>
          <w:marTop w:val="0"/>
          <w:marBottom w:val="0"/>
          <w:divBdr>
            <w:top w:val="none" w:sz="0" w:space="0" w:color="auto"/>
            <w:left w:val="none" w:sz="0" w:space="0" w:color="auto"/>
            <w:bottom w:val="none" w:sz="0" w:space="0" w:color="auto"/>
            <w:right w:val="none" w:sz="0" w:space="0" w:color="auto"/>
          </w:divBdr>
        </w:div>
        <w:div w:id="1913156155">
          <w:marLeft w:val="0"/>
          <w:marRight w:val="0"/>
          <w:marTop w:val="0"/>
          <w:marBottom w:val="0"/>
          <w:divBdr>
            <w:top w:val="none" w:sz="0" w:space="0" w:color="auto"/>
            <w:left w:val="none" w:sz="0" w:space="0" w:color="auto"/>
            <w:bottom w:val="none" w:sz="0" w:space="0" w:color="auto"/>
            <w:right w:val="none" w:sz="0" w:space="0" w:color="auto"/>
          </w:divBdr>
        </w:div>
        <w:div w:id="2037344399">
          <w:marLeft w:val="0"/>
          <w:marRight w:val="0"/>
          <w:marTop w:val="0"/>
          <w:marBottom w:val="0"/>
          <w:divBdr>
            <w:top w:val="none" w:sz="0" w:space="0" w:color="auto"/>
            <w:left w:val="none" w:sz="0" w:space="0" w:color="auto"/>
            <w:bottom w:val="none" w:sz="0" w:space="0" w:color="auto"/>
            <w:right w:val="none" w:sz="0" w:space="0" w:color="auto"/>
          </w:divBdr>
        </w:div>
        <w:div w:id="1245724638">
          <w:marLeft w:val="0"/>
          <w:marRight w:val="0"/>
          <w:marTop w:val="0"/>
          <w:marBottom w:val="0"/>
          <w:divBdr>
            <w:top w:val="none" w:sz="0" w:space="0" w:color="auto"/>
            <w:left w:val="none" w:sz="0" w:space="0" w:color="auto"/>
            <w:bottom w:val="none" w:sz="0" w:space="0" w:color="auto"/>
            <w:right w:val="none" w:sz="0" w:space="0" w:color="auto"/>
          </w:divBdr>
        </w:div>
        <w:div w:id="1230114025">
          <w:marLeft w:val="0"/>
          <w:marRight w:val="0"/>
          <w:marTop w:val="0"/>
          <w:marBottom w:val="0"/>
          <w:divBdr>
            <w:top w:val="none" w:sz="0" w:space="0" w:color="auto"/>
            <w:left w:val="none" w:sz="0" w:space="0" w:color="auto"/>
            <w:bottom w:val="none" w:sz="0" w:space="0" w:color="auto"/>
            <w:right w:val="none" w:sz="0" w:space="0" w:color="auto"/>
          </w:divBdr>
        </w:div>
        <w:div w:id="1138960904">
          <w:marLeft w:val="0"/>
          <w:marRight w:val="0"/>
          <w:marTop w:val="0"/>
          <w:marBottom w:val="0"/>
          <w:divBdr>
            <w:top w:val="none" w:sz="0" w:space="0" w:color="auto"/>
            <w:left w:val="none" w:sz="0" w:space="0" w:color="auto"/>
            <w:bottom w:val="none" w:sz="0" w:space="0" w:color="auto"/>
            <w:right w:val="none" w:sz="0" w:space="0" w:color="auto"/>
          </w:divBdr>
        </w:div>
        <w:div w:id="181091754">
          <w:marLeft w:val="0"/>
          <w:marRight w:val="0"/>
          <w:marTop w:val="0"/>
          <w:marBottom w:val="0"/>
          <w:divBdr>
            <w:top w:val="none" w:sz="0" w:space="0" w:color="auto"/>
            <w:left w:val="none" w:sz="0" w:space="0" w:color="auto"/>
            <w:bottom w:val="none" w:sz="0" w:space="0" w:color="auto"/>
            <w:right w:val="none" w:sz="0" w:space="0" w:color="auto"/>
          </w:divBdr>
        </w:div>
        <w:div w:id="837382067">
          <w:marLeft w:val="0"/>
          <w:marRight w:val="0"/>
          <w:marTop w:val="0"/>
          <w:marBottom w:val="0"/>
          <w:divBdr>
            <w:top w:val="none" w:sz="0" w:space="0" w:color="auto"/>
            <w:left w:val="none" w:sz="0" w:space="0" w:color="auto"/>
            <w:bottom w:val="none" w:sz="0" w:space="0" w:color="auto"/>
            <w:right w:val="none" w:sz="0" w:space="0" w:color="auto"/>
          </w:divBdr>
        </w:div>
        <w:div w:id="1535582178">
          <w:marLeft w:val="0"/>
          <w:marRight w:val="0"/>
          <w:marTop w:val="0"/>
          <w:marBottom w:val="0"/>
          <w:divBdr>
            <w:top w:val="none" w:sz="0" w:space="0" w:color="auto"/>
            <w:left w:val="none" w:sz="0" w:space="0" w:color="auto"/>
            <w:bottom w:val="none" w:sz="0" w:space="0" w:color="auto"/>
            <w:right w:val="none" w:sz="0" w:space="0" w:color="auto"/>
          </w:divBdr>
        </w:div>
        <w:div w:id="1011681552">
          <w:marLeft w:val="0"/>
          <w:marRight w:val="0"/>
          <w:marTop w:val="0"/>
          <w:marBottom w:val="0"/>
          <w:divBdr>
            <w:top w:val="none" w:sz="0" w:space="0" w:color="auto"/>
            <w:left w:val="none" w:sz="0" w:space="0" w:color="auto"/>
            <w:bottom w:val="none" w:sz="0" w:space="0" w:color="auto"/>
            <w:right w:val="none" w:sz="0" w:space="0" w:color="auto"/>
          </w:divBdr>
        </w:div>
        <w:div w:id="1055278274">
          <w:marLeft w:val="0"/>
          <w:marRight w:val="0"/>
          <w:marTop w:val="0"/>
          <w:marBottom w:val="0"/>
          <w:divBdr>
            <w:top w:val="none" w:sz="0" w:space="0" w:color="auto"/>
            <w:left w:val="none" w:sz="0" w:space="0" w:color="auto"/>
            <w:bottom w:val="none" w:sz="0" w:space="0" w:color="auto"/>
            <w:right w:val="none" w:sz="0" w:space="0" w:color="auto"/>
          </w:divBdr>
        </w:div>
        <w:div w:id="1443839254">
          <w:marLeft w:val="0"/>
          <w:marRight w:val="0"/>
          <w:marTop w:val="0"/>
          <w:marBottom w:val="0"/>
          <w:divBdr>
            <w:top w:val="none" w:sz="0" w:space="0" w:color="auto"/>
            <w:left w:val="none" w:sz="0" w:space="0" w:color="auto"/>
            <w:bottom w:val="none" w:sz="0" w:space="0" w:color="auto"/>
            <w:right w:val="none" w:sz="0" w:space="0" w:color="auto"/>
          </w:divBdr>
        </w:div>
        <w:div w:id="181672953">
          <w:marLeft w:val="0"/>
          <w:marRight w:val="0"/>
          <w:marTop w:val="0"/>
          <w:marBottom w:val="0"/>
          <w:divBdr>
            <w:top w:val="none" w:sz="0" w:space="0" w:color="auto"/>
            <w:left w:val="none" w:sz="0" w:space="0" w:color="auto"/>
            <w:bottom w:val="none" w:sz="0" w:space="0" w:color="auto"/>
            <w:right w:val="none" w:sz="0" w:space="0" w:color="auto"/>
          </w:divBdr>
        </w:div>
        <w:div w:id="837496991">
          <w:marLeft w:val="0"/>
          <w:marRight w:val="0"/>
          <w:marTop w:val="0"/>
          <w:marBottom w:val="0"/>
          <w:divBdr>
            <w:top w:val="none" w:sz="0" w:space="0" w:color="auto"/>
            <w:left w:val="none" w:sz="0" w:space="0" w:color="auto"/>
            <w:bottom w:val="none" w:sz="0" w:space="0" w:color="auto"/>
            <w:right w:val="none" w:sz="0" w:space="0" w:color="auto"/>
          </w:divBdr>
        </w:div>
        <w:div w:id="1704986948">
          <w:marLeft w:val="0"/>
          <w:marRight w:val="0"/>
          <w:marTop w:val="0"/>
          <w:marBottom w:val="0"/>
          <w:divBdr>
            <w:top w:val="none" w:sz="0" w:space="0" w:color="auto"/>
            <w:left w:val="none" w:sz="0" w:space="0" w:color="auto"/>
            <w:bottom w:val="none" w:sz="0" w:space="0" w:color="auto"/>
            <w:right w:val="none" w:sz="0" w:space="0" w:color="auto"/>
          </w:divBdr>
        </w:div>
        <w:div w:id="1838837091">
          <w:marLeft w:val="0"/>
          <w:marRight w:val="0"/>
          <w:marTop w:val="0"/>
          <w:marBottom w:val="0"/>
          <w:divBdr>
            <w:top w:val="none" w:sz="0" w:space="0" w:color="auto"/>
            <w:left w:val="none" w:sz="0" w:space="0" w:color="auto"/>
            <w:bottom w:val="none" w:sz="0" w:space="0" w:color="auto"/>
            <w:right w:val="none" w:sz="0" w:space="0" w:color="auto"/>
          </w:divBdr>
        </w:div>
        <w:div w:id="513885775">
          <w:marLeft w:val="0"/>
          <w:marRight w:val="0"/>
          <w:marTop w:val="0"/>
          <w:marBottom w:val="0"/>
          <w:divBdr>
            <w:top w:val="none" w:sz="0" w:space="0" w:color="auto"/>
            <w:left w:val="none" w:sz="0" w:space="0" w:color="auto"/>
            <w:bottom w:val="none" w:sz="0" w:space="0" w:color="auto"/>
            <w:right w:val="none" w:sz="0" w:space="0" w:color="auto"/>
          </w:divBdr>
        </w:div>
        <w:div w:id="1530146657">
          <w:marLeft w:val="0"/>
          <w:marRight w:val="0"/>
          <w:marTop w:val="0"/>
          <w:marBottom w:val="0"/>
          <w:divBdr>
            <w:top w:val="none" w:sz="0" w:space="0" w:color="auto"/>
            <w:left w:val="none" w:sz="0" w:space="0" w:color="auto"/>
            <w:bottom w:val="none" w:sz="0" w:space="0" w:color="auto"/>
            <w:right w:val="none" w:sz="0" w:space="0" w:color="auto"/>
          </w:divBdr>
        </w:div>
        <w:div w:id="1035229105">
          <w:marLeft w:val="0"/>
          <w:marRight w:val="0"/>
          <w:marTop w:val="0"/>
          <w:marBottom w:val="0"/>
          <w:divBdr>
            <w:top w:val="none" w:sz="0" w:space="0" w:color="auto"/>
            <w:left w:val="none" w:sz="0" w:space="0" w:color="auto"/>
            <w:bottom w:val="none" w:sz="0" w:space="0" w:color="auto"/>
            <w:right w:val="none" w:sz="0" w:space="0" w:color="auto"/>
          </w:divBdr>
        </w:div>
        <w:div w:id="1155754046">
          <w:marLeft w:val="0"/>
          <w:marRight w:val="0"/>
          <w:marTop w:val="0"/>
          <w:marBottom w:val="0"/>
          <w:divBdr>
            <w:top w:val="none" w:sz="0" w:space="0" w:color="auto"/>
            <w:left w:val="none" w:sz="0" w:space="0" w:color="auto"/>
            <w:bottom w:val="none" w:sz="0" w:space="0" w:color="auto"/>
            <w:right w:val="none" w:sz="0" w:space="0" w:color="auto"/>
          </w:divBdr>
        </w:div>
        <w:div w:id="768164340">
          <w:marLeft w:val="0"/>
          <w:marRight w:val="0"/>
          <w:marTop w:val="0"/>
          <w:marBottom w:val="0"/>
          <w:divBdr>
            <w:top w:val="none" w:sz="0" w:space="0" w:color="auto"/>
            <w:left w:val="none" w:sz="0" w:space="0" w:color="auto"/>
            <w:bottom w:val="none" w:sz="0" w:space="0" w:color="auto"/>
            <w:right w:val="none" w:sz="0" w:space="0" w:color="auto"/>
          </w:divBdr>
        </w:div>
        <w:div w:id="1010259473">
          <w:marLeft w:val="0"/>
          <w:marRight w:val="0"/>
          <w:marTop w:val="0"/>
          <w:marBottom w:val="0"/>
          <w:divBdr>
            <w:top w:val="none" w:sz="0" w:space="0" w:color="auto"/>
            <w:left w:val="none" w:sz="0" w:space="0" w:color="auto"/>
            <w:bottom w:val="none" w:sz="0" w:space="0" w:color="auto"/>
            <w:right w:val="none" w:sz="0" w:space="0" w:color="auto"/>
          </w:divBdr>
        </w:div>
        <w:div w:id="1930389340">
          <w:marLeft w:val="0"/>
          <w:marRight w:val="0"/>
          <w:marTop w:val="0"/>
          <w:marBottom w:val="0"/>
          <w:divBdr>
            <w:top w:val="none" w:sz="0" w:space="0" w:color="auto"/>
            <w:left w:val="none" w:sz="0" w:space="0" w:color="auto"/>
            <w:bottom w:val="none" w:sz="0" w:space="0" w:color="auto"/>
            <w:right w:val="none" w:sz="0" w:space="0" w:color="auto"/>
          </w:divBdr>
        </w:div>
        <w:div w:id="1716462008">
          <w:marLeft w:val="0"/>
          <w:marRight w:val="0"/>
          <w:marTop w:val="0"/>
          <w:marBottom w:val="0"/>
          <w:divBdr>
            <w:top w:val="none" w:sz="0" w:space="0" w:color="auto"/>
            <w:left w:val="none" w:sz="0" w:space="0" w:color="auto"/>
            <w:bottom w:val="none" w:sz="0" w:space="0" w:color="auto"/>
            <w:right w:val="none" w:sz="0" w:space="0" w:color="auto"/>
          </w:divBdr>
        </w:div>
        <w:div w:id="343823267">
          <w:marLeft w:val="0"/>
          <w:marRight w:val="0"/>
          <w:marTop w:val="0"/>
          <w:marBottom w:val="0"/>
          <w:divBdr>
            <w:top w:val="none" w:sz="0" w:space="0" w:color="auto"/>
            <w:left w:val="none" w:sz="0" w:space="0" w:color="auto"/>
            <w:bottom w:val="none" w:sz="0" w:space="0" w:color="auto"/>
            <w:right w:val="none" w:sz="0" w:space="0" w:color="auto"/>
          </w:divBdr>
        </w:div>
        <w:div w:id="1178811403">
          <w:marLeft w:val="0"/>
          <w:marRight w:val="0"/>
          <w:marTop w:val="0"/>
          <w:marBottom w:val="0"/>
          <w:divBdr>
            <w:top w:val="none" w:sz="0" w:space="0" w:color="auto"/>
            <w:left w:val="none" w:sz="0" w:space="0" w:color="auto"/>
            <w:bottom w:val="none" w:sz="0" w:space="0" w:color="auto"/>
            <w:right w:val="none" w:sz="0" w:space="0" w:color="auto"/>
          </w:divBdr>
        </w:div>
        <w:div w:id="122037747">
          <w:marLeft w:val="0"/>
          <w:marRight w:val="0"/>
          <w:marTop w:val="0"/>
          <w:marBottom w:val="0"/>
          <w:divBdr>
            <w:top w:val="none" w:sz="0" w:space="0" w:color="auto"/>
            <w:left w:val="none" w:sz="0" w:space="0" w:color="auto"/>
            <w:bottom w:val="none" w:sz="0" w:space="0" w:color="auto"/>
            <w:right w:val="none" w:sz="0" w:space="0" w:color="auto"/>
          </w:divBdr>
        </w:div>
        <w:div w:id="13312304">
          <w:marLeft w:val="0"/>
          <w:marRight w:val="0"/>
          <w:marTop w:val="0"/>
          <w:marBottom w:val="0"/>
          <w:divBdr>
            <w:top w:val="none" w:sz="0" w:space="0" w:color="auto"/>
            <w:left w:val="none" w:sz="0" w:space="0" w:color="auto"/>
            <w:bottom w:val="none" w:sz="0" w:space="0" w:color="auto"/>
            <w:right w:val="none" w:sz="0" w:space="0" w:color="auto"/>
          </w:divBdr>
        </w:div>
        <w:div w:id="1222670470">
          <w:marLeft w:val="0"/>
          <w:marRight w:val="0"/>
          <w:marTop w:val="0"/>
          <w:marBottom w:val="0"/>
          <w:divBdr>
            <w:top w:val="none" w:sz="0" w:space="0" w:color="auto"/>
            <w:left w:val="none" w:sz="0" w:space="0" w:color="auto"/>
            <w:bottom w:val="none" w:sz="0" w:space="0" w:color="auto"/>
            <w:right w:val="none" w:sz="0" w:space="0" w:color="auto"/>
          </w:divBdr>
        </w:div>
        <w:div w:id="1373923676">
          <w:marLeft w:val="0"/>
          <w:marRight w:val="0"/>
          <w:marTop w:val="0"/>
          <w:marBottom w:val="0"/>
          <w:divBdr>
            <w:top w:val="none" w:sz="0" w:space="0" w:color="auto"/>
            <w:left w:val="none" w:sz="0" w:space="0" w:color="auto"/>
            <w:bottom w:val="none" w:sz="0" w:space="0" w:color="auto"/>
            <w:right w:val="none" w:sz="0" w:space="0" w:color="auto"/>
          </w:divBdr>
        </w:div>
        <w:div w:id="463622423">
          <w:marLeft w:val="0"/>
          <w:marRight w:val="0"/>
          <w:marTop w:val="0"/>
          <w:marBottom w:val="0"/>
          <w:divBdr>
            <w:top w:val="none" w:sz="0" w:space="0" w:color="auto"/>
            <w:left w:val="none" w:sz="0" w:space="0" w:color="auto"/>
            <w:bottom w:val="none" w:sz="0" w:space="0" w:color="auto"/>
            <w:right w:val="none" w:sz="0" w:space="0" w:color="auto"/>
          </w:divBdr>
        </w:div>
        <w:div w:id="2142069128">
          <w:marLeft w:val="0"/>
          <w:marRight w:val="0"/>
          <w:marTop w:val="0"/>
          <w:marBottom w:val="0"/>
          <w:divBdr>
            <w:top w:val="none" w:sz="0" w:space="0" w:color="auto"/>
            <w:left w:val="none" w:sz="0" w:space="0" w:color="auto"/>
            <w:bottom w:val="none" w:sz="0" w:space="0" w:color="auto"/>
            <w:right w:val="none" w:sz="0" w:space="0" w:color="auto"/>
          </w:divBdr>
        </w:div>
        <w:div w:id="1390104949">
          <w:marLeft w:val="0"/>
          <w:marRight w:val="0"/>
          <w:marTop w:val="0"/>
          <w:marBottom w:val="0"/>
          <w:divBdr>
            <w:top w:val="none" w:sz="0" w:space="0" w:color="auto"/>
            <w:left w:val="none" w:sz="0" w:space="0" w:color="auto"/>
            <w:bottom w:val="none" w:sz="0" w:space="0" w:color="auto"/>
            <w:right w:val="none" w:sz="0" w:space="0" w:color="auto"/>
          </w:divBdr>
        </w:div>
        <w:div w:id="588781164">
          <w:marLeft w:val="0"/>
          <w:marRight w:val="0"/>
          <w:marTop w:val="0"/>
          <w:marBottom w:val="0"/>
          <w:divBdr>
            <w:top w:val="none" w:sz="0" w:space="0" w:color="auto"/>
            <w:left w:val="none" w:sz="0" w:space="0" w:color="auto"/>
            <w:bottom w:val="none" w:sz="0" w:space="0" w:color="auto"/>
            <w:right w:val="none" w:sz="0" w:space="0" w:color="auto"/>
          </w:divBdr>
        </w:div>
        <w:div w:id="778449722">
          <w:marLeft w:val="0"/>
          <w:marRight w:val="0"/>
          <w:marTop w:val="0"/>
          <w:marBottom w:val="0"/>
          <w:divBdr>
            <w:top w:val="none" w:sz="0" w:space="0" w:color="auto"/>
            <w:left w:val="none" w:sz="0" w:space="0" w:color="auto"/>
            <w:bottom w:val="none" w:sz="0" w:space="0" w:color="auto"/>
            <w:right w:val="none" w:sz="0" w:space="0" w:color="auto"/>
          </w:divBdr>
        </w:div>
      </w:divsChild>
    </w:div>
    <w:div w:id="1336615364">
      <w:bodyDiv w:val="1"/>
      <w:marLeft w:val="0"/>
      <w:marRight w:val="0"/>
      <w:marTop w:val="0"/>
      <w:marBottom w:val="0"/>
      <w:divBdr>
        <w:top w:val="none" w:sz="0" w:space="0" w:color="auto"/>
        <w:left w:val="none" w:sz="0" w:space="0" w:color="auto"/>
        <w:bottom w:val="none" w:sz="0" w:space="0" w:color="auto"/>
        <w:right w:val="none" w:sz="0" w:space="0" w:color="auto"/>
      </w:divBdr>
    </w:div>
    <w:div w:id="1336956742">
      <w:bodyDiv w:val="1"/>
      <w:marLeft w:val="0"/>
      <w:marRight w:val="0"/>
      <w:marTop w:val="0"/>
      <w:marBottom w:val="0"/>
      <w:divBdr>
        <w:top w:val="none" w:sz="0" w:space="0" w:color="auto"/>
        <w:left w:val="none" w:sz="0" w:space="0" w:color="auto"/>
        <w:bottom w:val="none" w:sz="0" w:space="0" w:color="auto"/>
        <w:right w:val="none" w:sz="0" w:space="0" w:color="auto"/>
      </w:divBdr>
    </w:div>
    <w:div w:id="1348675108">
      <w:bodyDiv w:val="1"/>
      <w:marLeft w:val="0"/>
      <w:marRight w:val="0"/>
      <w:marTop w:val="0"/>
      <w:marBottom w:val="0"/>
      <w:divBdr>
        <w:top w:val="none" w:sz="0" w:space="0" w:color="auto"/>
        <w:left w:val="none" w:sz="0" w:space="0" w:color="auto"/>
        <w:bottom w:val="none" w:sz="0" w:space="0" w:color="auto"/>
        <w:right w:val="none" w:sz="0" w:space="0" w:color="auto"/>
      </w:divBdr>
    </w:div>
    <w:div w:id="1354575045">
      <w:bodyDiv w:val="1"/>
      <w:marLeft w:val="0"/>
      <w:marRight w:val="0"/>
      <w:marTop w:val="0"/>
      <w:marBottom w:val="0"/>
      <w:divBdr>
        <w:top w:val="none" w:sz="0" w:space="0" w:color="auto"/>
        <w:left w:val="none" w:sz="0" w:space="0" w:color="auto"/>
        <w:bottom w:val="none" w:sz="0" w:space="0" w:color="auto"/>
        <w:right w:val="none" w:sz="0" w:space="0" w:color="auto"/>
      </w:divBdr>
    </w:div>
    <w:div w:id="1382317427">
      <w:bodyDiv w:val="1"/>
      <w:marLeft w:val="0"/>
      <w:marRight w:val="0"/>
      <w:marTop w:val="0"/>
      <w:marBottom w:val="0"/>
      <w:divBdr>
        <w:top w:val="none" w:sz="0" w:space="0" w:color="auto"/>
        <w:left w:val="none" w:sz="0" w:space="0" w:color="auto"/>
        <w:bottom w:val="none" w:sz="0" w:space="0" w:color="auto"/>
        <w:right w:val="none" w:sz="0" w:space="0" w:color="auto"/>
      </w:divBdr>
    </w:div>
    <w:div w:id="1401825039">
      <w:bodyDiv w:val="1"/>
      <w:marLeft w:val="0"/>
      <w:marRight w:val="0"/>
      <w:marTop w:val="0"/>
      <w:marBottom w:val="0"/>
      <w:divBdr>
        <w:top w:val="none" w:sz="0" w:space="0" w:color="auto"/>
        <w:left w:val="none" w:sz="0" w:space="0" w:color="auto"/>
        <w:bottom w:val="none" w:sz="0" w:space="0" w:color="auto"/>
        <w:right w:val="none" w:sz="0" w:space="0" w:color="auto"/>
      </w:divBdr>
    </w:div>
    <w:div w:id="1411656115">
      <w:bodyDiv w:val="1"/>
      <w:marLeft w:val="0"/>
      <w:marRight w:val="0"/>
      <w:marTop w:val="0"/>
      <w:marBottom w:val="0"/>
      <w:divBdr>
        <w:top w:val="none" w:sz="0" w:space="0" w:color="auto"/>
        <w:left w:val="none" w:sz="0" w:space="0" w:color="auto"/>
        <w:bottom w:val="none" w:sz="0" w:space="0" w:color="auto"/>
        <w:right w:val="none" w:sz="0" w:space="0" w:color="auto"/>
      </w:divBdr>
      <w:divsChild>
        <w:div w:id="1836678031">
          <w:marLeft w:val="0"/>
          <w:marRight w:val="0"/>
          <w:marTop w:val="0"/>
          <w:marBottom w:val="0"/>
          <w:divBdr>
            <w:top w:val="none" w:sz="0" w:space="0" w:color="auto"/>
            <w:left w:val="none" w:sz="0" w:space="0" w:color="auto"/>
            <w:bottom w:val="none" w:sz="0" w:space="0" w:color="auto"/>
            <w:right w:val="none" w:sz="0" w:space="0" w:color="auto"/>
          </w:divBdr>
          <w:divsChild>
            <w:div w:id="2109427016">
              <w:marLeft w:val="-225"/>
              <w:marRight w:val="-225"/>
              <w:marTop w:val="0"/>
              <w:marBottom w:val="0"/>
              <w:divBdr>
                <w:top w:val="none" w:sz="0" w:space="0" w:color="auto"/>
                <w:left w:val="none" w:sz="0" w:space="0" w:color="auto"/>
                <w:bottom w:val="none" w:sz="0" w:space="0" w:color="auto"/>
                <w:right w:val="none" w:sz="0" w:space="0" w:color="auto"/>
              </w:divBdr>
              <w:divsChild>
                <w:div w:id="1574663052">
                  <w:marLeft w:val="0"/>
                  <w:marRight w:val="0"/>
                  <w:marTop w:val="0"/>
                  <w:marBottom w:val="0"/>
                  <w:divBdr>
                    <w:top w:val="none" w:sz="0" w:space="0" w:color="auto"/>
                    <w:left w:val="none" w:sz="0" w:space="0" w:color="auto"/>
                    <w:bottom w:val="none" w:sz="0" w:space="0" w:color="auto"/>
                    <w:right w:val="none" w:sz="0" w:space="0" w:color="auto"/>
                  </w:divBdr>
                  <w:divsChild>
                    <w:div w:id="1633318049">
                      <w:marLeft w:val="0"/>
                      <w:marRight w:val="0"/>
                      <w:marTop w:val="0"/>
                      <w:marBottom w:val="0"/>
                      <w:divBdr>
                        <w:top w:val="none" w:sz="0" w:space="0" w:color="auto"/>
                        <w:left w:val="none" w:sz="0" w:space="0" w:color="auto"/>
                        <w:bottom w:val="none" w:sz="0" w:space="0" w:color="auto"/>
                        <w:right w:val="none" w:sz="0" w:space="0" w:color="auto"/>
                      </w:divBdr>
                      <w:divsChild>
                        <w:div w:id="860555897">
                          <w:marLeft w:val="0"/>
                          <w:marRight w:val="0"/>
                          <w:marTop w:val="0"/>
                          <w:marBottom w:val="0"/>
                          <w:divBdr>
                            <w:top w:val="none" w:sz="0" w:space="0" w:color="auto"/>
                            <w:left w:val="none" w:sz="0" w:space="0" w:color="auto"/>
                            <w:bottom w:val="none" w:sz="0" w:space="0" w:color="auto"/>
                            <w:right w:val="none" w:sz="0" w:space="0" w:color="auto"/>
                          </w:divBdr>
                          <w:divsChild>
                            <w:div w:id="1651473268">
                              <w:marLeft w:val="0"/>
                              <w:marRight w:val="0"/>
                              <w:marTop w:val="0"/>
                              <w:marBottom w:val="240"/>
                              <w:divBdr>
                                <w:top w:val="none" w:sz="0" w:space="0" w:color="auto"/>
                                <w:left w:val="none" w:sz="0" w:space="0" w:color="auto"/>
                                <w:bottom w:val="none" w:sz="0" w:space="0" w:color="auto"/>
                                <w:right w:val="none" w:sz="0" w:space="0" w:color="auto"/>
                              </w:divBdr>
                              <w:divsChild>
                                <w:div w:id="1958752715">
                                  <w:marLeft w:val="0"/>
                                  <w:marRight w:val="0"/>
                                  <w:marTop w:val="0"/>
                                  <w:marBottom w:val="0"/>
                                  <w:divBdr>
                                    <w:top w:val="none" w:sz="0" w:space="0" w:color="auto"/>
                                    <w:left w:val="none" w:sz="0" w:space="0" w:color="auto"/>
                                    <w:bottom w:val="none" w:sz="0" w:space="0" w:color="auto"/>
                                    <w:right w:val="none" w:sz="0" w:space="0" w:color="auto"/>
                                  </w:divBdr>
                                  <w:divsChild>
                                    <w:div w:id="1504515573">
                                      <w:marLeft w:val="0"/>
                                      <w:marRight w:val="0"/>
                                      <w:marTop w:val="0"/>
                                      <w:marBottom w:val="0"/>
                                      <w:divBdr>
                                        <w:top w:val="none" w:sz="0" w:space="0" w:color="auto"/>
                                        <w:left w:val="none" w:sz="0" w:space="0" w:color="auto"/>
                                        <w:bottom w:val="none" w:sz="0" w:space="0" w:color="auto"/>
                                        <w:right w:val="none" w:sz="0" w:space="0" w:color="auto"/>
                                      </w:divBdr>
                                      <w:divsChild>
                                        <w:div w:id="1025980505">
                                          <w:marLeft w:val="0"/>
                                          <w:marRight w:val="0"/>
                                          <w:marTop w:val="0"/>
                                          <w:marBottom w:val="0"/>
                                          <w:divBdr>
                                            <w:top w:val="none" w:sz="0" w:space="0" w:color="auto"/>
                                            <w:left w:val="none" w:sz="0" w:space="0" w:color="auto"/>
                                            <w:bottom w:val="none" w:sz="0" w:space="0" w:color="auto"/>
                                            <w:right w:val="none" w:sz="0" w:space="0" w:color="auto"/>
                                          </w:divBdr>
                                          <w:divsChild>
                                            <w:div w:id="335378822">
                                              <w:marLeft w:val="0"/>
                                              <w:marRight w:val="0"/>
                                              <w:marTop w:val="0"/>
                                              <w:marBottom w:val="0"/>
                                              <w:divBdr>
                                                <w:top w:val="none" w:sz="0" w:space="0" w:color="auto"/>
                                                <w:left w:val="none" w:sz="0" w:space="0" w:color="auto"/>
                                                <w:bottom w:val="none" w:sz="0" w:space="0" w:color="auto"/>
                                                <w:right w:val="none" w:sz="0" w:space="0" w:color="auto"/>
                                              </w:divBdr>
                                              <w:divsChild>
                                                <w:div w:id="142325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19055856">
      <w:bodyDiv w:val="1"/>
      <w:marLeft w:val="0"/>
      <w:marRight w:val="0"/>
      <w:marTop w:val="0"/>
      <w:marBottom w:val="0"/>
      <w:divBdr>
        <w:top w:val="none" w:sz="0" w:space="0" w:color="auto"/>
        <w:left w:val="none" w:sz="0" w:space="0" w:color="auto"/>
        <w:bottom w:val="none" w:sz="0" w:space="0" w:color="auto"/>
        <w:right w:val="none" w:sz="0" w:space="0" w:color="auto"/>
      </w:divBdr>
    </w:div>
    <w:div w:id="1448574188">
      <w:bodyDiv w:val="1"/>
      <w:marLeft w:val="0"/>
      <w:marRight w:val="0"/>
      <w:marTop w:val="0"/>
      <w:marBottom w:val="0"/>
      <w:divBdr>
        <w:top w:val="none" w:sz="0" w:space="0" w:color="auto"/>
        <w:left w:val="none" w:sz="0" w:space="0" w:color="auto"/>
        <w:bottom w:val="none" w:sz="0" w:space="0" w:color="auto"/>
        <w:right w:val="none" w:sz="0" w:space="0" w:color="auto"/>
      </w:divBdr>
      <w:divsChild>
        <w:div w:id="148718826">
          <w:marLeft w:val="0"/>
          <w:marRight w:val="0"/>
          <w:marTop w:val="0"/>
          <w:marBottom w:val="0"/>
          <w:divBdr>
            <w:top w:val="none" w:sz="0" w:space="0" w:color="auto"/>
            <w:left w:val="none" w:sz="0" w:space="0" w:color="auto"/>
            <w:bottom w:val="none" w:sz="0" w:space="0" w:color="auto"/>
            <w:right w:val="none" w:sz="0" w:space="0" w:color="auto"/>
          </w:divBdr>
          <w:divsChild>
            <w:div w:id="1771848846">
              <w:marLeft w:val="0"/>
              <w:marRight w:val="0"/>
              <w:marTop w:val="0"/>
              <w:marBottom w:val="0"/>
              <w:divBdr>
                <w:top w:val="none" w:sz="0" w:space="0" w:color="auto"/>
                <w:left w:val="none" w:sz="0" w:space="0" w:color="auto"/>
                <w:bottom w:val="none" w:sz="0" w:space="0" w:color="auto"/>
                <w:right w:val="none" w:sz="0" w:space="0" w:color="auto"/>
              </w:divBdr>
              <w:divsChild>
                <w:div w:id="933434620">
                  <w:marLeft w:val="0"/>
                  <w:marRight w:val="0"/>
                  <w:marTop w:val="0"/>
                  <w:marBottom w:val="0"/>
                  <w:divBdr>
                    <w:top w:val="none" w:sz="0" w:space="0" w:color="auto"/>
                    <w:left w:val="none" w:sz="0" w:space="0" w:color="auto"/>
                    <w:bottom w:val="none" w:sz="0" w:space="0" w:color="auto"/>
                    <w:right w:val="none" w:sz="0" w:space="0" w:color="auto"/>
                  </w:divBdr>
                  <w:divsChild>
                    <w:div w:id="4622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281121">
      <w:bodyDiv w:val="1"/>
      <w:marLeft w:val="0"/>
      <w:marRight w:val="0"/>
      <w:marTop w:val="0"/>
      <w:marBottom w:val="0"/>
      <w:divBdr>
        <w:top w:val="none" w:sz="0" w:space="0" w:color="auto"/>
        <w:left w:val="none" w:sz="0" w:space="0" w:color="auto"/>
        <w:bottom w:val="none" w:sz="0" w:space="0" w:color="auto"/>
        <w:right w:val="none" w:sz="0" w:space="0" w:color="auto"/>
      </w:divBdr>
    </w:div>
    <w:div w:id="1457289293">
      <w:bodyDiv w:val="1"/>
      <w:marLeft w:val="0"/>
      <w:marRight w:val="0"/>
      <w:marTop w:val="0"/>
      <w:marBottom w:val="0"/>
      <w:divBdr>
        <w:top w:val="none" w:sz="0" w:space="0" w:color="auto"/>
        <w:left w:val="none" w:sz="0" w:space="0" w:color="auto"/>
        <w:bottom w:val="none" w:sz="0" w:space="0" w:color="auto"/>
        <w:right w:val="none" w:sz="0" w:space="0" w:color="auto"/>
      </w:divBdr>
    </w:div>
    <w:div w:id="1501964643">
      <w:bodyDiv w:val="1"/>
      <w:marLeft w:val="0"/>
      <w:marRight w:val="0"/>
      <w:marTop w:val="0"/>
      <w:marBottom w:val="0"/>
      <w:divBdr>
        <w:top w:val="none" w:sz="0" w:space="0" w:color="auto"/>
        <w:left w:val="none" w:sz="0" w:space="0" w:color="auto"/>
        <w:bottom w:val="none" w:sz="0" w:space="0" w:color="auto"/>
        <w:right w:val="none" w:sz="0" w:space="0" w:color="auto"/>
      </w:divBdr>
    </w:div>
    <w:div w:id="1505970871">
      <w:bodyDiv w:val="1"/>
      <w:marLeft w:val="0"/>
      <w:marRight w:val="0"/>
      <w:marTop w:val="0"/>
      <w:marBottom w:val="0"/>
      <w:divBdr>
        <w:top w:val="none" w:sz="0" w:space="0" w:color="auto"/>
        <w:left w:val="none" w:sz="0" w:space="0" w:color="auto"/>
        <w:bottom w:val="none" w:sz="0" w:space="0" w:color="auto"/>
        <w:right w:val="none" w:sz="0" w:space="0" w:color="auto"/>
      </w:divBdr>
    </w:div>
    <w:div w:id="1507132336">
      <w:bodyDiv w:val="1"/>
      <w:marLeft w:val="0"/>
      <w:marRight w:val="0"/>
      <w:marTop w:val="0"/>
      <w:marBottom w:val="0"/>
      <w:divBdr>
        <w:top w:val="none" w:sz="0" w:space="0" w:color="auto"/>
        <w:left w:val="none" w:sz="0" w:space="0" w:color="auto"/>
        <w:bottom w:val="none" w:sz="0" w:space="0" w:color="auto"/>
        <w:right w:val="none" w:sz="0" w:space="0" w:color="auto"/>
      </w:divBdr>
    </w:div>
    <w:div w:id="1510439791">
      <w:bodyDiv w:val="1"/>
      <w:marLeft w:val="0"/>
      <w:marRight w:val="0"/>
      <w:marTop w:val="0"/>
      <w:marBottom w:val="0"/>
      <w:divBdr>
        <w:top w:val="none" w:sz="0" w:space="0" w:color="auto"/>
        <w:left w:val="none" w:sz="0" w:space="0" w:color="auto"/>
        <w:bottom w:val="none" w:sz="0" w:space="0" w:color="auto"/>
        <w:right w:val="none" w:sz="0" w:space="0" w:color="auto"/>
      </w:divBdr>
      <w:divsChild>
        <w:div w:id="1218274180">
          <w:marLeft w:val="0"/>
          <w:marRight w:val="0"/>
          <w:marTop w:val="0"/>
          <w:marBottom w:val="0"/>
          <w:divBdr>
            <w:top w:val="none" w:sz="0" w:space="0" w:color="auto"/>
            <w:left w:val="none" w:sz="0" w:space="0" w:color="auto"/>
            <w:bottom w:val="none" w:sz="0" w:space="0" w:color="auto"/>
            <w:right w:val="none" w:sz="0" w:space="0" w:color="auto"/>
          </w:divBdr>
          <w:divsChild>
            <w:div w:id="835152705">
              <w:marLeft w:val="-225"/>
              <w:marRight w:val="-225"/>
              <w:marTop w:val="0"/>
              <w:marBottom w:val="0"/>
              <w:divBdr>
                <w:top w:val="none" w:sz="0" w:space="0" w:color="auto"/>
                <w:left w:val="none" w:sz="0" w:space="0" w:color="auto"/>
                <w:bottom w:val="none" w:sz="0" w:space="0" w:color="auto"/>
                <w:right w:val="none" w:sz="0" w:space="0" w:color="auto"/>
              </w:divBdr>
              <w:divsChild>
                <w:div w:id="1842769152">
                  <w:marLeft w:val="0"/>
                  <w:marRight w:val="0"/>
                  <w:marTop w:val="0"/>
                  <w:marBottom w:val="0"/>
                  <w:divBdr>
                    <w:top w:val="none" w:sz="0" w:space="0" w:color="auto"/>
                    <w:left w:val="none" w:sz="0" w:space="0" w:color="auto"/>
                    <w:bottom w:val="none" w:sz="0" w:space="0" w:color="auto"/>
                    <w:right w:val="none" w:sz="0" w:space="0" w:color="auto"/>
                  </w:divBdr>
                  <w:divsChild>
                    <w:div w:id="1781532612">
                      <w:marLeft w:val="0"/>
                      <w:marRight w:val="0"/>
                      <w:marTop w:val="0"/>
                      <w:marBottom w:val="0"/>
                      <w:divBdr>
                        <w:top w:val="none" w:sz="0" w:space="0" w:color="auto"/>
                        <w:left w:val="none" w:sz="0" w:space="0" w:color="auto"/>
                        <w:bottom w:val="none" w:sz="0" w:space="0" w:color="auto"/>
                        <w:right w:val="none" w:sz="0" w:space="0" w:color="auto"/>
                      </w:divBdr>
                      <w:divsChild>
                        <w:div w:id="84619090">
                          <w:marLeft w:val="0"/>
                          <w:marRight w:val="0"/>
                          <w:marTop w:val="0"/>
                          <w:marBottom w:val="0"/>
                          <w:divBdr>
                            <w:top w:val="none" w:sz="0" w:space="0" w:color="auto"/>
                            <w:left w:val="none" w:sz="0" w:space="0" w:color="auto"/>
                            <w:bottom w:val="none" w:sz="0" w:space="0" w:color="auto"/>
                            <w:right w:val="none" w:sz="0" w:space="0" w:color="auto"/>
                          </w:divBdr>
                          <w:divsChild>
                            <w:div w:id="755975903">
                              <w:marLeft w:val="0"/>
                              <w:marRight w:val="0"/>
                              <w:marTop w:val="0"/>
                              <w:marBottom w:val="240"/>
                              <w:divBdr>
                                <w:top w:val="none" w:sz="0" w:space="0" w:color="auto"/>
                                <w:left w:val="none" w:sz="0" w:space="0" w:color="auto"/>
                                <w:bottom w:val="none" w:sz="0" w:space="0" w:color="auto"/>
                                <w:right w:val="none" w:sz="0" w:space="0" w:color="auto"/>
                              </w:divBdr>
                              <w:divsChild>
                                <w:div w:id="431822854">
                                  <w:marLeft w:val="0"/>
                                  <w:marRight w:val="0"/>
                                  <w:marTop w:val="0"/>
                                  <w:marBottom w:val="0"/>
                                  <w:divBdr>
                                    <w:top w:val="none" w:sz="0" w:space="0" w:color="auto"/>
                                    <w:left w:val="none" w:sz="0" w:space="0" w:color="auto"/>
                                    <w:bottom w:val="none" w:sz="0" w:space="0" w:color="auto"/>
                                    <w:right w:val="none" w:sz="0" w:space="0" w:color="auto"/>
                                  </w:divBdr>
                                  <w:divsChild>
                                    <w:div w:id="730346800">
                                      <w:marLeft w:val="0"/>
                                      <w:marRight w:val="0"/>
                                      <w:marTop w:val="0"/>
                                      <w:marBottom w:val="0"/>
                                      <w:divBdr>
                                        <w:top w:val="none" w:sz="0" w:space="0" w:color="auto"/>
                                        <w:left w:val="none" w:sz="0" w:space="0" w:color="auto"/>
                                        <w:bottom w:val="none" w:sz="0" w:space="0" w:color="auto"/>
                                        <w:right w:val="none" w:sz="0" w:space="0" w:color="auto"/>
                                      </w:divBdr>
                                      <w:divsChild>
                                        <w:div w:id="942497703">
                                          <w:marLeft w:val="0"/>
                                          <w:marRight w:val="0"/>
                                          <w:marTop w:val="0"/>
                                          <w:marBottom w:val="0"/>
                                          <w:divBdr>
                                            <w:top w:val="none" w:sz="0" w:space="0" w:color="auto"/>
                                            <w:left w:val="none" w:sz="0" w:space="0" w:color="auto"/>
                                            <w:bottom w:val="none" w:sz="0" w:space="0" w:color="auto"/>
                                            <w:right w:val="none" w:sz="0" w:space="0" w:color="auto"/>
                                          </w:divBdr>
                                          <w:divsChild>
                                            <w:div w:id="2016302724">
                                              <w:marLeft w:val="0"/>
                                              <w:marRight w:val="0"/>
                                              <w:marTop w:val="0"/>
                                              <w:marBottom w:val="0"/>
                                              <w:divBdr>
                                                <w:top w:val="none" w:sz="0" w:space="0" w:color="auto"/>
                                                <w:left w:val="none" w:sz="0" w:space="0" w:color="auto"/>
                                                <w:bottom w:val="none" w:sz="0" w:space="0" w:color="auto"/>
                                                <w:right w:val="none" w:sz="0" w:space="0" w:color="auto"/>
                                              </w:divBdr>
                                              <w:divsChild>
                                                <w:div w:id="158591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51458618">
      <w:bodyDiv w:val="1"/>
      <w:marLeft w:val="0"/>
      <w:marRight w:val="0"/>
      <w:marTop w:val="0"/>
      <w:marBottom w:val="0"/>
      <w:divBdr>
        <w:top w:val="none" w:sz="0" w:space="0" w:color="auto"/>
        <w:left w:val="none" w:sz="0" w:space="0" w:color="auto"/>
        <w:bottom w:val="none" w:sz="0" w:space="0" w:color="auto"/>
        <w:right w:val="none" w:sz="0" w:space="0" w:color="auto"/>
      </w:divBdr>
    </w:div>
    <w:div w:id="1553078687">
      <w:bodyDiv w:val="1"/>
      <w:marLeft w:val="0"/>
      <w:marRight w:val="0"/>
      <w:marTop w:val="0"/>
      <w:marBottom w:val="0"/>
      <w:divBdr>
        <w:top w:val="none" w:sz="0" w:space="0" w:color="auto"/>
        <w:left w:val="none" w:sz="0" w:space="0" w:color="auto"/>
        <w:bottom w:val="none" w:sz="0" w:space="0" w:color="auto"/>
        <w:right w:val="none" w:sz="0" w:space="0" w:color="auto"/>
      </w:divBdr>
    </w:div>
    <w:div w:id="1557276978">
      <w:bodyDiv w:val="1"/>
      <w:marLeft w:val="0"/>
      <w:marRight w:val="0"/>
      <w:marTop w:val="0"/>
      <w:marBottom w:val="0"/>
      <w:divBdr>
        <w:top w:val="none" w:sz="0" w:space="0" w:color="auto"/>
        <w:left w:val="none" w:sz="0" w:space="0" w:color="auto"/>
        <w:bottom w:val="none" w:sz="0" w:space="0" w:color="auto"/>
        <w:right w:val="none" w:sz="0" w:space="0" w:color="auto"/>
      </w:divBdr>
    </w:div>
    <w:div w:id="1576279597">
      <w:bodyDiv w:val="1"/>
      <w:marLeft w:val="0"/>
      <w:marRight w:val="0"/>
      <w:marTop w:val="0"/>
      <w:marBottom w:val="0"/>
      <w:divBdr>
        <w:top w:val="none" w:sz="0" w:space="0" w:color="auto"/>
        <w:left w:val="none" w:sz="0" w:space="0" w:color="auto"/>
        <w:bottom w:val="none" w:sz="0" w:space="0" w:color="auto"/>
        <w:right w:val="none" w:sz="0" w:space="0" w:color="auto"/>
      </w:divBdr>
      <w:divsChild>
        <w:div w:id="593827210">
          <w:marLeft w:val="0"/>
          <w:marRight w:val="0"/>
          <w:marTop w:val="0"/>
          <w:marBottom w:val="0"/>
          <w:divBdr>
            <w:top w:val="none" w:sz="0" w:space="0" w:color="auto"/>
            <w:left w:val="none" w:sz="0" w:space="0" w:color="auto"/>
            <w:bottom w:val="none" w:sz="0" w:space="0" w:color="auto"/>
            <w:right w:val="none" w:sz="0" w:space="0" w:color="auto"/>
          </w:divBdr>
          <w:divsChild>
            <w:div w:id="780295349">
              <w:marLeft w:val="0"/>
              <w:marRight w:val="0"/>
              <w:marTop w:val="0"/>
              <w:marBottom w:val="0"/>
              <w:divBdr>
                <w:top w:val="none" w:sz="0" w:space="0" w:color="auto"/>
                <w:left w:val="none" w:sz="0" w:space="0" w:color="auto"/>
                <w:bottom w:val="none" w:sz="0" w:space="0" w:color="auto"/>
                <w:right w:val="none" w:sz="0" w:space="0" w:color="auto"/>
              </w:divBdr>
              <w:divsChild>
                <w:div w:id="1998653548">
                  <w:marLeft w:val="0"/>
                  <w:marRight w:val="0"/>
                  <w:marTop w:val="0"/>
                  <w:marBottom w:val="0"/>
                  <w:divBdr>
                    <w:top w:val="none" w:sz="0" w:space="0" w:color="auto"/>
                    <w:left w:val="none" w:sz="0" w:space="0" w:color="auto"/>
                    <w:bottom w:val="none" w:sz="0" w:space="0" w:color="auto"/>
                    <w:right w:val="none" w:sz="0" w:space="0" w:color="auto"/>
                  </w:divBdr>
                  <w:divsChild>
                    <w:div w:id="672877239">
                      <w:marLeft w:val="0"/>
                      <w:marRight w:val="0"/>
                      <w:marTop w:val="0"/>
                      <w:marBottom w:val="0"/>
                      <w:divBdr>
                        <w:top w:val="none" w:sz="0" w:space="0" w:color="auto"/>
                        <w:left w:val="none" w:sz="0" w:space="0" w:color="auto"/>
                        <w:bottom w:val="none" w:sz="0" w:space="0" w:color="auto"/>
                        <w:right w:val="none" w:sz="0" w:space="0" w:color="auto"/>
                      </w:divBdr>
                      <w:divsChild>
                        <w:div w:id="263465050">
                          <w:marLeft w:val="0"/>
                          <w:marRight w:val="0"/>
                          <w:marTop w:val="0"/>
                          <w:marBottom w:val="0"/>
                          <w:divBdr>
                            <w:top w:val="none" w:sz="0" w:space="0" w:color="auto"/>
                            <w:left w:val="none" w:sz="0" w:space="0" w:color="auto"/>
                            <w:bottom w:val="none" w:sz="0" w:space="0" w:color="auto"/>
                            <w:right w:val="none" w:sz="0" w:space="0" w:color="auto"/>
                          </w:divBdr>
                          <w:divsChild>
                            <w:div w:id="379551526">
                              <w:marLeft w:val="0"/>
                              <w:marRight w:val="0"/>
                              <w:marTop w:val="0"/>
                              <w:marBottom w:val="0"/>
                              <w:divBdr>
                                <w:top w:val="none" w:sz="0" w:space="0" w:color="auto"/>
                                <w:left w:val="none" w:sz="0" w:space="0" w:color="auto"/>
                                <w:bottom w:val="none" w:sz="0" w:space="0" w:color="auto"/>
                                <w:right w:val="none" w:sz="0" w:space="0" w:color="auto"/>
                              </w:divBdr>
                              <w:divsChild>
                                <w:div w:id="1620138207">
                                  <w:marLeft w:val="0"/>
                                  <w:marRight w:val="0"/>
                                  <w:marTop w:val="0"/>
                                  <w:marBottom w:val="0"/>
                                  <w:divBdr>
                                    <w:top w:val="none" w:sz="0" w:space="0" w:color="auto"/>
                                    <w:left w:val="none" w:sz="0" w:space="0" w:color="auto"/>
                                    <w:bottom w:val="none" w:sz="0" w:space="0" w:color="auto"/>
                                    <w:right w:val="none" w:sz="0" w:space="0" w:color="auto"/>
                                  </w:divBdr>
                                  <w:divsChild>
                                    <w:div w:id="166796706">
                                      <w:marLeft w:val="0"/>
                                      <w:marRight w:val="0"/>
                                      <w:marTop w:val="0"/>
                                      <w:marBottom w:val="0"/>
                                      <w:divBdr>
                                        <w:top w:val="none" w:sz="0" w:space="0" w:color="auto"/>
                                        <w:left w:val="none" w:sz="0" w:space="0" w:color="auto"/>
                                        <w:bottom w:val="none" w:sz="0" w:space="0" w:color="auto"/>
                                        <w:right w:val="none" w:sz="0" w:space="0" w:color="auto"/>
                                      </w:divBdr>
                                      <w:divsChild>
                                        <w:div w:id="1474249272">
                                          <w:marLeft w:val="0"/>
                                          <w:marRight w:val="0"/>
                                          <w:marTop w:val="0"/>
                                          <w:marBottom w:val="0"/>
                                          <w:divBdr>
                                            <w:top w:val="none" w:sz="0" w:space="0" w:color="auto"/>
                                            <w:left w:val="none" w:sz="0" w:space="0" w:color="auto"/>
                                            <w:bottom w:val="none" w:sz="0" w:space="0" w:color="auto"/>
                                            <w:right w:val="none" w:sz="0" w:space="0" w:color="auto"/>
                                          </w:divBdr>
                                          <w:divsChild>
                                            <w:div w:id="113233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82956559">
      <w:bodyDiv w:val="1"/>
      <w:marLeft w:val="0"/>
      <w:marRight w:val="0"/>
      <w:marTop w:val="0"/>
      <w:marBottom w:val="0"/>
      <w:divBdr>
        <w:top w:val="none" w:sz="0" w:space="0" w:color="auto"/>
        <w:left w:val="none" w:sz="0" w:space="0" w:color="auto"/>
        <w:bottom w:val="none" w:sz="0" w:space="0" w:color="auto"/>
        <w:right w:val="none" w:sz="0" w:space="0" w:color="auto"/>
      </w:divBdr>
    </w:div>
    <w:div w:id="1614748317">
      <w:bodyDiv w:val="1"/>
      <w:marLeft w:val="0"/>
      <w:marRight w:val="0"/>
      <w:marTop w:val="0"/>
      <w:marBottom w:val="0"/>
      <w:divBdr>
        <w:top w:val="none" w:sz="0" w:space="0" w:color="auto"/>
        <w:left w:val="none" w:sz="0" w:space="0" w:color="auto"/>
        <w:bottom w:val="none" w:sz="0" w:space="0" w:color="auto"/>
        <w:right w:val="none" w:sz="0" w:space="0" w:color="auto"/>
      </w:divBdr>
    </w:div>
    <w:div w:id="1631742056">
      <w:bodyDiv w:val="1"/>
      <w:marLeft w:val="0"/>
      <w:marRight w:val="0"/>
      <w:marTop w:val="0"/>
      <w:marBottom w:val="0"/>
      <w:divBdr>
        <w:top w:val="none" w:sz="0" w:space="0" w:color="auto"/>
        <w:left w:val="none" w:sz="0" w:space="0" w:color="auto"/>
        <w:bottom w:val="none" w:sz="0" w:space="0" w:color="auto"/>
        <w:right w:val="none" w:sz="0" w:space="0" w:color="auto"/>
      </w:divBdr>
    </w:div>
    <w:div w:id="1633751487">
      <w:bodyDiv w:val="1"/>
      <w:marLeft w:val="0"/>
      <w:marRight w:val="0"/>
      <w:marTop w:val="0"/>
      <w:marBottom w:val="0"/>
      <w:divBdr>
        <w:top w:val="none" w:sz="0" w:space="0" w:color="auto"/>
        <w:left w:val="none" w:sz="0" w:space="0" w:color="auto"/>
        <w:bottom w:val="none" w:sz="0" w:space="0" w:color="auto"/>
        <w:right w:val="none" w:sz="0" w:space="0" w:color="auto"/>
      </w:divBdr>
    </w:div>
    <w:div w:id="1634753149">
      <w:bodyDiv w:val="1"/>
      <w:marLeft w:val="0"/>
      <w:marRight w:val="0"/>
      <w:marTop w:val="0"/>
      <w:marBottom w:val="0"/>
      <w:divBdr>
        <w:top w:val="none" w:sz="0" w:space="0" w:color="auto"/>
        <w:left w:val="none" w:sz="0" w:space="0" w:color="auto"/>
        <w:bottom w:val="none" w:sz="0" w:space="0" w:color="auto"/>
        <w:right w:val="none" w:sz="0" w:space="0" w:color="auto"/>
      </w:divBdr>
    </w:div>
    <w:div w:id="1635985138">
      <w:bodyDiv w:val="1"/>
      <w:marLeft w:val="0"/>
      <w:marRight w:val="0"/>
      <w:marTop w:val="0"/>
      <w:marBottom w:val="0"/>
      <w:divBdr>
        <w:top w:val="none" w:sz="0" w:space="0" w:color="auto"/>
        <w:left w:val="none" w:sz="0" w:space="0" w:color="auto"/>
        <w:bottom w:val="none" w:sz="0" w:space="0" w:color="auto"/>
        <w:right w:val="none" w:sz="0" w:space="0" w:color="auto"/>
      </w:divBdr>
      <w:divsChild>
        <w:div w:id="1478716766">
          <w:marLeft w:val="0"/>
          <w:marRight w:val="0"/>
          <w:marTop w:val="0"/>
          <w:marBottom w:val="0"/>
          <w:divBdr>
            <w:top w:val="none" w:sz="0" w:space="0" w:color="auto"/>
            <w:left w:val="none" w:sz="0" w:space="0" w:color="auto"/>
            <w:bottom w:val="none" w:sz="0" w:space="0" w:color="auto"/>
            <w:right w:val="none" w:sz="0" w:space="0" w:color="auto"/>
          </w:divBdr>
          <w:divsChild>
            <w:div w:id="1247960049">
              <w:marLeft w:val="0"/>
              <w:marRight w:val="0"/>
              <w:marTop w:val="0"/>
              <w:marBottom w:val="0"/>
              <w:divBdr>
                <w:top w:val="none" w:sz="0" w:space="0" w:color="auto"/>
                <w:left w:val="none" w:sz="0" w:space="0" w:color="auto"/>
                <w:bottom w:val="none" w:sz="0" w:space="0" w:color="auto"/>
                <w:right w:val="none" w:sz="0" w:space="0" w:color="auto"/>
              </w:divBdr>
              <w:divsChild>
                <w:div w:id="13002477">
                  <w:marLeft w:val="0"/>
                  <w:marRight w:val="0"/>
                  <w:marTop w:val="0"/>
                  <w:marBottom w:val="0"/>
                  <w:divBdr>
                    <w:top w:val="none" w:sz="0" w:space="0" w:color="auto"/>
                    <w:left w:val="none" w:sz="0" w:space="0" w:color="auto"/>
                    <w:bottom w:val="none" w:sz="0" w:space="0" w:color="auto"/>
                    <w:right w:val="none" w:sz="0" w:space="0" w:color="auto"/>
                  </w:divBdr>
                  <w:divsChild>
                    <w:div w:id="1581865200">
                      <w:marLeft w:val="0"/>
                      <w:marRight w:val="0"/>
                      <w:marTop w:val="0"/>
                      <w:marBottom w:val="0"/>
                      <w:divBdr>
                        <w:top w:val="none" w:sz="0" w:space="0" w:color="auto"/>
                        <w:left w:val="none" w:sz="0" w:space="0" w:color="auto"/>
                        <w:bottom w:val="none" w:sz="0" w:space="0" w:color="auto"/>
                        <w:right w:val="none" w:sz="0" w:space="0" w:color="auto"/>
                      </w:divBdr>
                      <w:divsChild>
                        <w:div w:id="1704475044">
                          <w:marLeft w:val="0"/>
                          <w:marRight w:val="0"/>
                          <w:marTop w:val="0"/>
                          <w:marBottom w:val="0"/>
                          <w:divBdr>
                            <w:top w:val="none" w:sz="0" w:space="0" w:color="auto"/>
                            <w:left w:val="none" w:sz="0" w:space="0" w:color="auto"/>
                            <w:bottom w:val="none" w:sz="0" w:space="0" w:color="auto"/>
                            <w:right w:val="none" w:sz="0" w:space="0" w:color="auto"/>
                          </w:divBdr>
                          <w:divsChild>
                            <w:div w:id="1992515840">
                              <w:marLeft w:val="0"/>
                              <w:marRight w:val="0"/>
                              <w:marTop w:val="0"/>
                              <w:marBottom w:val="0"/>
                              <w:divBdr>
                                <w:top w:val="none" w:sz="0" w:space="0" w:color="auto"/>
                                <w:left w:val="none" w:sz="0" w:space="0" w:color="auto"/>
                                <w:bottom w:val="none" w:sz="0" w:space="0" w:color="auto"/>
                                <w:right w:val="none" w:sz="0" w:space="0" w:color="auto"/>
                              </w:divBdr>
                              <w:divsChild>
                                <w:div w:id="15037508">
                                  <w:marLeft w:val="0"/>
                                  <w:marRight w:val="0"/>
                                  <w:marTop w:val="0"/>
                                  <w:marBottom w:val="0"/>
                                  <w:divBdr>
                                    <w:top w:val="none" w:sz="0" w:space="0" w:color="auto"/>
                                    <w:left w:val="none" w:sz="0" w:space="0" w:color="auto"/>
                                    <w:bottom w:val="none" w:sz="0" w:space="0" w:color="auto"/>
                                    <w:right w:val="none" w:sz="0" w:space="0" w:color="auto"/>
                                  </w:divBdr>
                                  <w:divsChild>
                                    <w:div w:id="979502350">
                                      <w:marLeft w:val="0"/>
                                      <w:marRight w:val="0"/>
                                      <w:marTop w:val="0"/>
                                      <w:marBottom w:val="0"/>
                                      <w:divBdr>
                                        <w:top w:val="none" w:sz="0" w:space="0" w:color="auto"/>
                                        <w:left w:val="none" w:sz="0" w:space="0" w:color="auto"/>
                                        <w:bottom w:val="none" w:sz="0" w:space="0" w:color="auto"/>
                                        <w:right w:val="none" w:sz="0" w:space="0" w:color="auto"/>
                                      </w:divBdr>
                                      <w:divsChild>
                                        <w:div w:id="1196967072">
                                          <w:marLeft w:val="0"/>
                                          <w:marRight w:val="0"/>
                                          <w:marTop w:val="0"/>
                                          <w:marBottom w:val="0"/>
                                          <w:divBdr>
                                            <w:top w:val="none" w:sz="0" w:space="0" w:color="auto"/>
                                            <w:left w:val="none" w:sz="0" w:space="0" w:color="auto"/>
                                            <w:bottom w:val="none" w:sz="0" w:space="0" w:color="auto"/>
                                            <w:right w:val="none" w:sz="0" w:space="0" w:color="auto"/>
                                          </w:divBdr>
                                          <w:divsChild>
                                            <w:div w:id="479931904">
                                              <w:marLeft w:val="0"/>
                                              <w:marRight w:val="0"/>
                                              <w:marTop w:val="0"/>
                                              <w:marBottom w:val="0"/>
                                              <w:divBdr>
                                                <w:top w:val="none" w:sz="0" w:space="0" w:color="auto"/>
                                                <w:left w:val="none" w:sz="0" w:space="0" w:color="auto"/>
                                                <w:bottom w:val="none" w:sz="0" w:space="0" w:color="auto"/>
                                                <w:right w:val="none" w:sz="0" w:space="0" w:color="auto"/>
                                              </w:divBdr>
                                              <w:divsChild>
                                                <w:div w:id="1605108433">
                                                  <w:marLeft w:val="0"/>
                                                  <w:marRight w:val="0"/>
                                                  <w:marTop w:val="0"/>
                                                  <w:marBottom w:val="0"/>
                                                  <w:divBdr>
                                                    <w:top w:val="none" w:sz="0" w:space="0" w:color="auto"/>
                                                    <w:left w:val="none" w:sz="0" w:space="0" w:color="auto"/>
                                                    <w:bottom w:val="none" w:sz="0" w:space="0" w:color="auto"/>
                                                    <w:right w:val="none" w:sz="0" w:space="0" w:color="auto"/>
                                                  </w:divBdr>
                                                  <w:divsChild>
                                                    <w:div w:id="1298955378">
                                                      <w:marLeft w:val="0"/>
                                                      <w:marRight w:val="0"/>
                                                      <w:marTop w:val="0"/>
                                                      <w:marBottom w:val="0"/>
                                                      <w:divBdr>
                                                        <w:top w:val="none" w:sz="0" w:space="0" w:color="auto"/>
                                                        <w:left w:val="none" w:sz="0" w:space="0" w:color="auto"/>
                                                        <w:bottom w:val="none" w:sz="0" w:space="0" w:color="auto"/>
                                                        <w:right w:val="none" w:sz="0" w:space="0" w:color="auto"/>
                                                      </w:divBdr>
                                                      <w:divsChild>
                                                        <w:div w:id="1066802073">
                                                          <w:marLeft w:val="0"/>
                                                          <w:marRight w:val="0"/>
                                                          <w:marTop w:val="0"/>
                                                          <w:marBottom w:val="0"/>
                                                          <w:divBdr>
                                                            <w:top w:val="none" w:sz="0" w:space="0" w:color="auto"/>
                                                            <w:left w:val="none" w:sz="0" w:space="0" w:color="auto"/>
                                                            <w:bottom w:val="none" w:sz="0" w:space="0" w:color="auto"/>
                                                            <w:right w:val="none" w:sz="0" w:space="0" w:color="auto"/>
                                                          </w:divBdr>
                                                          <w:divsChild>
                                                            <w:div w:id="748039910">
                                                              <w:marLeft w:val="0"/>
                                                              <w:marRight w:val="0"/>
                                                              <w:marTop w:val="0"/>
                                                              <w:marBottom w:val="0"/>
                                                              <w:divBdr>
                                                                <w:top w:val="none" w:sz="0" w:space="0" w:color="auto"/>
                                                                <w:left w:val="none" w:sz="0" w:space="0" w:color="auto"/>
                                                                <w:bottom w:val="none" w:sz="0" w:space="0" w:color="auto"/>
                                                                <w:right w:val="none" w:sz="0" w:space="0" w:color="auto"/>
                                                              </w:divBdr>
                                                              <w:divsChild>
                                                                <w:div w:id="931663674">
                                                                  <w:marLeft w:val="0"/>
                                                                  <w:marRight w:val="0"/>
                                                                  <w:marTop w:val="0"/>
                                                                  <w:marBottom w:val="0"/>
                                                                  <w:divBdr>
                                                                    <w:top w:val="none" w:sz="0" w:space="0" w:color="auto"/>
                                                                    <w:left w:val="none" w:sz="0" w:space="0" w:color="auto"/>
                                                                    <w:bottom w:val="none" w:sz="0" w:space="0" w:color="auto"/>
                                                                    <w:right w:val="none" w:sz="0" w:space="0" w:color="auto"/>
                                                                  </w:divBdr>
                                                                  <w:divsChild>
                                                                    <w:div w:id="295452344">
                                                                      <w:marLeft w:val="0"/>
                                                                      <w:marRight w:val="0"/>
                                                                      <w:marTop w:val="0"/>
                                                                      <w:marBottom w:val="0"/>
                                                                      <w:divBdr>
                                                                        <w:top w:val="none" w:sz="0" w:space="0" w:color="auto"/>
                                                                        <w:left w:val="none" w:sz="0" w:space="0" w:color="auto"/>
                                                                        <w:bottom w:val="none" w:sz="0" w:space="0" w:color="auto"/>
                                                                        <w:right w:val="none" w:sz="0" w:space="0" w:color="auto"/>
                                                                      </w:divBdr>
                                                                      <w:divsChild>
                                                                        <w:div w:id="1663389342">
                                                                          <w:marLeft w:val="0"/>
                                                                          <w:marRight w:val="0"/>
                                                                          <w:marTop w:val="0"/>
                                                                          <w:marBottom w:val="300"/>
                                                                          <w:divBdr>
                                                                            <w:top w:val="none" w:sz="0" w:space="0" w:color="auto"/>
                                                                            <w:left w:val="none" w:sz="0" w:space="0" w:color="auto"/>
                                                                            <w:bottom w:val="none" w:sz="0" w:space="0" w:color="auto"/>
                                                                            <w:right w:val="none" w:sz="0" w:space="0" w:color="auto"/>
                                                                          </w:divBdr>
                                                                          <w:divsChild>
                                                                            <w:div w:id="252709057">
                                                                              <w:marLeft w:val="0"/>
                                                                              <w:marRight w:val="0"/>
                                                                              <w:marTop w:val="0"/>
                                                                              <w:marBottom w:val="0"/>
                                                                              <w:divBdr>
                                                                                <w:top w:val="none" w:sz="0" w:space="0" w:color="auto"/>
                                                                                <w:left w:val="none" w:sz="0" w:space="0" w:color="auto"/>
                                                                                <w:bottom w:val="none" w:sz="0" w:space="0" w:color="auto"/>
                                                                                <w:right w:val="none" w:sz="0" w:space="0" w:color="auto"/>
                                                                              </w:divBdr>
                                                                              <w:divsChild>
                                                                                <w:div w:id="1546987733">
                                                                                  <w:marLeft w:val="0"/>
                                                                                  <w:marRight w:val="0"/>
                                                                                  <w:marTop w:val="0"/>
                                                                                  <w:marBottom w:val="0"/>
                                                                                  <w:divBdr>
                                                                                    <w:top w:val="none" w:sz="0" w:space="0" w:color="auto"/>
                                                                                    <w:left w:val="none" w:sz="0" w:space="0" w:color="auto"/>
                                                                                    <w:bottom w:val="none" w:sz="0" w:space="0" w:color="auto"/>
                                                                                    <w:right w:val="none" w:sz="0" w:space="0" w:color="auto"/>
                                                                                  </w:divBdr>
                                                                                  <w:divsChild>
                                                                                    <w:div w:id="1754276815">
                                                                                      <w:marLeft w:val="0"/>
                                                                                      <w:marRight w:val="0"/>
                                                                                      <w:marTop w:val="0"/>
                                                                                      <w:marBottom w:val="0"/>
                                                                                      <w:divBdr>
                                                                                        <w:top w:val="none" w:sz="0" w:space="0" w:color="auto"/>
                                                                                        <w:left w:val="none" w:sz="0" w:space="0" w:color="auto"/>
                                                                                        <w:bottom w:val="none" w:sz="0" w:space="0" w:color="auto"/>
                                                                                        <w:right w:val="none" w:sz="0" w:space="0" w:color="auto"/>
                                                                                      </w:divBdr>
                                                                                      <w:divsChild>
                                                                                        <w:div w:id="638417040">
                                                                                          <w:marLeft w:val="0"/>
                                                                                          <w:marRight w:val="0"/>
                                                                                          <w:marTop w:val="0"/>
                                                                                          <w:marBottom w:val="0"/>
                                                                                          <w:divBdr>
                                                                                            <w:top w:val="none" w:sz="0" w:space="0" w:color="auto"/>
                                                                                            <w:left w:val="none" w:sz="0" w:space="0" w:color="auto"/>
                                                                                            <w:bottom w:val="none" w:sz="0" w:space="0" w:color="auto"/>
                                                                                            <w:right w:val="none" w:sz="0" w:space="0" w:color="auto"/>
                                                                                          </w:divBdr>
                                                                                          <w:divsChild>
                                                                                            <w:div w:id="1933707342">
                                                                                              <w:marLeft w:val="0"/>
                                                                                              <w:marRight w:val="0"/>
                                                                                              <w:marTop w:val="0"/>
                                                                                              <w:marBottom w:val="0"/>
                                                                                              <w:divBdr>
                                                                                                <w:top w:val="none" w:sz="0" w:space="0" w:color="auto"/>
                                                                                                <w:left w:val="none" w:sz="0" w:space="0" w:color="auto"/>
                                                                                                <w:bottom w:val="none" w:sz="0" w:space="0" w:color="auto"/>
                                                                                                <w:right w:val="none" w:sz="0" w:space="0" w:color="auto"/>
                                                                                              </w:divBdr>
                                                                                              <w:divsChild>
                                                                                                <w:div w:id="1514346204">
                                                                                                  <w:marLeft w:val="0"/>
                                                                                                  <w:marRight w:val="0"/>
                                                                                                  <w:marTop w:val="0"/>
                                                                                                  <w:marBottom w:val="0"/>
                                                                                                  <w:divBdr>
                                                                                                    <w:top w:val="none" w:sz="0" w:space="0" w:color="auto"/>
                                                                                                    <w:left w:val="none" w:sz="0" w:space="0" w:color="auto"/>
                                                                                                    <w:bottom w:val="none" w:sz="0" w:space="0" w:color="auto"/>
                                                                                                    <w:right w:val="none" w:sz="0" w:space="0" w:color="auto"/>
                                                                                                  </w:divBdr>
                                                                                                  <w:divsChild>
                                                                                                    <w:div w:id="867376706">
                                                                                                      <w:marLeft w:val="0"/>
                                                                                                      <w:marRight w:val="0"/>
                                                                                                      <w:marTop w:val="0"/>
                                                                                                      <w:marBottom w:val="0"/>
                                                                                                      <w:divBdr>
                                                                                                        <w:top w:val="none" w:sz="0" w:space="0" w:color="auto"/>
                                                                                                        <w:left w:val="none" w:sz="0" w:space="0" w:color="auto"/>
                                                                                                        <w:bottom w:val="none" w:sz="0" w:space="0" w:color="auto"/>
                                                                                                        <w:right w:val="none" w:sz="0" w:space="0" w:color="auto"/>
                                                                                                      </w:divBdr>
                                                                                                      <w:divsChild>
                                                                                                        <w:div w:id="253982226">
                                                                                                          <w:marLeft w:val="0"/>
                                                                                                          <w:marRight w:val="0"/>
                                                                                                          <w:marTop w:val="0"/>
                                                                                                          <w:marBottom w:val="0"/>
                                                                                                          <w:divBdr>
                                                                                                            <w:top w:val="none" w:sz="0" w:space="0" w:color="auto"/>
                                                                                                            <w:left w:val="none" w:sz="0" w:space="0" w:color="auto"/>
                                                                                                            <w:bottom w:val="none" w:sz="0" w:space="0" w:color="auto"/>
                                                                                                            <w:right w:val="none" w:sz="0" w:space="0" w:color="auto"/>
                                                                                                          </w:divBdr>
                                                                                                          <w:divsChild>
                                                                                                            <w:div w:id="971400696">
                                                                                                              <w:marLeft w:val="0"/>
                                                                                                              <w:marRight w:val="0"/>
                                                                                                              <w:marTop w:val="0"/>
                                                                                                              <w:marBottom w:val="0"/>
                                                                                                              <w:divBdr>
                                                                                                                <w:top w:val="none" w:sz="0" w:space="0" w:color="auto"/>
                                                                                                                <w:left w:val="none" w:sz="0" w:space="0" w:color="auto"/>
                                                                                                                <w:bottom w:val="none" w:sz="0" w:space="0" w:color="auto"/>
                                                                                                                <w:right w:val="none" w:sz="0" w:space="0" w:color="auto"/>
                                                                                                              </w:divBdr>
                                                                                                              <w:divsChild>
                                                                                                                <w:div w:id="1626885297">
                                                                                                                  <w:marLeft w:val="0"/>
                                                                                                                  <w:marRight w:val="0"/>
                                                                                                                  <w:marTop w:val="0"/>
                                                                                                                  <w:marBottom w:val="0"/>
                                                                                                                  <w:divBdr>
                                                                                                                    <w:top w:val="none" w:sz="0" w:space="0" w:color="auto"/>
                                                                                                                    <w:left w:val="none" w:sz="0" w:space="0" w:color="auto"/>
                                                                                                                    <w:bottom w:val="none" w:sz="0" w:space="0" w:color="auto"/>
                                                                                                                    <w:right w:val="none" w:sz="0" w:space="0" w:color="auto"/>
                                                                                                                  </w:divBdr>
                                                                                                                  <w:divsChild>
                                                                                                                    <w:div w:id="1407071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36328023">
      <w:bodyDiv w:val="1"/>
      <w:marLeft w:val="0"/>
      <w:marRight w:val="0"/>
      <w:marTop w:val="0"/>
      <w:marBottom w:val="0"/>
      <w:divBdr>
        <w:top w:val="none" w:sz="0" w:space="0" w:color="auto"/>
        <w:left w:val="none" w:sz="0" w:space="0" w:color="auto"/>
        <w:bottom w:val="none" w:sz="0" w:space="0" w:color="auto"/>
        <w:right w:val="none" w:sz="0" w:space="0" w:color="auto"/>
      </w:divBdr>
    </w:div>
    <w:div w:id="1646935265">
      <w:bodyDiv w:val="1"/>
      <w:marLeft w:val="0"/>
      <w:marRight w:val="0"/>
      <w:marTop w:val="0"/>
      <w:marBottom w:val="0"/>
      <w:divBdr>
        <w:top w:val="none" w:sz="0" w:space="0" w:color="auto"/>
        <w:left w:val="none" w:sz="0" w:space="0" w:color="auto"/>
        <w:bottom w:val="none" w:sz="0" w:space="0" w:color="auto"/>
        <w:right w:val="none" w:sz="0" w:space="0" w:color="auto"/>
      </w:divBdr>
    </w:div>
    <w:div w:id="1649817377">
      <w:bodyDiv w:val="1"/>
      <w:marLeft w:val="0"/>
      <w:marRight w:val="0"/>
      <w:marTop w:val="0"/>
      <w:marBottom w:val="0"/>
      <w:divBdr>
        <w:top w:val="none" w:sz="0" w:space="0" w:color="auto"/>
        <w:left w:val="none" w:sz="0" w:space="0" w:color="auto"/>
        <w:bottom w:val="none" w:sz="0" w:space="0" w:color="auto"/>
        <w:right w:val="none" w:sz="0" w:space="0" w:color="auto"/>
      </w:divBdr>
    </w:div>
    <w:div w:id="1670257033">
      <w:bodyDiv w:val="1"/>
      <w:marLeft w:val="0"/>
      <w:marRight w:val="0"/>
      <w:marTop w:val="0"/>
      <w:marBottom w:val="0"/>
      <w:divBdr>
        <w:top w:val="none" w:sz="0" w:space="0" w:color="auto"/>
        <w:left w:val="none" w:sz="0" w:space="0" w:color="auto"/>
        <w:bottom w:val="none" w:sz="0" w:space="0" w:color="auto"/>
        <w:right w:val="none" w:sz="0" w:space="0" w:color="auto"/>
      </w:divBdr>
      <w:divsChild>
        <w:div w:id="398016445">
          <w:marLeft w:val="0"/>
          <w:marRight w:val="0"/>
          <w:marTop w:val="0"/>
          <w:marBottom w:val="0"/>
          <w:divBdr>
            <w:top w:val="none" w:sz="0" w:space="0" w:color="auto"/>
            <w:left w:val="none" w:sz="0" w:space="0" w:color="auto"/>
            <w:bottom w:val="none" w:sz="0" w:space="0" w:color="auto"/>
            <w:right w:val="none" w:sz="0" w:space="0" w:color="auto"/>
          </w:divBdr>
          <w:divsChild>
            <w:div w:id="1416323216">
              <w:marLeft w:val="0"/>
              <w:marRight w:val="0"/>
              <w:marTop w:val="0"/>
              <w:marBottom w:val="0"/>
              <w:divBdr>
                <w:top w:val="none" w:sz="0" w:space="0" w:color="auto"/>
                <w:left w:val="none" w:sz="0" w:space="0" w:color="auto"/>
                <w:bottom w:val="none" w:sz="0" w:space="0" w:color="auto"/>
                <w:right w:val="none" w:sz="0" w:space="0" w:color="auto"/>
              </w:divBdr>
              <w:divsChild>
                <w:div w:id="1398480146">
                  <w:marLeft w:val="0"/>
                  <w:marRight w:val="0"/>
                  <w:marTop w:val="0"/>
                  <w:marBottom w:val="0"/>
                  <w:divBdr>
                    <w:top w:val="none" w:sz="0" w:space="0" w:color="auto"/>
                    <w:left w:val="none" w:sz="0" w:space="0" w:color="auto"/>
                    <w:bottom w:val="none" w:sz="0" w:space="0" w:color="auto"/>
                    <w:right w:val="none" w:sz="0" w:space="0" w:color="auto"/>
                  </w:divBdr>
                  <w:divsChild>
                    <w:div w:id="1730499729">
                      <w:marLeft w:val="0"/>
                      <w:marRight w:val="0"/>
                      <w:marTop w:val="0"/>
                      <w:marBottom w:val="0"/>
                      <w:divBdr>
                        <w:top w:val="none" w:sz="0" w:space="0" w:color="auto"/>
                        <w:left w:val="none" w:sz="0" w:space="0" w:color="auto"/>
                        <w:bottom w:val="none" w:sz="0" w:space="0" w:color="auto"/>
                        <w:right w:val="none" w:sz="0" w:space="0" w:color="auto"/>
                      </w:divBdr>
                      <w:divsChild>
                        <w:div w:id="2042584543">
                          <w:marLeft w:val="0"/>
                          <w:marRight w:val="0"/>
                          <w:marTop w:val="0"/>
                          <w:marBottom w:val="0"/>
                          <w:divBdr>
                            <w:top w:val="none" w:sz="0" w:space="0" w:color="auto"/>
                            <w:left w:val="none" w:sz="0" w:space="0" w:color="auto"/>
                            <w:bottom w:val="none" w:sz="0" w:space="0" w:color="auto"/>
                            <w:right w:val="none" w:sz="0" w:space="0" w:color="auto"/>
                          </w:divBdr>
                          <w:divsChild>
                            <w:div w:id="1909144526">
                              <w:marLeft w:val="0"/>
                              <w:marRight w:val="0"/>
                              <w:marTop w:val="0"/>
                              <w:marBottom w:val="0"/>
                              <w:divBdr>
                                <w:top w:val="none" w:sz="0" w:space="0" w:color="auto"/>
                                <w:left w:val="none" w:sz="0" w:space="0" w:color="auto"/>
                                <w:bottom w:val="none" w:sz="0" w:space="0" w:color="auto"/>
                                <w:right w:val="none" w:sz="0" w:space="0" w:color="auto"/>
                              </w:divBdr>
                              <w:divsChild>
                                <w:div w:id="913659713">
                                  <w:marLeft w:val="0"/>
                                  <w:marRight w:val="0"/>
                                  <w:marTop w:val="0"/>
                                  <w:marBottom w:val="0"/>
                                  <w:divBdr>
                                    <w:top w:val="none" w:sz="0" w:space="0" w:color="auto"/>
                                    <w:left w:val="none" w:sz="0" w:space="0" w:color="auto"/>
                                    <w:bottom w:val="none" w:sz="0" w:space="0" w:color="auto"/>
                                    <w:right w:val="none" w:sz="0" w:space="0" w:color="auto"/>
                                  </w:divBdr>
                                  <w:divsChild>
                                    <w:div w:id="1786921450">
                                      <w:marLeft w:val="0"/>
                                      <w:marRight w:val="0"/>
                                      <w:marTop w:val="0"/>
                                      <w:marBottom w:val="0"/>
                                      <w:divBdr>
                                        <w:top w:val="none" w:sz="0" w:space="0" w:color="auto"/>
                                        <w:left w:val="none" w:sz="0" w:space="0" w:color="auto"/>
                                        <w:bottom w:val="none" w:sz="0" w:space="0" w:color="auto"/>
                                        <w:right w:val="none" w:sz="0" w:space="0" w:color="auto"/>
                                      </w:divBdr>
                                      <w:divsChild>
                                        <w:div w:id="1854106818">
                                          <w:marLeft w:val="0"/>
                                          <w:marRight w:val="0"/>
                                          <w:marTop w:val="0"/>
                                          <w:marBottom w:val="0"/>
                                          <w:divBdr>
                                            <w:top w:val="none" w:sz="0" w:space="0" w:color="auto"/>
                                            <w:left w:val="none" w:sz="0" w:space="0" w:color="auto"/>
                                            <w:bottom w:val="none" w:sz="0" w:space="0" w:color="auto"/>
                                            <w:right w:val="none" w:sz="0" w:space="0" w:color="auto"/>
                                          </w:divBdr>
                                          <w:divsChild>
                                            <w:div w:id="124999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70672603">
      <w:bodyDiv w:val="1"/>
      <w:marLeft w:val="0"/>
      <w:marRight w:val="0"/>
      <w:marTop w:val="0"/>
      <w:marBottom w:val="0"/>
      <w:divBdr>
        <w:top w:val="none" w:sz="0" w:space="0" w:color="auto"/>
        <w:left w:val="none" w:sz="0" w:space="0" w:color="auto"/>
        <w:bottom w:val="none" w:sz="0" w:space="0" w:color="auto"/>
        <w:right w:val="none" w:sz="0" w:space="0" w:color="auto"/>
      </w:divBdr>
    </w:div>
    <w:div w:id="1676373797">
      <w:bodyDiv w:val="1"/>
      <w:marLeft w:val="0"/>
      <w:marRight w:val="0"/>
      <w:marTop w:val="0"/>
      <w:marBottom w:val="0"/>
      <w:divBdr>
        <w:top w:val="none" w:sz="0" w:space="0" w:color="auto"/>
        <w:left w:val="none" w:sz="0" w:space="0" w:color="auto"/>
        <w:bottom w:val="none" w:sz="0" w:space="0" w:color="auto"/>
        <w:right w:val="none" w:sz="0" w:space="0" w:color="auto"/>
      </w:divBdr>
    </w:div>
    <w:div w:id="1676764783">
      <w:bodyDiv w:val="1"/>
      <w:marLeft w:val="0"/>
      <w:marRight w:val="0"/>
      <w:marTop w:val="0"/>
      <w:marBottom w:val="0"/>
      <w:divBdr>
        <w:top w:val="none" w:sz="0" w:space="0" w:color="auto"/>
        <w:left w:val="none" w:sz="0" w:space="0" w:color="auto"/>
        <w:bottom w:val="none" w:sz="0" w:space="0" w:color="auto"/>
        <w:right w:val="none" w:sz="0" w:space="0" w:color="auto"/>
      </w:divBdr>
      <w:divsChild>
        <w:div w:id="119230015">
          <w:marLeft w:val="0"/>
          <w:marRight w:val="0"/>
          <w:marTop w:val="0"/>
          <w:marBottom w:val="0"/>
          <w:divBdr>
            <w:top w:val="none" w:sz="0" w:space="0" w:color="auto"/>
            <w:left w:val="none" w:sz="0" w:space="0" w:color="auto"/>
            <w:bottom w:val="none" w:sz="0" w:space="0" w:color="auto"/>
            <w:right w:val="none" w:sz="0" w:space="0" w:color="auto"/>
          </w:divBdr>
          <w:divsChild>
            <w:div w:id="1891959615">
              <w:marLeft w:val="-225"/>
              <w:marRight w:val="-225"/>
              <w:marTop w:val="0"/>
              <w:marBottom w:val="0"/>
              <w:divBdr>
                <w:top w:val="none" w:sz="0" w:space="0" w:color="auto"/>
                <w:left w:val="none" w:sz="0" w:space="0" w:color="auto"/>
                <w:bottom w:val="none" w:sz="0" w:space="0" w:color="auto"/>
                <w:right w:val="none" w:sz="0" w:space="0" w:color="auto"/>
              </w:divBdr>
              <w:divsChild>
                <w:div w:id="762411460">
                  <w:marLeft w:val="0"/>
                  <w:marRight w:val="0"/>
                  <w:marTop w:val="0"/>
                  <w:marBottom w:val="0"/>
                  <w:divBdr>
                    <w:top w:val="none" w:sz="0" w:space="0" w:color="auto"/>
                    <w:left w:val="none" w:sz="0" w:space="0" w:color="auto"/>
                    <w:bottom w:val="none" w:sz="0" w:space="0" w:color="auto"/>
                    <w:right w:val="none" w:sz="0" w:space="0" w:color="auto"/>
                  </w:divBdr>
                  <w:divsChild>
                    <w:div w:id="1251618533">
                      <w:marLeft w:val="0"/>
                      <w:marRight w:val="0"/>
                      <w:marTop w:val="0"/>
                      <w:marBottom w:val="0"/>
                      <w:divBdr>
                        <w:top w:val="none" w:sz="0" w:space="0" w:color="auto"/>
                        <w:left w:val="none" w:sz="0" w:space="0" w:color="auto"/>
                        <w:bottom w:val="none" w:sz="0" w:space="0" w:color="auto"/>
                        <w:right w:val="none" w:sz="0" w:space="0" w:color="auto"/>
                      </w:divBdr>
                      <w:divsChild>
                        <w:div w:id="475413854">
                          <w:marLeft w:val="0"/>
                          <w:marRight w:val="0"/>
                          <w:marTop w:val="0"/>
                          <w:marBottom w:val="0"/>
                          <w:divBdr>
                            <w:top w:val="none" w:sz="0" w:space="0" w:color="auto"/>
                            <w:left w:val="none" w:sz="0" w:space="0" w:color="auto"/>
                            <w:bottom w:val="none" w:sz="0" w:space="0" w:color="auto"/>
                            <w:right w:val="none" w:sz="0" w:space="0" w:color="auto"/>
                          </w:divBdr>
                          <w:divsChild>
                            <w:div w:id="92475544">
                              <w:marLeft w:val="0"/>
                              <w:marRight w:val="0"/>
                              <w:marTop w:val="0"/>
                              <w:marBottom w:val="240"/>
                              <w:divBdr>
                                <w:top w:val="none" w:sz="0" w:space="0" w:color="auto"/>
                                <w:left w:val="none" w:sz="0" w:space="0" w:color="auto"/>
                                <w:bottom w:val="none" w:sz="0" w:space="0" w:color="auto"/>
                                <w:right w:val="none" w:sz="0" w:space="0" w:color="auto"/>
                              </w:divBdr>
                              <w:divsChild>
                                <w:div w:id="1378356418">
                                  <w:marLeft w:val="0"/>
                                  <w:marRight w:val="0"/>
                                  <w:marTop w:val="0"/>
                                  <w:marBottom w:val="0"/>
                                  <w:divBdr>
                                    <w:top w:val="none" w:sz="0" w:space="0" w:color="auto"/>
                                    <w:left w:val="none" w:sz="0" w:space="0" w:color="auto"/>
                                    <w:bottom w:val="none" w:sz="0" w:space="0" w:color="auto"/>
                                    <w:right w:val="none" w:sz="0" w:space="0" w:color="auto"/>
                                  </w:divBdr>
                                  <w:divsChild>
                                    <w:div w:id="975377925">
                                      <w:marLeft w:val="0"/>
                                      <w:marRight w:val="0"/>
                                      <w:marTop w:val="0"/>
                                      <w:marBottom w:val="0"/>
                                      <w:divBdr>
                                        <w:top w:val="none" w:sz="0" w:space="0" w:color="auto"/>
                                        <w:left w:val="none" w:sz="0" w:space="0" w:color="auto"/>
                                        <w:bottom w:val="none" w:sz="0" w:space="0" w:color="auto"/>
                                        <w:right w:val="none" w:sz="0" w:space="0" w:color="auto"/>
                                      </w:divBdr>
                                      <w:divsChild>
                                        <w:div w:id="1723407900">
                                          <w:marLeft w:val="0"/>
                                          <w:marRight w:val="0"/>
                                          <w:marTop w:val="0"/>
                                          <w:marBottom w:val="0"/>
                                          <w:divBdr>
                                            <w:top w:val="none" w:sz="0" w:space="0" w:color="auto"/>
                                            <w:left w:val="none" w:sz="0" w:space="0" w:color="auto"/>
                                            <w:bottom w:val="none" w:sz="0" w:space="0" w:color="auto"/>
                                            <w:right w:val="none" w:sz="0" w:space="0" w:color="auto"/>
                                          </w:divBdr>
                                          <w:divsChild>
                                            <w:div w:id="23873674">
                                              <w:marLeft w:val="0"/>
                                              <w:marRight w:val="0"/>
                                              <w:marTop w:val="0"/>
                                              <w:marBottom w:val="0"/>
                                              <w:divBdr>
                                                <w:top w:val="none" w:sz="0" w:space="0" w:color="auto"/>
                                                <w:left w:val="none" w:sz="0" w:space="0" w:color="auto"/>
                                                <w:bottom w:val="none" w:sz="0" w:space="0" w:color="auto"/>
                                                <w:right w:val="none" w:sz="0" w:space="0" w:color="auto"/>
                                              </w:divBdr>
                                              <w:divsChild>
                                                <w:div w:id="735520017">
                                                  <w:marLeft w:val="0"/>
                                                  <w:marRight w:val="0"/>
                                                  <w:marTop w:val="0"/>
                                                  <w:marBottom w:val="0"/>
                                                  <w:divBdr>
                                                    <w:top w:val="none" w:sz="0" w:space="0" w:color="auto"/>
                                                    <w:left w:val="none" w:sz="0" w:space="0" w:color="auto"/>
                                                    <w:bottom w:val="none" w:sz="0" w:space="0" w:color="auto"/>
                                                    <w:right w:val="none" w:sz="0" w:space="0" w:color="auto"/>
                                                  </w:divBdr>
                                                  <w:divsChild>
                                                    <w:div w:id="2138794680">
                                                      <w:marLeft w:val="0"/>
                                                      <w:marRight w:val="0"/>
                                                      <w:marTop w:val="0"/>
                                                      <w:marBottom w:val="0"/>
                                                      <w:divBdr>
                                                        <w:top w:val="none" w:sz="0" w:space="0" w:color="auto"/>
                                                        <w:left w:val="none" w:sz="0" w:space="0" w:color="auto"/>
                                                        <w:bottom w:val="none" w:sz="0" w:space="0" w:color="auto"/>
                                                        <w:right w:val="none" w:sz="0" w:space="0" w:color="auto"/>
                                                      </w:divBdr>
                                                      <w:divsChild>
                                                        <w:div w:id="155387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13386907">
      <w:bodyDiv w:val="1"/>
      <w:marLeft w:val="0"/>
      <w:marRight w:val="0"/>
      <w:marTop w:val="0"/>
      <w:marBottom w:val="0"/>
      <w:divBdr>
        <w:top w:val="none" w:sz="0" w:space="0" w:color="auto"/>
        <w:left w:val="none" w:sz="0" w:space="0" w:color="auto"/>
        <w:bottom w:val="none" w:sz="0" w:space="0" w:color="auto"/>
        <w:right w:val="none" w:sz="0" w:space="0" w:color="auto"/>
      </w:divBdr>
    </w:div>
    <w:div w:id="1715613828">
      <w:bodyDiv w:val="1"/>
      <w:marLeft w:val="0"/>
      <w:marRight w:val="0"/>
      <w:marTop w:val="0"/>
      <w:marBottom w:val="0"/>
      <w:divBdr>
        <w:top w:val="none" w:sz="0" w:space="0" w:color="auto"/>
        <w:left w:val="none" w:sz="0" w:space="0" w:color="auto"/>
        <w:bottom w:val="none" w:sz="0" w:space="0" w:color="auto"/>
        <w:right w:val="none" w:sz="0" w:space="0" w:color="auto"/>
      </w:divBdr>
    </w:div>
    <w:div w:id="1721317064">
      <w:bodyDiv w:val="1"/>
      <w:marLeft w:val="0"/>
      <w:marRight w:val="0"/>
      <w:marTop w:val="0"/>
      <w:marBottom w:val="0"/>
      <w:divBdr>
        <w:top w:val="none" w:sz="0" w:space="0" w:color="auto"/>
        <w:left w:val="none" w:sz="0" w:space="0" w:color="auto"/>
        <w:bottom w:val="none" w:sz="0" w:space="0" w:color="auto"/>
        <w:right w:val="none" w:sz="0" w:space="0" w:color="auto"/>
      </w:divBdr>
    </w:div>
    <w:div w:id="1721320908">
      <w:bodyDiv w:val="1"/>
      <w:marLeft w:val="0"/>
      <w:marRight w:val="0"/>
      <w:marTop w:val="0"/>
      <w:marBottom w:val="0"/>
      <w:divBdr>
        <w:top w:val="none" w:sz="0" w:space="0" w:color="auto"/>
        <w:left w:val="none" w:sz="0" w:space="0" w:color="auto"/>
        <w:bottom w:val="none" w:sz="0" w:space="0" w:color="auto"/>
        <w:right w:val="none" w:sz="0" w:space="0" w:color="auto"/>
      </w:divBdr>
    </w:div>
    <w:div w:id="1732458069">
      <w:bodyDiv w:val="1"/>
      <w:marLeft w:val="0"/>
      <w:marRight w:val="0"/>
      <w:marTop w:val="0"/>
      <w:marBottom w:val="0"/>
      <w:divBdr>
        <w:top w:val="none" w:sz="0" w:space="0" w:color="auto"/>
        <w:left w:val="none" w:sz="0" w:space="0" w:color="auto"/>
        <w:bottom w:val="none" w:sz="0" w:space="0" w:color="auto"/>
        <w:right w:val="none" w:sz="0" w:space="0" w:color="auto"/>
      </w:divBdr>
    </w:div>
    <w:div w:id="1744519880">
      <w:bodyDiv w:val="1"/>
      <w:marLeft w:val="0"/>
      <w:marRight w:val="0"/>
      <w:marTop w:val="0"/>
      <w:marBottom w:val="0"/>
      <w:divBdr>
        <w:top w:val="none" w:sz="0" w:space="0" w:color="auto"/>
        <w:left w:val="none" w:sz="0" w:space="0" w:color="auto"/>
        <w:bottom w:val="none" w:sz="0" w:space="0" w:color="auto"/>
        <w:right w:val="none" w:sz="0" w:space="0" w:color="auto"/>
      </w:divBdr>
    </w:div>
    <w:div w:id="1800145942">
      <w:bodyDiv w:val="1"/>
      <w:marLeft w:val="0"/>
      <w:marRight w:val="0"/>
      <w:marTop w:val="0"/>
      <w:marBottom w:val="0"/>
      <w:divBdr>
        <w:top w:val="none" w:sz="0" w:space="0" w:color="auto"/>
        <w:left w:val="none" w:sz="0" w:space="0" w:color="auto"/>
        <w:bottom w:val="none" w:sz="0" w:space="0" w:color="auto"/>
        <w:right w:val="none" w:sz="0" w:space="0" w:color="auto"/>
      </w:divBdr>
    </w:div>
    <w:div w:id="1811171197">
      <w:bodyDiv w:val="1"/>
      <w:marLeft w:val="0"/>
      <w:marRight w:val="0"/>
      <w:marTop w:val="0"/>
      <w:marBottom w:val="0"/>
      <w:divBdr>
        <w:top w:val="none" w:sz="0" w:space="0" w:color="auto"/>
        <w:left w:val="none" w:sz="0" w:space="0" w:color="auto"/>
        <w:bottom w:val="none" w:sz="0" w:space="0" w:color="auto"/>
        <w:right w:val="none" w:sz="0" w:space="0" w:color="auto"/>
      </w:divBdr>
    </w:div>
    <w:div w:id="1829057638">
      <w:bodyDiv w:val="1"/>
      <w:marLeft w:val="0"/>
      <w:marRight w:val="0"/>
      <w:marTop w:val="0"/>
      <w:marBottom w:val="0"/>
      <w:divBdr>
        <w:top w:val="none" w:sz="0" w:space="0" w:color="auto"/>
        <w:left w:val="none" w:sz="0" w:space="0" w:color="auto"/>
        <w:bottom w:val="none" w:sz="0" w:space="0" w:color="auto"/>
        <w:right w:val="none" w:sz="0" w:space="0" w:color="auto"/>
      </w:divBdr>
    </w:div>
    <w:div w:id="1829706808">
      <w:bodyDiv w:val="1"/>
      <w:marLeft w:val="0"/>
      <w:marRight w:val="0"/>
      <w:marTop w:val="0"/>
      <w:marBottom w:val="0"/>
      <w:divBdr>
        <w:top w:val="none" w:sz="0" w:space="0" w:color="auto"/>
        <w:left w:val="none" w:sz="0" w:space="0" w:color="auto"/>
        <w:bottom w:val="none" w:sz="0" w:space="0" w:color="auto"/>
        <w:right w:val="none" w:sz="0" w:space="0" w:color="auto"/>
      </w:divBdr>
      <w:divsChild>
        <w:div w:id="763037382">
          <w:marLeft w:val="0"/>
          <w:marRight w:val="0"/>
          <w:marTop w:val="0"/>
          <w:marBottom w:val="0"/>
          <w:divBdr>
            <w:top w:val="none" w:sz="0" w:space="0" w:color="auto"/>
            <w:left w:val="none" w:sz="0" w:space="0" w:color="auto"/>
            <w:bottom w:val="none" w:sz="0" w:space="0" w:color="auto"/>
            <w:right w:val="none" w:sz="0" w:space="0" w:color="auto"/>
          </w:divBdr>
          <w:divsChild>
            <w:div w:id="1804539793">
              <w:marLeft w:val="-225"/>
              <w:marRight w:val="-225"/>
              <w:marTop w:val="0"/>
              <w:marBottom w:val="0"/>
              <w:divBdr>
                <w:top w:val="none" w:sz="0" w:space="0" w:color="auto"/>
                <w:left w:val="none" w:sz="0" w:space="0" w:color="auto"/>
                <w:bottom w:val="none" w:sz="0" w:space="0" w:color="auto"/>
                <w:right w:val="none" w:sz="0" w:space="0" w:color="auto"/>
              </w:divBdr>
              <w:divsChild>
                <w:div w:id="651056317">
                  <w:marLeft w:val="0"/>
                  <w:marRight w:val="0"/>
                  <w:marTop w:val="0"/>
                  <w:marBottom w:val="0"/>
                  <w:divBdr>
                    <w:top w:val="none" w:sz="0" w:space="0" w:color="auto"/>
                    <w:left w:val="none" w:sz="0" w:space="0" w:color="auto"/>
                    <w:bottom w:val="none" w:sz="0" w:space="0" w:color="auto"/>
                    <w:right w:val="none" w:sz="0" w:space="0" w:color="auto"/>
                  </w:divBdr>
                  <w:divsChild>
                    <w:div w:id="782504879">
                      <w:marLeft w:val="0"/>
                      <w:marRight w:val="0"/>
                      <w:marTop w:val="0"/>
                      <w:marBottom w:val="0"/>
                      <w:divBdr>
                        <w:top w:val="none" w:sz="0" w:space="0" w:color="auto"/>
                        <w:left w:val="none" w:sz="0" w:space="0" w:color="auto"/>
                        <w:bottom w:val="none" w:sz="0" w:space="0" w:color="auto"/>
                        <w:right w:val="none" w:sz="0" w:space="0" w:color="auto"/>
                      </w:divBdr>
                      <w:divsChild>
                        <w:div w:id="1882742031">
                          <w:marLeft w:val="0"/>
                          <w:marRight w:val="0"/>
                          <w:marTop w:val="0"/>
                          <w:marBottom w:val="0"/>
                          <w:divBdr>
                            <w:top w:val="none" w:sz="0" w:space="0" w:color="auto"/>
                            <w:left w:val="none" w:sz="0" w:space="0" w:color="auto"/>
                            <w:bottom w:val="none" w:sz="0" w:space="0" w:color="auto"/>
                            <w:right w:val="none" w:sz="0" w:space="0" w:color="auto"/>
                          </w:divBdr>
                          <w:divsChild>
                            <w:div w:id="170142182">
                              <w:marLeft w:val="0"/>
                              <w:marRight w:val="0"/>
                              <w:marTop w:val="0"/>
                              <w:marBottom w:val="240"/>
                              <w:divBdr>
                                <w:top w:val="none" w:sz="0" w:space="0" w:color="auto"/>
                                <w:left w:val="none" w:sz="0" w:space="0" w:color="auto"/>
                                <w:bottom w:val="none" w:sz="0" w:space="0" w:color="auto"/>
                                <w:right w:val="none" w:sz="0" w:space="0" w:color="auto"/>
                              </w:divBdr>
                              <w:divsChild>
                                <w:div w:id="1227107465">
                                  <w:marLeft w:val="0"/>
                                  <w:marRight w:val="0"/>
                                  <w:marTop w:val="0"/>
                                  <w:marBottom w:val="0"/>
                                  <w:divBdr>
                                    <w:top w:val="none" w:sz="0" w:space="0" w:color="auto"/>
                                    <w:left w:val="none" w:sz="0" w:space="0" w:color="auto"/>
                                    <w:bottom w:val="none" w:sz="0" w:space="0" w:color="auto"/>
                                    <w:right w:val="none" w:sz="0" w:space="0" w:color="auto"/>
                                  </w:divBdr>
                                  <w:divsChild>
                                    <w:div w:id="25251584">
                                      <w:marLeft w:val="0"/>
                                      <w:marRight w:val="0"/>
                                      <w:marTop w:val="0"/>
                                      <w:marBottom w:val="0"/>
                                      <w:divBdr>
                                        <w:top w:val="none" w:sz="0" w:space="0" w:color="auto"/>
                                        <w:left w:val="none" w:sz="0" w:space="0" w:color="auto"/>
                                        <w:bottom w:val="none" w:sz="0" w:space="0" w:color="auto"/>
                                        <w:right w:val="none" w:sz="0" w:space="0" w:color="auto"/>
                                      </w:divBdr>
                                      <w:divsChild>
                                        <w:div w:id="1562980772">
                                          <w:marLeft w:val="0"/>
                                          <w:marRight w:val="0"/>
                                          <w:marTop w:val="0"/>
                                          <w:marBottom w:val="0"/>
                                          <w:divBdr>
                                            <w:top w:val="none" w:sz="0" w:space="0" w:color="auto"/>
                                            <w:left w:val="none" w:sz="0" w:space="0" w:color="auto"/>
                                            <w:bottom w:val="none" w:sz="0" w:space="0" w:color="auto"/>
                                            <w:right w:val="none" w:sz="0" w:space="0" w:color="auto"/>
                                          </w:divBdr>
                                          <w:divsChild>
                                            <w:div w:id="967055097">
                                              <w:marLeft w:val="0"/>
                                              <w:marRight w:val="0"/>
                                              <w:marTop w:val="0"/>
                                              <w:marBottom w:val="0"/>
                                              <w:divBdr>
                                                <w:top w:val="none" w:sz="0" w:space="0" w:color="auto"/>
                                                <w:left w:val="none" w:sz="0" w:space="0" w:color="auto"/>
                                                <w:bottom w:val="none" w:sz="0" w:space="0" w:color="auto"/>
                                                <w:right w:val="none" w:sz="0" w:space="0" w:color="auto"/>
                                              </w:divBdr>
                                              <w:divsChild>
                                                <w:div w:id="197258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32519637">
      <w:bodyDiv w:val="1"/>
      <w:marLeft w:val="0"/>
      <w:marRight w:val="0"/>
      <w:marTop w:val="0"/>
      <w:marBottom w:val="0"/>
      <w:divBdr>
        <w:top w:val="none" w:sz="0" w:space="0" w:color="auto"/>
        <w:left w:val="none" w:sz="0" w:space="0" w:color="auto"/>
        <w:bottom w:val="none" w:sz="0" w:space="0" w:color="auto"/>
        <w:right w:val="none" w:sz="0" w:space="0" w:color="auto"/>
      </w:divBdr>
      <w:divsChild>
        <w:div w:id="754936402">
          <w:marLeft w:val="0"/>
          <w:marRight w:val="0"/>
          <w:marTop w:val="0"/>
          <w:marBottom w:val="0"/>
          <w:divBdr>
            <w:top w:val="none" w:sz="0" w:space="0" w:color="auto"/>
            <w:left w:val="none" w:sz="0" w:space="0" w:color="auto"/>
            <w:bottom w:val="none" w:sz="0" w:space="0" w:color="auto"/>
            <w:right w:val="none" w:sz="0" w:space="0" w:color="auto"/>
          </w:divBdr>
          <w:divsChild>
            <w:div w:id="2038044328">
              <w:marLeft w:val="-225"/>
              <w:marRight w:val="-225"/>
              <w:marTop w:val="0"/>
              <w:marBottom w:val="0"/>
              <w:divBdr>
                <w:top w:val="none" w:sz="0" w:space="0" w:color="auto"/>
                <w:left w:val="none" w:sz="0" w:space="0" w:color="auto"/>
                <w:bottom w:val="none" w:sz="0" w:space="0" w:color="auto"/>
                <w:right w:val="none" w:sz="0" w:space="0" w:color="auto"/>
              </w:divBdr>
              <w:divsChild>
                <w:div w:id="125514231">
                  <w:marLeft w:val="0"/>
                  <w:marRight w:val="0"/>
                  <w:marTop w:val="0"/>
                  <w:marBottom w:val="0"/>
                  <w:divBdr>
                    <w:top w:val="none" w:sz="0" w:space="0" w:color="auto"/>
                    <w:left w:val="none" w:sz="0" w:space="0" w:color="auto"/>
                    <w:bottom w:val="none" w:sz="0" w:space="0" w:color="auto"/>
                    <w:right w:val="none" w:sz="0" w:space="0" w:color="auto"/>
                  </w:divBdr>
                  <w:divsChild>
                    <w:div w:id="673189078">
                      <w:marLeft w:val="0"/>
                      <w:marRight w:val="0"/>
                      <w:marTop w:val="0"/>
                      <w:marBottom w:val="0"/>
                      <w:divBdr>
                        <w:top w:val="none" w:sz="0" w:space="0" w:color="auto"/>
                        <w:left w:val="none" w:sz="0" w:space="0" w:color="auto"/>
                        <w:bottom w:val="none" w:sz="0" w:space="0" w:color="auto"/>
                        <w:right w:val="none" w:sz="0" w:space="0" w:color="auto"/>
                      </w:divBdr>
                      <w:divsChild>
                        <w:div w:id="1188525912">
                          <w:marLeft w:val="0"/>
                          <w:marRight w:val="0"/>
                          <w:marTop w:val="0"/>
                          <w:marBottom w:val="0"/>
                          <w:divBdr>
                            <w:top w:val="none" w:sz="0" w:space="0" w:color="auto"/>
                            <w:left w:val="none" w:sz="0" w:space="0" w:color="auto"/>
                            <w:bottom w:val="none" w:sz="0" w:space="0" w:color="auto"/>
                            <w:right w:val="none" w:sz="0" w:space="0" w:color="auto"/>
                          </w:divBdr>
                          <w:divsChild>
                            <w:div w:id="1128596165">
                              <w:marLeft w:val="0"/>
                              <w:marRight w:val="0"/>
                              <w:marTop w:val="0"/>
                              <w:marBottom w:val="240"/>
                              <w:divBdr>
                                <w:top w:val="none" w:sz="0" w:space="0" w:color="auto"/>
                                <w:left w:val="none" w:sz="0" w:space="0" w:color="auto"/>
                                <w:bottom w:val="none" w:sz="0" w:space="0" w:color="auto"/>
                                <w:right w:val="none" w:sz="0" w:space="0" w:color="auto"/>
                              </w:divBdr>
                              <w:divsChild>
                                <w:div w:id="123889820">
                                  <w:marLeft w:val="0"/>
                                  <w:marRight w:val="0"/>
                                  <w:marTop w:val="0"/>
                                  <w:marBottom w:val="0"/>
                                  <w:divBdr>
                                    <w:top w:val="none" w:sz="0" w:space="0" w:color="auto"/>
                                    <w:left w:val="none" w:sz="0" w:space="0" w:color="auto"/>
                                    <w:bottom w:val="none" w:sz="0" w:space="0" w:color="auto"/>
                                    <w:right w:val="none" w:sz="0" w:space="0" w:color="auto"/>
                                  </w:divBdr>
                                  <w:divsChild>
                                    <w:div w:id="1335962771">
                                      <w:marLeft w:val="0"/>
                                      <w:marRight w:val="0"/>
                                      <w:marTop w:val="0"/>
                                      <w:marBottom w:val="0"/>
                                      <w:divBdr>
                                        <w:top w:val="none" w:sz="0" w:space="0" w:color="auto"/>
                                        <w:left w:val="none" w:sz="0" w:space="0" w:color="auto"/>
                                        <w:bottom w:val="none" w:sz="0" w:space="0" w:color="auto"/>
                                        <w:right w:val="none" w:sz="0" w:space="0" w:color="auto"/>
                                      </w:divBdr>
                                      <w:divsChild>
                                        <w:div w:id="148325543">
                                          <w:marLeft w:val="0"/>
                                          <w:marRight w:val="0"/>
                                          <w:marTop w:val="0"/>
                                          <w:marBottom w:val="0"/>
                                          <w:divBdr>
                                            <w:top w:val="none" w:sz="0" w:space="0" w:color="auto"/>
                                            <w:left w:val="none" w:sz="0" w:space="0" w:color="auto"/>
                                            <w:bottom w:val="none" w:sz="0" w:space="0" w:color="auto"/>
                                            <w:right w:val="none" w:sz="0" w:space="0" w:color="auto"/>
                                          </w:divBdr>
                                          <w:divsChild>
                                            <w:div w:id="1806393478">
                                              <w:marLeft w:val="0"/>
                                              <w:marRight w:val="0"/>
                                              <w:marTop w:val="0"/>
                                              <w:marBottom w:val="0"/>
                                              <w:divBdr>
                                                <w:top w:val="none" w:sz="0" w:space="0" w:color="auto"/>
                                                <w:left w:val="none" w:sz="0" w:space="0" w:color="auto"/>
                                                <w:bottom w:val="none" w:sz="0" w:space="0" w:color="auto"/>
                                                <w:right w:val="none" w:sz="0" w:space="0" w:color="auto"/>
                                              </w:divBdr>
                                              <w:divsChild>
                                                <w:div w:id="148917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39343752">
      <w:bodyDiv w:val="1"/>
      <w:marLeft w:val="0"/>
      <w:marRight w:val="0"/>
      <w:marTop w:val="0"/>
      <w:marBottom w:val="0"/>
      <w:divBdr>
        <w:top w:val="none" w:sz="0" w:space="0" w:color="auto"/>
        <w:left w:val="none" w:sz="0" w:space="0" w:color="auto"/>
        <w:bottom w:val="none" w:sz="0" w:space="0" w:color="auto"/>
        <w:right w:val="none" w:sz="0" w:space="0" w:color="auto"/>
      </w:divBdr>
    </w:div>
    <w:div w:id="1844585989">
      <w:bodyDiv w:val="1"/>
      <w:marLeft w:val="0"/>
      <w:marRight w:val="0"/>
      <w:marTop w:val="0"/>
      <w:marBottom w:val="0"/>
      <w:divBdr>
        <w:top w:val="none" w:sz="0" w:space="0" w:color="auto"/>
        <w:left w:val="none" w:sz="0" w:space="0" w:color="auto"/>
        <w:bottom w:val="none" w:sz="0" w:space="0" w:color="auto"/>
        <w:right w:val="none" w:sz="0" w:space="0" w:color="auto"/>
      </w:divBdr>
      <w:divsChild>
        <w:div w:id="1408192193">
          <w:marLeft w:val="-225"/>
          <w:marRight w:val="-225"/>
          <w:marTop w:val="0"/>
          <w:marBottom w:val="150"/>
          <w:divBdr>
            <w:top w:val="single" w:sz="6" w:space="8" w:color="D2CBB7"/>
            <w:left w:val="single" w:sz="6" w:space="8" w:color="D2CBB7"/>
            <w:bottom w:val="single" w:sz="6" w:space="8" w:color="D3D3D3"/>
            <w:right w:val="single" w:sz="6" w:space="8" w:color="D2CBB7"/>
          </w:divBdr>
          <w:divsChild>
            <w:div w:id="766000771">
              <w:marLeft w:val="0"/>
              <w:marRight w:val="0"/>
              <w:marTop w:val="0"/>
              <w:marBottom w:val="0"/>
              <w:divBdr>
                <w:top w:val="none" w:sz="0" w:space="0" w:color="auto"/>
                <w:left w:val="none" w:sz="0" w:space="0" w:color="auto"/>
                <w:bottom w:val="none" w:sz="0" w:space="0" w:color="auto"/>
                <w:right w:val="none" w:sz="0" w:space="0" w:color="auto"/>
              </w:divBdr>
              <w:divsChild>
                <w:div w:id="76102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186428">
          <w:marLeft w:val="-225"/>
          <w:marRight w:val="-225"/>
          <w:marTop w:val="0"/>
          <w:marBottom w:val="0"/>
          <w:divBdr>
            <w:top w:val="none" w:sz="0" w:space="0" w:color="auto"/>
            <w:left w:val="none" w:sz="0" w:space="0" w:color="auto"/>
            <w:bottom w:val="single" w:sz="6" w:space="0" w:color="D3D3D3"/>
            <w:right w:val="none" w:sz="0" w:space="0" w:color="auto"/>
          </w:divBdr>
          <w:divsChild>
            <w:div w:id="1438017373">
              <w:marLeft w:val="0"/>
              <w:marRight w:val="0"/>
              <w:marTop w:val="0"/>
              <w:marBottom w:val="0"/>
              <w:divBdr>
                <w:top w:val="none" w:sz="0" w:space="0" w:color="auto"/>
                <w:left w:val="none" w:sz="0" w:space="0" w:color="auto"/>
                <w:bottom w:val="none" w:sz="0" w:space="0" w:color="auto"/>
                <w:right w:val="none" w:sz="0" w:space="0" w:color="auto"/>
              </w:divBdr>
              <w:divsChild>
                <w:div w:id="23725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074047">
      <w:bodyDiv w:val="1"/>
      <w:marLeft w:val="0"/>
      <w:marRight w:val="0"/>
      <w:marTop w:val="0"/>
      <w:marBottom w:val="0"/>
      <w:divBdr>
        <w:top w:val="none" w:sz="0" w:space="0" w:color="auto"/>
        <w:left w:val="none" w:sz="0" w:space="0" w:color="auto"/>
        <w:bottom w:val="none" w:sz="0" w:space="0" w:color="auto"/>
        <w:right w:val="none" w:sz="0" w:space="0" w:color="auto"/>
      </w:divBdr>
    </w:div>
    <w:div w:id="1895771272">
      <w:bodyDiv w:val="1"/>
      <w:marLeft w:val="0"/>
      <w:marRight w:val="0"/>
      <w:marTop w:val="0"/>
      <w:marBottom w:val="0"/>
      <w:divBdr>
        <w:top w:val="none" w:sz="0" w:space="0" w:color="auto"/>
        <w:left w:val="none" w:sz="0" w:space="0" w:color="auto"/>
        <w:bottom w:val="none" w:sz="0" w:space="0" w:color="auto"/>
        <w:right w:val="none" w:sz="0" w:space="0" w:color="auto"/>
      </w:divBdr>
    </w:div>
    <w:div w:id="1899514962">
      <w:bodyDiv w:val="1"/>
      <w:marLeft w:val="0"/>
      <w:marRight w:val="0"/>
      <w:marTop w:val="0"/>
      <w:marBottom w:val="0"/>
      <w:divBdr>
        <w:top w:val="none" w:sz="0" w:space="0" w:color="auto"/>
        <w:left w:val="none" w:sz="0" w:space="0" w:color="auto"/>
        <w:bottom w:val="none" w:sz="0" w:space="0" w:color="auto"/>
        <w:right w:val="none" w:sz="0" w:space="0" w:color="auto"/>
      </w:divBdr>
      <w:divsChild>
        <w:div w:id="2145808838">
          <w:marLeft w:val="0"/>
          <w:marRight w:val="0"/>
          <w:marTop w:val="0"/>
          <w:marBottom w:val="0"/>
          <w:divBdr>
            <w:top w:val="none" w:sz="0" w:space="0" w:color="auto"/>
            <w:left w:val="none" w:sz="0" w:space="0" w:color="auto"/>
            <w:bottom w:val="none" w:sz="0" w:space="0" w:color="auto"/>
            <w:right w:val="none" w:sz="0" w:space="0" w:color="auto"/>
          </w:divBdr>
          <w:divsChild>
            <w:div w:id="1962223162">
              <w:marLeft w:val="0"/>
              <w:marRight w:val="0"/>
              <w:marTop w:val="0"/>
              <w:marBottom w:val="0"/>
              <w:divBdr>
                <w:top w:val="none" w:sz="0" w:space="0" w:color="auto"/>
                <w:left w:val="none" w:sz="0" w:space="0" w:color="auto"/>
                <w:bottom w:val="none" w:sz="0" w:space="0" w:color="auto"/>
                <w:right w:val="none" w:sz="0" w:space="0" w:color="auto"/>
              </w:divBdr>
              <w:divsChild>
                <w:div w:id="524832890">
                  <w:marLeft w:val="0"/>
                  <w:marRight w:val="0"/>
                  <w:marTop w:val="0"/>
                  <w:marBottom w:val="0"/>
                  <w:divBdr>
                    <w:top w:val="none" w:sz="0" w:space="0" w:color="auto"/>
                    <w:left w:val="none" w:sz="0" w:space="0" w:color="auto"/>
                    <w:bottom w:val="none" w:sz="0" w:space="0" w:color="auto"/>
                    <w:right w:val="none" w:sz="0" w:space="0" w:color="auto"/>
                  </w:divBdr>
                  <w:divsChild>
                    <w:div w:id="475531602">
                      <w:marLeft w:val="0"/>
                      <w:marRight w:val="0"/>
                      <w:marTop w:val="0"/>
                      <w:marBottom w:val="0"/>
                      <w:divBdr>
                        <w:top w:val="none" w:sz="0" w:space="0" w:color="auto"/>
                        <w:left w:val="none" w:sz="0" w:space="0" w:color="auto"/>
                        <w:bottom w:val="none" w:sz="0" w:space="0" w:color="auto"/>
                        <w:right w:val="none" w:sz="0" w:space="0" w:color="auto"/>
                      </w:divBdr>
                      <w:divsChild>
                        <w:div w:id="1587615089">
                          <w:marLeft w:val="0"/>
                          <w:marRight w:val="0"/>
                          <w:marTop w:val="0"/>
                          <w:marBottom w:val="0"/>
                          <w:divBdr>
                            <w:top w:val="none" w:sz="0" w:space="0" w:color="auto"/>
                            <w:left w:val="none" w:sz="0" w:space="0" w:color="auto"/>
                            <w:bottom w:val="none" w:sz="0" w:space="0" w:color="auto"/>
                            <w:right w:val="none" w:sz="0" w:space="0" w:color="auto"/>
                          </w:divBdr>
                          <w:divsChild>
                            <w:div w:id="1342930191">
                              <w:marLeft w:val="0"/>
                              <w:marRight w:val="0"/>
                              <w:marTop w:val="0"/>
                              <w:marBottom w:val="0"/>
                              <w:divBdr>
                                <w:top w:val="none" w:sz="0" w:space="0" w:color="auto"/>
                                <w:left w:val="none" w:sz="0" w:space="0" w:color="auto"/>
                                <w:bottom w:val="none" w:sz="0" w:space="0" w:color="auto"/>
                                <w:right w:val="none" w:sz="0" w:space="0" w:color="auto"/>
                              </w:divBdr>
                              <w:divsChild>
                                <w:div w:id="345982629">
                                  <w:marLeft w:val="0"/>
                                  <w:marRight w:val="0"/>
                                  <w:marTop w:val="0"/>
                                  <w:marBottom w:val="0"/>
                                  <w:divBdr>
                                    <w:top w:val="none" w:sz="0" w:space="0" w:color="auto"/>
                                    <w:left w:val="none" w:sz="0" w:space="0" w:color="auto"/>
                                    <w:bottom w:val="none" w:sz="0" w:space="0" w:color="auto"/>
                                    <w:right w:val="none" w:sz="0" w:space="0" w:color="auto"/>
                                  </w:divBdr>
                                  <w:divsChild>
                                    <w:div w:id="135420181">
                                      <w:marLeft w:val="0"/>
                                      <w:marRight w:val="0"/>
                                      <w:marTop w:val="0"/>
                                      <w:marBottom w:val="0"/>
                                      <w:divBdr>
                                        <w:top w:val="none" w:sz="0" w:space="0" w:color="auto"/>
                                        <w:left w:val="none" w:sz="0" w:space="0" w:color="auto"/>
                                        <w:bottom w:val="none" w:sz="0" w:space="0" w:color="auto"/>
                                        <w:right w:val="none" w:sz="0" w:space="0" w:color="auto"/>
                                      </w:divBdr>
                                      <w:divsChild>
                                        <w:div w:id="1528985075">
                                          <w:marLeft w:val="0"/>
                                          <w:marRight w:val="0"/>
                                          <w:marTop w:val="0"/>
                                          <w:marBottom w:val="0"/>
                                          <w:divBdr>
                                            <w:top w:val="none" w:sz="0" w:space="0" w:color="auto"/>
                                            <w:left w:val="none" w:sz="0" w:space="0" w:color="auto"/>
                                            <w:bottom w:val="none" w:sz="0" w:space="0" w:color="auto"/>
                                            <w:right w:val="none" w:sz="0" w:space="0" w:color="auto"/>
                                          </w:divBdr>
                                          <w:divsChild>
                                            <w:div w:id="1852839423">
                                              <w:marLeft w:val="0"/>
                                              <w:marRight w:val="0"/>
                                              <w:marTop w:val="0"/>
                                              <w:marBottom w:val="0"/>
                                              <w:divBdr>
                                                <w:top w:val="none" w:sz="0" w:space="0" w:color="auto"/>
                                                <w:left w:val="none" w:sz="0" w:space="0" w:color="auto"/>
                                                <w:bottom w:val="none" w:sz="0" w:space="0" w:color="auto"/>
                                                <w:right w:val="none" w:sz="0" w:space="0" w:color="auto"/>
                                              </w:divBdr>
                                              <w:divsChild>
                                                <w:div w:id="161161791">
                                                  <w:marLeft w:val="0"/>
                                                  <w:marRight w:val="0"/>
                                                  <w:marTop w:val="0"/>
                                                  <w:marBottom w:val="0"/>
                                                  <w:divBdr>
                                                    <w:top w:val="none" w:sz="0" w:space="0" w:color="auto"/>
                                                    <w:left w:val="none" w:sz="0" w:space="0" w:color="auto"/>
                                                    <w:bottom w:val="none" w:sz="0" w:space="0" w:color="auto"/>
                                                    <w:right w:val="none" w:sz="0" w:space="0" w:color="auto"/>
                                                  </w:divBdr>
                                                  <w:divsChild>
                                                    <w:div w:id="1841971138">
                                                      <w:marLeft w:val="0"/>
                                                      <w:marRight w:val="0"/>
                                                      <w:marTop w:val="0"/>
                                                      <w:marBottom w:val="0"/>
                                                      <w:divBdr>
                                                        <w:top w:val="none" w:sz="0" w:space="0" w:color="auto"/>
                                                        <w:left w:val="none" w:sz="0" w:space="0" w:color="auto"/>
                                                        <w:bottom w:val="none" w:sz="0" w:space="0" w:color="auto"/>
                                                        <w:right w:val="none" w:sz="0" w:space="0" w:color="auto"/>
                                                      </w:divBdr>
                                                      <w:divsChild>
                                                        <w:div w:id="802969886">
                                                          <w:marLeft w:val="0"/>
                                                          <w:marRight w:val="0"/>
                                                          <w:marTop w:val="0"/>
                                                          <w:marBottom w:val="0"/>
                                                          <w:divBdr>
                                                            <w:top w:val="none" w:sz="0" w:space="0" w:color="auto"/>
                                                            <w:left w:val="none" w:sz="0" w:space="0" w:color="auto"/>
                                                            <w:bottom w:val="none" w:sz="0" w:space="0" w:color="auto"/>
                                                            <w:right w:val="none" w:sz="0" w:space="0" w:color="auto"/>
                                                          </w:divBdr>
                                                          <w:divsChild>
                                                            <w:div w:id="1010328934">
                                                              <w:marLeft w:val="0"/>
                                                              <w:marRight w:val="0"/>
                                                              <w:marTop w:val="0"/>
                                                              <w:marBottom w:val="0"/>
                                                              <w:divBdr>
                                                                <w:top w:val="none" w:sz="0" w:space="0" w:color="auto"/>
                                                                <w:left w:val="none" w:sz="0" w:space="0" w:color="auto"/>
                                                                <w:bottom w:val="none" w:sz="0" w:space="0" w:color="auto"/>
                                                                <w:right w:val="none" w:sz="0" w:space="0" w:color="auto"/>
                                                              </w:divBdr>
                                                              <w:divsChild>
                                                                <w:div w:id="779566156">
                                                                  <w:marLeft w:val="0"/>
                                                                  <w:marRight w:val="0"/>
                                                                  <w:marTop w:val="0"/>
                                                                  <w:marBottom w:val="0"/>
                                                                  <w:divBdr>
                                                                    <w:top w:val="none" w:sz="0" w:space="0" w:color="auto"/>
                                                                    <w:left w:val="none" w:sz="0" w:space="0" w:color="auto"/>
                                                                    <w:bottom w:val="none" w:sz="0" w:space="0" w:color="auto"/>
                                                                    <w:right w:val="none" w:sz="0" w:space="0" w:color="auto"/>
                                                                  </w:divBdr>
                                                                  <w:divsChild>
                                                                    <w:div w:id="63067440">
                                                                      <w:marLeft w:val="0"/>
                                                                      <w:marRight w:val="0"/>
                                                                      <w:marTop w:val="0"/>
                                                                      <w:marBottom w:val="0"/>
                                                                      <w:divBdr>
                                                                        <w:top w:val="none" w:sz="0" w:space="0" w:color="auto"/>
                                                                        <w:left w:val="none" w:sz="0" w:space="0" w:color="auto"/>
                                                                        <w:bottom w:val="none" w:sz="0" w:space="0" w:color="auto"/>
                                                                        <w:right w:val="none" w:sz="0" w:space="0" w:color="auto"/>
                                                                      </w:divBdr>
                                                                      <w:divsChild>
                                                                        <w:div w:id="1662465521">
                                                                          <w:marLeft w:val="0"/>
                                                                          <w:marRight w:val="0"/>
                                                                          <w:marTop w:val="0"/>
                                                                          <w:marBottom w:val="0"/>
                                                                          <w:divBdr>
                                                                            <w:top w:val="none" w:sz="0" w:space="0" w:color="auto"/>
                                                                            <w:left w:val="none" w:sz="0" w:space="0" w:color="auto"/>
                                                                            <w:bottom w:val="none" w:sz="0" w:space="0" w:color="auto"/>
                                                                            <w:right w:val="none" w:sz="0" w:space="0" w:color="auto"/>
                                                                          </w:divBdr>
                                                                          <w:divsChild>
                                                                            <w:div w:id="1474178991">
                                                                              <w:marLeft w:val="0"/>
                                                                              <w:marRight w:val="0"/>
                                                                              <w:marTop w:val="0"/>
                                                                              <w:marBottom w:val="0"/>
                                                                              <w:divBdr>
                                                                                <w:top w:val="none" w:sz="0" w:space="0" w:color="auto"/>
                                                                                <w:left w:val="none" w:sz="0" w:space="0" w:color="auto"/>
                                                                                <w:bottom w:val="none" w:sz="0" w:space="0" w:color="auto"/>
                                                                                <w:right w:val="none" w:sz="0" w:space="0" w:color="auto"/>
                                                                              </w:divBdr>
                                                                              <w:divsChild>
                                                                                <w:div w:id="349525130">
                                                                                  <w:marLeft w:val="0"/>
                                                                                  <w:marRight w:val="0"/>
                                                                                  <w:marTop w:val="0"/>
                                                                                  <w:marBottom w:val="0"/>
                                                                                  <w:divBdr>
                                                                                    <w:top w:val="none" w:sz="0" w:space="0" w:color="auto"/>
                                                                                    <w:left w:val="none" w:sz="0" w:space="0" w:color="auto"/>
                                                                                    <w:bottom w:val="none" w:sz="0" w:space="0" w:color="auto"/>
                                                                                    <w:right w:val="none" w:sz="0" w:space="0" w:color="auto"/>
                                                                                  </w:divBdr>
                                                                                  <w:divsChild>
                                                                                    <w:div w:id="2010210858">
                                                                                      <w:marLeft w:val="0"/>
                                                                                      <w:marRight w:val="0"/>
                                                                                      <w:marTop w:val="0"/>
                                                                                      <w:marBottom w:val="0"/>
                                                                                      <w:divBdr>
                                                                                        <w:top w:val="none" w:sz="0" w:space="0" w:color="auto"/>
                                                                                        <w:left w:val="none" w:sz="0" w:space="0" w:color="auto"/>
                                                                                        <w:bottom w:val="none" w:sz="0" w:space="0" w:color="auto"/>
                                                                                        <w:right w:val="none" w:sz="0" w:space="0" w:color="auto"/>
                                                                                      </w:divBdr>
                                                                                      <w:divsChild>
                                                                                        <w:div w:id="1910338101">
                                                                                          <w:marLeft w:val="0"/>
                                                                                          <w:marRight w:val="0"/>
                                                                                          <w:marTop w:val="0"/>
                                                                                          <w:marBottom w:val="0"/>
                                                                                          <w:divBdr>
                                                                                            <w:top w:val="none" w:sz="0" w:space="0" w:color="auto"/>
                                                                                            <w:left w:val="none" w:sz="0" w:space="0" w:color="auto"/>
                                                                                            <w:bottom w:val="none" w:sz="0" w:space="0" w:color="auto"/>
                                                                                            <w:right w:val="none" w:sz="0" w:space="0" w:color="auto"/>
                                                                                          </w:divBdr>
                                                                                          <w:divsChild>
                                                                                            <w:div w:id="1924678870">
                                                                                              <w:marLeft w:val="0"/>
                                                                                              <w:marRight w:val="0"/>
                                                                                              <w:marTop w:val="0"/>
                                                                                              <w:marBottom w:val="0"/>
                                                                                              <w:divBdr>
                                                                                                <w:top w:val="none" w:sz="0" w:space="0" w:color="auto"/>
                                                                                                <w:left w:val="none" w:sz="0" w:space="0" w:color="auto"/>
                                                                                                <w:bottom w:val="none" w:sz="0" w:space="0" w:color="auto"/>
                                                                                                <w:right w:val="none" w:sz="0" w:space="0" w:color="auto"/>
                                                                                              </w:divBdr>
                                                                                              <w:divsChild>
                                                                                                <w:div w:id="938024465">
                                                                                                  <w:marLeft w:val="0"/>
                                                                                                  <w:marRight w:val="0"/>
                                                                                                  <w:marTop w:val="0"/>
                                                                                                  <w:marBottom w:val="0"/>
                                                                                                  <w:divBdr>
                                                                                                    <w:top w:val="none" w:sz="0" w:space="0" w:color="auto"/>
                                                                                                    <w:left w:val="none" w:sz="0" w:space="0" w:color="auto"/>
                                                                                                    <w:bottom w:val="none" w:sz="0" w:space="0" w:color="auto"/>
                                                                                                    <w:right w:val="none" w:sz="0" w:space="0" w:color="auto"/>
                                                                                                  </w:divBdr>
                                                                                                  <w:divsChild>
                                                                                                    <w:div w:id="1817793410">
                                                                                                      <w:marLeft w:val="0"/>
                                                                                                      <w:marRight w:val="0"/>
                                                                                                      <w:marTop w:val="0"/>
                                                                                                      <w:marBottom w:val="0"/>
                                                                                                      <w:divBdr>
                                                                                                        <w:top w:val="none" w:sz="0" w:space="0" w:color="auto"/>
                                                                                                        <w:left w:val="none" w:sz="0" w:space="0" w:color="auto"/>
                                                                                                        <w:bottom w:val="none" w:sz="0" w:space="0" w:color="auto"/>
                                                                                                        <w:right w:val="none" w:sz="0" w:space="0" w:color="auto"/>
                                                                                                      </w:divBdr>
                                                                                                      <w:divsChild>
                                                                                                        <w:div w:id="2009285649">
                                                                                                          <w:marLeft w:val="0"/>
                                                                                                          <w:marRight w:val="0"/>
                                                                                                          <w:marTop w:val="0"/>
                                                                                                          <w:marBottom w:val="0"/>
                                                                                                          <w:divBdr>
                                                                                                            <w:top w:val="none" w:sz="0" w:space="0" w:color="auto"/>
                                                                                                            <w:left w:val="none" w:sz="0" w:space="0" w:color="auto"/>
                                                                                                            <w:bottom w:val="none" w:sz="0" w:space="0" w:color="auto"/>
                                                                                                            <w:right w:val="none" w:sz="0" w:space="0" w:color="auto"/>
                                                                                                          </w:divBdr>
                                                                                                          <w:divsChild>
                                                                                                            <w:div w:id="1364403569">
                                                                                                              <w:marLeft w:val="0"/>
                                                                                                              <w:marRight w:val="0"/>
                                                                                                              <w:marTop w:val="0"/>
                                                                                                              <w:marBottom w:val="0"/>
                                                                                                              <w:divBdr>
                                                                                                                <w:top w:val="none" w:sz="0" w:space="0" w:color="auto"/>
                                                                                                                <w:left w:val="none" w:sz="0" w:space="0" w:color="auto"/>
                                                                                                                <w:bottom w:val="none" w:sz="0" w:space="0" w:color="auto"/>
                                                                                                                <w:right w:val="none" w:sz="0" w:space="0" w:color="auto"/>
                                                                                                              </w:divBdr>
                                                                                                              <w:divsChild>
                                                                                                                <w:div w:id="1624774313">
                                                                                                                  <w:marLeft w:val="0"/>
                                                                                                                  <w:marRight w:val="0"/>
                                                                                                                  <w:marTop w:val="0"/>
                                                                                                                  <w:marBottom w:val="0"/>
                                                                                                                  <w:divBdr>
                                                                                                                    <w:top w:val="none" w:sz="0" w:space="0" w:color="auto"/>
                                                                                                                    <w:left w:val="none" w:sz="0" w:space="0" w:color="auto"/>
                                                                                                                    <w:bottom w:val="none" w:sz="0" w:space="0" w:color="auto"/>
                                                                                                                    <w:right w:val="none" w:sz="0" w:space="0" w:color="auto"/>
                                                                                                                  </w:divBdr>
                                                                                                                  <w:divsChild>
                                                                                                                    <w:div w:id="1635256667">
                                                                                                                      <w:marLeft w:val="0"/>
                                                                                                                      <w:marRight w:val="0"/>
                                                                                                                      <w:marTop w:val="0"/>
                                                                                                                      <w:marBottom w:val="0"/>
                                                                                                                      <w:divBdr>
                                                                                                                        <w:top w:val="none" w:sz="0" w:space="0" w:color="auto"/>
                                                                                                                        <w:left w:val="none" w:sz="0" w:space="0" w:color="auto"/>
                                                                                                                        <w:bottom w:val="none" w:sz="0" w:space="0" w:color="auto"/>
                                                                                                                        <w:right w:val="none" w:sz="0" w:space="0" w:color="auto"/>
                                                                                                                      </w:divBdr>
                                                                                                                      <w:divsChild>
                                                                                                                        <w:div w:id="666439360">
                                                                                                                          <w:marLeft w:val="0"/>
                                                                                                                          <w:marRight w:val="0"/>
                                                                                                                          <w:marTop w:val="0"/>
                                                                                                                          <w:marBottom w:val="0"/>
                                                                                                                          <w:divBdr>
                                                                                                                            <w:top w:val="none" w:sz="0" w:space="0" w:color="auto"/>
                                                                                                                            <w:left w:val="none" w:sz="0" w:space="0" w:color="auto"/>
                                                                                                                            <w:bottom w:val="none" w:sz="0" w:space="0" w:color="auto"/>
                                                                                                                            <w:right w:val="none" w:sz="0" w:space="0" w:color="auto"/>
                                                                                                                          </w:divBdr>
                                                                                                                          <w:divsChild>
                                                                                                                            <w:div w:id="193759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07493769">
      <w:bodyDiv w:val="1"/>
      <w:marLeft w:val="0"/>
      <w:marRight w:val="0"/>
      <w:marTop w:val="0"/>
      <w:marBottom w:val="0"/>
      <w:divBdr>
        <w:top w:val="none" w:sz="0" w:space="0" w:color="auto"/>
        <w:left w:val="none" w:sz="0" w:space="0" w:color="auto"/>
        <w:bottom w:val="none" w:sz="0" w:space="0" w:color="auto"/>
        <w:right w:val="none" w:sz="0" w:space="0" w:color="auto"/>
      </w:divBdr>
      <w:divsChild>
        <w:div w:id="1397782272">
          <w:marLeft w:val="0"/>
          <w:marRight w:val="0"/>
          <w:marTop w:val="0"/>
          <w:marBottom w:val="0"/>
          <w:divBdr>
            <w:top w:val="none" w:sz="0" w:space="0" w:color="auto"/>
            <w:left w:val="none" w:sz="0" w:space="0" w:color="auto"/>
            <w:bottom w:val="none" w:sz="0" w:space="0" w:color="auto"/>
            <w:right w:val="none" w:sz="0" w:space="0" w:color="auto"/>
          </w:divBdr>
          <w:divsChild>
            <w:div w:id="1249072850">
              <w:marLeft w:val="0"/>
              <w:marRight w:val="0"/>
              <w:marTop w:val="100"/>
              <w:marBottom w:val="100"/>
              <w:divBdr>
                <w:top w:val="none" w:sz="0" w:space="0" w:color="auto"/>
                <w:left w:val="none" w:sz="0" w:space="0" w:color="auto"/>
                <w:bottom w:val="none" w:sz="0" w:space="0" w:color="auto"/>
                <w:right w:val="none" w:sz="0" w:space="0" w:color="auto"/>
              </w:divBdr>
              <w:divsChild>
                <w:div w:id="2004241275">
                  <w:marLeft w:val="0"/>
                  <w:marRight w:val="0"/>
                  <w:marTop w:val="0"/>
                  <w:marBottom w:val="0"/>
                  <w:divBdr>
                    <w:top w:val="none" w:sz="0" w:space="0" w:color="auto"/>
                    <w:left w:val="none" w:sz="0" w:space="0" w:color="auto"/>
                    <w:bottom w:val="none" w:sz="0" w:space="0" w:color="auto"/>
                    <w:right w:val="none" w:sz="0" w:space="0" w:color="auto"/>
                  </w:divBdr>
                  <w:divsChild>
                    <w:div w:id="566301125">
                      <w:marLeft w:val="0"/>
                      <w:marRight w:val="0"/>
                      <w:marTop w:val="0"/>
                      <w:marBottom w:val="0"/>
                      <w:divBdr>
                        <w:top w:val="none" w:sz="0" w:space="0" w:color="auto"/>
                        <w:left w:val="none" w:sz="0" w:space="0" w:color="auto"/>
                        <w:bottom w:val="none" w:sz="0" w:space="0" w:color="auto"/>
                        <w:right w:val="none" w:sz="0" w:space="0" w:color="auto"/>
                      </w:divBdr>
                    </w:div>
                    <w:div w:id="1217426910">
                      <w:marLeft w:val="0"/>
                      <w:marRight w:val="0"/>
                      <w:marTop w:val="0"/>
                      <w:marBottom w:val="0"/>
                      <w:divBdr>
                        <w:top w:val="none" w:sz="0" w:space="0" w:color="auto"/>
                        <w:left w:val="none" w:sz="0" w:space="0" w:color="auto"/>
                        <w:bottom w:val="none" w:sz="0" w:space="0" w:color="auto"/>
                        <w:right w:val="none" w:sz="0" w:space="0" w:color="auto"/>
                      </w:divBdr>
                    </w:div>
                    <w:div w:id="1682509711">
                      <w:marLeft w:val="0"/>
                      <w:marRight w:val="0"/>
                      <w:marTop w:val="0"/>
                      <w:marBottom w:val="0"/>
                      <w:divBdr>
                        <w:top w:val="none" w:sz="0" w:space="0" w:color="auto"/>
                        <w:left w:val="none" w:sz="0" w:space="0" w:color="auto"/>
                        <w:bottom w:val="none" w:sz="0" w:space="0" w:color="auto"/>
                        <w:right w:val="none" w:sz="0" w:space="0" w:color="auto"/>
                      </w:divBdr>
                      <w:divsChild>
                        <w:div w:id="1459490045">
                          <w:marLeft w:val="0"/>
                          <w:marRight w:val="0"/>
                          <w:marTop w:val="0"/>
                          <w:marBottom w:val="180"/>
                          <w:divBdr>
                            <w:top w:val="none" w:sz="0" w:space="0" w:color="auto"/>
                            <w:left w:val="none" w:sz="0" w:space="0" w:color="auto"/>
                            <w:bottom w:val="none" w:sz="0" w:space="0" w:color="auto"/>
                            <w:right w:val="none" w:sz="0" w:space="0" w:color="auto"/>
                          </w:divBdr>
                        </w:div>
                        <w:div w:id="1687557451">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1791531">
      <w:bodyDiv w:val="1"/>
      <w:marLeft w:val="0"/>
      <w:marRight w:val="0"/>
      <w:marTop w:val="0"/>
      <w:marBottom w:val="0"/>
      <w:divBdr>
        <w:top w:val="none" w:sz="0" w:space="0" w:color="auto"/>
        <w:left w:val="none" w:sz="0" w:space="0" w:color="auto"/>
        <w:bottom w:val="none" w:sz="0" w:space="0" w:color="auto"/>
        <w:right w:val="none" w:sz="0" w:space="0" w:color="auto"/>
      </w:divBdr>
    </w:div>
    <w:div w:id="1930655881">
      <w:bodyDiv w:val="1"/>
      <w:marLeft w:val="0"/>
      <w:marRight w:val="0"/>
      <w:marTop w:val="0"/>
      <w:marBottom w:val="0"/>
      <w:divBdr>
        <w:top w:val="none" w:sz="0" w:space="0" w:color="auto"/>
        <w:left w:val="none" w:sz="0" w:space="0" w:color="auto"/>
        <w:bottom w:val="none" w:sz="0" w:space="0" w:color="auto"/>
        <w:right w:val="none" w:sz="0" w:space="0" w:color="auto"/>
      </w:divBdr>
    </w:div>
    <w:div w:id="1946883991">
      <w:bodyDiv w:val="1"/>
      <w:marLeft w:val="0"/>
      <w:marRight w:val="0"/>
      <w:marTop w:val="0"/>
      <w:marBottom w:val="0"/>
      <w:divBdr>
        <w:top w:val="none" w:sz="0" w:space="0" w:color="auto"/>
        <w:left w:val="none" w:sz="0" w:space="0" w:color="auto"/>
        <w:bottom w:val="none" w:sz="0" w:space="0" w:color="auto"/>
        <w:right w:val="none" w:sz="0" w:space="0" w:color="auto"/>
      </w:divBdr>
    </w:div>
    <w:div w:id="1950893017">
      <w:bodyDiv w:val="1"/>
      <w:marLeft w:val="0"/>
      <w:marRight w:val="0"/>
      <w:marTop w:val="0"/>
      <w:marBottom w:val="1575"/>
      <w:divBdr>
        <w:top w:val="none" w:sz="0" w:space="0" w:color="auto"/>
        <w:left w:val="none" w:sz="0" w:space="0" w:color="auto"/>
        <w:bottom w:val="none" w:sz="0" w:space="0" w:color="auto"/>
        <w:right w:val="none" w:sz="0" w:space="0" w:color="auto"/>
      </w:divBdr>
      <w:divsChild>
        <w:div w:id="274365942">
          <w:marLeft w:val="-225"/>
          <w:marRight w:val="-225"/>
          <w:marTop w:val="0"/>
          <w:marBottom w:val="0"/>
          <w:divBdr>
            <w:top w:val="none" w:sz="0" w:space="0" w:color="auto"/>
            <w:left w:val="none" w:sz="0" w:space="0" w:color="auto"/>
            <w:bottom w:val="none" w:sz="0" w:space="0" w:color="auto"/>
            <w:right w:val="none" w:sz="0" w:space="0" w:color="auto"/>
          </w:divBdr>
          <w:divsChild>
            <w:div w:id="1164080223">
              <w:marLeft w:val="0"/>
              <w:marRight w:val="0"/>
              <w:marTop w:val="0"/>
              <w:marBottom w:val="0"/>
              <w:divBdr>
                <w:top w:val="none" w:sz="0" w:space="0" w:color="auto"/>
                <w:left w:val="none" w:sz="0" w:space="0" w:color="auto"/>
                <w:bottom w:val="none" w:sz="0" w:space="0" w:color="auto"/>
                <w:right w:val="none" w:sz="0" w:space="0" w:color="auto"/>
              </w:divBdr>
              <w:divsChild>
                <w:div w:id="97730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323090">
      <w:bodyDiv w:val="1"/>
      <w:marLeft w:val="0"/>
      <w:marRight w:val="0"/>
      <w:marTop w:val="0"/>
      <w:marBottom w:val="0"/>
      <w:divBdr>
        <w:top w:val="none" w:sz="0" w:space="0" w:color="auto"/>
        <w:left w:val="none" w:sz="0" w:space="0" w:color="auto"/>
        <w:bottom w:val="none" w:sz="0" w:space="0" w:color="auto"/>
        <w:right w:val="none" w:sz="0" w:space="0" w:color="auto"/>
      </w:divBdr>
      <w:divsChild>
        <w:div w:id="957680784">
          <w:marLeft w:val="0"/>
          <w:marRight w:val="0"/>
          <w:marTop w:val="0"/>
          <w:marBottom w:val="0"/>
          <w:divBdr>
            <w:top w:val="none" w:sz="0" w:space="0" w:color="auto"/>
            <w:left w:val="none" w:sz="0" w:space="0" w:color="auto"/>
            <w:bottom w:val="none" w:sz="0" w:space="0" w:color="auto"/>
            <w:right w:val="none" w:sz="0" w:space="0" w:color="auto"/>
          </w:divBdr>
          <w:divsChild>
            <w:div w:id="933589235">
              <w:marLeft w:val="-225"/>
              <w:marRight w:val="-225"/>
              <w:marTop w:val="0"/>
              <w:marBottom w:val="0"/>
              <w:divBdr>
                <w:top w:val="none" w:sz="0" w:space="0" w:color="auto"/>
                <w:left w:val="none" w:sz="0" w:space="0" w:color="auto"/>
                <w:bottom w:val="none" w:sz="0" w:space="0" w:color="auto"/>
                <w:right w:val="none" w:sz="0" w:space="0" w:color="auto"/>
              </w:divBdr>
              <w:divsChild>
                <w:div w:id="879971565">
                  <w:marLeft w:val="0"/>
                  <w:marRight w:val="0"/>
                  <w:marTop w:val="0"/>
                  <w:marBottom w:val="0"/>
                  <w:divBdr>
                    <w:top w:val="none" w:sz="0" w:space="0" w:color="auto"/>
                    <w:left w:val="none" w:sz="0" w:space="0" w:color="auto"/>
                    <w:bottom w:val="none" w:sz="0" w:space="0" w:color="auto"/>
                    <w:right w:val="none" w:sz="0" w:space="0" w:color="auto"/>
                  </w:divBdr>
                  <w:divsChild>
                    <w:div w:id="1814833453">
                      <w:marLeft w:val="0"/>
                      <w:marRight w:val="0"/>
                      <w:marTop w:val="0"/>
                      <w:marBottom w:val="0"/>
                      <w:divBdr>
                        <w:top w:val="none" w:sz="0" w:space="0" w:color="auto"/>
                        <w:left w:val="none" w:sz="0" w:space="0" w:color="auto"/>
                        <w:bottom w:val="none" w:sz="0" w:space="0" w:color="auto"/>
                        <w:right w:val="none" w:sz="0" w:space="0" w:color="auto"/>
                      </w:divBdr>
                      <w:divsChild>
                        <w:div w:id="882516697">
                          <w:marLeft w:val="0"/>
                          <w:marRight w:val="0"/>
                          <w:marTop w:val="0"/>
                          <w:marBottom w:val="0"/>
                          <w:divBdr>
                            <w:top w:val="none" w:sz="0" w:space="0" w:color="auto"/>
                            <w:left w:val="none" w:sz="0" w:space="0" w:color="auto"/>
                            <w:bottom w:val="none" w:sz="0" w:space="0" w:color="auto"/>
                            <w:right w:val="none" w:sz="0" w:space="0" w:color="auto"/>
                          </w:divBdr>
                          <w:divsChild>
                            <w:div w:id="1216625166">
                              <w:marLeft w:val="0"/>
                              <w:marRight w:val="0"/>
                              <w:marTop w:val="0"/>
                              <w:marBottom w:val="240"/>
                              <w:divBdr>
                                <w:top w:val="none" w:sz="0" w:space="0" w:color="auto"/>
                                <w:left w:val="none" w:sz="0" w:space="0" w:color="auto"/>
                                <w:bottom w:val="none" w:sz="0" w:space="0" w:color="auto"/>
                                <w:right w:val="none" w:sz="0" w:space="0" w:color="auto"/>
                              </w:divBdr>
                              <w:divsChild>
                                <w:div w:id="795370655">
                                  <w:marLeft w:val="0"/>
                                  <w:marRight w:val="0"/>
                                  <w:marTop w:val="0"/>
                                  <w:marBottom w:val="0"/>
                                  <w:divBdr>
                                    <w:top w:val="none" w:sz="0" w:space="0" w:color="auto"/>
                                    <w:left w:val="none" w:sz="0" w:space="0" w:color="auto"/>
                                    <w:bottom w:val="none" w:sz="0" w:space="0" w:color="auto"/>
                                    <w:right w:val="none" w:sz="0" w:space="0" w:color="auto"/>
                                  </w:divBdr>
                                  <w:divsChild>
                                    <w:div w:id="1271086272">
                                      <w:marLeft w:val="0"/>
                                      <w:marRight w:val="0"/>
                                      <w:marTop w:val="0"/>
                                      <w:marBottom w:val="0"/>
                                      <w:divBdr>
                                        <w:top w:val="none" w:sz="0" w:space="0" w:color="auto"/>
                                        <w:left w:val="none" w:sz="0" w:space="0" w:color="auto"/>
                                        <w:bottom w:val="none" w:sz="0" w:space="0" w:color="auto"/>
                                        <w:right w:val="none" w:sz="0" w:space="0" w:color="auto"/>
                                      </w:divBdr>
                                      <w:divsChild>
                                        <w:div w:id="629360730">
                                          <w:marLeft w:val="0"/>
                                          <w:marRight w:val="0"/>
                                          <w:marTop w:val="0"/>
                                          <w:marBottom w:val="0"/>
                                          <w:divBdr>
                                            <w:top w:val="none" w:sz="0" w:space="0" w:color="auto"/>
                                            <w:left w:val="none" w:sz="0" w:space="0" w:color="auto"/>
                                            <w:bottom w:val="none" w:sz="0" w:space="0" w:color="auto"/>
                                            <w:right w:val="none" w:sz="0" w:space="0" w:color="auto"/>
                                          </w:divBdr>
                                          <w:divsChild>
                                            <w:div w:id="1543059421">
                                              <w:marLeft w:val="0"/>
                                              <w:marRight w:val="0"/>
                                              <w:marTop w:val="0"/>
                                              <w:marBottom w:val="0"/>
                                              <w:divBdr>
                                                <w:top w:val="none" w:sz="0" w:space="0" w:color="auto"/>
                                                <w:left w:val="none" w:sz="0" w:space="0" w:color="auto"/>
                                                <w:bottom w:val="none" w:sz="0" w:space="0" w:color="auto"/>
                                                <w:right w:val="none" w:sz="0" w:space="0" w:color="auto"/>
                                              </w:divBdr>
                                              <w:divsChild>
                                                <w:div w:id="1907376795">
                                                  <w:marLeft w:val="0"/>
                                                  <w:marRight w:val="0"/>
                                                  <w:marTop w:val="0"/>
                                                  <w:marBottom w:val="0"/>
                                                  <w:divBdr>
                                                    <w:top w:val="none" w:sz="0" w:space="0" w:color="auto"/>
                                                    <w:left w:val="none" w:sz="0" w:space="0" w:color="auto"/>
                                                    <w:bottom w:val="none" w:sz="0" w:space="0" w:color="auto"/>
                                                    <w:right w:val="none" w:sz="0" w:space="0" w:color="auto"/>
                                                  </w:divBdr>
                                                  <w:divsChild>
                                                    <w:div w:id="57213441">
                                                      <w:marLeft w:val="0"/>
                                                      <w:marRight w:val="0"/>
                                                      <w:marTop w:val="0"/>
                                                      <w:marBottom w:val="0"/>
                                                      <w:divBdr>
                                                        <w:top w:val="none" w:sz="0" w:space="0" w:color="auto"/>
                                                        <w:left w:val="none" w:sz="0" w:space="0" w:color="auto"/>
                                                        <w:bottom w:val="none" w:sz="0" w:space="0" w:color="auto"/>
                                                        <w:right w:val="none" w:sz="0" w:space="0" w:color="auto"/>
                                                      </w:divBdr>
                                                      <w:divsChild>
                                                        <w:div w:id="169314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57442934">
      <w:bodyDiv w:val="1"/>
      <w:marLeft w:val="0"/>
      <w:marRight w:val="0"/>
      <w:marTop w:val="0"/>
      <w:marBottom w:val="0"/>
      <w:divBdr>
        <w:top w:val="none" w:sz="0" w:space="0" w:color="auto"/>
        <w:left w:val="none" w:sz="0" w:space="0" w:color="auto"/>
        <w:bottom w:val="none" w:sz="0" w:space="0" w:color="auto"/>
        <w:right w:val="none" w:sz="0" w:space="0" w:color="auto"/>
      </w:divBdr>
      <w:divsChild>
        <w:div w:id="695541798">
          <w:marLeft w:val="0"/>
          <w:marRight w:val="0"/>
          <w:marTop w:val="0"/>
          <w:marBottom w:val="0"/>
          <w:divBdr>
            <w:top w:val="none" w:sz="0" w:space="0" w:color="auto"/>
            <w:left w:val="none" w:sz="0" w:space="0" w:color="auto"/>
            <w:bottom w:val="none" w:sz="0" w:space="0" w:color="auto"/>
            <w:right w:val="none" w:sz="0" w:space="0" w:color="auto"/>
          </w:divBdr>
          <w:divsChild>
            <w:div w:id="714818375">
              <w:marLeft w:val="0"/>
              <w:marRight w:val="0"/>
              <w:marTop w:val="0"/>
              <w:marBottom w:val="0"/>
              <w:divBdr>
                <w:top w:val="none" w:sz="0" w:space="0" w:color="auto"/>
                <w:left w:val="none" w:sz="0" w:space="0" w:color="auto"/>
                <w:bottom w:val="none" w:sz="0" w:space="0" w:color="auto"/>
                <w:right w:val="none" w:sz="0" w:space="0" w:color="auto"/>
              </w:divBdr>
              <w:divsChild>
                <w:div w:id="59987607">
                  <w:marLeft w:val="0"/>
                  <w:marRight w:val="0"/>
                  <w:marTop w:val="0"/>
                  <w:marBottom w:val="0"/>
                  <w:divBdr>
                    <w:top w:val="none" w:sz="0" w:space="0" w:color="auto"/>
                    <w:left w:val="none" w:sz="0" w:space="0" w:color="auto"/>
                    <w:bottom w:val="none" w:sz="0" w:space="0" w:color="auto"/>
                    <w:right w:val="none" w:sz="0" w:space="0" w:color="auto"/>
                  </w:divBdr>
                  <w:divsChild>
                    <w:div w:id="44547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001926">
      <w:bodyDiv w:val="1"/>
      <w:marLeft w:val="0"/>
      <w:marRight w:val="0"/>
      <w:marTop w:val="0"/>
      <w:marBottom w:val="0"/>
      <w:divBdr>
        <w:top w:val="none" w:sz="0" w:space="0" w:color="auto"/>
        <w:left w:val="none" w:sz="0" w:space="0" w:color="auto"/>
        <w:bottom w:val="none" w:sz="0" w:space="0" w:color="auto"/>
        <w:right w:val="none" w:sz="0" w:space="0" w:color="auto"/>
      </w:divBdr>
    </w:div>
    <w:div w:id="1987739574">
      <w:bodyDiv w:val="1"/>
      <w:marLeft w:val="0"/>
      <w:marRight w:val="0"/>
      <w:marTop w:val="0"/>
      <w:marBottom w:val="0"/>
      <w:divBdr>
        <w:top w:val="none" w:sz="0" w:space="0" w:color="auto"/>
        <w:left w:val="none" w:sz="0" w:space="0" w:color="auto"/>
        <w:bottom w:val="none" w:sz="0" w:space="0" w:color="auto"/>
        <w:right w:val="none" w:sz="0" w:space="0" w:color="auto"/>
      </w:divBdr>
    </w:div>
    <w:div w:id="1988590544">
      <w:bodyDiv w:val="1"/>
      <w:marLeft w:val="0"/>
      <w:marRight w:val="0"/>
      <w:marTop w:val="0"/>
      <w:marBottom w:val="0"/>
      <w:divBdr>
        <w:top w:val="none" w:sz="0" w:space="0" w:color="auto"/>
        <w:left w:val="none" w:sz="0" w:space="0" w:color="auto"/>
        <w:bottom w:val="none" w:sz="0" w:space="0" w:color="auto"/>
        <w:right w:val="none" w:sz="0" w:space="0" w:color="auto"/>
      </w:divBdr>
    </w:div>
    <w:div w:id="1996566429">
      <w:bodyDiv w:val="1"/>
      <w:marLeft w:val="0"/>
      <w:marRight w:val="0"/>
      <w:marTop w:val="0"/>
      <w:marBottom w:val="0"/>
      <w:divBdr>
        <w:top w:val="none" w:sz="0" w:space="0" w:color="auto"/>
        <w:left w:val="none" w:sz="0" w:space="0" w:color="auto"/>
        <w:bottom w:val="none" w:sz="0" w:space="0" w:color="auto"/>
        <w:right w:val="none" w:sz="0" w:space="0" w:color="auto"/>
      </w:divBdr>
    </w:div>
    <w:div w:id="2006590468">
      <w:bodyDiv w:val="1"/>
      <w:marLeft w:val="0"/>
      <w:marRight w:val="0"/>
      <w:marTop w:val="0"/>
      <w:marBottom w:val="0"/>
      <w:divBdr>
        <w:top w:val="none" w:sz="0" w:space="0" w:color="auto"/>
        <w:left w:val="none" w:sz="0" w:space="0" w:color="auto"/>
        <w:bottom w:val="none" w:sz="0" w:space="0" w:color="auto"/>
        <w:right w:val="none" w:sz="0" w:space="0" w:color="auto"/>
      </w:divBdr>
    </w:div>
    <w:div w:id="2009096097">
      <w:bodyDiv w:val="1"/>
      <w:marLeft w:val="0"/>
      <w:marRight w:val="0"/>
      <w:marTop w:val="0"/>
      <w:marBottom w:val="0"/>
      <w:divBdr>
        <w:top w:val="none" w:sz="0" w:space="0" w:color="auto"/>
        <w:left w:val="none" w:sz="0" w:space="0" w:color="auto"/>
        <w:bottom w:val="none" w:sz="0" w:space="0" w:color="auto"/>
        <w:right w:val="none" w:sz="0" w:space="0" w:color="auto"/>
      </w:divBdr>
    </w:div>
    <w:div w:id="2024211295">
      <w:bodyDiv w:val="1"/>
      <w:marLeft w:val="0"/>
      <w:marRight w:val="0"/>
      <w:marTop w:val="0"/>
      <w:marBottom w:val="0"/>
      <w:divBdr>
        <w:top w:val="none" w:sz="0" w:space="0" w:color="auto"/>
        <w:left w:val="none" w:sz="0" w:space="0" w:color="auto"/>
        <w:bottom w:val="none" w:sz="0" w:space="0" w:color="auto"/>
        <w:right w:val="none" w:sz="0" w:space="0" w:color="auto"/>
      </w:divBdr>
    </w:div>
    <w:div w:id="2038197439">
      <w:bodyDiv w:val="1"/>
      <w:marLeft w:val="0"/>
      <w:marRight w:val="0"/>
      <w:marTop w:val="0"/>
      <w:marBottom w:val="0"/>
      <w:divBdr>
        <w:top w:val="none" w:sz="0" w:space="0" w:color="auto"/>
        <w:left w:val="none" w:sz="0" w:space="0" w:color="auto"/>
        <w:bottom w:val="none" w:sz="0" w:space="0" w:color="auto"/>
        <w:right w:val="none" w:sz="0" w:space="0" w:color="auto"/>
      </w:divBdr>
      <w:divsChild>
        <w:div w:id="264653585">
          <w:marLeft w:val="0"/>
          <w:marRight w:val="0"/>
          <w:marTop w:val="0"/>
          <w:marBottom w:val="0"/>
          <w:divBdr>
            <w:top w:val="none" w:sz="0" w:space="0" w:color="auto"/>
            <w:left w:val="none" w:sz="0" w:space="0" w:color="auto"/>
            <w:bottom w:val="none" w:sz="0" w:space="0" w:color="auto"/>
            <w:right w:val="none" w:sz="0" w:space="0" w:color="auto"/>
          </w:divBdr>
        </w:div>
      </w:divsChild>
    </w:div>
    <w:div w:id="2068063006">
      <w:bodyDiv w:val="1"/>
      <w:marLeft w:val="0"/>
      <w:marRight w:val="0"/>
      <w:marTop w:val="0"/>
      <w:marBottom w:val="0"/>
      <w:divBdr>
        <w:top w:val="none" w:sz="0" w:space="0" w:color="auto"/>
        <w:left w:val="none" w:sz="0" w:space="0" w:color="auto"/>
        <w:bottom w:val="none" w:sz="0" w:space="0" w:color="auto"/>
        <w:right w:val="none" w:sz="0" w:space="0" w:color="auto"/>
      </w:divBdr>
    </w:div>
    <w:div w:id="2080320735">
      <w:bodyDiv w:val="1"/>
      <w:marLeft w:val="0"/>
      <w:marRight w:val="0"/>
      <w:marTop w:val="0"/>
      <w:marBottom w:val="0"/>
      <w:divBdr>
        <w:top w:val="none" w:sz="0" w:space="0" w:color="auto"/>
        <w:left w:val="none" w:sz="0" w:space="0" w:color="auto"/>
        <w:bottom w:val="none" w:sz="0" w:space="0" w:color="auto"/>
        <w:right w:val="none" w:sz="0" w:space="0" w:color="auto"/>
      </w:divBdr>
    </w:div>
    <w:div w:id="2081832228">
      <w:bodyDiv w:val="1"/>
      <w:marLeft w:val="0"/>
      <w:marRight w:val="0"/>
      <w:marTop w:val="0"/>
      <w:marBottom w:val="0"/>
      <w:divBdr>
        <w:top w:val="none" w:sz="0" w:space="0" w:color="auto"/>
        <w:left w:val="none" w:sz="0" w:space="0" w:color="auto"/>
        <w:bottom w:val="none" w:sz="0" w:space="0" w:color="auto"/>
        <w:right w:val="none" w:sz="0" w:space="0" w:color="auto"/>
      </w:divBdr>
    </w:div>
    <w:div w:id="2087217156">
      <w:bodyDiv w:val="1"/>
      <w:marLeft w:val="0"/>
      <w:marRight w:val="0"/>
      <w:marTop w:val="0"/>
      <w:marBottom w:val="0"/>
      <w:divBdr>
        <w:top w:val="none" w:sz="0" w:space="0" w:color="auto"/>
        <w:left w:val="none" w:sz="0" w:space="0" w:color="auto"/>
        <w:bottom w:val="none" w:sz="0" w:space="0" w:color="auto"/>
        <w:right w:val="none" w:sz="0" w:space="0" w:color="auto"/>
      </w:divBdr>
    </w:div>
    <w:div w:id="2106921351">
      <w:bodyDiv w:val="1"/>
      <w:marLeft w:val="0"/>
      <w:marRight w:val="0"/>
      <w:marTop w:val="0"/>
      <w:marBottom w:val="0"/>
      <w:divBdr>
        <w:top w:val="none" w:sz="0" w:space="0" w:color="auto"/>
        <w:left w:val="none" w:sz="0" w:space="0" w:color="auto"/>
        <w:bottom w:val="none" w:sz="0" w:space="0" w:color="auto"/>
        <w:right w:val="none" w:sz="0" w:space="0" w:color="auto"/>
      </w:divBdr>
    </w:div>
    <w:div w:id="2121874897">
      <w:bodyDiv w:val="1"/>
      <w:marLeft w:val="0"/>
      <w:marRight w:val="0"/>
      <w:marTop w:val="0"/>
      <w:marBottom w:val="0"/>
      <w:divBdr>
        <w:top w:val="none" w:sz="0" w:space="0" w:color="auto"/>
        <w:left w:val="none" w:sz="0" w:space="0" w:color="auto"/>
        <w:bottom w:val="none" w:sz="0" w:space="0" w:color="auto"/>
        <w:right w:val="none" w:sz="0" w:space="0" w:color="auto"/>
      </w:divBdr>
    </w:div>
    <w:div w:id="2142842665">
      <w:bodyDiv w:val="1"/>
      <w:marLeft w:val="0"/>
      <w:marRight w:val="0"/>
      <w:marTop w:val="0"/>
      <w:marBottom w:val="0"/>
      <w:divBdr>
        <w:top w:val="none" w:sz="0" w:space="0" w:color="auto"/>
        <w:left w:val="none" w:sz="0" w:space="0" w:color="auto"/>
        <w:bottom w:val="none" w:sz="0" w:space="0" w:color="auto"/>
        <w:right w:val="none" w:sz="0" w:space="0" w:color="auto"/>
      </w:divBdr>
    </w:div>
    <w:div w:id="2145585047">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117" Type="http://schemas.openxmlformats.org/officeDocument/2006/relationships/image" Target="media/image88.png"/><Relationship Id="rId21" Type="http://schemas.openxmlformats.org/officeDocument/2006/relationships/image" Target="cid:image002.jpg@01D57922.BF32BCC0" TargetMode="External"/><Relationship Id="rId42" Type="http://schemas.openxmlformats.org/officeDocument/2006/relationships/image" Target="media/image14.png"/><Relationship Id="rId47" Type="http://schemas.openxmlformats.org/officeDocument/2006/relationships/image" Target="media/image19.pn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6.png"/><Relationship Id="rId89" Type="http://schemas.openxmlformats.org/officeDocument/2006/relationships/image" Target="media/image61.png"/><Relationship Id="rId112" Type="http://schemas.openxmlformats.org/officeDocument/2006/relationships/image" Target="media/image83.png"/><Relationship Id="rId133" Type="http://schemas.openxmlformats.org/officeDocument/2006/relationships/image" Target="media/image104.png"/><Relationship Id="rId138" Type="http://schemas.openxmlformats.org/officeDocument/2006/relationships/image" Target="media/image109.png"/><Relationship Id="rId154" Type="http://schemas.openxmlformats.org/officeDocument/2006/relationships/image" Target="media/image125.png"/><Relationship Id="rId159" Type="http://schemas.openxmlformats.org/officeDocument/2006/relationships/image" Target="media/image130.png"/><Relationship Id="rId175" Type="http://schemas.openxmlformats.org/officeDocument/2006/relationships/image" Target="media/image146.png"/><Relationship Id="rId170" Type="http://schemas.openxmlformats.org/officeDocument/2006/relationships/image" Target="media/image141.png"/><Relationship Id="rId16" Type="http://schemas.openxmlformats.org/officeDocument/2006/relationships/header" Target="header3.xml"/><Relationship Id="rId107" Type="http://schemas.openxmlformats.org/officeDocument/2006/relationships/image" Target="media/image78.png"/><Relationship Id="rId11" Type="http://schemas.openxmlformats.org/officeDocument/2006/relationships/image" Target="media/image1.jpg"/><Relationship Id="rId32" Type="http://schemas.openxmlformats.org/officeDocument/2006/relationships/image" Target="media/image4.png"/><Relationship Id="rId37" Type="http://schemas.openxmlformats.org/officeDocument/2006/relationships/image" Target="media/image9.png"/><Relationship Id="rId53" Type="http://schemas.openxmlformats.org/officeDocument/2006/relationships/image" Target="media/image25.png"/><Relationship Id="rId58" Type="http://schemas.openxmlformats.org/officeDocument/2006/relationships/image" Target="media/image30.png"/><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image" Target="media/image73.png"/><Relationship Id="rId123" Type="http://schemas.openxmlformats.org/officeDocument/2006/relationships/image" Target="media/image94.png"/><Relationship Id="rId128" Type="http://schemas.openxmlformats.org/officeDocument/2006/relationships/image" Target="media/image99.png"/><Relationship Id="rId144" Type="http://schemas.openxmlformats.org/officeDocument/2006/relationships/image" Target="media/image115.emf"/><Relationship Id="rId149" Type="http://schemas.openxmlformats.org/officeDocument/2006/relationships/image" Target="media/image120.jpg"/><Relationship Id="rId5" Type="http://schemas.openxmlformats.org/officeDocument/2006/relationships/numbering" Target="numbering.xml"/><Relationship Id="rId90" Type="http://schemas.openxmlformats.org/officeDocument/2006/relationships/hyperlink" Target="https://www.education.vic.gov.au/about/research/Pages/vcamsindicator.aspx" TargetMode="External"/><Relationship Id="rId95" Type="http://schemas.openxmlformats.org/officeDocument/2006/relationships/image" Target="media/image66.png"/><Relationship Id="rId160" Type="http://schemas.openxmlformats.org/officeDocument/2006/relationships/image" Target="media/image131.png"/><Relationship Id="rId165" Type="http://schemas.openxmlformats.org/officeDocument/2006/relationships/image" Target="media/image136.png"/><Relationship Id="rId181" Type="http://schemas.openxmlformats.org/officeDocument/2006/relationships/image" Target="media/image152.png"/><Relationship Id="rId186" Type="http://schemas.openxmlformats.org/officeDocument/2006/relationships/image" Target="media/image156.png"/><Relationship Id="rId22" Type="http://schemas.openxmlformats.org/officeDocument/2006/relationships/hyperlink" Target="https://www.health.vic.gov.au/health-strategies/cancer-care" TargetMode="External"/><Relationship Id="rId27" Type="http://schemas.openxmlformats.org/officeDocument/2006/relationships/header" Target="header5.xml"/><Relationship Id="rId43" Type="http://schemas.openxmlformats.org/officeDocument/2006/relationships/image" Target="media/image15.png"/><Relationship Id="rId48" Type="http://schemas.openxmlformats.org/officeDocument/2006/relationships/image" Target="media/image20.png"/><Relationship Id="rId64" Type="http://schemas.openxmlformats.org/officeDocument/2006/relationships/image" Target="media/image36.png"/><Relationship Id="rId69" Type="http://schemas.openxmlformats.org/officeDocument/2006/relationships/image" Target="media/image41.png"/><Relationship Id="rId113" Type="http://schemas.openxmlformats.org/officeDocument/2006/relationships/image" Target="media/image84.png"/><Relationship Id="rId118" Type="http://schemas.openxmlformats.org/officeDocument/2006/relationships/image" Target="media/image89.png"/><Relationship Id="rId134" Type="http://schemas.openxmlformats.org/officeDocument/2006/relationships/image" Target="media/image105.png"/><Relationship Id="rId139" Type="http://schemas.openxmlformats.org/officeDocument/2006/relationships/image" Target="media/image110.png"/><Relationship Id="rId80" Type="http://schemas.openxmlformats.org/officeDocument/2006/relationships/image" Target="media/image52.png"/><Relationship Id="rId85" Type="http://schemas.openxmlformats.org/officeDocument/2006/relationships/image" Target="media/image57.png"/><Relationship Id="rId150" Type="http://schemas.openxmlformats.org/officeDocument/2006/relationships/image" Target="media/image121.png"/><Relationship Id="rId155" Type="http://schemas.openxmlformats.org/officeDocument/2006/relationships/image" Target="media/image126.png"/><Relationship Id="rId171" Type="http://schemas.openxmlformats.org/officeDocument/2006/relationships/image" Target="media/image142.png"/><Relationship Id="rId176" Type="http://schemas.openxmlformats.org/officeDocument/2006/relationships/image" Target="media/image147.png"/><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5.png"/><Relationship Id="rId38" Type="http://schemas.openxmlformats.org/officeDocument/2006/relationships/image" Target="media/image10.png"/><Relationship Id="rId59" Type="http://schemas.openxmlformats.org/officeDocument/2006/relationships/image" Target="media/image31.png"/><Relationship Id="rId103" Type="http://schemas.openxmlformats.org/officeDocument/2006/relationships/image" Target="media/image74.png"/><Relationship Id="rId108" Type="http://schemas.openxmlformats.org/officeDocument/2006/relationships/image" Target="media/image79.png"/><Relationship Id="rId124" Type="http://schemas.openxmlformats.org/officeDocument/2006/relationships/image" Target="media/image95.png"/><Relationship Id="rId129" Type="http://schemas.openxmlformats.org/officeDocument/2006/relationships/image" Target="media/image100.png"/><Relationship Id="rId54" Type="http://schemas.openxmlformats.org/officeDocument/2006/relationships/image" Target="media/image26.png"/><Relationship Id="rId70" Type="http://schemas.openxmlformats.org/officeDocument/2006/relationships/image" Target="media/image42.png"/><Relationship Id="rId75" Type="http://schemas.openxmlformats.org/officeDocument/2006/relationships/image" Target="media/image47.png"/><Relationship Id="rId91" Type="http://schemas.openxmlformats.org/officeDocument/2006/relationships/image" Target="media/image62.png"/><Relationship Id="rId96" Type="http://schemas.openxmlformats.org/officeDocument/2006/relationships/image" Target="media/image67.png"/><Relationship Id="rId140" Type="http://schemas.openxmlformats.org/officeDocument/2006/relationships/image" Target="media/image111.png"/><Relationship Id="rId145" Type="http://schemas.openxmlformats.org/officeDocument/2006/relationships/image" Target="media/image116.emf"/><Relationship Id="rId161" Type="http://schemas.openxmlformats.org/officeDocument/2006/relationships/image" Target="media/image132.png"/><Relationship Id="rId166" Type="http://schemas.openxmlformats.org/officeDocument/2006/relationships/image" Target="media/image137.png"/><Relationship Id="rId182" Type="http://schemas.openxmlformats.org/officeDocument/2006/relationships/image" Target="media/image153.png"/><Relationship Id="rId187" Type="http://schemas.openxmlformats.org/officeDocument/2006/relationships/hyperlink" Target="https://www.abs.gov.au/about/key-priorities/ihmhs"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3.png"/><Relationship Id="rId28" Type="http://schemas.openxmlformats.org/officeDocument/2006/relationships/footer" Target="footer4.xml"/><Relationship Id="rId49" Type="http://schemas.openxmlformats.org/officeDocument/2006/relationships/image" Target="media/image21.png"/><Relationship Id="rId114" Type="http://schemas.openxmlformats.org/officeDocument/2006/relationships/image" Target="media/image85.png"/><Relationship Id="rId119" Type="http://schemas.openxmlformats.org/officeDocument/2006/relationships/image" Target="media/image90.png"/><Relationship Id="rId44" Type="http://schemas.openxmlformats.org/officeDocument/2006/relationships/image" Target="media/image16.png"/><Relationship Id="rId60" Type="http://schemas.openxmlformats.org/officeDocument/2006/relationships/image" Target="media/image32.png"/><Relationship Id="rId65" Type="http://schemas.openxmlformats.org/officeDocument/2006/relationships/image" Target="media/image37.png"/><Relationship Id="rId81" Type="http://schemas.openxmlformats.org/officeDocument/2006/relationships/image" Target="media/image53.png"/><Relationship Id="rId86" Type="http://schemas.openxmlformats.org/officeDocument/2006/relationships/image" Target="media/image58.png"/><Relationship Id="rId130" Type="http://schemas.openxmlformats.org/officeDocument/2006/relationships/image" Target="media/image101.png"/><Relationship Id="rId135" Type="http://schemas.openxmlformats.org/officeDocument/2006/relationships/image" Target="media/image106.png"/><Relationship Id="rId151" Type="http://schemas.openxmlformats.org/officeDocument/2006/relationships/image" Target="media/image122.png"/><Relationship Id="rId156" Type="http://schemas.openxmlformats.org/officeDocument/2006/relationships/image" Target="media/image127.png"/><Relationship Id="rId177" Type="http://schemas.openxmlformats.org/officeDocument/2006/relationships/image" Target="media/image148.png"/><Relationship Id="rId172" Type="http://schemas.openxmlformats.org/officeDocument/2006/relationships/image" Target="media/image143.png"/><Relationship Id="rId13" Type="http://schemas.openxmlformats.org/officeDocument/2006/relationships/header" Target="header2.xml"/><Relationship Id="rId18" Type="http://schemas.openxmlformats.org/officeDocument/2006/relationships/hyperlink" Target="mailto:cancerplanning@health.vic.gov.au" TargetMode="External"/><Relationship Id="rId39" Type="http://schemas.openxmlformats.org/officeDocument/2006/relationships/image" Target="media/image11.png"/><Relationship Id="rId109" Type="http://schemas.openxmlformats.org/officeDocument/2006/relationships/image" Target="media/image80.png"/><Relationship Id="rId34" Type="http://schemas.openxmlformats.org/officeDocument/2006/relationships/image" Target="media/image6.png"/><Relationship Id="rId50" Type="http://schemas.openxmlformats.org/officeDocument/2006/relationships/image" Target="media/image22.png"/><Relationship Id="rId55" Type="http://schemas.openxmlformats.org/officeDocument/2006/relationships/image" Target="media/image27.png"/><Relationship Id="rId76" Type="http://schemas.openxmlformats.org/officeDocument/2006/relationships/image" Target="media/image48.png"/><Relationship Id="rId97" Type="http://schemas.openxmlformats.org/officeDocument/2006/relationships/image" Target="media/image68.png"/><Relationship Id="rId104" Type="http://schemas.openxmlformats.org/officeDocument/2006/relationships/image" Target="media/image75.png"/><Relationship Id="rId120" Type="http://schemas.openxmlformats.org/officeDocument/2006/relationships/image" Target="media/image91.png"/><Relationship Id="rId125" Type="http://schemas.openxmlformats.org/officeDocument/2006/relationships/image" Target="media/image96.png"/><Relationship Id="rId141" Type="http://schemas.openxmlformats.org/officeDocument/2006/relationships/image" Target="media/image112.jpg"/><Relationship Id="rId146" Type="http://schemas.openxmlformats.org/officeDocument/2006/relationships/image" Target="media/image117.png"/><Relationship Id="rId167" Type="http://schemas.openxmlformats.org/officeDocument/2006/relationships/image" Target="media/image138.png"/><Relationship Id="rId188"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43.png"/><Relationship Id="rId92" Type="http://schemas.openxmlformats.org/officeDocument/2006/relationships/image" Target="media/image63.png"/><Relationship Id="rId162" Type="http://schemas.openxmlformats.org/officeDocument/2006/relationships/image" Target="media/image133.png"/><Relationship Id="rId183" Type="http://schemas.openxmlformats.org/officeDocument/2006/relationships/image" Target="media/image154.png"/><Relationship Id="rId2" Type="http://schemas.openxmlformats.org/officeDocument/2006/relationships/customXml" Target="../customXml/item2.xml"/><Relationship Id="rId29" Type="http://schemas.openxmlformats.org/officeDocument/2006/relationships/footer" Target="footer5.xml"/><Relationship Id="rId24" Type="http://schemas.openxmlformats.org/officeDocument/2006/relationships/hyperlink" Target="https://www.health.vic.gov.au/health-strategies/victorian-cancer-plan" TargetMode="External"/><Relationship Id="rId40" Type="http://schemas.openxmlformats.org/officeDocument/2006/relationships/image" Target="media/image12.png"/><Relationship Id="rId45" Type="http://schemas.openxmlformats.org/officeDocument/2006/relationships/image" Target="media/image17.png"/><Relationship Id="rId66" Type="http://schemas.openxmlformats.org/officeDocument/2006/relationships/image" Target="media/image38.png"/><Relationship Id="rId87" Type="http://schemas.openxmlformats.org/officeDocument/2006/relationships/image" Target="media/image59.png"/><Relationship Id="rId110" Type="http://schemas.openxmlformats.org/officeDocument/2006/relationships/image" Target="media/image81.png"/><Relationship Id="rId115" Type="http://schemas.openxmlformats.org/officeDocument/2006/relationships/image" Target="media/image86.png"/><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image" Target="media/image128.png"/><Relationship Id="rId178" Type="http://schemas.openxmlformats.org/officeDocument/2006/relationships/image" Target="media/image149.png"/><Relationship Id="rId61" Type="http://schemas.openxmlformats.org/officeDocument/2006/relationships/image" Target="media/image33.png"/><Relationship Id="rId82" Type="http://schemas.openxmlformats.org/officeDocument/2006/relationships/image" Target="media/image54.png"/><Relationship Id="rId152" Type="http://schemas.openxmlformats.org/officeDocument/2006/relationships/image" Target="media/image123.png"/><Relationship Id="rId173" Type="http://schemas.openxmlformats.org/officeDocument/2006/relationships/image" Target="media/image144.png"/><Relationship Id="rId19" Type="http://schemas.openxmlformats.org/officeDocument/2006/relationships/hyperlink" Target="https://commons.wikimedia.org/wiki/File:Nordpfeil.png" TargetMode="External"/><Relationship Id="rId14" Type="http://schemas.openxmlformats.org/officeDocument/2006/relationships/footer" Target="footer1.xml"/><Relationship Id="rId30" Type="http://schemas.openxmlformats.org/officeDocument/2006/relationships/header" Target="header6.xml"/><Relationship Id="rId35" Type="http://schemas.openxmlformats.org/officeDocument/2006/relationships/image" Target="media/image7.png"/><Relationship Id="rId56" Type="http://schemas.openxmlformats.org/officeDocument/2006/relationships/image" Target="media/image28.png"/><Relationship Id="rId77" Type="http://schemas.openxmlformats.org/officeDocument/2006/relationships/image" Target="media/image49.png"/><Relationship Id="rId100" Type="http://schemas.openxmlformats.org/officeDocument/2006/relationships/image" Target="media/image71.png"/><Relationship Id="rId105" Type="http://schemas.openxmlformats.org/officeDocument/2006/relationships/image" Target="media/image76.png"/><Relationship Id="rId126" Type="http://schemas.openxmlformats.org/officeDocument/2006/relationships/image" Target="media/image97.png"/><Relationship Id="rId147" Type="http://schemas.openxmlformats.org/officeDocument/2006/relationships/image" Target="media/image118.jpg"/><Relationship Id="rId168" Type="http://schemas.openxmlformats.org/officeDocument/2006/relationships/image" Target="media/image139.png"/><Relationship Id="rId8" Type="http://schemas.openxmlformats.org/officeDocument/2006/relationships/webSettings" Target="webSettings.xml"/><Relationship Id="rId51" Type="http://schemas.openxmlformats.org/officeDocument/2006/relationships/image" Target="media/image23.png"/><Relationship Id="rId72" Type="http://schemas.openxmlformats.org/officeDocument/2006/relationships/image" Target="media/image44.png"/><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image" Target="media/image92.png"/><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hyperlink" Target="https://www.tga.gov.au/community-qa/electronic-cigarettes" TargetMode="External"/><Relationship Id="rId189"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hyperlink" Target="https://www.health.vic.gov.au/health-strategies/victorian-cancer-plan" TargetMode="External"/><Relationship Id="rId46" Type="http://schemas.openxmlformats.org/officeDocument/2006/relationships/image" Target="media/image18.png"/><Relationship Id="rId67" Type="http://schemas.openxmlformats.org/officeDocument/2006/relationships/image" Target="media/image39.png"/><Relationship Id="rId116" Type="http://schemas.openxmlformats.org/officeDocument/2006/relationships/image" Target="media/image87.png"/><Relationship Id="rId137" Type="http://schemas.openxmlformats.org/officeDocument/2006/relationships/image" Target="media/image108.png"/><Relationship Id="rId158" Type="http://schemas.openxmlformats.org/officeDocument/2006/relationships/image" Target="media/image129.png"/><Relationship Id="rId20" Type="http://schemas.openxmlformats.org/officeDocument/2006/relationships/image" Target="media/image2.jpeg"/><Relationship Id="rId41" Type="http://schemas.openxmlformats.org/officeDocument/2006/relationships/image" Target="media/image13.png"/><Relationship Id="rId62" Type="http://schemas.openxmlformats.org/officeDocument/2006/relationships/image" Target="media/image34.pn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82.png"/><Relationship Id="rId132" Type="http://schemas.openxmlformats.org/officeDocument/2006/relationships/image" Target="media/image103.png"/><Relationship Id="rId153" Type="http://schemas.openxmlformats.org/officeDocument/2006/relationships/image" Target="media/image124.png"/><Relationship Id="rId174" Type="http://schemas.openxmlformats.org/officeDocument/2006/relationships/image" Target="media/image145.png"/><Relationship Id="rId179" Type="http://schemas.openxmlformats.org/officeDocument/2006/relationships/image" Target="media/image150.png"/><Relationship Id="rId15" Type="http://schemas.openxmlformats.org/officeDocument/2006/relationships/footer" Target="footer2.xml"/><Relationship Id="rId36" Type="http://schemas.openxmlformats.org/officeDocument/2006/relationships/image" Target="media/image8.png"/><Relationship Id="rId57" Type="http://schemas.openxmlformats.org/officeDocument/2006/relationships/image" Target="media/image29.png"/><Relationship Id="rId106" Type="http://schemas.openxmlformats.org/officeDocument/2006/relationships/image" Target="media/image77.png"/><Relationship Id="rId127" Type="http://schemas.openxmlformats.org/officeDocument/2006/relationships/image" Target="media/image98.png"/><Relationship Id="rId10" Type="http://schemas.openxmlformats.org/officeDocument/2006/relationships/endnotes" Target="endnotes.xml"/><Relationship Id="rId31" Type="http://schemas.openxmlformats.org/officeDocument/2006/relationships/footer" Target="footer6.xml"/><Relationship Id="rId52" Type="http://schemas.openxmlformats.org/officeDocument/2006/relationships/image" Target="media/image24.png"/><Relationship Id="rId73" Type="http://schemas.openxmlformats.org/officeDocument/2006/relationships/image" Target="media/image45.png"/><Relationship Id="rId78" Type="http://schemas.openxmlformats.org/officeDocument/2006/relationships/image" Target="media/image50.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3.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png"/><Relationship Id="rId169" Type="http://schemas.openxmlformats.org/officeDocument/2006/relationships/image" Target="media/image140.png"/><Relationship Id="rId185" Type="http://schemas.openxmlformats.org/officeDocument/2006/relationships/image" Target="media/image15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1.png"/></Relationships>
</file>

<file path=word/_rels/footnotes.xml.rels><?xml version="1.0" encoding="UTF-8" standalone="yes"?>
<Relationships xmlns="http://schemas.openxmlformats.org/package/2006/relationships"><Relationship Id="rId8" Type="http://schemas.openxmlformats.org/officeDocument/2006/relationships/hyperlink" Target="https://www.aihw.gov.au/reports/australias-health/overweight-and-obesity" TargetMode="External"/><Relationship Id="rId13" Type="http://schemas.openxmlformats.org/officeDocument/2006/relationships/hyperlink" Target="https://www.ovariancancer.net.au/page/67/about-ovarian-canceration" TargetMode="External"/><Relationship Id="rId18" Type="http://schemas.openxmlformats.org/officeDocument/2006/relationships/hyperlink" Target="https://www.canceraustralia.gov.au/cancer-types/stomach-cancer/statistics" TargetMode="External"/><Relationship Id="rId26" Type="http://schemas.openxmlformats.org/officeDocument/2006/relationships/hyperlink" Target="https://ncci.canceraustralia.gov.au/features/national-cancer-stage-diagnosis-data" TargetMode="External"/><Relationship Id="rId3" Type="http://schemas.openxmlformats.org/officeDocument/2006/relationships/hyperlink" Target="https://www.wcrf.org/cancer-trends/skin-cancer-statistics/" TargetMode="External"/><Relationship Id="rId21" Type="http://schemas.openxmlformats.org/officeDocument/2006/relationships/hyperlink" Target="https://ncci.canceraustralia.gov.au/outcomes/relative-survival-rate/5-year-relative-survival-diagnosis" TargetMode="External"/><Relationship Id="rId7" Type="http://schemas.openxmlformats.org/officeDocument/2006/relationships/hyperlink" Target="https://www.cancervic.org.au/research/vcr/cancer-fact-sheets/liver-cancer.html" TargetMode="External"/><Relationship Id="rId12" Type="http://schemas.openxmlformats.org/officeDocument/2006/relationships/hyperlink" Target="http://www.pancreaticcancer.net.au/patients-pancreatic-cancer/statistics" TargetMode="External"/><Relationship Id="rId17" Type="http://schemas.openxmlformats.org/officeDocument/2006/relationships/hyperlink" Target="https://www.curebraincancer.org.au/page/8/facts-stats" TargetMode="External"/><Relationship Id="rId25" Type="http://schemas.openxmlformats.org/officeDocument/2006/relationships/hyperlink" Target="https://ncci.canceraustralia.gov.au/features/national-cancer-stage-diagnosis-data" TargetMode="External"/><Relationship Id="rId2" Type="http://schemas.openxmlformats.org/officeDocument/2006/relationships/hyperlink" Target="https://www.cancer.org.au/about-cancer/types-of-cancer/skin-cancer/melanoma.html" TargetMode="External"/><Relationship Id="rId16" Type="http://schemas.openxmlformats.org/officeDocument/2006/relationships/hyperlink" Target="https://www.cancer.org.au/about-cancer/types-of-cancer/brain-cancer.html" TargetMode="External"/><Relationship Id="rId20" Type="http://schemas.openxmlformats.org/officeDocument/2006/relationships/hyperlink" Target="https://www.aihw.gov.au/getmedia/7c42913d-295f-4bc9-9c24-4e44eff4a04a/aihw-aus-221.pdf.aspx?inline=true" TargetMode="External"/><Relationship Id="rId29" Type="http://schemas.openxmlformats.org/officeDocument/2006/relationships/hyperlink" Target="https://www.breastscreen.org.au/about-us/publications/annual-reports/2021-2022-annual-report" TargetMode="External"/><Relationship Id="rId1" Type="http://schemas.openxmlformats.org/officeDocument/2006/relationships/hyperlink" Target="http://www.msac.gov.au/internet/msac/publishing.nsf/Content/1699-public" TargetMode="External"/><Relationship Id="rId6" Type="http://schemas.openxmlformats.org/officeDocument/2006/relationships/hyperlink" Target="https://www.canceraustralia.gov.au/cancer-types/liver-cancer/statistics" TargetMode="External"/><Relationship Id="rId11" Type="http://schemas.openxmlformats.org/officeDocument/2006/relationships/hyperlink" Target="https://www.canceraustralia.gov.au/cancer-types/lung-cancer/statistics" TargetMode="External"/><Relationship Id="rId24" Type="http://schemas.openxmlformats.org/officeDocument/2006/relationships/hyperlink" Target="https://ncci.canceraustralia.gov.au/outcomes/relative-survival-rate/5-year-relative-survival-diagnosis" TargetMode="External"/><Relationship Id="rId5" Type="http://schemas.openxmlformats.org/officeDocument/2006/relationships/hyperlink" Target="https://cervical-cancer.canceraustralia.gov.au/statistics" TargetMode="External"/><Relationship Id="rId15" Type="http://schemas.openxmlformats.org/officeDocument/2006/relationships/hyperlink" Target="https://ncci.canceraustralia.gov.au/outcomes/relative-survival-rate/relative-survival-stage-diagnosis-colorectal-cancer" TargetMode="External"/><Relationship Id="rId23" Type="http://schemas.openxmlformats.org/officeDocument/2006/relationships/hyperlink" Target="https://www.aihw.gov.au/reports/cancer/cancer-data-in-australia/contents/about" TargetMode="External"/><Relationship Id="rId28" Type="http://schemas.openxmlformats.org/officeDocument/2006/relationships/hyperlink" Target="https://www.cancervic.org.au/about/publications/newsletters/information-support-news-health-professionals/changes-to-advance-care-directives.html" TargetMode="External"/><Relationship Id="rId10" Type="http://schemas.openxmlformats.org/officeDocument/2006/relationships/hyperlink" Target="http://www.msac.gov.au/internet/msac/publishing.nsf/Content/C77B956C49CD6841CA25876D000392DF/$File/1699%20Final%20PSD_Jul2022.pdf" TargetMode="External"/><Relationship Id="rId19" Type="http://schemas.openxmlformats.org/officeDocument/2006/relationships/hyperlink" Target="https://www.leukaemia.org.au/blood-cancer-information/types-of-blood-cancer/leukaemia/acute-myeloid-leukemia/" TargetMode="External"/><Relationship Id="rId4" Type="http://schemas.openxmlformats.org/officeDocument/2006/relationships/hyperlink" Target="https://www.canceraustralia.gov.au/cancer-types/melanoma/statistics" TargetMode="External"/><Relationship Id="rId9" Type="http://schemas.openxmlformats.org/officeDocument/2006/relationships/hyperlink" Target="https://www.aihw.gov.au/getmedia/7c42913d-295f-4bc9-9c24-4e44eff4a04a/aihw-aus-221.pdf.aspx?inline=true" TargetMode="External"/><Relationship Id="rId14" Type="http://schemas.openxmlformats.org/officeDocument/2006/relationships/hyperlink" Target="https://www.canceraustralia.gov.au/cancer-types/ovarian-cancer/statistics" TargetMode="External"/><Relationship Id="rId22" Type="http://schemas.openxmlformats.org/officeDocument/2006/relationships/hyperlink" Target="https://www.aihw.gov.au/reports/cancer/cancer-data-in-australia/contents/about" TargetMode="External"/><Relationship Id="rId27" Type="http://schemas.openxmlformats.org/officeDocument/2006/relationships/hyperlink" Target="https://www.cancervic.org.au/cancer-information/children-teens-and-young-adults" TargetMode="External"/></Relationships>
</file>

<file path=word/theme/theme1.xml><?xml version="1.0" encoding="utf-8"?>
<a:theme xmlns:a="http://schemas.openxmlformats.org/drawingml/2006/main" name="Office Them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RequestDocument" ma:contentTypeID="0x010100A5FD4705EF695745935DCFF362D96FD900DF8538E20725164D82A104E09F6F1C51" ma:contentTypeVersion="46" ma:contentTypeDescription="" ma:contentTypeScope="" ma:versionID="3b133b178602d4244055ec7338844a55">
  <xsd:schema xmlns:xsd="http://www.w3.org/2001/XMLSchema" xmlns:xs="http://www.w3.org/2001/XMLSchema" xmlns:p="http://schemas.microsoft.com/office/2006/metadata/properties" xmlns:ns1="http://schemas.microsoft.com/sharepoint/v3" xmlns:ns2="59098f23-3ca6-4eec-8c4e-6f77ceae2d9e" xmlns:ns3="131e7afd-8cb4-4255-a884-cbcde2747e4c" xmlns:ns4="9bb0acc9-d7bd-4cdf-ad2b-ac1699117d04" xmlns:ns5="4e6cfa50-9814-4036-b2f8-54bb7ef1e7f8" xmlns:ns6="http://schemas.microsoft.com/sharepoint/v4" xmlns:ns7="5ce0f2b5-5be5-4508-bce9-d7011ece0659" targetNamespace="http://schemas.microsoft.com/office/2006/metadata/properties" ma:root="true" ma:fieldsID="6747a119cc4725d16cff9c5ac0325b8a" ns1:_="" ns2:_="" ns3:_="" ns4:_="" ns5:_="" ns6:_="" ns7:_="">
    <xsd:import namespace="http://schemas.microsoft.com/sharepoint/v3"/>
    <xsd:import namespace="59098f23-3ca6-4eec-8c4e-6f77ceae2d9e"/>
    <xsd:import namespace="131e7afd-8cb4-4255-a884-cbcde2747e4c"/>
    <xsd:import namespace="9bb0acc9-d7bd-4cdf-ad2b-ac1699117d04"/>
    <xsd:import namespace="4e6cfa50-9814-4036-b2f8-54bb7ef1e7f8"/>
    <xsd:import namespace="http://schemas.microsoft.com/sharepoint/v4"/>
    <xsd:import namespace="5ce0f2b5-5be5-4508-bce9-d7011ece0659"/>
    <xsd:element name="properties">
      <xsd:complexType>
        <xsd:sequence>
          <xsd:element name="documentManagement">
            <xsd:complexType>
              <xsd:all>
                <xsd:element ref="ns2:CBSFileName" minOccurs="0"/>
                <xsd:element ref="ns2:CBSStatus" minOccurs="0"/>
                <xsd:element ref="ns2:CBSDocComments" minOccurs="0"/>
                <xsd:element ref="ns2:CBSDueBy" minOccurs="0"/>
                <xsd:element ref="ns2:CBSReviewersContributors" minOccurs="0"/>
                <xsd:element ref="ns2:CBSDocType" minOccurs="0"/>
                <xsd:element ref="ns2:SendEmailToAuthors" minOccurs="0"/>
                <xsd:element ref="ns3:RequestID" minOccurs="0"/>
                <xsd:element ref="ns4:Update_x0020_File_x0020_Name_x0020_Briefing" minOccurs="0"/>
                <xsd:element ref="ns5:RecordStatus"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2:SharedWithUsers" minOccurs="0"/>
                <xsd:element ref="ns2:SharedWithDetails" minOccurs="0"/>
                <xsd:element ref="ns4:MediaServiceDateTaken" minOccurs="0"/>
                <xsd:element ref="ns4:MediaLengthInSeconds" minOccurs="0"/>
                <xsd:element ref="ns4:MediaServiceLocation" minOccurs="0"/>
                <xsd:element ref="ns6:IconOverlay" minOccurs="0"/>
                <xsd:element ref="ns1:_vti_ItemDeclaredRecord" minOccurs="0"/>
                <xsd:element ref="ns1:_vti_ItemHoldRecordStatus" minOccurs="0"/>
                <xsd:element ref="ns7:TaxCatchAll" minOccurs="0"/>
                <xsd:element ref="ns4:MediaServiceMetadata" minOccurs="0"/>
                <xsd:element ref="ns4:MediaServiceObjectDetectorVersion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vti_ItemDeclaredRecord" ma:index="31" nillable="true" ma:displayName="Declared Record" ma:hidden="true" ma:internalName="_vti_ItemDeclaredRecord" ma:readOnly="true">
      <xsd:simpleType>
        <xsd:restriction base="dms:DateTime"/>
      </xsd:simpleType>
    </xsd:element>
    <xsd:element name="_vti_ItemHoldRecordStatus" ma:index="32" nillable="true" ma:displayName="Hold and Record Status" ma:decimals="0" ma:description="" ma:hidden="true" ma:indexed="true" ma:internalName="_vti_ItemHoldRecordStatu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9098f23-3ca6-4eec-8c4e-6f77ceae2d9e" elementFormDefault="qualified">
    <xsd:import namespace="http://schemas.microsoft.com/office/2006/documentManagement/types"/>
    <xsd:import namespace="http://schemas.microsoft.com/office/infopath/2007/PartnerControls"/>
    <xsd:element name="CBSFileName" ma:index="1" nillable="true" ma:displayName="File Name" ma:internalName="CBSFileName" ma:readOnly="false">
      <xsd:simpleType>
        <xsd:restriction base="dms:Text">
          <xsd:maxLength value="255"/>
        </xsd:restriction>
      </xsd:simpleType>
    </xsd:element>
    <xsd:element name="CBSStatus" ma:index="2" nillable="true" ma:displayName="Doc Status" ma:default="Draft" ma:format="Dropdown" ma:internalName="CBSStatus" ma:readOnly="false">
      <xsd:simpleType>
        <xsd:restriction base="dms:Choice">
          <xsd:enumeration value="Draft"/>
          <xsd:enumeration value="Finalised"/>
          <xsd:enumeration value="Not required"/>
        </xsd:restriction>
      </xsd:simpleType>
    </xsd:element>
    <xsd:element name="CBSDocComments" ma:index="3" nillable="true" ma:displayName="Document Comments" ma:internalName="CBSDocComments" ma:readOnly="false">
      <xsd:simpleType>
        <xsd:restriction base="dms:Note">
          <xsd:maxLength value="255"/>
        </xsd:restriction>
      </xsd:simpleType>
    </xsd:element>
    <xsd:element name="CBSDueBy" ma:index="4" nillable="true" ma:displayName="Document DueBy" ma:format="DateOnly" ma:internalName="CBSDueBy" ma:readOnly="false">
      <xsd:simpleType>
        <xsd:restriction base="dms:DateTime"/>
      </xsd:simpleType>
    </xsd:element>
    <xsd:element name="CBSReviewersContributors" ma:index="5" nillable="true" ma:displayName="Reviewers Contributors" ma:list="UserInfo" ma:SharePointGroup="0" ma:internalName="CBSReviewersContributors"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BSDocType" ma:index="10" nillable="true" ma:displayName="Document Type" ma:hidden="true" ma:internalName="CBSDocType" ma:readOnly="false">
      <xsd:simpleType>
        <xsd:restriction base="dms:Text">
          <xsd:maxLength value="255"/>
        </xsd:restriction>
      </xsd:simpleType>
    </xsd:element>
    <xsd:element name="SendEmailToAuthors" ma:index="13" nillable="true" ma:displayName="Send Email To Contributors" ma:default="Send Email" ma:hidden="true" ma:internalName="SendEmailToAuthors" ma:readOnly="false">
      <xsd:simpleType>
        <xsd:restriction base="dms:Text">
          <xsd:maxLength value="255"/>
        </xsd:restrictio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31e7afd-8cb4-4255-a884-cbcde2747e4c" elementFormDefault="qualified">
    <xsd:import namespace="http://schemas.microsoft.com/office/2006/documentManagement/types"/>
    <xsd:import namespace="http://schemas.microsoft.com/office/infopath/2007/PartnerControls"/>
    <xsd:element name="RequestID" ma:index="14" nillable="true" ma:displayName="RequestID" ma:hidden="true" ma:internalName="RequestID"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bb0acc9-d7bd-4cdf-ad2b-ac1699117d04" elementFormDefault="qualified">
    <xsd:import namespace="http://schemas.microsoft.com/office/2006/documentManagement/types"/>
    <xsd:import namespace="http://schemas.microsoft.com/office/infopath/2007/PartnerControls"/>
    <xsd:element name="Update_x0020_File_x0020_Name_x0020_Briefing" ma:index="16" nillable="true" ma:displayName="Update File Name Briefing" ma:internalName="Update_x0020_File_x0020_Name_x0020_Briefing">
      <xsd:complexType>
        <xsd:complexContent>
          <xsd:extension base="dms:URL">
            <xsd:sequence>
              <xsd:element name="Url" type="dms:ValidUrl" minOccurs="0" nillable="true"/>
              <xsd:element name="Description" type="xsd:string" nillable="true"/>
            </xsd:sequence>
          </xsd:extension>
        </xsd:complexContent>
      </xsd:complexType>
    </xsd:element>
    <xsd:element name="MediaServiceFastMetadata" ma:index="18" nillable="true" ma:displayName="MediaServiceFastMetadata" ma:hidden="true" ma:internalName="MediaServiceFastMetadata" ma:readOnly="true">
      <xsd:simpleType>
        <xsd:restriction base="dms:Note"/>
      </xsd:simpleType>
    </xsd:element>
    <xsd:element name="MediaServiceAutoTags" ma:index="19" nillable="true" ma:displayName="Tags" ma:internalName="MediaServiceAutoTags"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element name="MediaServiceDateTaken" ma:index="27" nillable="true" ma:displayName="MediaServiceDateTaken" ma:hidden="true" ma:internalName="MediaServiceDateTaken" ma:readOnly="true">
      <xsd:simpleType>
        <xsd:restriction base="dms:Text"/>
      </xsd:simpleType>
    </xsd:element>
    <xsd:element name="MediaLengthInSeconds" ma:index="28" nillable="true" ma:displayName="MediaLengthInSeconds" ma:hidden="true" ma:internalName="MediaLengthInSeconds" ma:readOnly="true">
      <xsd:simpleType>
        <xsd:restriction base="dms:Unknown"/>
      </xsd:simpleType>
    </xsd:element>
    <xsd:element name="MediaServiceLocation" ma:index="29" nillable="true" ma:displayName="Location" ma:internalName="MediaServiceLocation" ma:readOnly="true">
      <xsd:simpleType>
        <xsd:restriction base="dms:Text"/>
      </xsd:simpleType>
    </xsd:element>
    <xsd:element name="MediaServiceMetadata" ma:index="34" nillable="true" ma:displayName="MediaServiceMetadata" ma:hidden="true" ma:internalName="MediaServiceMetadata" ma:readOnly="true">
      <xsd:simpleType>
        <xsd:restriction base="dms:Note"/>
      </xsd:simpleType>
    </xsd:element>
    <xsd:element name="MediaServiceObjectDetectorVersions" ma:index="35" nillable="true" ma:displayName="MediaServiceObjectDetectorVersions" ma:hidden="true" ma:indexed="true" ma:internalName="MediaServiceObjectDetectorVersions" ma:readOnly="true">
      <xsd:simpleType>
        <xsd:restriction base="dms:Text"/>
      </xsd:simpleType>
    </xsd:element>
    <xsd:element name="MediaServiceSearchProperties" ma:index="3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e6cfa50-9814-4036-b2f8-54bb7ef1e7f8" elementFormDefault="qualified">
    <xsd:import namespace="http://schemas.microsoft.com/office/2006/documentManagement/types"/>
    <xsd:import namespace="http://schemas.microsoft.com/office/infopath/2007/PartnerControls"/>
    <xsd:element name="RecordStatus" ma:index="17" nillable="true" ma:displayName="Record Status" ma:internalName="RecordStatus">
      <xsd:simpleType>
        <xsd:restriction base="dms:Choice">
          <xsd:enumeration value="Permanent"/>
          <xsd:enumeration value="Temporary"/>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30"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ce0f2b5-5be5-4508-bce9-d7011ece0659" elementFormDefault="qualified">
    <xsd:import namespace="http://schemas.microsoft.com/office/2006/documentManagement/types"/>
    <xsd:import namespace="http://schemas.microsoft.com/office/infopath/2007/PartnerControls"/>
    <xsd:element name="TaxCatchAll" ma:index="33" nillable="true" ma:displayName="Taxonomy Catch All Column" ma:hidden="true" ma:list="{87e76c6c-6885-47e5-8519-af7cac5d2037}" ma:internalName="TaxCatchAll" ma:showField="CatchAllData" ma:web="4e6cfa50-9814-4036-b2f8-54bb7ef1e7f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RequestID xmlns="131e7afd-8cb4-4255-a884-cbcde2747e4c" xsi:nil="true"/>
    <CBSFileName xmlns="59098f23-3ca6-4eec-8c4e-6f77ceae2d9e">BAC-BR-21189 - Attach 1 - Victorian cancer plan monitoring and evaluation framework Progress Report 2023</CBSFileName>
    <CBSDocType xmlns="59098f23-3ca6-4eec-8c4e-6f77ceae2d9e" xsi:nil="true"/>
    <IconOverlay xmlns="http://schemas.microsoft.com/sharepoint/v4" xsi:nil="true"/>
    <RecordStatus xmlns="4e6cfa50-9814-4036-b2f8-54bb7ef1e7f8" xsi:nil="true"/>
    <TaxCatchAll xmlns="5ce0f2b5-5be5-4508-bce9-d7011ece0659" xsi:nil="true"/>
    <CBSStatus xmlns="59098f23-3ca6-4eec-8c4e-6f77ceae2d9e">Finalised</CBSStatus>
    <Update_x0020_File_x0020_Name_x0020_Briefing xmlns="9bb0acc9-d7bd-4cdf-ad2b-ac1699117d04">
      <Url xsi:nil="true"/>
      <Description xsi:nil="true"/>
    </Update_x0020_File_x0020_Name_x0020_Briefing>
    <CBSReviewersContributors xmlns="59098f23-3ca6-4eec-8c4e-6f77ceae2d9e">
      <UserInfo>
        <DisplayName/>
        <AccountId xsi:nil="true"/>
        <AccountType/>
      </UserInfo>
    </CBSReviewersContributors>
    <CBSDocComments xmlns="59098f23-3ca6-4eec-8c4e-6f77ceae2d9e" xsi:nil="true"/>
    <CBSDueBy xmlns="59098f23-3ca6-4eec-8c4e-6f77ceae2d9e" xsi:nil="true"/>
    <SendEmailToAuthors xmlns="59098f23-3ca6-4eec-8c4e-6f77ceae2d9e">Send Email</SendEmailToAuthors>
  </documentManagement>
</p:properties>
</file>

<file path=customXml/itemProps1.xml><?xml version="1.0" encoding="utf-8"?>
<ds:datastoreItem xmlns:ds="http://schemas.openxmlformats.org/officeDocument/2006/customXml" ds:itemID="{D19DD066-9993-4AAC-9FC6-160572B870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9098f23-3ca6-4eec-8c4e-6f77ceae2d9e"/>
    <ds:schemaRef ds:uri="131e7afd-8cb4-4255-a884-cbcde2747e4c"/>
    <ds:schemaRef ds:uri="9bb0acc9-d7bd-4cdf-ad2b-ac1699117d04"/>
    <ds:schemaRef ds:uri="4e6cfa50-9814-4036-b2f8-54bb7ef1e7f8"/>
    <ds:schemaRef ds:uri="http://schemas.microsoft.com/sharepoint/v4"/>
    <ds:schemaRef ds:uri="5ce0f2b5-5be5-4508-bce9-d7011ece06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E47D45F-2831-49B3-93F8-85050C22B93A}">
  <ds:schemaRefs>
    <ds:schemaRef ds:uri="http://schemas.openxmlformats.org/officeDocument/2006/bibliography"/>
  </ds:schemaRefs>
</ds:datastoreItem>
</file>

<file path=customXml/itemProps3.xml><?xml version="1.0" encoding="utf-8"?>
<ds:datastoreItem xmlns:ds="http://schemas.openxmlformats.org/officeDocument/2006/customXml" ds:itemID="{61D85C67-0A26-4B2A-9796-FD3E4590CDEE}">
  <ds:schemaRefs>
    <ds:schemaRef ds:uri="http://schemas.microsoft.com/sharepoint/v3/contenttype/forms"/>
  </ds:schemaRefs>
</ds:datastoreItem>
</file>

<file path=customXml/itemProps4.xml><?xml version="1.0" encoding="utf-8"?>
<ds:datastoreItem xmlns:ds="http://schemas.openxmlformats.org/officeDocument/2006/customXml" ds:itemID="{550D8B47-C8BE-4D58-A00E-92754C38FC08}">
  <ds:schemaRefs>
    <ds:schemaRef ds:uri="http://schemas.microsoft.com/office/2006/metadata/properties"/>
    <ds:schemaRef ds:uri="http://schemas.microsoft.com/office/infopath/2007/PartnerControls"/>
    <ds:schemaRef ds:uri="131e7afd-8cb4-4255-a884-cbcde2747e4c"/>
    <ds:schemaRef ds:uri="59098f23-3ca6-4eec-8c4e-6f77ceae2d9e"/>
    <ds:schemaRef ds:uri="http://schemas.microsoft.com/sharepoint/v4"/>
    <ds:schemaRef ds:uri="4e6cfa50-9814-4036-b2f8-54bb7ef1e7f8"/>
    <ds:schemaRef ds:uri="5ce0f2b5-5be5-4508-bce9-d7011ece0659"/>
    <ds:schemaRef ds:uri="9bb0acc9-d7bd-4cdf-ad2b-ac1699117d04"/>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276</Pages>
  <Words>60381</Words>
  <Characters>324851</Characters>
  <Application>Microsoft Office Word</Application>
  <DocSecurity>0</DocSecurity>
  <Lines>8779</Lines>
  <Paragraphs>5749</Paragraphs>
  <ScaleCrop>false</ScaleCrop>
  <HeadingPairs>
    <vt:vector size="2" baseType="variant">
      <vt:variant>
        <vt:lpstr>Title</vt:lpstr>
      </vt:variant>
      <vt:variant>
        <vt:i4>1</vt:i4>
      </vt:variant>
    </vt:vector>
  </HeadingPairs>
  <TitlesOfParts>
    <vt:vector size="1" baseType="lpstr">
      <vt:lpstr>Victorian cancer plan monitoring and evaluation framework: baseline progress report</vt:lpstr>
    </vt:vector>
  </TitlesOfParts>
  <Company>State of Victoria, Department of Health</Company>
  <LinksUpToDate>false</LinksUpToDate>
  <CharactersWithSpaces>379483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Victorian cancer plan monitoring and evaluation framework: baseline progress report</dc:title>
  <dc:subject>Victorian cancer plan monitoring and evaluation framework: baseline report</dc:subject>
  <dc:creator>Cancer Strategy and Development</dc:creator>
  <cp:keywords>Victorian cancer plan, monitoring, evaluation, framework, baseline report</cp:keywords>
  <dc:description/>
  <cp:lastModifiedBy>Tania Wohling (Health)</cp:lastModifiedBy>
  <cp:revision>7</cp:revision>
  <cp:lastPrinted>2023-12-01T01:24:00Z</cp:lastPrinted>
  <dcterms:created xsi:type="dcterms:W3CDTF">2023-12-01T01:23:00Z</dcterms:created>
  <dcterms:modified xsi:type="dcterms:W3CDTF">2023-12-01T01:36:00Z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y fmtid="{D5CDD505-2E9C-101B-9397-08002B2CF9AE}" pid="3" name="ContentTypeId">
    <vt:lpwstr>0x010100A5FD4705EF695745935DCFF362D96FD900DF8538E20725164D82A104E09F6F1C51</vt:lpwstr>
  </property>
  <property fmtid="{D5CDD505-2E9C-101B-9397-08002B2CF9AE}" pid="4" name="MSIP_Label_43e64453-338c-4f93-8a4d-0039a0a41f2a_Enabled">
    <vt:lpwstr>true</vt:lpwstr>
  </property>
  <property fmtid="{D5CDD505-2E9C-101B-9397-08002B2CF9AE}" pid="5" name="MSIP_Label_43e64453-338c-4f93-8a4d-0039a0a41f2a_SetDate">
    <vt:lpwstr>2023-12-01T01:22:58Z</vt:lpwstr>
  </property>
  <property fmtid="{D5CDD505-2E9C-101B-9397-08002B2CF9AE}" pid="6" name="MSIP_Label_43e64453-338c-4f93-8a4d-0039a0a41f2a_Method">
    <vt:lpwstr>Privileged</vt:lpwstr>
  </property>
  <property fmtid="{D5CDD505-2E9C-101B-9397-08002B2CF9AE}" pid="7" name="MSIP_Label_43e64453-338c-4f93-8a4d-0039a0a41f2a_Name">
    <vt:lpwstr>43e64453-338c-4f93-8a4d-0039a0a41f2a</vt:lpwstr>
  </property>
  <property fmtid="{D5CDD505-2E9C-101B-9397-08002B2CF9AE}" pid="8" name="MSIP_Label_43e64453-338c-4f93-8a4d-0039a0a41f2a_SiteId">
    <vt:lpwstr>c0e0601f-0fac-449c-9c88-a104c4eb9f28</vt:lpwstr>
  </property>
  <property fmtid="{D5CDD505-2E9C-101B-9397-08002B2CF9AE}" pid="9" name="MSIP_Label_43e64453-338c-4f93-8a4d-0039a0a41f2a_ActionId">
    <vt:lpwstr>9f484ef9-ed53-49b8-8452-a016f4834bec</vt:lpwstr>
  </property>
  <property fmtid="{D5CDD505-2E9C-101B-9397-08002B2CF9AE}" pid="10" name="MSIP_Label_43e64453-338c-4f93-8a4d-0039a0a41f2a_ContentBits">
    <vt:lpwstr>2</vt:lpwstr>
  </property>
</Properties>
</file>