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26CC70F5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293D8B77" w:rsidR="003B5733" w:rsidRPr="00024770" w:rsidRDefault="006C6731" w:rsidP="00024770">
            <w:pPr>
              <w:pStyle w:val="Heading1"/>
              <w:rPr>
                <w:sz w:val="48"/>
                <w:szCs w:val="48"/>
              </w:rPr>
            </w:pPr>
            <w:bookmarkStart w:id="0" w:name="_Toc151544984"/>
            <w:r w:rsidRPr="00024770">
              <w:rPr>
                <w:rStyle w:val="normaltextrun"/>
                <w:sz w:val="48"/>
                <w:szCs w:val="48"/>
              </w:rPr>
              <w:t>Capability Frameworks</w:t>
            </w:r>
            <w:bookmarkEnd w:id="0"/>
            <w:r w:rsidRPr="00024770">
              <w:rPr>
                <w:rStyle w:val="eop"/>
                <w:sz w:val="48"/>
                <w:szCs w:val="48"/>
              </w:rPr>
              <w:t> </w:t>
            </w:r>
          </w:p>
        </w:tc>
      </w:tr>
      <w:tr w:rsidR="003B5733" w14:paraId="560FBDF0" w14:textId="77777777" w:rsidTr="26CC70F5">
        <w:tc>
          <w:tcPr>
            <w:tcW w:w="10348" w:type="dxa"/>
          </w:tcPr>
          <w:p w14:paraId="711537EF" w14:textId="7963EFD8" w:rsidR="003B5733" w:rsidRPr="00024770" w:rsidRDefault="2BF5C1C0" w:rsidP="00024770">
            <w:pPr>
              <w:pStyle w:val="Heading2"/>
              <w:rPr>
                <w:sz w:val="28"/>
              </w:rPr>
            </w:pPr>
            <w:bookmarkStart w:id="1" w:name="_Toc150436159"/>
            <w:bookmarkStart w:id="2" w:name="_Toc150437691"/>
            <w:bookmarkStart w:id="3" w:name="_Toc150371012"/>
            <w:bookmarkStart w:id="4" w:name="_Toc151544985"/>
            <w:r w:rsidRPr="00024770">
              <w:rPr>
                <w:rStyle w:val="normaltextrun"/>
                <w:sz w:val="28"/>
              </w:rPr>
              <w:t>Health service</w:t>
            </w:r>
            <w:bookmarkEnd w:id="1"/>
            <w:bookmarkEnd w:id="2"/>
            <w:bookmarkEnd w:id="3"/>
            <w:r w:rsidR="00024770" w:rsidRPr="00024770">
              <w:rPr>
                <w:rStyle w:val="normaltextrun"/>
                <w:sz w:val="28"/>
              </w:rPr>
              <w:t>s factsheet</w:t>
            </w:r>
            <w:bookmarkEnd w:id="4"/>
            <w:r w:rsidR="58DE92D1" w:rsidRPr="00024770">
              <w:rPr>
                <w:rStyle w:val="eop"/>
                <w:rFonts w:eastAsia="MS Gothic"/>
                <w:sz w:val="28"/>
              </w:rPr>
              <w:t> </w:t>
            </w:r>
          </w:p>
        </w:tc>
      </w:tr>
      <w:tr w:rsidR="003B5733" w14:paraId="726305CB" w14:textId="77777777" w:rsidTr="26CC70F5">
        <w:tc>
          <w:tcPr>
            <w:tcW w:w="10348" w:type="dxa"/>
          </w:tcPr>
          <w:p w14:paraId="34F6929B" w14:textId="77777777" w:rsidR="003B5733" w:rsidRPr="001E5058" w:rsidRDefault="00A633C9" w:rsidP="001E5058">
            <w:pPr>
              <w:pStyle w:val="Bannermarking"/>
            </w:pPr>
            <w:r>
              <w:t>OFFICIAL</w:t>
            </w:r>
          </w:p>
        </w:tc>
      </w:tr>
    </w:tbl>
    <w:p w14:paraId="033F62F0" w14:textId="69C698DA" w:rsidR="00024770" w:rsidRPr="00024770" w:rsidRDefault="00AD784C" w:rsidP="00024770">
      <w:pPr>
        <w:pStyle w:val="Heading3"/>
        <w:rPr>
          <w:noProof/>
        </w:rPr>
      </w:pPr>
      <w:bookmarkStart w:id="5" w:name="_Toc150437692"/>
      <w:bookmarkStart w:id="6" w:name="_Toc150371013"/>
      <w:bookmarkStart w:id="7" w:name="_Toc151544986"/>
      <w:r w:rsidRPr="00B57329">
        <w:t>Contents</w:t>
      </w:r>
      <w:bookmarkEnd w:id="5"/>
      <w:bookmarkEnd w:id="6"/>
      <w:bookmarkEnd w:id="7"/>
      <w:r w:rsidR="00024770">
        <w:rPr>
          <w:rFonts w:eastAsia="Times New Roman" w:cs="Arial"/>
        </w:rPr>
        <w:fldChar w:fldCharType="begin"/>
      </w:r>
      <w:r w:rsidR="00024770">
        <w:rPr>
          <w:rFonts w:eastAsia="Times New Roman" w:cs="Arial"/>
        </w:rPr>
        <w:instrText xml:space="preserve"> TOC \o "1-3" \n \h \z \u </w:instrText>
      </w:r>
      <w:r w:rsidR="00024770">
        <w:rPr>
          <w:rFonts w:eastAsia="Times New Roman" w:cs="Arial"/>
        </w:rPr>
        <w:fldChar w:fldCharType="separate"/>
      </w:r>
    </w:p>
    <w:p w14:paraId="2B3F3EA8" w14:textId="167CF8F8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87" w:history="1">
        <w:r w:rsidR="00024770" w:rsidRPr="001F246F">
          <w:rPr>
            <w:rStyle w:val="Hyperlink"/>
            <w:noProof/>
          </w:rPr>
          <w:t>Capability framework</w:t>
        </w:r>
      </w:hyperlink>
    </w:p>
    <w:p w14:paraId="34538AB3" w14:textId="5724E99F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88" w:history="1">
        <w:r w:rsidR="00024770" w:rsidRPr="001F246F">
          <w:rPr>
            <w:rStyle w:val="Hyperlink"/>
            <w:noProof/>
          </w:rPr>
          <w:t>Capability framework purpose</w:t>
        </w:r>
      </w:hyperlink>
    </w:p>
    <w:p w14:paraId="03FCBC70" w14:textId="6FA58744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89" w:history="1">
        <w:r w:rsidR="00024770" w:rsidRPr="001F246F">
          <w:rPr>
            <w:rStyle w:val="Hyperlink"/>
            <w:noProof/>
          </w:rPr>
          <w:t>Capability framework scope</w:t>
        </w:r>
      </w:hyperlink>
    </w:p>
    <w:p w14:paraId="11D5CC23" w14:textId="7755E7F1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90" w:history="1">
        <w:r w:rsidR="00024770" w:rsidRPr="001F246F">
          <w:rPr>
            <w:rStyle w:val="Hyperlink"/>
            <w:noProof/>
            <w:lang w:val="en-US"/>
          </w:rPr>
          <w:t>Determining capability levels</w:t>
        </w:r>
      </w:hyperlink>
    </w:p>
    <w:p w14:paraId="52051E13" w14:textId="3E4C7A47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91" w:history="1">
        <w:r w:rsidR="00024770" w:rsidRPr="001F246F">
          <w:rPr>
            <w:rStyle w:val="Hyperlink"/>
            <w:noProof/>
            <w:lang w:val="en-US"/>
          </w:rPr>
          <w:t>Monitoring capability levels</w:t>
        </w:r>
      </w:hyperlink>
    </w:p>
    <w:p w14:paraId="295FA40F" w14:textId="520F116A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92" w:history="1">
        <w:r w:rsidR="00024770" w:rsidRPr="001F246F">
          <w:rPr>
            <w:rStyle w:val="Hyperlink"/>
            <w:noProof/>
          </w:rPr>
          <w:t>Ensuring high-quality care</w:t>
        </w:r>
      </w:hyperlink>
    </w:p>
    <w:p w14:paraId="55258F2B" w14:textId="777D0E5A" w:rsidR="00024770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544993" w:history="1">
        <w:r w:rsidR="00024770" w:rsidRPr="001F246F">
          <w:rPr>
            <w:rStyle w:val="Hyperlink"/>
            <w:noProof/>
          </w:rPr>
          <w:t>Further information</w:t>
        </w:r>
      </w:hyperlink>
    </w:p>
    <w:p w14:paraId="0801494E" w14:textId="1CF2358C" w:rsidR="0023072E" w:rsidRDefault="00024770" w:rsidP="00CF5065">
      <w:pPr>
        <w:pStyle w:val="Body"/>
        <w:rPr>
          <w:rFonts w:ascii="Segoe UI" w:hAnsi="Segoe UI" w:cs="Segoe UI"/>
          <w:sz w:val="18"/>
          <w:szCs w:val="18"/>
        </w:rPr>
      </w:pPr>
      <w:r>
        <w:rPr>
          <w:rFonts w:eastAsia="Times New Roman" w:cs="Arial"/>
        </w:rPr>
        <w:fldChar w:fldCharType="end"/>
      </w:r>
    </w:p>
    <w:p w14:paraId="6725854F" w14:textId="111A8BB1" w:rsidR="0023072E" w:rsidRPr="00B519CD" w:rsidRDefault="0023072E" w:rsidP="007173CA">
      <w:pPr>
        <w:pStyle w:val="Body"/>
        <w:sectPr w:rsidR="0023072E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FAE4BDA" w14:textId="77777777" w:rsidR="008A4CF8" w:rsidRDefault="008A4CF8" w:rsidP="3665D6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665D695">
        <w:rPr>
          <w:rStyle w:val="eop"/>
          <w:rFonts w:ascii="Calibri" w:hAnsi="Calibri" w:cs="Calibri"/>
          <w:sz w:val="22"/>
          <w:szCs w:val="22"/>
        </w:rPr>
        <w:t> </w:t>
      </w:r>
    </w:p>
    <w:p w14:paraId="2CA0AFF4" w14:textId="6C4416DA" w:rsidR="008A4CF8" w:rsidRDefault="00E4376F" w:rsidP="26CC70F5">
      <w:pPr>
        <w:pStyle w:val="Heading3"/>
        <w:rPr>
          <w:rStyle w:val="eop"/>
          <w:color w:val="auto"/>
        </w:rPr>
      </w:pPr>
      <w:bookmarkStart w:id="8" w:name="_Toc150371014"/>
      <w:bookmarkStart w:id="9" w:name="_Toc151544987"/>
      <w:r>
        <w:rPr>
          <w:rStyle w:val="normaltextrun"/>
          <w:color w:val="auto"/>
        </w:rPr>
        <w:t>C</w:t>
      </w:r>
      <w:r w:rsidR="008A4CF8" w:rsidRPr="26CC70F5">
        <w:rPr>
          <w:rStyle w:val="normaltextrun"/>
          <w:color w:val="auto"/>
        </w:rPr>
        <w:t>apability framework</w:t>
      </w:r>
      <w:bookmarkEnd w:id="8"/>
      <w:bookmarkEnd w:id="9"/>
      <w:r w:rsidR="008A4CF8" w:rsidRPr="26CC70F5">
        <w:rPr>
          <w:rStyle w:val="eop"/>
          <w:color w:val="auto"/>
        </w:rPr>
        <w:t> </w:t>
      </w:r>
    </w:p>
    <w:p w14:paraId="394DFAA5" w14:textId="788A3D49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 xml:space="preserve">A capability framework is a set of guidelines </w:t>
      </w:r>
      <w:r w:rsidR="29B072F8">
        <w:t xml:space="preserve">developed by the Department of Health (the department) </w:t>
      </w:r>
      <w:r>
        <w:t>that define the minimum requirements and standards for each campus of a healthcare service.  </w:t>
      </w:r>
    </w:p>
    <w:p w14:paraId="7F955119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In Victoria's health system, several capability frameworks exist, each tailored to a specific healthcare domain, for example, Maternity and Newborn, Perioperative, and Palliative care. A Cancer capability framework is also under development.  </w:t>
      </w:r>
    </w:p>
    <w:p w14:paraId="1E551F06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A Service capability framework: </w:t>
      </w:r>
    </w:p>
    <w:p w14:paraId="4293F53B" w14:textId="77777777" w:rsidR="00EB56F8" w:rsidRDefault="00EB56F8" w:rsidP="228AE75B">
      <w:pPr>
        <w:pStyle w:val="Bullet1"/>
      </w:pPr>
      <w:r>
        <w:t xml:space="preserve">describes what needs to be in place to support the complexity of care health services </w:t>
      </w:r>
      <w:proofErr w:type="gramStart"/>
      <w:r>
        <w:t>provide</w:t>
      </w:r>
      <w:proofErr w:type="gramEnd"/>
      <w:r>
        <w:t> </w:t>
      </w:r>
    </w:p>
    <w:p w14:paraId="4133C049" w14:textId="77777777" w:rsidR="00EB56F8" w:rsidRDefault="00EB56F8" w:rsidP="228AE75B">
      <w:pPr>
        <w:pStyle w:val="Bullet1"/>
      </w:pPr>
      <w:r>
        <w:t xml:space="preserve">classifies the scope of clinical services and complexity that can be safely managed by health services against 6 </w:t>
      </w:r>
      <w:proofErr w:type="gramStart"/>
      <w:r>
        <w:t>levels</w:t>
      </w:r>
      <w:proofErr w:type="gramEnd"/>
      <w:r>
        <w:t> </w:t>
      </w:r>
    </w:p>
    <w:p w14:paraId="796480EA" w14:textId="77777777" w:rsidR="00EB56F8" w:rsidRDefault="00EB56F8" w:rsidP="228AE75B">
      <w:pPr>
        <w:pStyle w:val="Bullet1"/>
      </w:pPr>
      <w:r>
        <w:t xml:space="preserve">is cumulative in design, as it sets out the requirements for workforce, infrastructure and equipment, clinical support services and clinical governance building incrementally at each of the six </w:t>
      </w:r>
      <w:proofErr w:type="gramStart"/>
      <w:r>
        <w:t>levels</w:t>
      </w:r>
      <w:proofErr w:type="gramEnd"/>
      <w:r>
        <w:t> </w:t>
      </w:r>
    </w:p>
    <w:p w14:paraId="1FB28D64" w14:textId="77777777" w:rsidR="00EB56F8" w:rsidRDefault="00EB56F8" w:rsidP="228AE75B">
      <w:pPr>
        <w:pStyle w:val="Bullet1"/>
      </w:pPr>
      <w:r>
        <w:t>defines a common language for staff, the community and other health services about a health service’s capability. </w:t>
      </w:r>
    </w:p>
    <w:p w14:paraId="528CB8FC" w14:textId="1B3BF1AD" w:rsidR="681D2717" w:rsidRPr="00E4376F" w:rsidRDefault="00EB56F8" w:rsidP="228AE75B">
      <w:pPr>
        <w:pStyle w:val="Body"/>
        <w:rPr>
          <w:rStyle w:val="normaltextrun"/>
          <w:rFonts w:ascii="Segoe UI" w:hAnsi="Segoe UI" w:cs="Segoe UI"/>
          <w:sz w:val="18"/>
          <w:szCs w:val="18"/>
        </w:rPr>
      </w:pPr>
      <w:r>
        <w:t xml:space="preserve">Capability frameworks are well established in New South Wales, Queensland, Western </w:t>
      </w:r>
      <w:proofErr w:type="gramStart"/>
      <w:r>
        <w:t>Australia</w:t>
      </w:r>
      <w:proofErr w:type="gramEnd"/>
      <w:r>
        <w:t xml:space="preserve"> and South Australia. </w:t>
      </w:r>
    </w:p>
    <w:p w14:paraId="7B8055D8" w14:textId="77777777" w:rsidR="00EB56F8" w:rsidRDefault="00EB56F8" w:rsidP="228AE75B">
      <w:pPr>
        <w:pStyle w:val="Body"/>
        <w:rPr>
          <w:rFonts w:ascii="Segoe UI" w:hAnsi="Segoe UI" w:cs="Segoe UI"/>
          <w:b/>
          <w:bCs/>
          <w:sz w:val="18"/>
          <w:szCs w:val="18"/>
        </w:rPr>
      </w:pPr>
      <w:r w:rsidRPr="228AE75B">
        <w:rPr>
          <w:b/>
          <w:bCs/>
        </w:rPr>
        <w:t>A Service Capability framework is not: </w:t>
      </w:r>
    </w:p>
    <w:p w14:paraId="056A4751" w14:textId="77777777" w:rsidR="00EB56F8" w:rsidRDefault="00EB56F8" w:rsidP="228AE75B">
      <w:pPr>
        <w:pStyle w:val="Bullet1"/>
      </w:pPr>
      <w:r>
        <w:t xml:space="preserve">a clinical guideline: evidence based clinical practice is led by relevant craft </w:t>
      </w:r>
      <w:proofErr w:type="gramStart"/>
      <w:r>
        <w:t>groups</w:t>
      </w:r>
      <w:proofErr w:type="gramEnd"/>
      <w:r>
        <w:t> </w:t>
      </w:r>
    </w:p>
    <w:p w14:paraId="593EAE0A" w14:textId="77777777" w:rsidR="00EB56F8" w:rsidRDefault="00EB56F8" w:rsidP="228AE75B">
      <w:pPr>
        <w:pStyle w:val="Bullet1"/>
      </w:pPr>
      <w:r>
        <w:t>a model of care: such as detailed descriptions of clinical pathways and patient flows </w:t>
      </w:r>
    </w:p>
    <w:p w14:paraId="54A797A3" w14:textId="77777777" w:rsidR="00EB56F8" w:rsidRDefault="00EB56F8" w:rsidP="228AE75B">
      <w:pPr>
        <w:pStyle w:val="Bullet1"/>
      </w:pPr>
      <w:r>
        <w:t>a competency framework (workforce competency frameworks exist in some clinical areas) </w:t>
      </w:r>
    </w:p>
    <w:p w14:paraId="3C713888" w14:textId="77777777" w:rsidR="00EB56F8" w:rsidRDefault="00EB56F8" w:rsidP="228AE75B">
      <w:pPr>
        <w:pStyle w:val="Bullet1"/>
      </w:pPr>
      <w:r>
        <w:t>a substitute for accreditation: existing accreditation and quality standards are still binding. </w:t>
      </w:r>
    </w:p>
    <w:p w14:paraId="270C6D3F" w14:textId="77777777" w:rsidR="00E4376F" w:rsidRDefault="00E4376F" w:rsidP="228AE75B">
      <w:pPr>
        <w:pStyle w:val="Body"/>
      </w:pPr>
    </w:p>
    <w:p w14:paraId="5E929DF5" w14:textId="65B33530" w:rsidR="00EB56F8" w:rsidRDefault="00EB56F8" w:rsidP="228AE75B">
      <w:pPr>
        <w:pStyle w:val="Body"/>
        <w:rPr>
          <w:rFonts w:ascii="Segoe UI" w:hAnsi="Segoe UI" w:cs="Segoe UI"/>
          <w:b/>
          <w:bCs/>
          <w:sz w:val="18"/>
          <w:szCs w:val="18"/>
        </w:rPr>
      </w:pPr>
      <w:r w:rsidRPr="228AE75B">
        <w:rPr>
          <w:b/>
          <w:bCs/>
        </w:rPr>
        <w:t>A Service Capability framework does not include: </w:t>
      </w:r>
    </w:p>
    <w:p w14:paraId="39C2B711" w14:textId="77777777" w:rsidR="00EB56F8" w:rsidRDefault="00EB56F8" w:rsidP="228AE75B">
      <w:pPr>
        <w:pStyle w:val="Bullet1"/>
      </w:pPr>
      <w:r>
        <w:t>workforce ratios (these are legislated and determined by site-based funding) </w:t>
      </w:r>
    </w:p>
    <w:p w14:paraId="7DF5D2B3" w14:textId="6E3E2847" w:rsidR="00EB56F8" w:rsidRDefault="00EB56F8" w:rsidP="228AE75B">
      <w:pPr>
        <w:pStyle w:val="Bullet1"/>
      </w:pPr>
      <w:r>
        <w:t>commonwealth funded services (including primary care)</w:t>
      </w:r>
      <w:r w:rsidR="34B48BBC">
        <w:t>.</w:t>
      </w:r>
      <w:r>
        <w:t> </w:t>
      </w:r>
    </w:p>
    <w:p w14:paraId="5AA120D3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 </w:t>
      </w:r>
    </w:p>
    <w:p w14:paraId="72752BF8" w14:textId="2A4D22FD" w:rsidR="00EB56F8" w:rsidRPr="00EB56F8" w:rsidRDefault="00024770" w:rsidP="26CC70F5">
      <w:pPr>
        <w:pStyle w:val="Heading3"/>
        <w:rPr>
          <w:rStyle w:val="normaltextrun"/>
          <w:color w:val="auto"/>
        </w:rPr>
      </w:pPr>
      <w:bookmarkStart w:id="10" w:name="_Toc151544988"/>
      <w:bookmarkStart w:id="11" w:name="_Toc150371015"/>
      <w:r>
        <w:rPr>
          <w:rStyle w:val="normaltextrun"/>
          <w:color w:val="auto"/>
        </w:rPr>
        <w:t>C</w:t>
      </w:r>
      <w:r w:rsidR="00EB56F8" w:rsidRPr="26CC70F5">
        <w:rPr>
          <w:rStyle w:val="normaltextrun"/>
          <w:color w:val="auto"/>
        </w:rPr>
        <w:t>apability framework</w:t>
      </w:r>
      <w:r>
        <w:rPr>
          <w:rStyle w:val="normaltextrun"/>
          <w:color w:val="auto"/>
        </w:rPr>
        <w:t xml:space="preserve"> purpose</w:t>
      </w:r>
      <w:bookmarkEnd w:id="10"/>
      <w:r w:rsidR="00EB56F8" w:rsidRPr="26CC70F5">
        <w:rPr>
          <w:rStyle w:val="normaltextrun"/>
          <w:color w:val="auto"/>
        </w:rPr>
        <w:t xml:space="preserve"> </w:t>
      </w:r>
      <w:bookmarkEnd w:id="11"/>
      <w:r w:rsidR="00EB56F8" w:rsidRPr="26CC70F5">
        <w:rPr>
          <w:rStyle w:val="normaltextrun"/>
          <w:color w:val="auto"/>
        </w:rPr>
        <w:t> </w:t>
      </w:r>
    </w:p>
    <w:p w14:paraId="1424C9D3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Victoria currently has existing service capability frameworks in the areas of Maternity and Newborn care and Palliative care. To ensure the delivery of safe, high-quality healthcare services, the development and implementation of additional capability frameworks for other clinical streams are in line with the recommendations of the following reports: </w:t>
      </w:r>
    </w:p>
    <w:p w14:paraId="625F5986" w14:textId="77777777" w:rsidR="00EB56F8" w:rsidRDefault="00EB56F8" w:rsidP="228AE75B">
      <w:pPr>
        <w:pStyle w:val="Bullet1"/>
      </w:pPr>
      <w:r>
        <w:t>Targeting Zero:  The Review of Hospital Safety and Quality Assurance in Victoria (2016) </w:t>
      </w:r>
    </w:p>
    <w:p w14:paraId="7EFA5A85" w14:textId="77777777" w:rsidR="00EB56F8" w:rsidRDefault="00EB56F8" w:rsidP="228AE75B">
      <w:pPr>
        <w:pStyle w:val="Bullet1"/>
      </w:pPr>
      <w:r>
        <w:t xml:space="preserve">State-wide Design, </w:t>
      </w:r>
      <w:proofErr w:type="gramStart"/>
      <w:r>
        <w:t>Service</w:t>
      </w:r>
      <w:proofErr w:type="gramEnd"/>
      <w:r>
        <w:t xml:space="preserve"> and Infrastructure Plan for Victoria’s health system 2017–2037 (2017) </w:t>
      </w:r>
    </w:p>
    <w:p w14:paraId="656F8F49" w14:textId="77777777" w:rsidR="00EB56F8" w:rsidRDefault="00EB56F8" w:rsidP="228AE75B">
      <w:pPr>
        <w:pStyle w:val="Bullet1"/>
      </w:pPr>
      <w:r>
        <w:t>VAGO Clinical Governance: Health Services Audit (2021). </w:t>
      </w:r>
    </w:p>
    <w:p w14:paraId="32C2C62F" w14:textId="77777777" w:rsidR="00024770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 </w:t>
      </w:r>
    </w:p>
    <w:p w14:paraId="0818A175" w14:textId="242ECEDD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Capability frameworks are tools to: </w:t>
      </w:r>
    </w:p>
    <w:p w14:paraId="33F6AF9D" w14:textId="77777777" w:rsidR="00EB56F8" w:rsidRDefault="00EB56F8" w:rsidP="228AE75B">
      <w:pPr>
        <w:pStyle w:val="Bullet1"/>
      </w:pPr>
      <w:r>
        <w:t xml:space="preserve">ensure the delivery of safe, high-quality healthcare </w:t>
      </w:r>
      <w:proofErr w:type="gramStart"/>
      <w:r>
        <w:t>services</w:t>
      </w:r>
      <w:proofErr w:type="gramEnd"/>
      <w:r>
        <w:t> </w:t>
      </w:r>
    </w:p>
    <w:p w14:paraId="19BBF706" w14:textId="317A03D8" w:rsidR="00EB56F8" w:rsidRDefault="00EB56F8" w:rsidP="228AE75B">
      <w:pPr>
        <w:pStyle w:val="Bullet1"/>
      </w:pPr>
      <w:r>
        <w:t>enhance transparency</w:t>
      </w:r>
      <w:r w:rsidR="72488858">
        <w:t xml:space="preserve"> between the department and </w:t>
      </w:r>
      <w:r>
        <w:t>h</w:t>
      </w:r>
      <w:r w:rsidR="1B7B46A3">
        <w:t xml:space="preserve">ospitals regarding the clinical services they </w:t>
      </w:r>
      <w:proofErr w:type="gramStart"/>
      <w:r w:rsidR="1B7B46A3">
        <w:t>provide</w:t>
      </w:r>
      <w:proofErr w:type="gramEnd"/>
      <w:r>
        <w:t> </w:t>
      </w:r>
    </w:p>
    <w:p w14:paraId="5B00649D" w14:textId="77777777" w:rsidR="00EB56F8" w:rsidRDefault="00EB56F8" w:rsidP="228AE75B">
      <w:pPr>
        <w:pStyle w:val="Bullet1"/>
      </w:pPr>
      <w:r>
        <w:t xml:space="preserve">empower health services to make informed decisions about the resources and protocols required to manage patient care across the full range of </w:t>
      </w:r>
      <w:proofErr w:type="gramStart"/>
      <w:r>
        <w:t>complexity</w:t>
      </w:r>
      <w:proofErr w:type="gramEnd"/>
      <w:r>
        <w:t> </w:t>
      </w:r>
    </w:p>
    <w:p w14:paraId="3920C728" w14:textId="3B43D7B9" w:rsidR="00EB56F8" w:rsidRDefault="00024770" w:rsidP="228AE75B">
      <w:pPr>
        <w:pStyle w:val="Bullet1"/>
      </w:pPr>
      <w:r>
        <w:t xml:space="preserve">support </w:t>
      </w:r>
      <w:r w:rsidR="00EB56F8">
        <w:t>local-level planning and development of healthcare services based on community needs. </w:t>
      </w:r>
    </w:p>
    <w:p w14:paraId="3985277E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 </w:t>
      </w:r>
    </w:p>
    <w:p w14:paraId="4448DE12" w14:textId="293E727C" w:rsidR="00EB56F8" w:rsidRPr="00EB56F8" w:rsidRDefault="00024770" w:rsidP="3665D695">
      <w:pPr>
        <w:pStyle w:val="Heading3"/>
        <w:rPr>
          <w:rStyle w:val="normaltextrun"/>
          <w:color w:val="auto"/>
        </w:rPr>
      </w:pPr>
      <w:bookmarkStart w:id="12" w:name="_Toc150371017"/>
      <w:bookmarkStart w:id="13" w:name="_Toc151544989"/>
      <w:r>
        <w:rPr>
          <w:rStyle w:val="normaltextrun"/>
          <w:color w:val="auto"/>
        </w:rPr>
        <w:t>C</w:t>
      </w:r>
      <w:r w:rsidR="00EB56F8" w:rsidRPr="3665D695">
        <w:rPr>
          <w:rStyle w:val="normaltextrun"/>
          <w:color w:val="auto"/>
        </w:rPr>
        <w:t xml:space="preserve">apability framework </w:t>
      </w:r>
      <w:bookmarkEnd w:id="12"/>
      <w:r>
        <w:rPr>
          <w:rStyle w:val="normaltextrun"/>
          <w:color w:val="auto"/>
        </w:rPr>
        <w:t>scope</w:t>
      </w:r>
      <w:bookmarkEnd w:id="13"/>
    </w:p>
    <w:p w14:paraId="3A7C3573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Capability frameworks apply to public health service campuses within Victoria’s health system, encompassing a wide range of healthcare providers and facilities.  </w:t>
      </w:r>
    </w:p>
    <w:p w14:paraId="4A1B5F9C" w14:textId="77777777" w:rsidR="00EB56F8" w:rsidRDefault="00EB56F8" w:rsidP="00EB56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CADEAD0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6C41C793" w14:textId="60DC082F" w:rsidR="7B6E8210" w:rsidRDefault="00024770" w:rsidP="3665D695">
      <w:pPr>
        <w:pStyle w:val="Heading3"/>
        <w:rPr>
          <w:rFonts w:ascii="Calibri Light" w:eastAsia="Calibri Light" w:hAnsi="Calibri Light" w:cs="Calibri Light"/>
          <w:b/>
          <w:color w:val="auto"/>
          <w:sz w:val="26"/>
        </w:rPr>
      </w:pPr>
      <w:bookmarkStart w:id="14" w:name="_Toc150371018"/>
      <w:bookmarkStart w:id="15" w:name="_Toc151544990"/>
      <w:r>
        <w:rPr>
          <w:rStyle w:val="normaltextrun"/>
          <w:color w:val="auto"/>
          <w:lang w:val="en-US"/>
        </w:rPr>
        <w:t>Determining c</w:t>
      </w:r>
      <w:r w:rsidR="2FF855D7" w:rsidRPr="3665D695">
        <w:rPr>
          <w:rStyle w:val="normaltextrun"/>
          <w:color w:val="auto"/>
          <w:lang w:val="en-US"/>
        </w:rPr>
        <w:t>apability levels</w:t>
      </w:r>
      <w:bookmarkEnd w:id="14"/>
      <w:bookmarkEnd w:id="15"/>
    </w:p>
    <w:p w14:paraId="063136DE" w14:textId="209ADC88" w:rsidR="7B6E8210" w:rsidRDefault="2FF855D7" w:rsidP="228AE75B">
      <w:pPr>
        <w:pStyle w:val="Body"/>
        <w:rPr>
          <w:lang w:val="en-US"/>
        </w:rPr>
      </w:pPr>
      <w:r w:rsidRPr="228AE75B">
        <w:rPr>
          <w:lang w:val="en-US"/>
        </w:rPr>
        <w:t xml:space="preserve">Every two years, </w:t>
      </w:r>
      <w:r w:rsidR="25F9D61A" w:rsidRPr="228AE75B">
        <w:rPr>
          <w:lang w:val="en-US"/>
        </w:rPr>
        <w:t xml:space="preserve">for each capability framework, </w:t>
      </w:r>
      <w:r w:rsidRPr="228AE75B">
        <w:rPr>
          <w:lang w:val="en-US"/>
        </w:rPr>
        <w:t>health service</w:t>
      </w:r>
      <w:r w:rsidR="06154A36" w:rsidRPr="228AE75B">
        <w:rPr>
          <w:lang w:val="en-US"/>
        </w:rPr>
        <w:t>s</w:t>
      </w:r>
      <w:r w:rsidRPr="228AE75B">
        <w:rPr>
          <w:lang w:val="en-US"/>
        </w:rPr>
        <w:t xml:space="preserve"> will be required to complete a self-assessment questionnaire via an online platform. </w:t>
      </w:r>
      <w:r w:rsidR="4AEE6C66" w:rsidRPr="228AE75B">
        <w:rPr>
          <w:lang w:val="en-US"/>
        </w:rPr>
        <w:t xml:space="preserve">For larger health services, each </w:t>
      </w:r>
      <w:r w:rsidRPr="228AE75B">
        <w:rPr>
          <w:lang w:val="en-US"/>
        </w:rPr>
        <w:t xml:space="preserve">campus </w:t>
      </w:r>
      <w:r w:rsidR="4AEE6C66" w:rsidRPr="228AE75B">
        <w:rPr>
          <w:lang w:val="en-US"/>
        </w:rPr>
        <w:t>will be required to complete the questionnaire. The information collected wi</w:t>
      </w:r>
      <w:r w:rsidR="4C57E1F1" w:rsidRPr="228AE75B">
        <w:rPr>
          <w:lang w:val="en-US"/>
        </w:rPr>
        <w:t>ll</w:t>
      </w:r>
      <w:r w:rsidR="4AEE6C66" w:rsidRPr="228AE75B">
        <w:rPr>
          <w:lang w:val="en-US"/>
        </w:rPr>
        <w:t xml:space="preserve"> be compared with existing data </w:t>
      </w:r>
      <w:r w:rsidR="619B699F" w:rsidRPr="228AE75B">
        <w:rPr>
          <w:lang w:val="en-US"/>
        </w:rPr>
        <w:t>relevant</w:t>
      </w:r>
      <w:r w:rsidR="0C2C4131" w:rsidRPr="228AE75B">
        <w:rPr>
          <w:lang w:val="en-US"/>
        </w:rPr>
        <w:t xml:space="preserve"> to the clinical stream of the framework.  </w:t>
      </w:r>
    </w:p>
    <w:p w14:paraId="389FECC4" w14:textId="262A00C3" w:rsidR="681D2717" w:rsidRDefault="0C2C4131" w:rsidP="228AE75B">
      <w:pPr>
        <w:pStyle w:val="Body"/>
        <w:rPr>
          <w:lang w:val="en-US"/>
        </w:rPr>
      </w:pPr>
      <w:r w:rsidRPr="228AE75B">
        <w:rPr>
          <w:lang w:val="en-US"/>
        </w:rPr>
        <w:t>T</w:t>
      </w:r>
      <w:r w:rsidR="2FF855D7" w:rsidRPr="228AE75B">
        <w:rPr>
          <w:lang w:val="en-US"/>
        </w:rPr>
        <w:t xml:space="preserve">he </w:t>
      </w:r>
      <w:r w:rsidR="7DB5D6DA" w:rsidRPr="228AE75B">
        <w:rPr>
          <w:lang w:val="en-US"/>
        </w:rPr>
        <w:t>d</w:t>
      </w:r>
      <w:r w:rsidR="2FF855D7" w:rsidRPr="228AE75B">
        <w:rPr>
          <w:lang w:val="en-US"/>
        </w:rPr>
        <w:t xml:space="preserve">epartment </w:t>
      </w:r>
      <w:r w:rsidR="4DD7312E" w:rsidRPr="228AE75B">
        <w:rPr>
          <w:lang w:val="en-US"/>
        </w:rPr>
        <w:t xml:space="preserve">will then collaborate </w:t>
      </w:r>
      <w:r w:rsidR="2FF855D7" w:rsidRPr="228AE75B">
        <w:rPr>
          <w:lang w:val="en-US"/>
        </w:rPr>
        <w:t xml:space="preserve">with each health service to confirm the </w:t>
      </w:r>
      <w:r w:rsidR="56A3498C" w:rsidRPr="228AE75B">
        <w:rPr>
          <w:lang w:val="en-US"/>
        </w:rPr>
        <w:t xml:space="preserve">service </w:t>
      </w:r>
      <w:r w:rsidR="2FF855D7" w:rsidRPr="228AE75B">
        <w:rPr>
          <w:lang w:val="en-US"/>
        </w:rPr>
        <w:t>capability level</w:t>
      </w:r>
      <w:r w:rsidR="528A6BF7" w:rsidRPr="228AE75B">
        <w:rPr>
          <w:lang w:val="en-US"/>
        </w:rPr>
        <w:t xml:space="preserve"> (at each </w:t>
      </w:r>
      <w:r w:rsidR="0A7462BF" w:rsidRPr="228AE75B">
        <w:rPr>
          <w:lang w:val="en-US"/>
        </w:rPr>
        <w:t xml:space="preserve">hospital site </w:t>
      </w:r>
      <w:r w:rsidR="528A6BF7" w:rsidRPr="228AE75B">
        <w:rPr>
          <w:lang w:val="en-US"/>
        </w:rPr>
        <w:t>where relevant)</w:t>
      </w:r>
      <w:r w:rsidR="2FF855D7" w:rsidRPr="228AE75B">
        <w:rPr>
          <w:lang w:val="en-US"/>
        </w:rPr>
        <w:t xml:space="preserve">.  Once capability levels are </w:t>
      </w:r>
      <w:r w:rsidR="270FEDC9" w:rsidRPr="228AE75B">
        <w:rPr>
          <w:lang w:val="en-US"/>
        </w:rPr>
        <w:t xml:space="preserve">agreed, </w:t>
      </w:r>
      <w:r w:rsidR="2FF855D7" w:rsidRPr="228AE75B">
        <w:rPr>
          <w:lang w:val="en-US"/>
        </w:rPr>
        <w:t>they will be published on the department’s website.</w:t>
      </w:r>
    </w:p>
    <w:p w14:paraId="7EB24FFB" w14:textId="23FD847F" w:rsidR="3665D695" w:rsidRDefault="3665D695" w:rsidP="3665D695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5B552793" w14:textId="54E4B4CE" w:rsidR="7B6E8210" w:rsidRDefault="00024770" w:rsidP="3665D695">
      <w:pPr>
        <w:pStyle w:val="Heading3"/>
        <w:rPr>
          <w:rStyle w:val="normaltextrun"/>
          <w:color w:val="auto"/>
        </w:rPr>
      </w:pPr>
      <w:bookmarkStart w:id="16" w:name="_Toc150371019"/>
      <w:bookmarkStart w:id="17" w:name="_Toc151544991"/>
      <w:r>
        <w:rPr>
          <w:rStyle w:val="normaltextrun"/>
          <w:color w:val="auto"/>
          <w:lang w:val="en-US"/>
        </w:rPr>
        <w:t>Monitoring</w:t>
      </w:r>
      <w:r w:rsidR="2FF855D7" w:rsidRPr="3665D695">
        <w:rPr>
          <w:rStyle w:val="normaltextrun"/>
          <w:color w:val="auto"/>
          <w:lang w:val="en-US"/>
        </w:rPr>
        <w:t xml:space="preserve"> capability levels</w:t>
      </w:r>
      <w:bookmarkEnd w:id="16"/>
      <w:bookmarkEnd w:id="17"/>
    </w:p>
    <w:p w14:paraId="08AC6FB7" w14:textId="53D8D775" w:rsidR="7B6E8210" w:rsidRDefault="2FF855D7" w:rsidP="00024770">
      <w:pPr>
        <w:pStyle w:val="Body"/>
        <w:rPr>
          <w:lang w:val="en-US"/>
        </w:rPr>
      </w:pPr>
      <w:proofErr w:type="gramStart"/>
      <w:r w:rsidRPr="488AAE9D">
        <w:rPr>
          <w:lang w:val="en-US"/>
        </w:rPr>
        <w:t xml:space="preserve">As the system steward, the </w:t>
      </w:r>
      <w:r w:rsidR="016D360B" w:rsidRPr="488AAE9D">
        <w:rPr>
          <w:lang w:val="en-US"/>
        </w:rPr>
        <w:t>department</w:t>
      </w:r>
      <w:proofErr w:type="gramEnd"/>
      <w:r w:rsidRPr="488AAE9D">
        <w:rPr>
          <w:lang w:val="en-US"/>
        </w:rPr>
        <w:t xml:space="preserve"> is responsible for regular performance monitoring of public health services. </w:t>
      </w:r>
      <w:r w:rsidR="31511DC6" w:rsidRPr="488AAE9D">
        <w:rPr>
          <w:lang w:val="en-US"/>
        </w:rPr>
        <w:t>Th</w:t>
      </w:r>
      <w:r w:rsidR="0ED787FB" w:rsidRPr="488AAE9D">
        <w:rPr>
          <w:lang w:val="en-US"/>
        </w:rPr>
        <w:t xml:space="preserve">is process occurs via </w:t>
      </w:r>
      <w:r w:rsidR="33254D80" w:rsidRPr="488AAE9D">
        <w:rPr>
          <w:lang w:val="en-US"/>
        </w:rPr>
        <w:t xml:space="preserve">quarterly </w:t>
      </w:r>
      <w:r w:rsidR="0ED787FB" w:rsidRPr="488AAE9D">
        <w:rPr>
          <w:lang w:val="en-US"/>
        </w:rPr>
        <w:t>scheduled meetings with the CEOs of each health service in the state.</w:t>
      </w:r>
      <w:r w:rsidR="2FEDACBE" w:rsidRPr="488AAE9D">
        <w:rPr>
          <w:lang w:val="en-US"/>
        </w:rPr>
        <w:t xml:space="preserve">  A representative from Safer Care Victoria </w:t>
      </w:r>
      <w:r w:rsidR="5813CB60" w:rsidRPr="488AAE9D">
        <w:rPr>
          <w:lang w:val="en-US"/>
        </w:rPr>
        <w:t>is also in attendance at</w:t>
      </w:r>
      <w:r w:rsidR="2FEDACBE" w:rsidRPr="488AAE9D">
        <w:rPr>
          <w:lang w:val="en-US"/>
        </w:rPr>
        <w:t xml:space="preserve"> these meetings.</w:t>
      </w:r>
    </w:p>
    <w:p w14:paraId="52765458" w14:textId="55C5663C" w:rsidR="7B6E8210" w:rsidRDefault="619FC658" w:rsidP="00024770">
      <w:pPr>
        <w:pStyle w:val="Body"/>
        <w:rPr>
          <w:lang w:val="en-US"/>
        </w:rPr>
      </w:pPr>
      <w:r w:rsidRPr="3665D695">
        <w:rPr>
          <w:lang w:val="en-US"/>
        </w:rPr>
        <w:lastRenderedPageBreak/>
        <w:t>Once per year</w:t>
      </w:r>
      <w:r w:rsidR="0ED787FB" w:rsidRPr="3665D695">
        <w:rPr>
          <w:lang w:val="en-US"/>
        </w:rPr>
        <w:t xml:space="preserve"> </w:t>
      </w:r>
      <w:r w:rsidR="59112213" w:rsidRPr="3665D695">
        <w:rPr>
          <w:lang w:val="en-US"/>
        </w:rPr>
        <w:t xml:space="preserve">these meetings </w:t>
      </w:r>
      <w:r w:rsidR="669ED8F4" w:rsidRPr="3665D695">
        <w:rPr>
          <w:lang w:val="en-US"/>
        </w:rPr>
        <w:t>will include an</w:t>
      </w:r>
      <w:r w:rsidR="5FF4BA3B" w:rsidRPr="3665D695">
        <w:rPr>
          <w:lang w:val="en-US"/>
        </w:rPr>
        <w:t xml:space="preserve"> annual</w:t>
      </w:r>
      <w:r w:rsidR="0ED787FB" w:rsidRPr="3665D695">
        <w:rPr>
          <w:lang w:val="en-US"/>
        </w:rPr>
        <w:t xml:space="preserve"> capability level review</w:t>
      </w:r>
      <w:r w:rsidR="0F67FE77" w:rsidRPr="3665D695">
        <w:rPr>
          <w:lang w:val="en-US"/>
        </w:rPr>
        <w:t xml:space="preserve"> of each relevant clinical stream delivered by the health service</w:t>
      </w:r>
      <w:r w:rsidR="5C3F2F15" w:rsidRPr="3665D695">
        <w:rPr>
          <w:lang w:val="en-US"/>
        </w:rPr>
        <w:t>.</w:t>
      </w:r>
      <w:r w:rsidR="651781BA" w:rsidRPr="3665D695">
        <w:rPr>
          <w:lang w:val="en-US"/>
        </w:rPr>
        <w:t xml:space="preserve"> This is an opportunity to have a focused discussion on any changes in service delivery (actual or proposed), </w:t>
      </w:r>
      <w:r w:rsidR="050FFA70" w:rsidRPr="3665D695">
        <w:rPr>
          <w:lang w:val="en-US"/>
        </w:rPr>
        <w:t>a review</w:t>
      </w:r>
      <w:r w:rsidR="58C7E5E8" w:rsidRPr="3665D695">
        <w:rPr>
          <w:lang w:val="en-US"/>
        </w:rPr>
        <w:t xml:space="preserve"> of </w:t>
      </w:r>
      <w:r w:rsidR="651781BA" w:rsidRPr="3665D695">
        <w:rPr>
          <w:lang w:val="en-US"/>
        </w:rPr>
        <w:t>existing activity</w:t>
      </w:r>
      <w:r w:rsidR="7B036BB5" w:rsidRPr="3665D695">
        <w:rPr>
          <w:lang w:val="en-US"/>
        </w:rPr>
        <w:t xml:space="preserve"> and its alignment with the agreed capability level</w:t>
      </w:r>
      <w:r w:rsidR="651781BA" w:rsidRPr="3665D695">
        <w:rPr>
          <w:lang w:val="en-US"/>
        </w:rPr>
        <w:t xml:space="preserve"> and any issues that</w:t>
      </w:r>
      <w:r w:rsidR="238908E3" w:rsidRPr="3665D695">
        <w:rPr>
          <w:lang w:val="en-US"/>
        </w:rPr>
        <w:t xml:space="preserve"> </w:t>
      </w:r>
      <w:r w:rsidR="77857BA1" w:rsidRPr="3665D695">
        <w:rPr>
          <w:lang w:val="en-US"/>
        </w:rPr>
        <w:t xml:space="preserve">the </w:t>
      </w:r>
      <w:r w:rsidR="5E99D056" w:rsidRPr="3665D695">
        <w:rPr>
          <w:lang w:val="en-US"/>
        </w:rPr>
        <w:t>health service</w:t>
      </w:r>
      <w:r w:rsidR="238908E3" w:rsidRPr="3665D695">
        <w:rPr>
          <w:lang w:val="en-US"/>
        </w:rPr>
        <w:t xml:space="preserve"> would like to raise with the department</w:t>
      </w:r>
      <w:r w:rsidR="30158BDE" w:rsidRPr="3665D695">
        <w:rPr>
          <w:lang w:val="en-US"/>
        </w:rPr>
        <w:t xml:space="preserve"> regarding the </w:t>
      </w:r>
      <w:r w:rsidR="0346FE91" w:rsidRPr="3665D695">
        <w:rPr>
          <w:lang w:val="en-US"/>
        </w:rPr>
        <w:t>clinical stream</w:t>
      </w:r>
      <w:r w:rsidR="238908E3" w:rsidRPr="3665D695">
        <w:rPr>
          <w:lang w:val="en-US"/>
        </w:rPr>
        <w:t>.</w:t>
      </w:r>
      <w:r w:rsidR="651781BA" w:rsidRPr="3665D695">
        <w:rPr>
          <w:lang w:val="en-US"/>
        </w:rPr>
        <w:t xml:space="preserve"> </w:t>
      </w:r>
      <w:r w:rsidR="5C3F2F15" w:rsidRPr="3665D695">
        <w:rPr>
          <w:lang w:val="en-US"/>
        </w:rPr>
        <w:t xml:space="preserve"> </w:t>
      </w:r>
      <w:r w:rsidR="4DC95B53" w:rsidRPr="3665D695">
        <w:rPr>
          <w:lang w:val="en-US"/>
        </w:rPr>
        <w:t>This will be a useful touchpoint to ensure each clinical stream is discussed on an annual basis.</w:t>
      </w:r>
    </w:p>
    <w:p w14:paraId="20387094" w14:textId="05A89327" w:rsidR="3665D695" w:rsidRDefault="3665D695" w:rsidP="3665D695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172FAD8E" w14:textId="22A77B36" w:rsidR="00EB56F8" w:rsidRPr="00EB56F8" w:rsidRDefault="00024770" w:rsidP="00EB56F8">
      <w:pPr>
        <w:pStyle w:val="Heading3"/>
        <w:rPr>
          <w:rStyle w:val="normaltextrun"/>
        </w:rPr>
      </w:pPr>
      <w:bookmarkStart w:id="18" w:name="_Toc151544992"/>
      <w:r>
        <w:rPr>
          <w:rStyle w:val="normaltextrun"/>
          <w:color w:val="auto"/>
        </w:rPr>
        <w:t>Ensuring high-quality care</w:t>
      </w:r>
      <w:bookmarkEnd w:id="18"/>
      <w:r w:rsidR="00EB56F8" w:rsidRPr="3665D695">
        <w:rPr>
          <w:rStyle w:val="normaltextrun"/>
          <w:color w:val="auto"/>
        </w:rPr>
        <w:t> </w:t>
      </w:r>
      <w:r w:rsidR="00EB56F8" w:rsidRPr="3665D695">
        <w:rPr>
          <w:rStyle w:val="normaltextrun"/>
        </w:rPr>
        <w:t> </w:t>
      </w:r>
    </w:p>
    <w:p w14:paraId="1B21D7D0" w14:textId="77777777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>Capability frameworks set minimum standards and requirements to ensure the delivery of high-quality safe patient care.  </w:t>
      </w:r>
    </w:p>
    <w:p w14:paraId="7C60F504" w14:textId="120F64C2" w:rsidR="00EB56F8" w:rsidRDefault="00EB56F8" w:rsidP="228AE75B">
      <w:pPr>
        <w:pStyle w:val="Body"/>
        <w:rPr>
          <w:rFonts w:ascii="Segoe UI" w:hAnsi="Segoe UI" w:cs="Segoe UI"/>
          <w:sz w:val="18"/>
          <w:szCs w:val="18"/>
        </w:rPr>
      </w:pPr>
      <w:r>
        <w:t xml:space="preserve">Each campus will review the scope of their clinical service delivery against the framework and may need to make </w:t>
      </w:r>
      <w:r w:rsidR="62330923">
        <w:t xml:space="preserve">some </w:t>
      </w:r>
      <w:r>
        <w:t xml:space="preserve">adjustments to meet the standards.  These should be discussed and agreed with the department.  In future, if a campus intends to alter the scope of its care provision, the capability framework can provide guidance as to what minimum requirements need to be </w:t>
      </w:r>
      <w:proofErr w:type="gramStart"/>
      <w:r>
        <w:t>taken into account</w:t>
      </w:r>
      <w:proofErr w:type="gramEnd"/>
      <w:r>
        <w:t>. </w:t>
      </w:r>
    </w:p>
    <w:p w14:paraId="2EA48BF9" w14:textId="77777777" w:rsidR="00EB56F8" w:rsidRDefault="00EB56F8" w:rsidP="00EB56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eastAsia="MS Mincho" w:hAnsi="Calibri Light" w:cs="Calibri Light"/>
          <w:color w:val="2F5496"/>
          <w:sz w:val="26"/>
          <w:szCs w:val="26"/>
        </w:rPr>
        <w:t> </w:t>
      </w:r>
    </w:p>
    <w:p w14:paraId="799A8A1F" w14:textId="796BCEE9" w:rsidR="00EB56F8" w:rsidRPr="00EB56F8" w:rsidRDefault="00024770" w:rsidP="00EB56F8">
      <w:pPr>
        <w:pStyle w:val="Heading3"/>
        <w:rPr>
          <w:rStyle w:val="normaltextrun"/>
        </w:rPr>
      </w:pPr>
      <w:bookmarkStart w:id="19" w:name="_Toc151544993"/>
      <w:r>
        <w:rPr>
          <w:rStyle w:val="normaltextrun"/>
          <w:color w:val="auto"/>
        </w:rPr>
        <w:t>Further information</w:t>
      </w:r>
      <w:bookmarkEnd w:id="19"/>
      <w:r w:rsidR="00EB56F8" w:rsidRPr="3665D695">
        <w:rPr>
          <w:rStyle w:val="normaltextrun"/>
        </w:rPr>
        <w:t> </w:t>
      </w:r>
    </w:p>
    <w:p w14:paraId="38B1D015" w14:textId="6F2FECFC" w:rsidR="00EB56F8" w:rsidRDefault="00EB56F8" w:rsidP="00024770">
      <w:pPr>
        <w:pStyle w:val="Body"/>
        <w:rPr>
          <w:rFonts w:ascii="Segoe UI" w:hAnsi="Segoe UI" w:cs="Segoe UI"/>
          <w:sz w:val="18"/>
          <w:szCs w:val="18"/>
        </w:rPr>
      </w:pPr>
      <w:r w:rsidRPr="228AE75B">
        <w:rPr>
          <w:rStyle w:val="BodyChar"/>
        </w:rPr>
        <w:t xml:space="preserve">More information about each capability framework is available on the </w:t>
      </w:r>
      <w:hyperlink r:id="rId16" w:history="1">
        <w:r w:rsidRPr="004B2FA7">
          <w:rPr>
            <w:rStyle w:val="Hyperlink"/>
          </w:rPr>
          <w:t>Department of Health website</w:t>
        </w:r>
      </w:hyperlink>
      <w:r w:rsidRPr="228AE75B">
        <w:rPr>
          <w:rStyle w:val="BodyChar"/>
        </w:rPr>
        <w:t xml:space="preserve">. </w:t>
      </w:r>
      <w:r w:rsidRPr="228AE75B">
        <w:rPr>
          <w:rStyle w:val="BodyChar"/>
          <w:lang w:val="en-US"/>
        </w:rPr>
        <w:t>These resources will offer detailed insights into the frameworks, their various levels of capability, and how they ensure safe and high-quality care at Victorian hospitals. </w:t>
      </w:r>
      <w:r w:rsidRPr="228AE75B">
        <w:rPr>
          <w:rStyle w:val="BodyChar"/>
        </w:rPr>
        <w:t> </w:t>
      </w:r>
    </w:p>
    <w:p w14:paraId="1888832F" w14:textId="77777777" w:rsidR="00EB56F8" w:rsidRDefault="00EB56F8" w:rsidP="00EB56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S Mincho" w:hAnsi="Calibri" w:cs="Calibri"/>
          <w:sz w:val="20"/>
          <w:szCs w:val="20"/>
        </w:rPr>
        <w:t> </w:t>
      </w:r>
    </w:p>
    <w:p w14:paraId="28CF5250" w14:textId="16C7ADDC" w:rsidR="00EB56F8" w:rsidRDefault="02A01509" w:rsidP="1D608F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D608FE4">
        <w:rPr>
          <w:rStyle w:val="eop"/>
          <w:rFonts w:ascii="Calibri" w:eastAsia="MS Mincho" w:hAnsi="Calibri" w:cs="Calibri"/>
          <w:sz w:val="20"/>
          <w:szCs w:val="20"/>
        </w:rPr>
        <w:t>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1D608FE4" w14:paraId="2DF7C728" w14:textId="77777777" w:rsidTr="228AE75B">
        <w:trPr>
          <w:trHeight w:val="300"/>
        </w:trPr>
        <w:tc>
          <w:tcPr>
            <w:tcW w:w="10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86AE2" w14:textId="28C14D66" w:rsidR="1D608FE4" w:rsidRDefault="1D608FE4" w:rsidP="1D608FE4">
            <w:pPr>
              <w:jc w:val="center"/>
            </w:pPr>
            <w:r w:rsidRPr="1D608FE4">
              <w:rPr>
                <w:rFonts w:eastAsia="Arial" w:cs="Arial"/>
                <w:b/>
                <w:bCs/>
                <w:szCs w:val="21"/>
              </w:rPr>
              <w:t xml:space="preserve"> Version Control</w:t>
            </w:r>
          </w:p>
        </w:tc>
      </w:tr>
      <w:tr w:rsidR="1D608FE4" w14:paraId="541142DE" w14:textId="77777777" w:rsidTr="228AE75B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88AD2" w14:textId="7507EF1F" w:rsidR="1D608FE4" w:rsidRDefault="1D608FE4" w:rsidP="1D608FE4">
            <w:r w:rsidRPr="1D608FE4">
              <w:rPr>
                <w:rFonts w:eastAsia="Arial" w:cs="Arial"/>
                <w:b/>
                <w:bCs/>
                <w:szCs w:val="21"/>
              </w:rPr>
              <w:t>Version number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BCBDA" w14:textId="42380FFA" w:rsidR="1D608FE4" w:rsidRDefault="1D608FE4" w:rsidP="1D608FE4">
            <w:r w:rsidRPr="1D608FE4">
              <w:rPr>
                <w:rFonts w:eastAsia="Arial" w:cs="Arial"/>
                <w:b/>
                <w:bCs/>
                <w:szCs w:val="21"/>
              </w:rPr>
              <w:t>Author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5DFB6D" w14:textId="4333E209" w:rsidR="1D608FE4" w:rsidRDefault="1D608FE4" w:rsidP="1D608FE4">
            <w:r w:rsidRPr="1D608FE4">
              <w:rPr>
                <w:rFonts w:eastAsia="Arial" w:cs="Arial"/>
                <w:b/>
                <w:bCs/>
                <w:szCs w:val="21"/>
              </w:rPr>
              <w:t>Date approved</w:t>
            </w:r>
          </w:p>
        </w:tc>
      </w:tr>
      <w:tr w:rsidR="1D608FE4" w14:paraId="26ED04BE" w14:textId="77777777" w:rsidTr="228AE75B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D8639" w14:textId="43528FA5" w:rsidR="1D608FE4" w:rsidRDefault="1D608FE4" w:rsidP="1D608FE4">
            <w:r w:rsidRPr="1D608FE4">
              <w:rPr>
                <w:rFonts w:eastAsia="Arial" w:cs="Arial"/>
                <w:szCs w:val="21"/>
              </w:rPr>
              <w:t>1.0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50122" w14:textId="5E14E35B" w:rsidR="1D608FE4" w:rsidRDefault="1D608FE4" w:rsidP="1D608FE4">
            <w:r w:rsidRPr="1D608FE4">
              <w:rPr>
                <w:rFonts w:eastAsia="Arial" w:cs="Arial"/>
                <w:szCs w:val="21"/>
              </w:rPr>
              <w:t>Mary Benson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7CFC9" w14:textId="0F1A6F72" w:rsidR="1D608FE4" w:rsidRDefault="6650DDF8" w:rsidP="228AE75B">
            <w:pPr>
              <w:rPr>
                <w:rFonts w:eastAsia="Arial" w:cs="Arial"/>
              </w:rPr>
            </w:pPr>
            <w:r w:rsidRPr="228AE75B">
              <w:rPr>
                <w:rFonts w:eastAsia="Arial" w:cs="Arial"/>
              </w:rPr>
              <w:t xml:space="preserve">22 </w:t>
            </w:r>
            <w:r w:rsidR="35B4D830" w:rsidRPr="228AE75B">
              <w:rPr>
                <w:rFonts w:eastAsia="Arial" w:cs="Arial"/>
              </w:rPr>
              <w:t>November 2023</w:t>
            </w:r>
          </w:p>
        </w:tc>
      </w:tr>
    </w:tbl>
    <w:p w14:paraId="481D557A" w14:textId="53C7B334" w:rsidR="00EB56F8" w:rsidRDefault="00EB56F8" w:rsidP="1D608FE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MS Mincho" w:hAnsi="Calibri" w:cs="Calibri"/>
          <w:sz w:val="20"/>
          <w:szCs w:val="20"/>
        </w:rPr>
      </w:pPr>
    </w:p>
    <w:p w14:paraId="763312F5" w14:textId="29465B77" w:rsidR="1D608FE4" w:rsidRDefault="1D608FE4" w:rsidP="1D608FE4">
      <w:pPr>
        <w:pStyle w:val="paragraph"/>
        <w:spacing w:before="0" w:beforeAutospacing="0" w:after="0" w:afterAutospacing="0"/>
        <w:rPr>
          <w:rStyle w:val="eop"/>
          <w:rFonts w:ascii="Calibri" w:eastAsia="MS Mincho" w:hAnsi="Calibri" w:cs="Calibri"/>
          <w:sz w:val="20"/>
          <w:szCs w:val="20"/>
        </w:rPr>
      </w:pPr>
    </w:p>
    <w:p w14:paraId="678DBB09" w14:textId="22FC421E" w:rsidR="00264893" w:rsidRPr="00024770" w:rsidRDefault="00264893" w:rsidP="25CF588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bookmarkStart w:id="20" w:name="_Hlk37240926"/>
      <w:r w:rsidRPr="00024770">
        <w:rPr>
          <w:rFonts w:ascii="Arial" w:hAnsi="Arial" w:cs="Arial"/>
          <w:sz w:val="20"/>
          <w:szCs w:val="20"/>
        </w:rPr>
        <w:t xml:space="preserve">To receive this document in another format, email </w:t>
      </w:r>
      <w:hyperlink r:id="rId17" w:history="1">
        <w:r w:rsidRPr="004B2FA7">
          <w:rPr>
            <w:rStyle w:val="Hyperlink"/>
            <w:rFonts w:ascii="Arial" w:hAnsi="Arial" w:cs="Arial"/>
            <w:sz w:val="20"/>
            <w:szCs w:val="20"/>
          </w:rPr>
          <w:t>Capability frameworks</w:t>
        </w:r>
      </w:hyperlink>
      <w:r w:rsidR="004B2FA7">
        <w:rPr>
          <w:rFonts w:ascii="Arial" w:hAnsi="Arial" w:cs="Arial"/>
          <w:color w:val="004C97"/>
          <w:sz w:val="20"/>
          <w:szCs w:val="20"/>
        </w:rPr>
        <w:t xml:space="preserve"> </w:t>
      </w:r>
      <w:r w:rsidRPr="00024770">
        <w:rPr>
          <w:rFonts w:ascii="Arial" w:hAnsi="Arial" w:cs="Arial"/>
          <w:sz w:val="20"/>
          <w:szCs w:val="20"/>
        </w:rPr>
        <w:t>&lt;</w:t>
      </w:r>
      <w:r w:rsidR="004B2FA7" w:rsidRPr="004B2FA7">
        <w:rPr>
          <w:rFonts w:ascii="Arial" w:hAnsi="Arial" w:cs="Arial"/>
          <w:sz w:val="20"/>
          <w:szCs w:val="20"/>
        </w:rPr>
        <w:t>capabilityframeworks@health.vic.gov.au</w:t>
      </w:r>
      <w:r w:rsidRPr="00024770">
        <w:rPr>
          <w:rFonts w:ascii="Arial" w:hAnsi="Arial" w:cs="Arial"/>
          <w:sz w:val="20"/>
          <w:szCs w:val="20"/>
        </w:rPr>
        <w:t>&gt;.</w:t>
      </w:r>
    </w:p>
    <w:p w14:paraId="721B711C" w14:textId="2C583F6B" w:rsidR="004B2FA7" w:rsidRPr="0055119B" w:rsidRDefault="00264893" w:rsidP="00C5641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32D99188" w14:textId="21CF4572" w:rsidR="19153B9F" w:rsidRDefault="19153B9F" w:rsidP="1D608FE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© State of Victoria, Australia, Department of Health, November 2023.</w:t>
      </w:r>
      <w:bookmarkEnd w:id="20"/>
    </w:p>
    <w:p w14:paraId="59305F9E" w14:textId="05C406D2" w:rsidR="004B2FA7" w:rsidRDefault="004B2FA7" w:rsidP="004B2F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B4C30">
        <w:rPr>
          <w:b/>
          <w:bCs/>
        </w:rPr>
        <w:t>ISBN</w:t>
      </w:r>
      <w:r>
        <w:t xml:space="preserve"> 978-1-76131-455-1 </w:t>
      </w:r>
    </w:p>
    <w:p w14:paraId="38622C2C" w14:textId="3D46852C" w:rsidR="004B2FA7" w:rsidRDefault="004B2FA7" w:rsidP="004B2FA7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18" w:history="1">
        <w:r w:rsidRPr="004B2FA7">
          <w:rPr>
            <w:rStyle w:val="Hyperlink"/>
          </w:rPr>
          <w:t>Service capability frameworks for Victoria</w:t>
        </w:r>
      </w:hyperlink>
      <w:r>
        <w:t xml:space="preserve"> &lt;</w:t>
      </w:r>
      <w:r w:rsidRPr="00440839">
        <w:t>https://www.health.vic.gov.au/health-system-design-planning/service-capability-frameworks-for-victoria</w:t>
      </w:r>
      <w:r>
        <w:t>&gt;</w:t>
      </w:r>
    </w:p>
    <w:sectPr w:rsidR="004B2FA7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781A" w14:textId="77777777" w:rsidR="00B21093" w:rsidRDefault="00B21093">
      <w:r>
        <w:separator/>
      </w:r>
    </w:p>
  </w:endnote>
  <w:endnote w:type="continuationSeparator" w:id="0">
    <w:p w14:paraId="5EC56CC4" w14:textId="77777777" w:rsidR="00B21093" w:rsidRDefault="00B21093">
      <w:r>
        <w:continuationSeparator/>
      </w:r>
    </w:p>
  </w:endnote>
  <w:endnote w:type="continuationNotice" w:id="1">
    <w:p w14:paraId="7D95C1C6" w14:textId="77777777" w:rsidR="00B21093" w:rsidRDefault="00B21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E41E" w14:textId="77777777" w:rsidR="00B21093" w:rsidRDefault="00B21093" w:rsidP="002862F1">
      <w:pPr>
        <w:spacing w:before="120"/>
      </w:pPr>
      <w:r>
        <w:separator/>
      </w:r>
    </w:p>
  </w:footnote>
  <w:footnote w:type="continuationSeparator" w:id="0">
    <w:p w14:paraId="20A1DAD9" w14:textId="77777777" w:rsidR="00B21093" w:rsidRDefault="00B21093">
      <w:r>
        <w:continuationSeparator/>
      </w:r>
    </w:p>
  </w:footnote>
  <w:footnote w:type="continuationNotice" w:id="1">
    <w:p w14:paraId="73EA89B9" w14:textId="77777777" w:rsidR="00B21093" w:rsidRDefault="00B21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88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7A37" w14:textId="74C81F35" w:rsidR="00E261B3" w:rsidRPr="0051568D" w:rsidRDefault="00CF5065" w:rsidP="0011701A">
    <w:pPr>
      <w:pStyle w:val="Header"/>
    </w:pPr>
    <w:r>
      <w:t xml:space="preserve">Capability Frameworks – </w:t>
    </w:r>
    <w:r w:rsidR="00C56417">
      <w:t>Health service</w:t>
    </w:r>
    <w:r>
      <w:t xml:space="preserve"> </w:t>
    </w:r>
    <w:r w:rsidR="00E4376F">
      <w:t>factsheet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2A1777"/>
    <w:multiLevelType w:val="multilevel"/>
    <w:tmpl w:val="D63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4F07F2A"/>
    <w:multiLevelType w:val="multilevel"/>
    <w:tmpl w:val="63F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6F205D2"/>
    <w:multiLevelType w:val="multilevel"/>
    <w:tmpl w:val="17F6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B8657B"/>
    <w:multiLevelType w:val="multilevel"/>
    <w:tmpl w:val="DDC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8D0EB7"/>
    <w:multiLevelType w:val="multilevel"/>
    <w:tmpl w:val="515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207C6C"/>
    <w:multiLevelType w:val="multilevel"/>
    <w:tmpl w:val="3D5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D603D3"/>
    <w:multiLevelType w:val="multilevel"/>
    <w:tmpl w:val="F02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23740">
    <w:abstractNumId w:val="10"/>
  </w:num>
  <w:num w:numId="2" w16cid:durableId="637809309">
    <w:abstractNumId w:val="22"/>
  </w:num>
  <w:num w:numId="3" w16cid:durableId="1806118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4318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591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8035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689221">
    <w:abstractNumId w:val="26"/>
  </w:num>
  <w:num w:numId="8" w16cid:durableId="1369910436">
    <w:abstractNumId w:val="21"/>
  </w:num>
  <w:num w:numId="9" w16cid:durableId="559445600">
    <w:abstractNumId w:val="25"/>
  </w:num>
  <w:num w:numId="10" w16cid:durableId="18600010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2969762">
    <w:abstractNumId w:val="28"/>
  </w:num>
  <w:num w:numId="12" w16cid:durableId="2091549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271001">
    <w:abstractNumId w:val="23"/>
  </w:num>
  <w:num w:numId="14" w16cid:durableId="1556240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84137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197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354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4240673">
    <w:abstractNumId w:val="30"/>
  </w:num>
  <w:num w:numId="19" w16cid:durableId="1753889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0538002">
    <w:abstractNumId w:val="15"/>
  </w:num>
  <w:num w:numId="21" w16cid:durableId="1507090627">
    <w:abstractNumId w:val="12"/>
  </w:num>
  <w:num w:numId="22" w16cid:durableId="381101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0697706">
    <w:abstractNumId w:val="18"/>
  </w:num>
  <w:num w:numId="24" w16cid:durableId="1873154126">
    <w:abstractNumId w:val="31"/>
  </w:num>
  <w:num w:numId="25" w16cid:durableId="1658143828">
    <w:abstractNumId w:val="29"/>
  </w:num>
  <w:num w:numId="26" w16cid:durableId="738091634">
    <w:abstractNumId w:val="24"/>
  </w:num>
  <w:num w:numId="27" w16cid:durableId="1225217180">
    <w:abstractNumId w:val="11"/>
  </w:num>
  <w:num w:numId="28" w16cid:durableId="1586500290">
    <w:abstractNumId w:val="32"/>
  </w:num>
  <w:num w:numId="29" w16cid:durableId="84377437">
    <w:abstractNumId w:val="9"/>
  </w:num>
  <w:num w:numId="30" w16cid:durableId="123235262">
    <w:abstractNumId w:val="7"/>
  </w:num>
  <w:num w:numId="31" w16cid:durableId="1381589198">
    <w:abstractNumId w:val="6"/>
  </w:num>
  <w:num w:numId="32" w16cid:durableId="1613627858">
    <w:abstractNumId w:val="5"/>
  </w:num>
  <w:num w:numId="33" w16cid:durableId="1348482463">
    <w:abstractNumId w:val="4"/>
  </w:num>
  <w:num w:numId="34" w16cid:durableId="945500846">
    <w:abstractNumId w:val="8"/>
  </w:num>
  <w:num w:numId="35" w16cid:durableId="1624340504">
    <w:abstractNumId w:val="3"/>
  </w:num>
  <w:num w:numId="36" w16cid:durableId="948468161">
    <w:abstractNumId w:val="2"/>
  </w:num>
  <w:num w:numId="37" w16cid:durableId="423384259">
    <w:abstractNumId w:val="1"/>
  </w:num>
  <w:num w:numId="38" w16cid:durableId="1905097963">
    <w:abstractNumId w:val="0"/>
  </w:num>
  <w:num w:numId="39" w16cid:durableId="958150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1949578">
    <w:abstractNumId w:val="33"/>
  </w:num>
  <w:num w:numId="41" w16cid:durableId="1404135641">
    <w:abstractNumId w:val="27"/>
  </w:num>
  <w:num w:numId="42" w16cid:durableId="680157307">
    <w:abstractNumId w:val="16"/>
  </w:num>
  <w:num w:numId="43" w16cid:durableId="350495671">
    <w:abstractNumId w:val="13"/>
  </w:num>
  <w:num w:numId="44" w16cid:durableId="1228763199">
    <w:abstractNumId w:val="20"/>
  </w:num>
  <w:num w:numId="45" w16cid:durableId="1683507998">
    <w:abstractNumId w:val="17"/>
  </w:num>
  <w:num w:numId="46" w16cid:durableId="2629316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08FC"/>
    <w:rsid w:val="00003403"/>
    <w:rsid w:val="00005347"/>
    <w:rsid w:val="000072B6"/>
    <w:rsid w:val="0001021B"/>
    <w:rsid w:val="00011D89"/>
    <w:rsid w:val="000154FD"/>
    <w:rsid w:val="00016BA8"/>
    <w:rsid w:val="00016FBF"/>
    <w:rsid w:val="00022271"/>
    <w:rsid w:val="000235E8"/>
    <w:rsid w:val="00024770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0FE6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2C8"/>
    <w:rsid w:val="0010392D"/>
    <w:rsid w:val="0010447F"/>
    <w:rsid w:val="00104FE3"/>
    <w:rsid w:val="0010714F"/>
    <w:rsid w:val="001120C5"/>
    <w:rsid w:val="001141C7"/>
    <w:rsid w:val="0011701A"/>
    <w:rsid w:val="00120BD3"/>
    <w:rsid w:val="00122FEA"/>
    <w:rsid w:val="001232BD"/>
    <w:rsid w:val="00124ED5"/>
    <w:rsid w:val="001276FA"/>
    <w:rsid w:val="0014255B"/>
    <w:rsid w:val="001447B3"/>
    <w:rsid w:val="00146726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87049"/>
    <w:rsid w:val="00192F9D"/>
    <w:rsid w:val="00195BAA"/>
    <w:rsid w:val="00196EB8"/>
    <w:rsid w:val="00196EFB"/>
    <w:rsid w:val="001979FF"/>
    <w:rsid w:val="00197B17"/>
    <w:rsid w:val="001A1950"/>
    <w:rsid w:val="001A1C54"/>
    <w:rsid w:val="001A3ACE"/>
    <w:rsid w:val="001B058F"/>
    <w:rsid w:val="001B4C30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724"/>
    <w:rsid w:val="00216C03"/>
    <w:rsid w:val="00220C04"/>
    <w:rsid w:val="0022278D"/>
    <w:rsid w:val="0022701F"/>
    <w:rsid w:val="00227C68"/>
    <w:rsid w:val="0023072E"/>
    <w:rsid w:val="002333F5"/>
    <w:rsid w:val="00233724"/>
    <w:rsid w:val="002365B4"/>
    <w:rsid w:val="0024052B"/>
    <w:rsid w:val="002432E1"/>
    <w:rsid w:val="00246207"/>
    <w:rsid w:val="00246C5E"/>
    <w:rsid w:val="00247234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4893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23B6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CEB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0E98"/>
    <w:rsid w:val="004A160D"/>
    <w:rsid w:val="004A3E81"/>
    <w:rsid w:val="004A4195"/>
    <w:rsid w:val="004A5C62"/>
    <w:rsid w:val="004A5CE5"/>
    <w:rsid w:val="004A707D"/>
    <w:rsid w:val="004B2FA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0C6A"/>
    <w:rsid w:val="005126D0"/>
    <w:rsid w:val="0051568D"/>
    <w:rsid w:val="00516173"/>
    <w:rsid w:val="005206E5"/>
    <w:rsid w:val="00526AC7"/>
    <w:rsid w:val="00526C15"/>
    <w:rsid w:val="005275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5E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C0C49"/>
    <w:rsid w:val="006C6731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E38"/>
    <w:rsid w:val="0077463E"/>
    <w:rsid w:val="00776928"/>
    <w:rsid w:val="00776E0F"/>
    <w:rsid w:val="007774B1"/>
    <w:rsid w:val="00777BE1"/>
    <w:rsid w:val="007833D8"/>
    <w:rsid w:val="007850BF"/>
    <w:rsid w:val="00785677"/>
    <w:rsid w:val="00786F16"/>
    <w:rsid w:val="00791BD7"/>
    <w:rsid w:val="007933F7"/>
    <w:rsid w:val="00796E20"/>
    <w:rsid w:val="00797C32"/>
    <w:rsid w:val="007A11E8"/>
    <w:rsid w:val="007A30B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B202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47812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4CF8"/>
    <w:rsid w:val="008A5B32"/>
    <w:rsid w:val="008B2EE4"/>
    <w:rsid w:val="008B4D3D"/>
    <w:rsid w:val="008B5279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476D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34D6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4C1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2E2D"/>
    <w:rsid w:val="009A3015"/>
    <w:rsid w:val="009A3490"/>
    <w:rsid w:val="009B0A6F"/>
    <w:rsid w:val="009B0A94"/>
    <w:rsid w:val="009B2AE8"/>
    <w:rsid w:val="009B3B9D"/>
    <w:rsid w:val="009B53B2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92A"/>
    <w:rsid w:val="00A330BB"/>
    <w:rsid w:val="00A43D7A"/>
    <w:rsid w:val="00A44882"/>
    <w:rsid w:val="00A45125"/>
    <w:rsid w:val="00A54715"/>
    <w:rsid w:val="00A563C6"/>
    <w:rsid w:val="00A6061C"/>
    <w:rsid w:val="00A62D44"/>
    <w:rsid w:val="00A633C9"/>
    <w:rsid w:val="00A67263"/>
    <w:rsid w:val="00A7161C"/>
    <w:rsid w:val="00A77AA3"/>
    <w:rsid w:val="00A81B9E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09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755"/>
    <w:rsid w:val="00B75646"/>
    <w:rsid w:val="00B90260"/>
    <w:rsid w:val="00B90729"/>
    <w:rsid w:val="00B907DA"/>
    <w:rsid w:val="00B94CD5"/>
    <w:rsid w:val="00B950BC"/>
    <w:rsid w:val="00B9579D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61A2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64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5065"/>
    <w:rsid w:val="00CF6198"/>
    <w:rsid w:val="00D02919"/>
    <w:rsid w:val="00D04B27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2326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4417"/>
    <w:rsid w:val="00E163E6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76F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56F8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B3A"/>
    <w:rsid w:val="00F76CAB"/>
    <w:rsid w:val="00F772C6"/>
    <w:rsid w:val="00F815B5"/>
    <w:rsid w:val="00F84FA0"/>
    <w:rsid w:val="00F85195"/>
    <w:rsid w:val="00F868E3"/>
    <w:rsid w:val="00F91D36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6D360B"/>
    <w:rsid w:val="020D957B"/>
    <w:rsid w:val="02A01509"/>
    <w:rsid w:val="0346FE91"/>
    <w:rsid w:val="04654DB8"/>
    <w:rsid w:val="050FFA70"/>
    <w:rsid w:val="06154A36"/>
    <w:rsid w:val="06213B05"/>
    <w:rsid w:val="0693B75A"/>
    <w:rsid w:val="0A7462BF"/>
    <w:rsid w:val="0C2C4131"/>
    <w:rsid w:val="0ED787FB"/>
    <w:rsid w:val="0F67FE77"/>
    <w:rsid w:val="158C0468"/>
    <w:rsid w:val="188DACDA"/>
    <w:rsid w:val="19153B9F"/>
    <w:rsid w:val="1B0D8446"/>
    <w:rsid w:val="1B7B46A3"/>
    <w:rsid w:val="1D608FE4"/>
    <w:rsid w:val="1F81A28F"/>
    <w:rsid w:val="22348F20"/>
    <w:rsid w:val="228AE75B"/>
    <w:rsid w:val="22F43154"/>
    <w:rsid w:val="2328F70C"/>
    <w:rsid w:val="238908E3"/>
    <w:rsid w:val="25CF5885"/>
    <w:rsid w:val="25F9D61A"/>
    <w:rsid w:val="26CC70F5"/>
    <w:rsid w:val="270FEDC9"/>
    <w:rsid w:val="27331F4E"/>
    <w:rsid w:val="29B072F8"/>
    <w:rsid w:val="29EF9F47"/>
    <w:rsid w:val="2BF5C1C0"/>
    <w:rsid w:val="2D48DA30"/>
    <w:rsid w:val="2D8D74CC"/>
    <w:rsid w:val="2DA9C38E"/>
    <w:rsid w:val="2FEDACBE"/>
    <w:rsid w:val="2FF855D7"/>
    <w:rsid w:val="30158BDE"/>
    <w:rsid w:val="31419CDA"/>
    <w:rsid w:val="31511DC6"/>
    <w:rsid w:val="31A2A57C"/>
    <w:rsid w:val="326196BC"/>
    <w:rsid w:val="33254D80"/>
    <w:rsid w:val="34B48BBC"/>
    <w:rsid w:val="35B4D830"/>
    <w:rsid w:val="35E0996D"/>
    <w:rsid w:val="3665D695"/>
    <w:rsid w:val="3801A6F6"/>
    <w:rsid w:val="386A9D68"/>
    <w:rsid w:val="3A5DB255"/>
    <w:rsid w:val="3A6148C2"/>
    <w:rsid w:val="3B4A8EA8"/>
    <w:rsid w:val="3CE65F09"/>
    <w:rsid w:val="3DE931C4"/>
    <w:rsid w:val="3EB3B473"/>
    <w:rsid w:val="3ED133CC"/>
    <w:rsid w:val="402BC6E4"/>
    <w:rsid w:val="43074286"/>
    <w:rsid w:val="45C41DFE"/>
    <w:rsid w:val="460A0DC3"/>
    <w:rsid w:val="475FEE5F"/>
    <w:rsid w:val="488AAE9D"/>
    <w:rsid w:val="49B2A054"/>
    <w:rsid w:val="4AEE6C66"/>
    <w:rsid w:val="4C57E1F1"/>
    <w:rsid w:val="4CADEAD0"/>
    <w:rsid w:val="4DC95B53"/>
    <w:rsid w:val="4DD7312E"/>
    <w:rsid w:val="528A6BF7"/>
    <w:rsid w:val="54A5860B"/>
    <w:rsid w:val="54B84B45"/>
    <w:rsid w:val="56A3498C"/>
    <w:rsid w:val="577DFFAF"/>
    <w:rsid w:val="5813CB60"/>
    <w:rsid w:val="58C7E5E8"/>
    <w:rsid w:val="58D4CD91"/>
    <w:rsid w:val="58DE92D1"/>
    <w:rsid w:val="59112213"/>
    <w:rsid w:val="5C3F2F15"/>
    <w:rsid w:val="5C8458D5"/>
    <w:rsid w:val="5E99D056"/>
    <w:rsid w:val="5FF4BA3B"/>
    <w:rsid w:val="60EE435F"/>
    <w:rsid w:val="6133C2EA"/>
    <w:rsid w:val="613D3EA1"/>
    <w:rsid w:val="619B699F"/>
    <w:rsid w:val="619FC658"/>
    <w:rsid w:val="62330923"/>
    <w:rsid w:val="62449B84"/>
    <w:rsid w:val="651781BA"/>
    <w:rsid w:val="6650DDF8"/>
    <w:rsid w:val="669ED8F4"/>
    <w:rsid w:val="681D2717"/>
    <w:rsid w:val="7215A055"/>
    <w:rsid w:val="72453E93"/>
    <w:rsid w:val="72488858"/>
    <w:rsid w:val="77857BA1"/>
    <w:rsid w:val="7B036BB5"/>
    <w:rsid w:val="7B6E8210"/>
    <w:rsid w:val="7C497FAC"/>
    <w:rsid w:val="7D7618FD"/>
    <w:rsid w:val="7DB5D6DA"/>
    <w:rsid w:val="7EF0D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4B1FBAF7-99D4-476E-8E52-A8124454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6C6731"/>
  </w:style>
  <w:style w:type="character" w:customStyle="1" w:styleId="eop">
    <w:name w:val="eop"/>
    <w:basedOn w:val="DefaultParagraphFont"/>
    <w:rsid w:val="006C6731"/>
  </w:style>
  <w:style w:type="paragraph" w:customStyle="1" w:styleId="paragraph">
    <w:name w:val="paragraph"/>
    <w:basedOn w:val="Normal"/>
    <w:rsid w:val="00230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411C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health-system-design-planning/service-capability-frameworks-for-victori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apabilityframework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health-system-design-planning/service-capability-frameworks-for-victor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Kerryn Eccleston (Health)</DisplayName>
        <AccountId>942</AccountId>
        <AccountType/>
      </UserInfo>
      <UserInfo>
        <DisplayName>Lucy Sutherland (Health)</DisplayName>
        <AccountId>943</AccountId>
        <AccountType/>
      </UserInfo>
      <UserInfo>
        <DisplayName>Mary Benson (Health)</DisplayName>
        <AccountId>602</AccountId>
        <AccountType/>
      </UserInfo>
      <UserInfo>
        <DisplayName>Miriam Brown (Health)</DisplayName>
        <AccountId>938</AccountId>
        <AccountType/>
      </UserInfo>
      <UserInfo>
        <DisplayName>Isabella Ryan (Health)</DisplayName>
        <AccountId>698</AccountId>
        <AccountType/>
      </UserInfo>
      <UserInfo>
        <DisplayName>Andy Phillips (SCV)</DisplayName>
        <AccountId>344</AccountId>
        <AccountType/>
      </UserInfo>
      <UserInfo>
        <DisplayName>Karen Botting (Health)</DisplayName>
        <AccountId>243</AccountId>
        <AccountType/>
      </UserInfo>
      <UserInfo>
        <DisplayName>Georgina Akers (Health)</DisplayName>
        <AccountId>177</AccountId>
        <AccountType/>
      </UserInfo>
      <UserInfo>
        <DisplayName>Rebecca Khampha (Health)</DisplayName>
        <AccountId>1063</AccountId>
        <AccountType/>
      </UserInfo>
      <UserInfo>
        <DisplayName>Sonia Denisenko (Health)</DisplayName>
        <AccountId>16</AccountId>
        <AccountType/>
      </UserInfo>
      <UserInfo>
        <DisplayName>Paul Aiken (Health)</DisplayName>
        <AccountId>787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7" ma:contentTypeDescription="Create a new document." ma:contentTypeScope="" ma:versionID="0e5cafbd431350b336523f7d0ac6560f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2c04e40562be72e6cfe97a30998f05f5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b00e7b-332d-4610-8aa3-5c2971790d90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  <ds:schemaRef ds:uri="51ef5222-d273-4e86-adbf-8aa3d9e99a84"/>
  </ds:schemaRefs>
</ds:datastoreItem>
</file>

<file path=customXml/itemProps3.xml><?xml version="1.0" encoding="utf-8"?>
<ds:datastoreItem xmlns:ds="http://schemas.openxmlformats.org/officeDocument/2006/customXml" ds:itemID="{B242FC4F-0E85-459A-AD7C-50E61DA3D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6677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Frameworks - Health services factsheet</dc:title>
  <dc:subject/>
  <dc:creator>Microsoft Office User;capabilityframeworks@health.vic.gov.au</dc:creator>
  <cp:keywords>capability frameworks</cp:keywords>
  <dc:description/>
  <cp:revision>6</cp:revision>
  <cp:lastPrinted>2020-03-30T21:28:00Z</cp:lastPrinted>
  <dcterms:created xsi:type="dcterms:W3CDTF">2023-11-23T06:00:00Z</dcterms:created>
  <dcterms:modified xsi:type="dcterms:W3CDTF">2023-12-07T23:39:00Z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