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293D8B77" w:rsidR="003B5733" w:rsidRPr="003B5733" w:rsidRDefault="006C6731" w:rsidP="003B5733">
            <w:pPr>
              <w:pStyle w:val="Documenttitle"/>
            </w:pPr>
            <w:r w:rsidRPr="0080342F">
              <w:rPr>
                <w:color w:val="0F243E" w:themeColor="text2" w:themeShade="80"/>
              </w:rPr>
              <w:t>Capability Frameworks</w:t>
            </w:r>
            <w:r>
              <w:rPr>
                <w:rStyle w:val="eop"/>
                <w:rFonts w:ascii="Calibri Light" w:eastAsia="MS Gothic" w:hAnsi="Calibri Light" w:cs="Calibri Light"/>
                <w:color w:val="000000"/>
                <w:sz w:val="56"/>
                <w:szCs w:val="56"/>
                <w:shd w:val="clear" w:color="auto" w:fill="FFFFFF"/>
              </w:rPr>
              <w:t> </w:t>
            </w:r>
          </w:p>
        </w:tc>
      </w:tr>
      <w:tr w:rsidR="003B5733" w14:paraId="560FBDF0" w14:textId="77777777" w:rsidTr="00B07FF7">
        <w:tc>
          <w:tcPr>
            <w:tcW w:w="10348" w:type="dxa"/>
          </w:tcPr>
          <w:p w14:paraId="711537EF" w14:textId="5A30D243" w:rsidR="003B5733" w:rsidRPr="00A1389F" w:rsidRDefault="00516173" w:rsidP="0080342F">
            <w:pPr>
              <w:pStyle w:val="Documentsubtitle"/>
            </w:pPr>
            <w:bookmarkStart w:id="0" w:name="_Toc150436159"/>
            <w:r w:rsidRPr="0080342F">
              <w:t xml:space="preserve">Consumer </w:t>
            </w:r>
            <w:bookmarkEnd w:id="0"/>
            <w:r w:rsidR="00F00FD1">
              <w:t>factsheet</w:t>
            </w:r>
            <w:r w:rsidRPr="007850BF">
              <w:rPr>
                <w:rStyle w:val="eop"/>
                <w:rFonts w:ascii="Calibri Light" w:eastAsia="MS Gothic" w:hAnsi="Calibri Light" w:cs="Calibri Light"/>
                <w:color w:val="auto"/>
                <w:szCs w:val="32"/>
                <w:shd w:val="clear" w:color="auto" w:fill="FFFFFF"/>
              </w:rPr>
              <w:t> </w:t>
            </w:r>
          </w:p>
        </w:tc>
      </w:tr>
      <w:tr w:rsidR="003B5733" w14:paraId="726305CB" w14:textId="77777777" w:rsidTr="00B07FF7">
        <w:tc>
          <w:tcPr>
            <w:tcW w:w="10348" w:type="dxa"/>
          </w:tcPr>
          <w:p w14:paraId="0D3A7CE2" w14:textId="77777777" w:rsidR="003B5733" w:rsidRDefault="00000000" w:rsidP="001E5058">
            <w:pPr>
              <w:pStyle w:val="Bannermarking"/>
            </w:pPr>
            <w:fldSimple w:instr="FILLIN  &quot;Type the protective marking&quot; \d OFFICIAL \o  \* MERGEFORMAT">
              <w:r w:rsidR="00A633C9">
                <w:t>OFFICIAL</w:t>
              </w:r>
            </w:fldSimple>
          </w:p>
          <w:p w14:paraId="34F6929B" w14:textId="6E855C80" w:rsidR="0080342F" w:rsidRPr="001E5058" w:rsidRDefault="0080342F" w:rsidP="001E5058">
            <w:pPr>
              <w:pStyle w:val="Bannermarking"/>
            </w:pPr>
          </w:p>
        </w:tc>
      </w:tr>
    </w:tbl>
    <w:p w14:paraId="5BE23382" w14:textId="77777777" w:rsidR="00AD784C" w:rsidRPr="0080342F" w:rsidRDefault="00AD784C" w:rsidP="009824C1">
      <w:pPr>
        <w:pStyle w:val="Heading3"/>
        <w:rPr>
          <w:color w:val="auto"/>
        </w:rPr>
      </w:pPr>
      <w:bookmarkStart w:id="1" w:name="_Toc151544171"/>
      <w:r w:rsidRPr="0080342F">
        <w:rPr>
          <w:color w:val="auto"/>
        </w:rPr>
        <w:t>Contents</w:t>
      </w:r>
      <w:bookmarkEnd w:id="1"/>
    </w:p>
    <w:p w14:paraId="164317CB" w14:textId="70853C5A" w:rsidR="003F4847" w:rsidRPr="003F4847" w:rsidRDefault="003F4847" w:rsidP="2234FE91">
      <w:pPr>
        <w:pStyle w:val="TOC3"/>
        <w:rPr>
          <w:rFonts w:eastAsia="Arial"/>
          <w:noProof/>
          <w:szCs w:val="21"/>
          <w:lang w:eastAsia="en-AU"/>
        </w:rPr>
      </w:pPr>
      <w:r>
        <w:fldChar w:fldCharType="begin"/>
      </w:r>
      <w:r>
        <w:instrText xml:space="preserve"> TOC \o "1-3" \n \h \z \u </w:instrText>
      </w:r>
      <w:r>
        <w:fldChar w:fldCharType="separate"/>
      </w:r>
      <w:hyperlink w:anchor="_Toc151544172">
        <w:r w:rsidR="55C86F7C" w:rsidRPr="2234FE91">
          <w:rPr>
            <w:rStyle w:val="Hyperlink"/>
            <w:rFonts w:asciiTheme="minorHAnsi" w:hAnsiTheme="minorHAnsi" w:cstheme="minorBidi"/>
            <w:noProof/>
            <w:sz w:val="22"/>
            <w:szCs w:val="22"/>
          </w:rPr>
          <w:t>Capability frameworks</w:t>
        </w:r>
      </w:hyperlink>
    </w:p>
    <w:p w14:paraId="26F49160" w14:textId="7062C049" w:rsidR="003F4847" w:rsidRPr="003F4847" w:rsidRDefault="00000000" w:rsidP="2234FE91">
      <w:pPr>
        <w:pStyle w:val="TOC3"/>
        <w:rPr>
          <w:rFonts w:eastAsia="Arial"/>
          <w:noProof/>
          <w:szCs w:val="21"/>
          <w:lang w:eastAsia="en-AU"/>
        </w:rPr>
      </w:pPr>
      <w:hyperlink w:anchor="_Toc151544173">
        <w:r w:rsidR="55C86F7C" w:rsidRPr="2234FE91">
          <w:rPr>
            <w:rStyle w:val="Hyperlink"/>
            <w:rFonts w:asciiTheme="minorHAnsi" w:hAnsiTheme="minorHAnsi" w:cstheme="minorBidi"/>
            <w:noProof/>
            <w:sz w:val="22"/>
            <w:szCs w:val="22"/>
          </w:rPr>
          <w:t>Purpose</w:t>
        </w:r>
      </w:hyperlink>
    </w:p>
    <w:p w14:paraId="0F79E66C" w14:textId="62AA1EA5" w:rsidR="003F4847" w:rsidRPr="003F4847" w:rsidRDefault="00000000" w:rsidP="2234FE91">
      <w:pPr>
        <w:pStyle w:val="TOC3"/>
        <w:rPr>
          <w:rFonts w:eastAsia="Arial"/>
          <w:noProof/>
          <w:szCs w:val="21"/>
          <w:lang w:eastAsia="en-AU"/>
        </w:rPr>
      </w:pPr>
      <w:hyperlink w:anchor="_Toc151544174">
        <w:r w:rsidR="55C86F7C" w:rsidRPr="2234FE91">
          <w:rPr>
            <w:rStyle w:val="Hyperlink"/>
            <w:rFonts w:asciiTheme="minorHAnsi" w:hAnsiTheme="minorHAnsi" w:cstheme="minorBidi"/>
            <w:noProof/>
            <w:sz w:val="22"/>
            <w:szCs w:val="22"/>
          </w:rPr>
          <w:t>Victorian health service capability frameworks</w:t>
        </w:r>
      </w:hyperlink>
    </w:p>
    <w:p w14:paraId="528968D8" w14:textId="020F2925" w:rsidR="003F4847" w:rsidRPr="003F4847" w:rsidRDefault="00000000" w:rsidP="2234FE91">
      <w:pPr>
        <w:pStyle w:val="TOC3"/>
        <w:rPr>
          <w:rFonts w:eastAsia="Arial"/>
          <w:noProof/>
          <w:szCs w:val="21"/>
          <w:lang w:eastAsia="en-AU"/>
        </w:rPr>
      </w:pPr>
      <w:hyperlink w:anchor="_Toc151544175">
        <w:r w:rsidR="55C86F7C" w:rsidRPr="2234FE91">
          <w:rPr>
            <w:rStyle w:val="Hyperlink"/>
            <w:rFonts w:asciiTheme="minorHAnsi" w:hAnsiTheme="minorHAnsi" w:cstheme="minorBidi"/>
            <w:noProof/>
            <w:sz w:val="22"/>
            <w:szCs w:val="22"/>
          </w:rPr>
          <w:t>Hospital categorisation</w:t>
        </w:r>
      </w:hyperlink>
    </w:p>
    <w:p w14:paraId="7C87F55D" w14:textId="0C112179" w:rsidR="003F4847" w:rsidRPr="003F4847" w:rsidRDefault="00000000" w:rsidP="2234FE91">
      <w:pPr>
        <w:pStyle w:val="TOC3"/>
        <w:rPr>
          <w:rFonts w:eastAsia="Arial"/>
          <w:noProof/>
          <w:szCs w:val="21"/>
          <w:lang w:eastAsia="en-AU"/>
        </w:rPr>
      </w:pPr>
      <w:hyperlink w:anchor="_Toc151544176">
        <w:r w:rsidR="55C86F7C" w:rsidRPr="2234FE91">
          <w:rPr>
            <w:rStyle w:val="Hyperlink"/>
            <w:rFonts w:asciiTheme="minorHAnsi" w:hAnsiTheme="minorHAnsi" w:cstheme="minorBidi"/>
            <w:noProof/>
            <w:sz w:val="22"/>
            <w:szCs w:val="22"/>
          </w:rPr>
          <w:t>Impact for consumers</w:t>
        </w:r>
      </w:hyperlink>
    </w:p>
    <w:p w14:paraId="06DCFB42" w14:textId="456B8D42" w:rsidR="003F4847" w:rsidRPr="003F4847" w:rsidRDefault="00000000" w:rsidP="2234FE91">
      <w:pPr>
        <w:pStyle w:val="TOC3"/>
        <w:rPr>
          <w:rFonts w:eastAsia="Arial"/>
          <w:noProof/>
          <w:szCs w:val="21"/>
          <w:lang w:eastAsia="en-AU"/>
        </w:rPr>
      </w:pPr>
      <w:hyperlink w:anchor="_Toc151544177">
        <w:r w:rsidR="55C86F7C" w:rsidRPr="2234FE91">
          <w:rPr>
            <w:rStyle w:val="Hyperlink"/>
            <w:rFonts w:asciiTheme="minorHAnsi" w:hAnsiTheme="minorHAnsi" w:cstheme="minorBidi"/>
            <w:noProof/>
            <w:sz w:val="22"/>
            <w:szCs w:val="22"/>
          </w:rPr>
          <w:t>More information</w:t>
        </w:r>
      </w:hyperlink>
    </w:p>
    <w:p w14:paraId="6725854F" w14:textId="19B47EC8" w:rsidR="0023072E" w:rsidRPr="00B519CD" w:rsidRDefault="003F4847" w:rsidP="007173CA">
      <w:pPr>
        <w:pStyle w:val="Body"/>
        <w:sectPr w:rsidR="0023072E" w:rsidRPr="00B519CD" w:rsidSect="00E62622">
          <w:headerReference w:type="default" r:id="rId15"/>
          <w:type w:val="continuous"/>
          <w:pgSz w:w="11906" w:h="16838" w:code="9"/>
          <w:pgMar w:top="1418" w:right="851" w:bottom="1418" w:left="851" w:header="851" w:footer="851" w:gutter="0"/>
          <w:cols w:space="340"/>
          <w:titlePg/>
          <w:docGrid w:linePitch="360"/>
        </w:sectPr>
      </w:pPr>
      <w:r>
        <w:rPr>
          <w:rFonts w:eastAsia="Times New Roman" w:cs="Arial"/>
        </w:rPr>
        <w:fldChar w:fldCharType="end"/>
      </w:r>
    </w:p>
    <w:p w14:paraId="2CA0AFF4" w14:textId="6E7F6679" w:rsidR="008A4CF8" w:rsidRPr="0080342F" w:rsidRDefault="008A4CF8" w:rsidP="003F4847">
      <w:pPr>
        <w:pStyle w:val="Heading3"/>
      </w:pPr>
      <w:r>
        <w:rPr>
          <w:rStyle w:val="eop"/>
          <w:rFonts w:ascii="Calibri" w:hAnsi="Calibri" w:cs="Calibri"/>
          <w:sz w:val="22"/>
          <w:szCs w:val="22"/>
        </w:rPr>
        <w:t> </w:t>
      </w:r>
      <w:bookmarkStart w:id="2" w:name="_Toc150436160"/>
      <w:bookmarkStart w:id="3" w:name="_Toc151544172"/>
      <w:r w:rsidR="003F4847">
        <w:rPr>
          <w:rStyle w:val="normaltextrun"/>
          <w:color w:val="auto"/>
        </w:rPr>
        <w:t>C</w:t>
      </w:r>
      <w:r w:rsidRPr="0080342F">
        <w:rPr>
          <w:rStyle w:val="normaltextrun"/>
          <w:color w:val="auto"/>
        </w:rPr>
        <w:t>apability framework</w:t>
      </w:r>
      <w:bookmarkEnd w:id="2"/>
      <w:r w:rsidR="003F4847">
        <w:rPr>
          <w:rStyle w:val="normaltextrun"/>
          <w:color w:val="auto"/>
        </w:rPr>
        <w:t>s</w:t>
      </w:r>
      <w:bookmarkEnd w:id="3"/>
      <w:r w:rsidRPr="0080342F">
        <w:rPr>
          <w:rStyle w:val="eop"/>
          <w:color w:val="auto"/>
        </w:rPr>
        <w:t> </w:t>
      </w:r>
    </w:p>
    <w:p w14:paraId="2B8B019A" w14:textId="77777777" w:rsidR="008A4CF8" w:rsidRDefault="76B53C10" w:rsidP="2234FE91">
      <w:pPr>
        <w:pStyle w:val="Body"/>
        <w:rPr>
          <w:rFonts w:ascii="Segoe UI" w:hAnsi="Segoe UI" w:cs="Segoe UI"/>
          <w:sz w:val="18"/>
          <w:szCs w:val="18"/>
        </w:rPr>
      </w:pPr>
      <w:r w:rsidRPr="2234FE91">
        <w:rPr>
          <w:lang w:val="en-US"/>
        </w:rPr>
        <w:t>A capability framework is a structured set of guidelines and standards to ensure health services deliver the best quality care in the right place at the right time.</w:t>
      </w:r>
      <w:r>
        <w:t> </w:t>
      </w:r>
    </w:p>
    <w:p w14:paraId="0EC9423F" w14:textId="7DD71559" w:rsidR="008A4CF8" w:rsidRDefault="76B53C10" w:rsidP="2234FE91">
      <w:pPr>
        <w:pStyle w:val="Body"/>
        <w:rPr>
          <w:rFonts w:ascii="Segoe UI" w:hAnsi="Segoe UI" w:cs="Segoe UI"/>
          <w:sz w:val="18"/>
          <w:szCs w:val="18"/>
        </w:rPr>
      </w:pPr>
      <w:r w:rsidRPr="60FFE50E">
        <w:rPr>
          <w:lang w:val="en-US"/>
        </w:rPr>
        <w:t xml:space="preserve">A capability framework covers the level and type of skills necessary for staff to deliver safe services, the type of equipment </w:t>
      </w:r>
      <w:r w:rsidR="71ACDB6F" w:rsidRPr="60FFE50E">
        <w:rPr>
          <w:lang w:val="en-US"/>
        </w:rPr>
        <w:t>required,</w:t>
      </w:r>
      <w:r w:rsidRPr="60FFE50E">
        <w:rPr>
          <w:lang w:val="en-US"/>
        </w:rPr>
        <w:t xml:space="preserve"> and other key components needed for clinical services to run efficiently.</w:t>
      </w:r>
      <w:r>
        <w:t> </w:t>
      </w:r>
    </w:p>
    <w:p w14:paraId="59FF216F" w14:textId="77777777" w:rsidR="008A4CF8" w:rsidRDefault="76B53C10" w:rsidP="2234FE91">
      <w:pPr>
        <w:pStyle w:val="Body"/>
        <w:rPr>
          <w:rFonts w:ascii="Segoe UI" w:hAnsi="Segoe UI" w:cs="Segoe UI"/>
          <w:sz w:val="18"/>
          <w:szCs w:val="18"/>
        </w:rPr>
      </w:pPr>
      <w:r>
        <w:t> </w:t>
      </w:r>
    </w:p>
    <w:p w14:paraId="2BB28228" w14:textId="1A42990C" w:rsidR="008A4CF8" w:rsidRPr="0080342F" w:rsidRDefault="003F4847" w:rsidP="009824C1">
      <w:pPr>
        <w:pStyle w:val="Heading3"/>
        <w:rPr>
          <w:color w:val="auto"/>
        </w:rPr>
      </w:pPr>
      <w:bookmarkStart w:id="4" w:name="_Toc151544173"/>
      <w:r>
        <w:rPr>
          <w:rStyle w:val="normaltextrun"/>
          <w:color w:val="auto"/>
        </w:rPr>
        <w:t>Purpose</w:t>
      </w:r>
      <w:bookmarkEnd w:id="4"/>
      <w:r w:rsidR="008A4CF8" w:rsidRPr="0080342F">
        <w:rPr>
          <w:rStyle w:val="eop"/>
          <w:color w:val="auto"/>
        </w:rPr>
        <w:t> </w:t>
      </w:r>
    </w:p>
    <w:p w14:paraId="7A380268" w14:textId="77777777" w:rsidR="008A4CF8" w:rsidRDefault="76B53C10" w:rsidP="2234FE91">
      <w:pPr>
        <w:pStyle w:val="Body"/>
        <w:rPr>
          <w:rFonts w:ascii="Segoe UI" w:hAnsi="Segoe UI" w:cs="Segoe UI"/>
          <w:sz w:val="18"/>
          <w:szCs w:val="18"/>
        </w:rPr>
      </w:pPr>
      <w:r w:rsidRPr="2234FE91">
        <w:rPr>
          <w:lang w:val="en-US"/>
        </w:rPr>
        <w:t>Capability frameworks are designed to improve and support healthcare delivery. They help ensure that if you are a consumer, you receive safe and high-quality care in the right place.  </w:t>
      </w:r>
      <w:r>
        <w:t> </w:t>
      </w:r>
    </w:p>
    <w:p w14:paraId="51C153BB" w14:textId="77777777" w:rsidR="008A4CF8" w:rsidRDefault="76B53C10" w:rsidP="2234FE91">
      <w:pPr>
        <w:pStyle w:val="Body"/>
        <w:rPr>
          <w:rFonts w:ascii="Segoe UI" w:hAnsi="Segoe UI" w:cs="Segoe UI"/>
          <w:sz w:val="18"/>
          <w:szCs w:val="18"/>
        </w:rPr>
      </w:pPr>
      <w:r w:rsidRPr="2234FE91">
        <w:rPr>
          <w:lang w:val="en-US"/>
        </w:rPr>
        <w:t>They make healthcare services more transparent and support communication between clinicians and the consumers they are caring for.</w:t>
      </w:r>
      <w:r>
        <w:t> </w:t>
      </w:r>
    </w:p>
    <w:p w14:paraId="00B601D5" w14:textId="77777777" w:rsidR="008A4CF8" w:rsidRDefault="76B53C10" w:rsidP="2234FE91">
      <w:pPr>
        <w:pStyle w:val="Body"/>
        <w:rPr>
          <w:rFonts w:ascii="Segoe UI" w:hAnsi="Segoe UI" w:cs="Segoe UI"/>
          <w:sz w:val="18"/>
          <w:szCs w:val="18"/>
        </w:rPr>
      </w:pPr>
      <w:r w:rsidRPr="2234FE91">
        <w:rPr>
          <w:lang w:val="en-US"/>
        </w:rPr>
        <w:t>Finally, they assist the government to plan for future service delivery as the population and community health and wellbeing needs change over time.</w:t>
      </w:r>
      <w:r>
        <w:t> </w:t>
      </w:r>
    </w:p>
    <w:p w14:paraId="6170F423" w14:textId="77777777" w:rsidR="008A4CF8" w:rsidRDefault="008A4CF8" w:rsidP="008A4C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52BF8D" w14:textId="04704692" w:rsidR="008A4CF8" w:rsidRPr="0080342F" w:rsidRDefault="003F4847" w:rsidP="009824C1">
      <w:pPr>
        <w:pStyle w:val="Heading3"/>
        <w:rPr>
          <w:color w:val="auto"/>
        </w:rPr>
      </w:pPr>
      <w:bookmarkStart w:id="5" w:name="_Toc150436162"/>
      <w:bookmarkStart w:id="6" w:name="_Toc151544174"/>
      <w:r>
        <w:rPr>
          <w:rStyle w:val="normaltextrun"/>
          <w:color w:val="auto"/>
        </w:rPr>
        <w:t>Victorian</w:t>
      </w:r>
      <w:r w:rsidR="008A4CF8" w:rsidRPr="0080342F">
        <w:rPr>
          <w:rStyle w:val="normaltextrun"/>
          <w:color w:val="auto"/>
        </w:rPr>
        <w:t xml:space="preserve"> health service capability frameworks</w:t>
      </w:r>
      <w:bookmarkEnd w:id="5"/>
      <w:bookmarkEnd w:id="6"/>
      <w:r w:rsidR="008A4CF8" w:rsidRPr="0080342F">
        <w:rPr>
          <w:rStyle w:val="eop"/>
          <w:color w:val="auto"/>
        </w:rPr>
        <w:t> </w:t>
      </w:r>
    </w:p>
    <w:p w14:paraId="128B6B8D" w14:textId="77777777" w:rsidR="008A4CF8" w:rsidRDefault="76B53C10" w:rsidP="2234FE91">
      <w:pPr>
        <w:pStyle w:val="Body"/>
        <w:rPr>
          <w:rFonts w:ascii="Segoe UI" w:hAnsi="Segoe UI" w:cs="Segoe UI"/>
          <w:sz w:val="18"/>
          <w:szCs w:val="18"/>
        </w:rPr>
      </w:pPr>
      <w:r>
        <w:t>Frameworks that are already in place in Victoria and/or are currently being developed include:  </w:t>
      </w:r>
    </w:p>
    <w:p w14:paraId="09A9C636" w14:textId="0FC78A90" w:rsidR="008A4CF8" w:rsidRDefault="00000000" w:rsidP="2234FE91">
      <w:pPr>
        <w:pStyle w:val="Bullet1"/>
      </w:pPr>
      <w:hyperlink r:id="rId16" w:history="1">
        <w:r w:rsidR="76B53C10" w:rsidRPr="00440839">
          <w:rPr>
            <w:rStyle w:val="Hyperlink"/>
          </w:rPr>
          <w:t xml:space="preserve">The Maternity and Newborn capability </w:t>
        </w:r>
        <w:r w:rsidR="6E6F16A6" w:rsidRPr="00440839">
          <w:rPr>
            <w:rStyle w:val="Hyperlink"/>
          </w:rPr>
          <w:t>frameworks</w:t>
        </w:r>
      </w:hyperlink>
      <w:r w:rsidR="6E6F16A6">
        <w:t>.</w:t>
      </w:r>
      <w:r w:rsidR="76B53C10">
        <w:t> </w:t>
      </w:r>
    </w:p>
    <w:p w14:paraId="331415BA" w14:textId="56C09941" w:rsidR="00440839" w:rsidRDefault="00000000" w:rsidP="2234FE91">
      <w:pPr>
        <w:pStyle w:val="Bullet1"/>
      </w:pPr>
      <w:hyperlink r:id="rId17" w:history="1">
        <w:r w:rsidR="00440839" w:rsidRPr="00440839">
          <w:rPr>
            <w:rStyle w:val="Hyperlink"/>
          </w:rPr>
          <w:t>The Palliative care capability framewor</w:t>
        </w:r>
        <w:r w:rsidR="00440839">
          <w:rPr>
            <w:rStyle w:val="Hyperlink"/>
          </w:rPr>
          <w:t>ks</w:t>
        </w:r>
      </w:hyperlink>
      <w:r w:rsidR="00440839">
        <w:t>.</w:t>
      </w:r>
    </w:p>
    <w:p w14:paraId="2D3AF669" w14:textId="58F49C7F" w:rsidR="008A4CF8" w:rsidRDefault="00000000" w:rsidP="2234FE91">
      <w:pPr>
        <w:pStyle w:val="Bullet1"/>
      </w:pPr>
      <w:hyperlink r:id="rId18" w:history="1">
        <w:r w:rsidR="76B53C10" w:rsidRPr="00440839">
          <w:rPr>
            <w:rStyle w:val="Hyperlink"/>
          </w:rPr>
          <w:t>The Perioperative service capability framework</w:t>
        </w:r>
        <w:r w:rsidR="00440839">
          <w:rPr>
            <w:rStyle w:val="Hyperlink"/>
          </w:rPr>
          <w:t>.</w:t>
        </w:r>
      </w:hyperlink>
    </w:p>
    <w:p w14:paraId="4A0BF82E" w14:textId="77777777" w:rsidR="008A4CF8" w:rsidRDefault="76B53C10" w:rsidP="2234FE91">
      <w:pPr>
        <w:pStyle w:val="Body"/>
      </w:pPr>
      <w:r>
        <w:t>A Cancer capability framework is also in development. </w:t>
      </w:r>
    </w:p>
    <w:p w14:paraId="483CD4FA" w14:textId="77777777" w:rsidR="008A4CF8" w:rsidRDefault="008A4CF8" w:rsidP="003F4847">
      <w:pPr>
        <w:pStyle w:val="Body"/>
        <w:rPr>
          <w:rFonts w:ascii="Segoe UI" w:hAnsi="Segoe UI" w:cs="Segoe UI"/>
          <w:sz w:val="18"/>
          <w:szCs w:val="18"/>
        </w:rPr>
      </w:pPr>
      <w:r>
        <w:rPr>
          <w:rStyle w:val="eop"/>
          <w:rFonts w:ascii="Calibri" w:hAnsi="Calibri" w:cs="Calibri"/>
          <w:sz w:val="22"/>
          <w:szCs w:val="22"/>
        </w:rPr>
        <w:t> </w:t>
      </w:r>
    </w:p>
    <w:p w14:paraId="60C3539C" w14:textId="61A238DB" w:rsidR="008A4CF8" w:rsidRPr="0080342F" w:rsidRDefault="008A4CF8" w:rsidP="009824C1">
      <w:pPr>
        <w:pStyle w:val="Heading3"/>
        <w:rPr>
          <w:color w:val="auto"/>
        </w:rPr>
      </w:pPr>
      <w:bookmarkStart w:id="7" w:name="_Toc150436163"/>
      <w:bookmarkStart w:id="8" w:name="_Toc151544175"/>
      <w:r w:rsidRPr="0080342F">
        <w:rPr>
          <w:rStyle w:val="normaltextrun"/>
          <w:color w:val="auto"/>
        </w:rPr>
        <w:lastRenderedPageBreak/>
        <w:t>Hospital categoris</w:t>
      </w:r>
      <w:bookmarkEnd w:id="7"/>
      <w:r w:rsidR="003F4847">
        <w:rPr>
          <w:rStyle w:val="normaltextrun"/>
          <w:color w:val="auto"/>
        </w:rPr>
        <w:t>ation</w:t>
      </w:r>
      <w:bookmarkEnd w:id="8"/>
      <w:r w:rsidRPr="0080342F">
        <w:rPr>
          <w:rStyle w:val="eop"/>
          <w:color w:val="auto"/>
        </w:rPr>
        <w:t> </w:t>
      </w:r>
    </w:p>
    <w:p w14:paraId="406B6AE1" w14:textId="3472AAC4" w:rsidR="008A4CF8" w:rsidRDefault="76B53C10" w:rsidP="2234FE91">
      <w:pPr>
        <w:pStyle w:val="Body"/>
        <w:rPr>
          <w:rFonts w:ascii="Segoe UI" w:hAnsi="Segoe UI" w:cs="Segoe UI"/>
          <w:sz w:val="18"/>
          <w:szCs w:val="18"/>
        </w:rPr>
      </w:pPr>
      <w:r>
        <w:t xml:space="preserve">Hospitals are categorised into service levels through a self-assessment process. Each level defines the care, workforce and resources that are available at each location.  </w:t>
      </w:r>
      <w:r w:rsidRPr="2234FE91">
        <w:rPr>
          <w:lang w:val="en-US"/>
        </w:rPr>
        <w:t>Once assessed, hospitals will work with the department of health to confirm their level and any additional services they can safely provide.</w:t>
      </w:r>
      <w:r>
        <w:t> </w:t>
      </w:r>
    </w:p>
    <w:p w14:paraId="73F00018" w14:textId="77777777" w:rsidR="008A4CF8" w:rsidRDefault="76B53C10" w:rsidP="2234FE91">
      <w:pPr>
        <w:pStyle w:val="Body"/>
        <w:rPr>
          <w:rFonts w:ascii="Segoe UI" w:hAnsi="Segoe UI" w:cs="Segoe UI"/>
          <w:sz w:val="18"/>
          <w:szCs w:val="18"/>
        </w:rPr>
      </w:pPr>
      <w:r>
        <w:t> </w:t>
      </w:r>
    </w:p>
    <w:p w14:paraId="59408810" w14:textId="4AE37770" w:rsidR="008A4CF8" w:rsidRPr="0080342F" w:rsidRDefault="003F4847" w:rsidP="009824C1">
      <w:pPr>
        <w:pStyle w:val="Heading3"/>
        <w:rPr>
          <w:color w:val="auto"/>
        </w:rPr>
      </w:pPr>
      <w:bookmarkStart w:id="9" w:name="_Toc151544176"/>
      <w:r>
        <w:rPr>
          <w:rStyle w:val="normaltextrun"/>
          <w:color w:val="auto"/>
        </w:rPr>
        <w:t>Impact for consumers</w:t>
      </w:r>
      <w:bookmarkEnd w:id="9"/>
      <w:r w:rsidR="008A4CF8" w:rsidRPr="0080342F">
        <w:rPr>
          <w:rStyle w:val="eop"/>
          <w:color w:val="auto"/>
        </w:rPr>
        <w:t> </w:t>
      </w:r>
    </w:p>
    <w:p w14:paraId="1BB0A4A8" w14:textId="04712FFE" w:rsidR="008A4CF8" w:rsidRDefault="76B53C10" w:rsidP="2234FE91">
      <w:pPr>
        <w:pStyle w:val="Body"/>
        <w:rPr>
          <w:rFonts w:ascii="Segoe UI" w:hAnsi="Segoe UI" w:cs="Segoe UI"/>
          <w:sz w:val="18"/>
          <w:szCs w:val="18"/>
        </w:rPr>
      </w:pPr>
      <w:r w:rsidRPr="60FFE50E">
        <w:rPr>
          <w:lang w:val="en-US"/>
        </w:rPr>
        <w:t xml:space="preserve">If you are a consumer, you will be able to </w:t>
      </w:r>
      <w:r w:rsidR="18DEA871" w:rsidRPr="60FFE50E">
        <w:rPr>
          <w:lang w:val="en-US"/>
        </w:rPr>
        <w:t xml:space="preserve">look up </w:t>
      </w:r>
      <w:r w:rsidRPr="60FFE50E">
        <w:rPr>
          <w:lang w:val="en-US"/>
        </w:rPr>
        <w:t xml:space="preserve">the capability levels of different hospitals and </w:t>
      </w:r>
      <w:r w:rsidR="669DAC49" w:rsidRPr="60FFE50E">
        <w:rPr>
          <w:lang w:val="en-US"/>
        </w:rPr>
        <w:t xml:space="preserve">the types of </w:t>
      </w:r>
      <w:r w:rsidRPr="60FFE50E">
        <w:rPr>
          <w:lang w:val="en-US"/>
        </w:rPr>
        <w:t xml:space="preserve">care </w:t>
      </w:r>
      <w:r w:rsidR="195D1E0A" w:rsidRPr="60FFE50E">
        <w:rPr>
          <w:lang w:val="en-US"/>
        </w:rPr>
        <w:t xml:space="preserve">that </w:t>
      </w:r>
      <w:r w:rsidR="39303A5D" w:rsidRPr="60FFE50E">
        <w:rPr>
          <w:lang w:val="en-US"/>
        </w:rPr>
        <w:t>is</w:t>
      </w:r>
      <w:r w:rsidR="195D1E0A" w:rsidRPr="60FFE50E">
        <w:rPr>
          <w:lang w:val="en-US"/>
        </w:rPr>
        <w:t xml:space="preserve"> </w:t>
      </w:r>
      <w:r w:rsidRPr="60FFE50E">
        <w:rPr>
          <w:lang w:val="en-US"/>
        </w:rPr>
        <w:t xml:space="preserve">available for </w:t>
      </w:r>
      <w:r w:rsidR="7371F00C" w:rsidRPr="60FFE50E">
        <w:rPr>
          <w:lang w:val="en-US"/>
        </w:rPr>
        <w:t xml:space="preserve">your </w:t>
      </w:r>
      <w:r w:rsidRPr="60FFE50E">
        <w:rPr>
          <w:lang w:val="en-US"/>
        </w:rPr>
        <w:t>specific care needs at each site.</w:t>
      </w:r>
      <w:r>
        <w:t> </w:t>
      </w:r>
    </w:p>
    <w:p w14:paraId="62A98883" w14:textId="1E0DD992" w:rsidR="008A4CF8" w:rsidRDefault="76B53C10" w:rsidP="2234FE91">
      <w:pPr>
        <w:pStyle w:val="Body"/>
        <w:rPr>
          <w:rFonts w:ascii="Segoe UI" w:hAnsi="Segoe UI" w:cs="Segoe UI"/>
          <w:sz w:val="18"/>
          <w:szCs w:val="18"/>
        </w:rPr>
      </w:pPr>
      <w:r w:rsidRPr="2234FE91">
        <w:rPr>
          <w:lang w:val="en-US"/>
        </w:rPr>
        <w:t>If you have multiple health concerns that may make your care more</w:t>
      </w:r>
      <w:r w:rsidR="2915F4D3" w:rsidRPr="2234FE91">
        <w:rPr>
          <w:lang w:val="en-US"/>
        </w:rPr>
        <w:t xml:space="preserve"> complex</w:t>
      </w:r>
      <w:r w:rsidRPr="2234FE91">
        <w:rPr>
          <w:lang w:val="en-US"/>
        </w:rPr>
        <w:t>, you may need to attend a site that is more suited to your needs, rather than the hospital closest to your home. </w:t>
      </w:r>
      <w:r>
        <w:t> </w:t>
      </w:r>
    </w:p>
    <w:p w14:paraId="1CE6EE5F" w14:textId="77777777" w:rsidR="008A4CF8" w:rsidRDefault="76B53C10" w:rsidP="2234FE91">
      <w:pPr>
        <w:pStyle w:val="Body"/>
        <w:rPr>
          <w:rFonts w:ascii="Segoe UI" w:hAnsi="Segoe UI" w:cs="Segoe UI"/>
          <w:sz w:val="18"/>
          <w:szCs w:val="18"/>
        </w:rPr>
      </w:pPr>
      <w:r w:rsidRPr="2234FE91">
        <w:rPr>
          <w:lang w:val="en-US"/>
        </w:rPr>
        <w:t>Once capability levels for hospitals have been confirmed they will be published on the department website and more information will be made available for consumers.</w:t>
      </w:r>
      <w:r>
        <w:t> </w:t>
      </w:r>
    </w:p>
    <w:p w14:paraId="625371C0" w14:textId="77777777" w:rsidR="008A4CF8" w:rsidRDefault="76B53C10" w:rsidP="2234FE91">
      <w:pPr>
        <w:pStyle w:val="Body"/>
        <w:rPr>
          <w:rFonts w:ascii="Segoe UI" w:hAnsi="Segoe UI" w:cs="Segoe UI"/>
          <w:sz w:val="18"/>
          <w:szCs w:val="18"/>
        </w:rPr>
      </w:pPr>
      <w:r>
        <w:t> </w:t>
      </w:r>
    </w:p>
    <w:p w14:paraId="363FB847" w14:textId="29A09731" w:rsidR="008A4CF8" w:rsidRPr="0080342F" w:rsidRDefault="003F4847" w:rsidP="009824C1">
      <w:pPr>
        <w:pStyle w:val="Heading3"/>
        <w:rPr>
          <w:color w:val="auto"/>
        </w:rPr>
      </w:pPr>
      <w:bookmarkStart w:id="10" w:name="_Toc151544177"/>
      <w:r>
        <w:rPr>
          <w:rStyle w:val="normaltextrun"/>
          <w:color w:val="auto"/>
        </w:rPr>
        <w:t>More information</w:t>
      </w:r>
      <w:bookmarkEnd w:id="10"/>
      <w:r w:rsidR="008A4CF8" w:rsidRPr="0080342F">
        <w:rPr>
          <w:rStyle w:val="eop"/>
          <w:color w:val="auto"/>
        </w:rPr>
        <w:t> </w:t>
      </w:r>
    </w:p>
    <w:p w14:paraId="458D5A5A" w14:textId="77777777" w:rsidR="008A4CF8" w:rsidRDefault="76B53C10" w:rsidP="2234FE91">
      <w:pPr>
        <w:pStyle w:val="Body"/>
        <w:rPr>
          <w:rFonts w:ascii="Segoe UI" w:hAnsi="Segoe UI" w:cs="Segoe UI"/>
          <w:sz w:val="18"/>
          <w:szCs w:val="18"/>
        </w:rPr>
      </w:pPr>
      <w:r w:rsidRPr="2234FE91">
        <w:rPr>
          <w:lang w:val="en-US"/>
        </w:rPr>
        <w:t>To learn more about Victoria’s capability frameworks you can explore the resources on the Department of Health website.  These resources will offer detailed insights into the frameworks, their levels of capability, and how they support the delivery of safe, high-quality care.</w:t>
      </w:r>
      <w:r>
        <w:t> </w:t>
      </w:r>
    </w:p>
    <w:p w14:paraId="5AD01160" w14:textId="77777777" w:rsidR="008A4CF8" w:rsidRDefault="76B53C10" w:rsidP="2234FE91">
      <w:pPr>
        <w:pStyle w:val="Body"/>
        <w:rPr>
          <w:rFonts w:ascii="Segoe UI" w:hAnsi="Segoe UI" w:cs="Segoe UI"/>
          <w:sz w:val="18"/>
          <w:szCs w:val="18"/>
        </w:rPr>
      </w:pPr>
      <w:r>
        <w:t> </w:t>
      </w:r>
    </w:p>
    <w:p w14:paraId="7B37722D" w14:textId="257290CB" w:rsidR="008A4CF8" w:rsidRDefault="76B53C10" w:rsidP="2234FE91">
      <w:pPr>
        <w:pStyle w:val="Body"/>
        <w:rPr>
          <w:rFonts w:ascii="Segoe UI" w:hAnsi="Segoe UI" w:cs="Segoe UI"/>
          <w:sz w:val="18"/>
          <w:szCs w:val="18"/>
        </w:rPr>
      </w:pPr>
      <w:r w:rsidRPr="2234FE91">
        <w:rPr>
          <w:lang w:val="en-US"/>
        </w:rPr>
        <w:t xml:space="preserve">For further information on pregnancy and birth care options please visit </w:t>
      </w:r>
      <w:hyperlink r:id="rId19">
        <w:r w:rsidRPr="2234FE91">
          <w:rPr>
            <w:rStyle w:val="Hyperlink"/>
            <w:lang w:val="en-US"/>
          </w:rPr>
          <w:t>Pregnancy and birth care options - Better Health Channel</w:t>
        </w:r>
      </w:hyperlink>
      <w:r w:rsidRPr="2234FE91">
        <w:rPr>
          <w:lang w:val="en-US"/>
        </w:rPr>
        <w:t>.</w:t>
      </w:r>
      <w:r>
        <w:t> </w:t>
      </w:r>
      <w:r w:rsidR="3C11517F">
        <w:t xml:space="preserve"> </w:t>
      </w:r>
    </w:p>
    <w:p w14:paraId="7DE1A0B5" w14:textId="77777777" w:rsidR="00200176" w:rsidRDefault="00200176" w:rsidP="00200176">
      <w:pPr>
        <w:pStyle w:val="Body"/>
      </w:pPr>
    </w:p>
    <w:tbl>
      <w:tblPr>
        <w:tblStyle w:val="TableGrid"/>
        <w:tblW w:w="0" w:type="auto"/>
        <w:tblLook w:val="04A0" w:firstRow="1" w:lastRow="0" w:firstColumn="1" w:lastColumn="0" w:noHBand="0" w:noVBand="1"/>
      </w:tblPr>
      <w:tblGrid>
        <w:gridCol w:w="3398"/>
        <w:gridCol w:w="3398"/>
        <w:gridCol w:w="3398"/>
      </w:tblGrid>
      <w:tr w:rsidR="00183AEB" w14:paraId="71107310" w14:textId="77777777" w:rsidTr="76E454F7">
        <w:tc>
          <w:tcPr>
            <w:tcW w:w="10194" w:type="dxa"/>
            <w:gridSpan w:val="3"/>
          </w:tcPr>
          <w:p w14:paraId="790C89D4" w14:textId="10971E0C" w:rsidR="00183AEB" w:rsidRPr="00843E1E" w:rsidRDefault="00381A0E" w:rsidP="00381A0E">
            <w:pPr>
              <w:pStyle w:val="Body"/>
              <w:jc w:val="center"/>
              <w:rPr>
                <w:b/>
                <w:bCs/>
              </w:rPr>
            </w:pPr>
            <w:r w:rsidRPr="00843E1E">
              <w:rPr>
                <w:b/>
                <w:bCs/>
              </w:rPr>
              <w:t>Version Control</w:t>
            </w:r>
          </w:p>
        </w:tc>
      </w:tr>
      <w:tr w:rsidR="00183AEB" w14:paraId="2E2CC3D8" w14:textId="77777777" w:rsidTr="76E454F7">
        <w:tc>
          <w:tcPr>
            <w:tcW w:w="3398" w:type="dxa"/>
          </w:tcPr>
          <w:p w14:paraId="1F1B2021" w14:textId="36B8E693" w:rsidR="00183AEB" w:rsidRPr="00381A0E" w:rsidRDefault="00381A0E" w:rsidP="00200176">
            <w:pPr>
              <w:pStyle w:val="Body"/>
              <w:rPr>
                <w:b/>
                <w:bCs/>
              </w:rPr>
            </w:pPr>
            <w:r>
              <w:rPr>
                <w:b/>
                <w:bCs/>
              </w:rPr>
              <w:t>Version</w:t>
            </w:r>
            <w:r w:rsidR="00F575FB">
              <w:rPr>
                <w:b/>
                <w:bCs/>
              </w:rPr>
              <w:t xml:space="preserve"> number</w:t>
            </w:r>
          </w:p>
        </w:tc>
        <w:tc>
          <w:tcPr>
            <w:tcW w:w="3398" w:type="dxa"/>
          </w:tcPr>
          <w:p w14:paraId="6EAC5A71" w14:textId="273604E1" w:rsidR="00183AEB" w:rsidRPr="00986387" w:rsidRDefault="00986387" w:rsidP="00200176">
            <w:pPr>
              <w:pStyle w:val="Body"/>
              <w:rPr>
                <w:b/>
                <w:bCs/>
              </w:rPr>
            </w:pPr>
            <w:r>
              <w:rPr>
                <w:b/>
                <w:bCs/>
              </w:rPr>
              <w:t>A</w:t>
            </w:r>
            <w:r w:rsidR="00F575FB">
              <w:rPr>
                <w:b/>
                <w:bCs/>
              </w:rPr>
              <w:t>uthor</w:t>
            </w:r>
          </w:p>
        </w:tc>
        <w:tc>
          <w:tcPr>
            <w:tcW w:w="3398" w:type="dxa"/>
          </w:tcPr>
          <w:p w14:paraId="651693B0" w14:textId="7B74144E" w:rsidR="00183AEB" w:rsidRPr="00986387" w:rsidRDefault="00986387" w:rsidP="00200176">
            <w:pPr>
              <w:pStyle w:val="Body"/>
              <w:rPr>
                <w:b/>
                <w:bCs/>
              </w:rPr>
            </w:pPr>
            <w:r>
              <w:rPr>
                <w:b/>
                <w:bCs/>
              </w:rPr>
              <w:t>Date</w:t>
            </w:r>
            <w:r w:rsidR="00F575FB">
              <w:rPr>
                <w:b/>
                <w:bCs/>
              </w:rPr>
              <w:t xml:space="preserve"> approved</w:t>
            </w:r>
          </w:p>
        </w:tc>
      </w:tr>
      <w:tr w:rsidR="00183AEB" w14:paraId="09DD5ADB" w14:textId="77777777" w:rsidTr="76E454F7">
        <w:tc>
          <w:tcPr>
            <w:tcW w:w="3398" w:type="dxa"/>
          </w:tcPr>
          <w:p w14:paraId="06620772" w14:textId="6EE6519E" w:rsidR="00183AEB" w:rsidRDefault="00333CF6" w:rsidP="00200176">
            <w:pPr>
              <w:pStyle w:val="Body"/>
            </w:pPr>
            <w:r>
              <w:t>1.0</w:t>
            </w:r>
          </w:p>
        </w:tc>
        <w:tc>
          <w:tcPr>
            <w:tcW w:w="3398" w:type="dxa"/>
          </w:tcPr>
          <w:p w14:paraId="79C448F2" w14:textId="72CCF34F" w:rsidR="00183AEB" w:rsidRDefault="008334CF" w:rsidP="00200176">
            <w:pPr>
              <w:pStyle w:val="Body"/>
            </w:pPr>
            <w:r>
              <w:t>Mary Benson</w:t>
            </w:r>
          </w:p>
        </w:tc>
        <w:tc>
          <w:tcPr>
            <w:tcW w:w="3398" w:type="dxa"/>
          </w:tcPr>
          <w:p w14:paraId="7A2F7661" w14:textId="18882AA5" w:rsidR="00183AEB" w:rsidRDefault="4D80DAFF" w:rsidP="00200176">
            <w:pPr>
              <w:pStyle w:val="Body"/>
            </w:pPr>
            <w:r>
              <w:t>22</w:t>
            </w:r>
            <w:r w:rsidR="008334CF">
              <w:t xml:space="preserve"> November 2023</w:t>
            </w:r>
          </w:p>
        </w:tc>
      </w:tr>
    </w:tbl>
    <w:p w14:paraId="0128AFE0" w14:textId="77777777" w:rsidR="00D376EC" w:rsidRPr="00200176" w:rsidRDefault="00D376EC"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33967409" w:rsidR="0055119B" w:rsidRPr="00411CEB" w:rsidRDefault="0055119B" w:rsidP="00411CEB">
            <w:pPr>
              <w:pStyle w:val="Accessibilitypara"/>
              <w:rPr>
                <w:sz w:val="23"/>
                <w:szCs w:val="23"/>
              </w:rPr>
            </w:pPr>
            <w:bookmarkStart w:id="11" w:name="_Hlk37240926"/>
            <w:r w:rsidRPr="0055119B">
              <w:t>To receive this document in another format</w:t>
            </w:r>
            <w:r w:rsidRPr="008C2280">
              <w:t xml:space="preserve">, </w:t>
            </w:r>
            <w:r w:rsidRPr="0055119B">
              <w:t xml:space="preserve">email </w:t>
            </w:r>
            <w:hyperlink r:id="rId20" w:history="1">
              <w:r w:rsidR="009A2E2D" w:rsidRPr="00440839">
                <w:rPr>
                  <w:rStyle w:val="Hyperlink"/>
                </w:rPr>
                <w:t>Capability frameworks</w:t>
              </w:r>
            </w:hyperlink>
            <w:r w:rsidRPr="0055119B">
              <w:rPr>
                <w:color w:val="004C97"/>
              </w:rPr>
              <w:t xml:space="preserve"> </w:t>
            </w:r>
            <w:r w:rsidRPr="0055119B">
              <w:t>&lt;</w:t>
            </w:r>
            <w:r w:rsidR="009A2E2D">
              <w:t>capability</w:t>
            </w:r>
            <w:r w:rsidR="00773E38">
              <w:t>frameworks@health.vic.gov.au</w:t>
            </w:r>
            <w:r w:rsidRPr="0055119B">
              <w:t>&gt;.</w:t>
            </w:r>
          </w:p>
          <w:p w14:paraId="33892FA6" w14:textId="77777777" w:rsidR="0055119B" w:rsidRPr="0055119B" w:rsidRDefault="0055119B" w:rsidP="00E33237">
            <w:pPr>
              <w:pStyle w:val="Imprint"/>
            </w:pPr>
            <w:r w:rsidRPr="0055119B">
              <w:t>Authorised and published by the Victorian Government, 1 Treasury Place, Melbourne.</w:t>
            </w:r>
          </w:p>
          <w:p w14:paraId="30F5D144" w14:textId="7A43697A" w:rsidR="0055119B" w:rsidRDefault="0055119B" w:rsidP="00E33237">
            <w:pPr>
              <w:pStyle w:val="Imprint"/>
            </w:pPr>
            <w:r w:rsidRPr="0055119B">
              <w:t xml:space="preserve">© State of Victoria, Australia, </w:t>
            </w:r>
            <w:r w:rsidR="001E2A36" w:rsidRPr="001E2A36">
              <w:t>Department of Health</w:t>
            </w:r>
            <w:r w:rsidRPr="0055119B">
              <w:t xml:space="preserve">, </w:t>
            </w:r>
            <w:r w:rsidR="00773E38">
              <w:t>November 2023</w:t>
            </w:r>
            <w:r w:rsidRPr="0055119B">
              <w:t>.</w:t>
            </w:r>
          </w:p>
          <w:p w14:paraId="4DC55F6E" w14:textId="2DEE39BD" w:rsidR="005312BC" w:rsidRPr="0055119B" w:rsidRDefault="0049329F" w:rsidP="00E33237">
            <w:pPr>
              <w:pStyle w:val="Imprint"/>
            </w:pPr>
            <w:r w:rsidRPr="00A10EFF">
              <w:rPr>
                <w:b/>
                <w:bCs/>
              </w:rPr>
              <w:t>ISBN</w:t>
            </w:r>
            <w:r w:rsidR="005A440D">
              <w:rPr>
                <w:rFonts w:cs="Arial"/>
                <w:color w:val="000000"/>
              </w:rPr>
              <w:t xml:space="preserve"> 978-1-76131-456-8 </w:t>
            </w:r>
          </w:p>
          <w:p w14:paraId="15B06C1E" w14:textId="6D4DE652" w:rsidR="0055119B" w:rsidRDefault="0055119B" w:rsidP="00E33237">
            <w:pPr>
              <w:pStyle w:val="Imprint"/>
            </w:pPr>
            <w:r w:rsidRPr="0055119B">
              <w:t xml:space="preserve">Available at </w:t>
            </w:r>
            <w:hyperlink r:id="rId21" w:history="1">
              <w:r w:rsidR="00440839" w:rsidRPr="00440839">
                <w:rPr>
                  <w:rStyle w:val="Hyperlink"/>
                </w:rPr>
                <w:t>Service capability frameworks for Victoria</w:t>
              </w:r>
            </w:hyperlink>
            <w:r w:rsidR="00440839">
              <w:t xml:space="preserve"> </w:t>
            </w:r>
            <w:r w:rsidRPr="0049329F">
              <w:t>&lt;</w:t>
            </w:r>
            <w:r w:rsidR="00440839" w:rsidRPr="00440839">
              <w:t>https://www.health.vic.gov.au/health-system-design-planning/service-capability-frameworks-for-victoria</w:t>
            </w:r>
            <w:r w:rsidRPr="0049329F">
              <w:t>&gt;</w:t>
            </w:r>
          </w:p>
        </w:tc>
      </w:tr>
      <w:bookmarkEnd w:id="11"/>
    </w:tbl>
    <w:p w14:paraId="58469336"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B666" w14:textId="77777777" w:rsidR="00E82B7A" w:rsidRDefault="00E82B7A">
      <w:r>
        <w:separator/>
      </w:r>
    </w:p>
  </w:endnote>
  <w:endnote w:type="continuationSeparator" w:id="0">
    <w:p w14:paraId="725B6204" w14:textId="77777777" w:rsidR="00E82B7A" w:rsidRDefault="00E82B7A">
      <w:r>
        <w:continuationSeparator/>
      </w:r>
    </w:p>
  </w:endnote>
  <w:endnote w:type="continuationNotice" w:id="1">
    <w:p w14:paraId="4E8E17C0" w14:textId="77777777" w:rsidR="00E82B7A" w:rsidRDefault="00E82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B1A5" w14:textId="77777777" w:rsidR="00E82B7A" w:rsidRDefault="00E82B7A" w:rsidP="002862F1">
      <w:pPr>
        <w:spacing w:before="120"/>
      </w:pPr>
      <w:r>
        <w:separator/>
      </w:r>
    </w:p>
  </w:footnote>
  <w:footnote w:type="continuationSeparator" w:id="0">
    <w:p w14:paraId="2BDC6FB4" w14:textId="77777777" w:rsidR="00E82B7A" w:rsidRDefault="00E82B7A">
      <w:r>
        <w:continuationSeparator/>
      </w:r>
    </w:p>
  </w:footnote>
  <w:footnote w:type="continuationNotice" w:id="1">
    <w:p w14:paraId="611934C7" w14:textId="77777777" w:rsidR="00E82B7A" w:rsidRDefault="00E82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482E77CB" w:rsidR="00E261B3" w:rsidRPr="0051568D" w:rsidRDefault="00CF5065" w:rsidP="0011701A">
    <w:pPr>
      <w:pStyle w:val="Header"/>
    </w:pPr>
    <w:r>
      <w:t xml:space="preserve">Capability Frameworks – Consumer </w:t>
    </w:r>
    <w:r w:rsidR="00AC36EB">
      <w:t>f</w:t>
    </w:r>
    <w:r w:rsidR="003F4847">
      <w:t>actsheet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D603D3"/>
    <w:multiLevelType w:val="multilevel"/>
    <w:tmpl w:val="F02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7023740">
    <w:abstractNumId w:val="10"/>
  </w:num>
  <w:num w:numId="2" w16cid:durableId="637809309">
    <w:abstractNumId w:val="17"/>
  </w:num>
  <w:num w:numId="3" w16cid:durableId="1806118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1431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591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803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89221">
    <w:abstractNumId w:val="21"/>
  </w:num>
  <w:num w:numId="8" w16cid:durableId="1369910436">
    <w:abstractNumId w:val="16"/>
  </w:num>
  <w:num w:numId="9" w16cid:durableId="559445600">
    <w:abstractNumId w:val="20"/>
  </w:num>
  <w:num w:numId="10" w16cid:durableId="1860001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969762">
    <w:abstractNumId w:val="22"/>
  </w:num>
  <w:num w:numId="12" w16cid:durableId="209154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6271001">
    <w:abstractNumId w:val="18"/>
  </w:num>
  <w:num w:numId="14" w16cid:durableId="1556240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4137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197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0354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240673">
    <w:abstractNumId w:val="24"/>
  </w:num>
  <w:num w:numId="19" w16cid:durableId="1753889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0538002">
    <w:abstractNumId w:val="14"/>
  </w:num>
  <w:num w:numId="21" w16cid:durableId="1507090627">
    <w:abstractNumId w:val="12"/>
  </w:num>
  <w:num w:numId="22" w16cid:durableId="381101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697706">
    <w:abstractNumId w:val="15"/>
  </w:num>
  <w:num w:numId="24" w16cid:durableId="1873154126">
    <w:abstractNumId w:val="25"/>
  </w:num>
  <w:num w:numId="25" w16cid:durableId="1658143828">
    <w:abstractNumId w:val="23"/>
  </w:num>
  <w:num w:numId="26" w16cid:durableId="738091634">
    <w:abstractNumId w:val="19"/>
  </w:num>
  <w:num w:numId="27" w16cid:durableId="1225217180">
    <w:abstractNumId w:val="11"/>
  </w:num>
  <w:num w:numId="28" w16cid:durableId="1586500290">
    <w:abstractNumId w:val="26"/>
  </w:num>
  <w:num w:numId="29" w16cid:durableId="84377437">
    <w:abstractNumId w:val="9"/>
  </w:num>
  <w:num w:numId="30" w16cid:durableId="123235262">
    <w:abstractNumId w:val="7"/>
  </w:num>
  <w:num w:numId="31" w16cid:durableId="1381589198">
    <w:abstractNumId w:val="6"/>
  </w:num>
  <w:num w:numId="32" w16cid:durableId="1613627858">
    <w:abstractNumId w:val="5"/>
  </w:num>
  <w:num w:numId="33" w16cid:durableId="1348482463">
    <w:abstractNumId w:val="4"/>
  </w:num>
  <w:num w:numId="34" w16cid:durableId="945500846">
    <w:abstractNumId w:val="8"/>
  </w:num>
  <w:num w:numId="35" w16cid:durableId="1624340504">
    <w:abstractNumId w:val="3"/>
  </w:num>
  <w:num w:numId="36" w16cid:durableId="948468161">
    <w:abstractNumId w:val="2"/>
  </w:num>
  <w:num w:numId="37" w16cid:durableId="423384259">
    <w:abstractNumId w:val="1"/>
  </w:num>
  <w:num w:numId="38" w16cid:durableId="1905097963">
    <w:abstractNumId w:val="0"/>
  </w:num>
  <w:num w:numId="39" w16cid:durableId="958150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194957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45A"/>
    <w:rsid w:val="000835C6"/>
    <w:rsid w:val="0008508E"/>
    <w:rsid w:val="000851BD"/>
    <w:rsid w:val="00087951"/>
    <w:rsid w:val="0009113B"/>
    <w:rsid w:val="00093402"/>
    <w:rsid w:val="00094DA3"/>
    <w:rsid w:val="00096CD1"/>
    <w:rsid w:val="000A012C"/>
    <w:rsid w:val="000A0EB9"/>
    <w:rsid w:val="000A0FE6"/>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36B9"/>
    <w:rsid w:val="001447B3"/>
    <w:rsid w:val="0014672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AEB"/>
    <w:rsid w:val="00186B33"/>
    <w:rsid w:val="00192F9D"/>
    <w:rsid w:val="00196EB8"/>
    <w:rsid w:val="00196EFB"/>
    <w:rsid w:val="001979FF"/>
    <w:rsid w:val="00197B17"/>
    <w:rsid w:val="001A1950"/>
    <w:rsid w:val="001A1C54"/>
    <w:rsid w:val="001A3ACE"/>
    <w:rsid w:val="001A7EEA"/>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072E"/>
    <w:rsid w:val="002333F5"/>
    <w:rsid w:val="00233724"/>
    <w:rsid w:val="002365B4"/>
    <w:rsid w:val="002432E1"/>
    <w:rsid w:val="00246207"/>
    <w:rsid w:val="00246C5E"/>
    <w:rsid w:val="00247234"/>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06A"/>
    <w:rsid w:val="002E6C95"/>
    <w:rsid w:val="002E7C36"/>
    <w:rsid w:val="002F0107"/>
    <w:rsid w:val="002F3D32"/>
    <w:rsid w:val="002F5F31"/>
    <w:rsid w:val="002F5F46"/>
    <w:rsid w:val="002F611C"/>
    <w:rsid w:val="00302216"/>
    <w:rsid w:val="00303E53"/>
    <w:rsid w:val="00305CC1"/>
    <w:rsid w:val="00306E5F"/>
    <w:rsid w:val="00307E14"/>
    <w:rsid w:val="003117B8"/>
    <w:rsid w:val="00314054"/>
    <w:rsid w:val="00315BD8"/>
    <w:rsid w:val="00316F27"/>
    <w:rsid w:val="003214F1"/>
    <w:rsid w:val="00322E4B"/>
    <w:rsid w:val="00327870"/>
    <w:rsid w:val="003323A3"/>
    <w:rsid w:val="0033259D"/>
    <w:rsid w:val="003333D2"/>
    <w:rsid w:val="00333CF6"/>
    <w:rsid w:val="003406C6"/>
    <w:rsid w:val="003418CC"/>
    <w:rsid w:val="003459BD"/>
    <w:rsid w:val="00350D38"/>
    <w:rsid w:val="00351B36"/>
    <w:rsid w:val="00357B4E"/>
    <w:rsid w:val="003716FD"/>
    <w:rsid w:val="0037204B"/>
    <w:rsid w:val="00373890"/>
    <w:rsid w:val="003744CF"/>
    <w:rsid w:val="00374717"/>
    <w:rsid w:val="0037676C"/>
    <w:rsid w:val="00381043"/>
    <w:rsid w:val="00381A0E"/>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4FF1"/>
    <w:rsid w:val="003C55F4"/>
    <w:rsid w:val="003C7897"/>
    <w:rsid w:val="003C7A3F"/>
    <w:rsid w:val="003D2766"/>
    <w:rsid w:val="003D2A74"/>
    <w:rsid w:val="003D3E8F"/>
    <w:rsid w:val="003D6475"/>
    <w:rsid w:val="003E0039"/>
    <w:rsid w:val="003E375C"/>
    <w:rsid w:val="003E4086"/>
    <w:rsid w:val="003E5650"/>
    <w:rsid w:val="003E639E"/>
    <w:rsid w:val="003E71E5"/>
    <w:rsid w:val="003F0445"/>
    <w:rsid w:val="003F0CF0"/>
    <w:rsid w:val="003F14B1"/>
    <w:rsid w:val="003F2B20"/>
    <w:rsid w:val="003F3289"/>
    <w:rsid w:val="003F4847"/>
    <w:rsid w:val="003F5CB9"/>
    <w:rsid w:val="004013C7"/>
    <w:rsid w:val="00401FCF"/>
    <w:rsid w:val="0040248F"/>
    <w:rsid w:val="00406285"/>
    <w:rsid w:val="004112C6"/>
    <w:rsid w:val="00411CEB"/>
    <w:rsid w:val="004148F9"/>
    <w:rsid w:val="00414D4A"/>
    <w:rsid w:val="0042084E"/>
    <w:rsid w:val="00421EEF"/>
    <w:rsid w:val="00424D65"/>
    <w:rsid w:val="00440839"/>
    <w:rsid w:val="00442C6C"/>
    <w:rsid w:val="00443CBE"/>
    <w:rsid w:val="00443E8A"/>
    <w:rsid w:val="004441BC"/>
    <w:rsid w:val="004468B4"/>
    <w:rsid w:val="0045230A"/>
    <w:rsid w:val="00454AD0"/>
    <w:rsid w:val="00457337"/>
    <w:rsid w:val="00462E3D"/>
    <w:rsid w:val="00463012"/>
    <w:rsid w:val="00466E79"/>
    <w:rsid w:val="00470D7D"/>
    <w:rsid w:val="004729EC"/>
    <w:rsid w:val="0047372D"/>
    <w:rsid w:val="00473BA3"/>
    <w:rsid w:val="004743DD"/>
    <w:rsid w:val="00474CEA"/>
    <w:rsid w:val="00483968"/>
    <w:rsid w:val="00484F86"/>
    <w:rsid w:val="00490746"/>
    <w:rsid w:val="00490852"/>
    <w:rsid w:val="00491C9C"/>
    <w:rsid w:val="00492F30"/>
    <w:rsid w:val="0049329F"/>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6173"/>
    <w:rsid w:val="00526AC7"/>
    <w:rsid w:val="00526C15"/>
    <w:rsid w:val="005312BC"/>
    <w:rsid w:val="005316AD"/>
    <w:rsid w:val="00536395"/>
    <w:rsid w:val="00536499"/>
    <w:rsid w:val="00543903"/>
    <w:rsid w:val="00543F11"/>
    <w:rsid w:val="00546305"/>
    <w:rsid w:val="005474B4"/>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4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C6731"/>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7DE"/>
    <w:rsid w:val="00770F37"/>
    <w:rsid w:val="007711A0"/>
    <w:rsid w:val="00772D5E"/>
    <w:rsid w:val="00773E38"/>
    <w:rsid w:val="0077463E"/>
    <w:rsid w:val="00776928"/>
    <w:rsid w:val="00776E0F"/>
    <w:rsid w:val="007774B1"/>
    <w:rsid w:val="00777BE1"/>
    <w:rsid w:val="007833D8"/>
    <w:rsid w:val="007850BF"/>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42F"/>
    <w:rsid w:val="0080587B"/>
    <w:rsid w:val="00806468"/>
    <w:rsid w:val="008119CA"/>
    <w:rsid w:val="008130C4"/>
    <w:rsid w:val="008155F0"/>
    <w:rsid w:val="00816735"/>
    <w:rsid w:val="00820141"/>
    <w:rsid w:val="00820E0C"/>
    <w:rsid w:val="008213F0"/>
    <w:rsid w:val="00823275"/>
    <w:rsid w:val="0082366F"/>
    <w:rsid w:val="00823DA1"/>
    <w:rsid w:val="00832517"/>
    <w:rsid w:val="008334CF"/>
    <w:rsid w:val="008338A2"/>
    <w:rsid w:val="00835FAF"/>
    <w:rsid w:val="00841AA9"/>
    <w:rsid w:val="00843E1E"/>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4CF8"/>
    <w:rsid w:val="008A5B32"/>
    <w:rsid w:val="008B2EE4"/>
    <w:rsid w:val="008B4D3D"/>
    <w:rsid w:val="008B57C7"/>
    <w:rsid w:val="008C2280"/>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580"/>
    <w:rsid w:val="00950E2C"/>
    <w:rsid w:val="00951D50"/>
    <w:rsid w:val="009525EB"/>
    <w:rsid w:val="0095470B"/>
    <w:rsid w:val="00954874"/>
    <w:rsid w:val="0095615A"/>
    <w:rsid w:val="00961400"/>
    <w:rsid w:val="00963646"/>
    <w:rsid w:val="0096632D"/>
    <w:rsid w:val="009718C7"/>
    <w:rsid w:val="0097559F"/>
    <w:rsid w:val="0097761E"/>
    <w:rsid w:val="00981ABB"/>
    <w:rsid w:val="00982454"/>
    <w:rsid w:val="009824C1"/>
    <w:rsid w:val="00982CF0"/>
    <w:rsid w:val="009853E1"/>
    <w:rsid w:val="00986387"/>
    <w:rsid w:val="00986E6B"/>
    <w:rsid w:val="00990032"/>
    <w:rsid w:val="00990B19"/>
    <w:rsid w:val="0099153B"/>
    <w:rsid w:val="00991769"/>
    <w:rsid w:val="0099232C"/>
    <w:rsid w:val="00994386"/>
    <w:rsid w:val="009A13D8"/>
    <w:rsid w:val="009A279E"/>
    <w:rsid w:val="009A2E2D"/>
    <w:rsid w:val="009A3015"/>
    <w:rsid w:val="009A3490"/>
    <w:rsid w:val="009A68DB"/>
    <w:rsid w:val="009B0A6F"/>
    <w:rsid w:val="009B0A94"/>
    <w:rsid w:val="009B2AE8"/>
    <w:rsid w:val="009B3B9D"/>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0BBC"/>
    <w:rsid w:val="00A02FA1"/>
    <w:rsid w:val="00A04CCE"/>
    <w:rsid w:val="00A07421"/>
    <w:rsid w:val="00A0776B"/>
    <w:rsid w:val="00A10EFF"/>
    <w:rsid w:val="00A10FB9"/>
    <w:rsid w:val="00A11421"/>
    <w:rsid w:val="00A1389F"/>
    <w:rsid w:val="00A157B1"/>
    <w:rsid w:val="00A22229"/>
    <w:rsid w:val="00A24442"/>
    <w:rsid w:val="00A2792A"/>
    <w:rsid w:val="00A330BB"/>
    <w:rsid w:val="00A354D8"/>
    <w:rsid w:val="00A44882"/>
    <w:rsid w:val="00A45125"/>
    <w:rsid w:val="00A54715"/>
    <w:rsid w:val="00A6061C"/>
    <w:rsid w:val="00A62D44"/>
    <w:rsid w:val="00A633C9"/>
    <w:rsid w:val="00A67263"/>
    <w:rsid w:val="00A7161C"/>
    <w:rsid w:val="00A77AA3"/>
    <w:rsid w:val="00A77CC5"/>
    <w:rsid w:val="00A8236D"/>
    <w:rsid w:val="00A854EB"/>
    <w:rsid w:val="00A872E5"/>
    <w:rsid w:val="00A91406"/>
    <w:rsid w:val="00A96E65"/>
    <w:rsid w:val="00A97C72"/>
    <w:rsid w:val="00AA268E"/>
    <w:rsid w:val="00AA310B"/>
    <w:rsid w:val="00AA63D4"/>
    <w:rsid w:val="00AB06E8"/>
    <w:rsid w:val="00AB1CD3"/>
    <w:rsid w:val="00AB352F"/>
    <w:rsid w:val="00AC274B"/>
    <w:rsid w:val="00AC36E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931"/>
    <w:rsid w:val="00B60E61"/>
    <w:rsid w:val="00B62B50"/>
    <w:rsid w:val="00B635B7"/>
    <w:rsid w:val="00B63AE8"/>
    <w:rsid w:val="00B65950"/>
    <w:rsid w:val="00B668A7"/>
    <w:rsid w:val="00B66D83"/>
    <w:rsid w:val="00B672C0"/>
    <w:rsid w:val="00B676FD"/>
    <w:rsid w:val="00B75646"/>
    <w:rsid w:val="00B90260"/>
    <w:rsid w:val="00B90729"/>
    <w:rsid w:val="00B907DA"/>
    <w:rsid w:val="00B94CD5"/>
    <w:rsid w:val="00B94FB7"/>
    <w:rsid w:val="00B950BC"/>
    <w:rsid w:val="00B9714C"/>
    <w:rsid w:val="00BA29AD"/>
    <w:rsid w:val="00BA33CF"/>
    <w:rsid w:val="00BA3F8D"/>
    <w:rsid w:val="00BB7A10"/>
    <w:rsid w:val="00BC23E5"/>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75175"/>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C4B20"/>
    <w:rsid w:val="00CC59C7"/>
    <w:rsid w:val="00CD3476"/>
    <w:rsid w:val="00CD64DF"/>
    <w:rsid w:val="00CE225F"/>
    <w:rsid w:val="00CF2F50"/>
    <w:rsid w:val="00CF5065"/>
    <w:rsid w:val="00CF6198"/>
    <w:rsid w:val="00D02919"/>
    <w:rsid w:val="00D04B27"/>
    <w:rsid w:val="00D04C61"/>
    <w:rsid w:val="00D05B8D"/>
    <w:rsid w:val="00D065A2"/>
    <w:rsid w:val="00D079AA"/>
    <w:rsid w:val="00D07F00"/>
    <w:rsid w:val="00D1130F"/>
    <w:rsid w:val="00D17B72"/>
    <w:rsid w:val="00D3185C"/>
    <w:rsid w:val="00D3205F"/>
    <w:rsid w:val="00D3318E"/>
    <w:rsid w:val="00D33E72"/>
    <w:rsid w:val="00D35BD6"/>
    <w:rsid w:val="00D361B5"/>
    <w:rsid w:val="00D376EC"/>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CB7"/>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0D48"/>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176"/>
    <w:rsid w:val="00E33237"/>
    <w:rsid w:val="00E40181"/>
    <w:rsid w:val="00E54950"/>
    <w:rsid w:val="00E56A01"/>
    <w:rsid w:val="00E62622"/>
    <w:rsid w:val="00E629A1"/>
    <w:rsid w:val="00E6794C"/>
    <w:rsid w:val="00E71591"/>
    <w:rsid w:val="00E71CEB"/>
    <w:rsid w:val="00E7474F"/>
    <w:rsid w:val="00E80DE3"/>
    <w:rsid w:val="00E82B7A"/>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051"/>
    <w:rsid w:val="00EF36AF"/>
    <w:rsid w:val="00EF59A3"/>
    <w:rsid w:val="00EF6675"/>
    <w:rsid w:val="00F00F9C"/>
    <w:rsid w:val="00F00FD1"/>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575FB"/>
    <w:rsid w:val="00F60082"/>
    <w:rsid w:val="00F61A9F"/>
    <w:rsid w:val="00F61B5F"/>
    <w:rsid w:val="00F64696"/>
    <w:rsid w:val="00F65AA9"/>
    <w:rsid w:val="00F6768F"/>
    <w:rsid w:val="00F700A1"/>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546"/>
    <w:rsid w:val="00FB4769"/>
    <w:rsid w:val="00FB4CDA"/>
    <w:rsid w:val="00FB6481"/>
    <w:rsid w:val="00FB6D36"/>
    <w:rsid w:val="00FC0965"/>
    <w:rsid w:val="00FC0F81"/>
    <w:rsid w:val="00FC252F"/>
    <w:rsid w:val="00FC395C"/>
    <w:rsid w:val="00FC5E8E"/>
    <w:rsid w:val="00FD140F"/>
    <w:rsid w:val="00FD3766"/>
    <w:rsid w:val="00FD47C4"/>
    <w:rsid w:val="00FD69F9"/>
    <w:rsid w:val="00FD722A"/>
    <w:rsid w:val="00FE2DCF"/>
    <w:rsid w:val="00FE3FA7"/>
    <w:rsid w:val="00FF2A4E"/>
    <w:rsid w:val="00FF2FCE"/>
    <w:rsid w:val="00FF4DE4"/>
    <w:rsid w:val="00FF4F7D"/>
    <w:rsid w:val="00FF54DF"/>
    <w:rsid w:val="00FF6D9D"/>
    <w:rsid w:val="00FF7DD5"/>
    <w:rsid w:val="02522E99"/>
    <w:rsid w:val="0448B833"/>
    <w:rsid w:val="13CA1F97"/>
    <w:rsid w:val="15E1F73E"/>
    <w:rsid w:val="18DEA871"/>
    <w:rsid w:val="195D1E0A"/>
    <w:rsid w:val="19834DC7"/>
    <w:rsid w:val="1DF6488E"/>
    <w:rsid w:val="2234FE91"/>
    <w:rsid w:val="2915F4D3"/>
    <w:rsid w:val="39303A5D"/>
    <w:rsid w:val="3C11517F"/>
    <w:rsid w:val="433F6E15"/>
    <w:rsid w:val="4D80DAFF"/>
    <w:rsid w:val="4D85AF84"/>
    <w:rsid w:val="512588AB"/>
    <w:rsid w:val="55C86F7C"/>
    <w:rsid w:val="60FFE50E"/>
    <w:rsid w:val="669DAC49"/>
    <w:rsid w:val="678C9FD1"/>
    <w:rsid w:val="6909EFE0"/>
    <w:rsid w:val="6E6F16A6"/>
    <w:rsid w:val="71ACDB6F"/>
    <w:rsid w:val="7371F00C"/>
    <w:rsid w:val="76B53C10"/>
    <w:rsid w:val="76E454F7"/>
    <w:rsid w:val="787806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F571B8EB-DFF4-46F3-A78A-30B1BB5D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6C6731"/>
  </w:style>
  <w:style w:type="character" w:customStyle="1" w:styleId="eop">
    <w:name w:val="eop"/>
    <w:basedOn w:val="DefaultParagraphFont"/>
    <w:rsid w:val="006C6731"/>
  </w:style>
  <w:style w:type="paragraph" w:customStyle="1" w:styleId="paragraph">
    <w:name w:val="paragraph"/>
    <w:basedOn w:val="Normal"/>
    <w:rsid w:val="002307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11C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6940759">
      <w:bodyDiv w:val="1"/>
      <w:marLeft w:val="0"/>
      <w:marRight w:val="0"/>
      <w:marTop w:val="0"/>
      <w:marBottom w:val="0"/>
      <w:divBdr>
        <w:top w:val="none" w:sz="0" w:space="0" w:color="auto"/>
        <w:left w:val="none" w:sz="0" w:space="0" w:color="auto"/>
        <w:bottom w:val="none" w:sz="0" w:space="0" w:color="auto"/>
        <w:right w:val="none" w:sz="0" w:space="0" w:color="auto"/>
      </w:divBdr>
      <w:divsChild>
        <w:div w:id="41175957">
          <w:marLeft w:val="0"/>
          <w:marRight w:val="0"/>
          <w:marTop w:val="0"/>
          <w:marBottom w:val="0"/>
          <w:divBdr>
            <w:top w:val="none" w:sz="0" w:space="0" w:color="auto"/>
            <w:left w:val="none" w:sz="0" w:space="0" w:color="auto"/>
            <w:bottom w:val="none" w:sz="0" w:space="0" w:color="auto"/>
            <w:right w:val="none" w:sz="0" w:space="0" w:color="auto"/>
          </w:divBdr>
        </w:div>
        <w:div w:id="627203240">
          <w:marLeft w:val="0"/>
          <w:marRight w:val="0"/>
          <w:marTop w:val="0"/>
          <w:marBottom w:val="0"/>
          <w:divBdr>
            <w:top w:val="none" w:sz="0" w:space="0" w:color="auto"/>
            <w:left w:val="none" w:sz="0" w:space="0" w:color="auto"/>
            <w:bottom w:val="none" w:sz="0" w:space="0" w:color="auto"/>
            <w:right w:val="none" w:sz="0" w:space="0" w:color="auto"/>
          </w:divBdr>
        </w:div>
        <w:div w:id="776212694">
          <w:marLeft w:val="0"/>
          <w:marRight w:val="0"/>
          <w:marTop w:val="0"/>
          <w:marBottom w:val="0"/>
          <w:divBdr>
            <w:top w:val="none" w:sz="0" w:space="0" w:color="auto"/>
            <w:left w:val="none" w:sz="0" w:space="0" w:color="auto"/>
            <w:bottom w:val="none" w:sz="0" w:space="0" w:color="auto"/>
            <w:right w:val="none" w:sz="0" w:space="0" w:color="auto"/>
          </w:divBdr>
        </w:div>
        <w:div w:id="817038843">
          <w:marLeft w:val="0"/>
          <w:marRight w:val="0"/>
          <w:marTop w:val="0"/>
          <w:marBottom w:val="0"/>
          <w:divBdr>
            <w:top w:val="none" w:sz="0" w:space="0" w:color="auto"/>
            <w:left w:val="none" w:sz="0" w:space="0" w:color="auto"/>
            <w:bottom w:val="none" w:sz="0" w:space="0" w:color="auto"/>
            <w:right w:val="none" w:sz="0" w:space="0" w:color="auto"/>
          </w:divBdr>
        </w:div>
        <w:div w:id="1016276689">
          <w:marLeft w:val="0"/>
          <w:marRight w:val="0"/>
          <w:marTop w:val="0"/>
          <w:marBottom w:val="0"/>
          <w:divBdr>
            <w:top w:val="none" w:sz="0" w:space="0" w:color="auto"/>
            <w:left w:val="none" w:sz="0" w:space="0" w:color="auto"/>
            <w:bottom w:val="none" w:sz="0" w:space="0" w:color="auto"/>
            <w:right w:val="none" w:sz="0" w:space="0" w:color="auto"/>
          </w:divBdr>
          <w:divsChild>
            <w:div w:id="141042589">
              <w:marLeft w:val="0"/>
              <w:marRight w:val="0"/>
              <w:marTop w:val="0"/>
              <w:marBottom w:val="0"/>
              <w:divBdr>
                <w:top w:val="none" w:sz="0" w:space="0" w:color="auto"/>
                <w:left w:val="none" w:sz="0" w:space="0" w:color="auto"/>
                <w:bottom w:val="none" w:sz="0" w:space="0" w:color="auto"/>
                <w:right w:val="none" w:sz="0" w:space="0" w:color="auto"/>
              </w:divBdr>
            </w:div>
            <w:div w:id="467168538">
              <w:marLeft w:val="0"/>
              <w:marRight w:val="0"/>
              <w:marTop w:val="0"/>
              <w:marBottom w:val="0"/>
              <w:divBdr>
                <w:top w:val="none" w:sz="0" w:space="0" w:color="auto"/>
                <w:left w:val="none" w:sz="0" w:space="0" w:color="auto"/>
                <w:bottom w:val="none" w:sz="0" w:space="0" w:color="auto"/>
                <w:right w:val="none" w:sz="0" w:space="0" w:color="auto"/>
              </w:divBdr>
            </w:div>
            <w:div w:id="479810955">
              <w:marLeft w:val="0"/>
              <w:marRight w:val="0"/>
              <w:marTop w:val="0"/>
              <w:marBottom w:val="0"/>
              <w:divBdr>
                <w:top w:val="none" w:sz="0" w:space="0" w:color="auto"/>
                <w:left w:val="none" w:sz="0" w:space="0" w:color="auto"/>
                <w:bottom w:val="none" w:sz="0" w:space="0" w:color="auto"/>
                <w:right w:val="none" w:sz="0" w:space="0" w:color="auto"/>
              </w:divBdr>
            </w:div>
            <w:div w:id="521018814">
              <w:marLeft w:val="0"/>
              <w:marRight w:val="0"/>
              <w:marTop w:val="0"/>
              <w:marBottom w:val="0"/>
              <w:divBdr>
                <w:top w:val="none" w:sz="0" w:space="0" w:color="auto"/>
                <w:left w:val="none" w:sz="0" w:space="0" w:color="auto"/>
                <w:bottom w:val="none" w:sz="0" w:space="0" w:color="auto"/>
                <w:right w:val="none" w:sz="0" w:space="0" w:color="auto"/>
              </w:divBdr>
            </w:div>
            <w:div w:id="535849808">
              <w:marLeft w:val="0"/>
              <w:marRight w:val="0"/>
              <w:marTop w:val="0"/>
              <w:marBottom w:val="0"/>
              <w:divBdr>
                <w:top w:val="none" w:sz="0" w:space="0" w:color="auto"/>
                <w:left w:val="none" w:sz="0" w:space="0" w:color="auto"/>
                <w:bottom w:val="none" w:sz="0" w:space="0" w:color="auto"/>
                <w:right w:val="none" w:sz="0" w:space="0" w:color="auto"/>
              </w:divBdr>
            </w:div>
            <w:div w:id="601717968">
              <w:marLeft w:val="0"/>
              <w:marRight w:val="0"/>
              <w:marTop w:val="0"/>
              <w:marBottom w:val="0"/>
              <w:divBdr>
                <w:top w:val="none" w:sz="0" w:space="0" w:color="auto"/>
                <w:left w:val="none" w:sz="0" w:space="0" w:color="auto"/>
                <w:bottom w:val="none" w:sz="0" w:space="0" w:color="auto"/>
                <w:right w:val="none" w:sz="0" w:space="0" w:color="auto"/>
              </w:divBdr>
            </w:div>
            <w:div w:id="923684074">
              <w:marLeft w:val="0"/>
              <w:marRight w:val="0"/>
              <w:marTop w:val="0"/>
              <w:marBottom w:val="0"/>
              <w:divBdr>
                <w:top w:val="none" w:sz="0" w:space="0" w:color="auto"/>
                <w:left w:val="none" w:sz="0" w:space="0" w:color="auto"/>
                <w:bottom w:val="none" w:sz="0" w:space="0" w:color="auto"/>
                <w:right w:val="none" w:sz="0" w:space="0" w:color="auto"/>
              </w:divBdr>
            </w:div>
            <w:div w:id="1023822681">
              <w:marLeft w:val="0"/>
              <w:marRight w:val="0"/>
              <w:marTop w:val="0"/>
              <w:marBottom w:val="0"/>
              <w:divBdr>
                <w:top w:val="none" w:sz="0" w:space="0" w:color="auto"/>
                <w:left w:val="none" w:sz="0" w:space="0" w:color="auto"/>
                <w:bottom w:val="none" w:sz="0" w:space="0" w:color="auto"/>
                <w:right w:val="none" w:sz="0" w:space="0" w:color="auto"/>
              </w:divBdr>
            </w:div>
            <w:div w:id="1131360720">
              <w:marLeft w:val="0"/>
              <w:marRight w:val="0"/>
              <w:marTop w:val="0"/>
              <w:marBottom w:val="0"/>
              <w:divBdr>
                <w:top w:val="none" w:sz="0" w:space="0" w:color="auto"/>
                <w:left w:val="none" w:sz="0" w:space="0" w:color="auto"/>
                <w:bottom w:val="none" w:sz="0" w:space="0" w:color="auto"/>
                <w:right w:val="none" w:sz="0" w:space="0" w:color="auto"/>
              </w:divBdr>
            </w:div>
            <w:div w:id="1169831270">
              <w:marLeft w:val="0"/>
              <w:marRight w:val="0"/>
              <w:marTop w:val="0"/>
              <w:marBottom w:val="0"/>
              <w:divBdr>
                <w:top w:val="none" w:sz="0" w:space="0" w:color="auto"/>
                <w:left w:val="none" w:sz="0" w:space="0" w:color="auto"/>
                <w:bottom w:val="none" w:sz="0" w:space="0" w:color="auto"/>
                <w:right w:val="none" w:sz="0" w:space="0" w:color="auto"/>
              </w:divBdr>
            </w:div>
            <w:div w:id="1177303892">
              <w:marLeft w:val="0"/>
              <w:marRight w:val="0"/>
              <w:marTop w:val="0"/>
              <w:marBottom w:val="0"/>
              <w:divBdr>
                <w:top w:val="none" w:sz="0" w:space="0" w:color="auto"/>
                <w:left w:val="none" w:sz="0" w:space="0" w:color="auto"/>
                <w:bottom w:val="none" w:sz="0" w:space="0" w:color="auto"/>
                <w:right w:val="none" w:sz="0" w:space="0" w:color="auto"/>
              </w:divBdr>
            </w:div>
            <w:div w:id="1329864124">
              <w:marLeft w:val="0"/>
              <w:marRight w:val="0"/>
              <w:marTop w:val="0"/>
              <w:marBottom w:val="0"/>
              <w:divBdr>
                <w:top w:val="none" w:sz="0" w:space="0" w:color="auto"/>
                <w:left w:val="none" w:sz="0" w:space="0" w:color="auto"/>
                <w:bottom w:val="none" w:sz="0" w:space="0" w:color="auto"/>
                <w:right w:val="none" w:sz="0" w:space="0" w:color="auto"/>
              </w:divBdr>
            </w:div>
            <w:div w:id="1705134021">
              <w:marLeft w:val="0"/>
              <w:marRight w:val="0"/>
              <w:marTop w:val="0"/>
              <w:marBottom w:val="0"/>
              <w:divBdr>
                <w:top w:val="none" w:sz="0" w:space="0" w:color="auto"/>
                <w:left w:val="none" w:sz="0" w:space="0" w:color="auto"/>
                <w:bottom w:val="none" w:sz="0" w:space="0" w:color="auto"/>
                <w:right w:val="none" w:sz="0" w:space="0" w:color="auto"/>
              </w:divBdr>
            </w:div>
            <w:div w:id="1714310448">
              <w:marLeft w:val="0"/>
              <w:marRight w:val="0"/>
              <w:marTop w:val="0"/>
              <w:marBottom w:val="0"/>
              <w:divBdr>
                <w:top w:val="none" w:sz="0" w:space="0" w:color="auto"/>
                <w:left w:val="none" w:sz="0" w:space="0" w:color="auto"/>
                <w:bottom w:val="none" w:sz="0" w:space="0" w:color="auto"/>
                <w:right w:val="none" w:sz="0" w:space="0" w:color="auto"/>
              </w:divBdr>
            </w:div>
            <w:div w:id="1888448129">
              <w:marLeft w:val="0"/>
              <w:marRight w:val="0"/>
              <w:marTop w:val="0"/>
              <w:marBottom w:val="0"/>
              <w:divBdr>
                <w:top w:val="none" w:sz="0" w:space="0" w:color="auto"/>
                <w:left w:val="none" w:sz="0" w:space="0" w:color="auto"/>
                <w:bottom w:val="none" w:sz="0" w:space="0" w:color="auto"/>
                <w:right w:val="none" w:sz="0" w:space="0" w:color="auto"/>
              </w:divBdr>
            </w:div>
            <w:div w:id="1989699593">
              <w:marLeft w:val="0"/>
              <w:marRight w:val="0"/>
              <w:marTop w:val="0"/>
              <w:marBottom w:val="0"/>
              <w:divBdr>
                <w:top w:val="none" w:sz="0" w:space="0" w:color="auto"/>
                <w:left w:val="none" w:sz="0" w:space="0" w:color="auto"/>
                <w:bottom w:val="none" w:sz="0" w:space="0" w:color="auto"/>
                <w:right w:val="none" w:sz="0" w:space="0" w:color="auto"/>
              </w:divBdr>
            </w:div>
          </w:divsChild>
        </w:div>
        <w:div w:id="1047070192">
          <w:marLeft w:val="0"/>
          <w:marRight w:val="0"/>
          <w:marTop w:val="0"/>
          <w:marBottom w:val="0"/>
          <w:divBdr>
            <w:top w:val="none" w:sz="0" w:space="0" w:color="auto"/>
            <w:left w:val="none" w:sz="0" w:space="0" w:color="auto"/>
            <w:bottom w:val="none" w:sz="0" w:space="0" w:color="auto"/>
            <w:right w:val="none" w:sz="0" w:space="0" w:color="auto"/>
          </w:divBdr>
        </w:div>
        <w:div w:id="1059134629">
          <w:marLeft w:val="0"/>
          <w:marRight w:val="0"/>
          <w:marTop w:val="0"/>
          <w:marBottom w:val="0"/>
          <w:divBdr>
            <w:top w:val="none" w:sz="0" w:space="0" w:color="auto"/>
            <w:left w:val="none" w:sz="0" w:space="0" w:color="auto"/>
            <w:bottom w:val="none" w:sz="0" w:space="0" w:color="auto"/>
            <w:right w:val="none" w:sz="0" w:space="0" w:color="auto"/>
          </w:divBdr>
        </w:div>
        <w:div w:id="1252543031">
          <w:marLeft w:val="0"/>
          <w:marRight w:val="0"/>
          <w:marTop w:val="0"/>
          <w:marBottom w:val="0"/>
          <w:divBdr>
            <w:top w:val="none" w:sz="0" w:space="0" w:color="auto"/>
            <w:left w:val="none" w:sz="0" w:space="0" w:color="auto"/>
            <w:bottom w:val="none" w:sz="0" w:space="0" w:color="auto"/>
            <w:right w:val="none" w:sz="0" w:space="0" w:color="auto"/>
          </w:divBdr>
        </w:div>
        <w:div w:id="1267344609">
          <w:marLeft w:val="0"/>
          <w:marRight w:val="0"/>
          <w:marTop w:val="0"/>
          <w:marBottom w:val="0"/>
          <w:divBdr>
            <w:top w:val="none" w:sz="0" w:space="0" w:color="auto"/>
            <w:left w:val="none" w:sz="0" w:space="0" w:color="auto"/>
            <w:bottom w:val="none" w:sz="0" w:space="0" w:color="auto"/>
            <w:right w:val="none" w:sz="0" w:space="0" w:color="auto"/>
          </w:divBdr>
        </w:div>
        <w:div w:id="1893080654">
          <w:marLeft w:val="0"/>
          <w:marRight w:val="0"/>
          <w:marTop w:val="0"/>
          <w:marBottom w:val="0"/>
          <w:divBdr>
            <w:top w:val="none" w:sz="0" w:space="0" w:color="auto"/>
            <w:left w:val="none" w:sz="0" w:space="0" w:color="auto"/>
            <w:bottom w:val="none" w:sz="0" w:space="0" w:color="auto"/>
            <w:right w:val="none" w:sz="0" w:space="0" w:color="auto"/>
          </w:divBdr>
        </w:div>
        <w:div w:id="2109427839">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0720985">
      <w:bodyDiv w:val="1"/>
      <w:marLeft w:val="0"/>
      <w:marRight w:val="0"/>
      <w:marTop w:val="0"/>
      <w:marBottom w:val="0"/>
      <w:divBdr>
        <w:top w:val="none" w:sz="0" w:space="0" w:color="auto"/>
        <w:left w:val="none" w:sz="0" w:space="0" w:color="auto"/>
        <w:bottom w:val="none" w:sz="0" w:space="0" w:color="auto"/>
        <w:right w:val="none" w:sz="0" w:space="0" w:color="auto"/>
      </w:divBdr>
      <w:divsChild>
        <w:div w:id="1012687625">
          <w:marLeft w:val="0"/>
          <w:marRight w:val="0"/>
          <w:marTop w:val="0"/>
          <w:marBottom w:val="0"/>
          <w:divBdr>
            <w:top w:val="none" w:sz="0" w:space="0" w:color="auto"/>
            <w:left w:val="none" w:sz="0" w:space="0" w:color="auto"/>
            <w:bottom w:val="none" w:sz="0" w:space="0" w:color="auto"/>
            <w:right w:val="none" w:sz="0" w:space="0" w:color="auto"/>
          </w:divBdr>
        </w:div>
        <w:div w:id="212141379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health-system-design-planning/perioperative-service-capability-framework-for-victoria" TargetMode="External"/><Relationship Id="rId3" Type="http://schemas.openxmlformats.org/officeDocument/2006/relationships/customXml" Target="../customXml/item3.xml"/><Relationship Id="rId21" Type="http://schemas.openxmlformats.org/officeDocument/2006/relationships/hyperlink" Target="https://www.health.vic.gov.au/health-system-design-planning/service-capability-frameworks-for-victori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palliative-care-service-capability-framework" TargetMode="External"/><Relationship Id="rId2" Type="http://schemas.openxmlformats.org/officeDocument/2006/relationships/customXml" Target="../customXml/item2.xml"/><Relationship Id="rId16" Type="http://schemas.openxmlformats.org/officeDocument/2006/relationships/hyperlink" Target="https://www.health.vic.gov.au/patient-care/capability-frameworks-for-maternity-and-newborn-care-in-victoria" TargetMode="External"/><Relationship Id="rId20" Type="http://schemas.openxmlformats.org/officeDocument/2006/relationships/hyperlink" Target="mailto:capabilityframework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tterhealth.vic.gov.au/health/servicesandsupport/pregnancy-and-birth-care-op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7" ma:contentTypeDescription="Create a new document." ma:contentTypeScope="" ma:versionID="0e5cafbd431350b336523f7d0ac6560f">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c04e40562be72e6cfe97a30998f05f5"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Glyn Devlin (Health)</DisplayName>
        <AccountId>30</AccountId>
        <AccountType/>
      </UserInfo>
      <UserInfo>
        <DisplayName>Mary Benson (Health)</DisplayName>
        <AccountId>602</AccountId>
        <AccountType/>
      </UserInfo>
      <UserInfo>
        <DisplayName>Sonia Denisenko (Health)</DisplayName>
        <AccountId>16</AccountId>
        <AccountType/>
      </UserInfo>
      <UserInfo>
        <DisplayName>Isabella Ryan (Health)</DisplayName>
        <AccountId>698</AccountId>
        <AccountType/>
      </UserInfo>
      <UserInfo>
        <DisplayName>Capability Frameworks (Health)</DisplayName>
        <AccountId>230</AccountId>
        <AccountType/>
      </UserInfo>
      <UserInfo>
        <DisplayName>Miriam Brown (Health)</DisplayName>
        <AccountId>938</AccountId>
        <AccountType/>
      </UserInfo>
      <UserInfo>
        <DisplayName>Kerryn Eccleston (Health)</DisplayName>
        <AccountId>942</AccountId>
        <AccountType/>
      </UserInfo>
      <UserInfo>
        <DisplayName>Lucy Sutherland (Health)</DisplayName>
        <AccountId>943</AccountId>
        <AccountType/>
      </UserInfo>
      <UserInfo>
        <DisplayName>Karen Botting (Health)</DisplayName>
        <AccountId>243</AccountId>
        <AccountType/>
      </UserInfo>
      <UserInfo>
        <DisplayName>Georgina Akers (Health)</DisplayName>
        <AccountId>177</AccountId>
        <AccountType/>
      </UserInfo>
      <UserInfo>
        <DisplayName>Rebecca Khampha (Health)</DisplayName>
        <AccountId>1063</AccountId>
        <AccountType/>
      </UserInfo>
      <UserInfo>
        <DisplayName>Paul Aiken (Health)</DisplayName>
        <AccountId>787</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242FC4F-0E85-459A-AD7C-50E61DA3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4259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Frameworks - Consumer factsheet</dc:title>
  <dc:subject/>
  <dc:creator>Microsoft Office User;capabilityframeworks@health.vic.gov.au</dc:creator>
  <cp:keywords>capability frameworks</cp:keywords>
  <dc:description/>
  <cp:revision>6</cp:revision>
  <cp:lastPrinted>2020-03-29T09:28:00Z</cp:lastPrinted>
  <dcterms:created xsi:type="dcterms:W3CDTF">2023-11-23T06:02:00Z</dcterms:created>
  <dcterms:modified xsi:type="dcterms:W3CDTF">2023-12-07T23:40:00Z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y fmtid="{D5CDD505-2E9C-101B-9397-08002B2CF9AE}" pid="23" name="MediaServiceImageTags">
    <vt:lpwstr/>
  </property>
</Properties>
</file>