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BD2A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60E2D8EA" wp14:editId="79A86D5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10C95F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581C477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B0A4EE7" w14:textId="728638DA" w:rsidR="003B5733" w:rsidRPr="00A047F5" w:rsidRDefault="00413AAA" w:rsidP="00A047F5">
            <w:pPr>
              <w:pStyle w:val="Documenttitle"/>
              <w:rPr>
                <w:lang w:val="en-GB"/>
              </w:rPr>
            </w:pPr>
            <w:r w:rsidRPr="00413AAA">
              <w:rPr>
                <w:lang w:val="en-GB"/>
              </w:rPr>
              <w:t>Hypoglycaemia</w:t>
            </w:r>
          </w:p>
        </w:tc>
      </w:tr>
      <w:tr w:rsidR="003B5733" w14:paraId="214A09C1" w14:textId="77777777" w:rsidTr="00B07FF7">
        <w:tc>
          <w:tcPr>
            <w:tcW w:w="10348" w:type="dxa"/>
          </w:tcPr>
          <w:p w14:paraId="1E5AED30" w14:textId="13A2227B" w:rsidR="003B5733" w:rsidRPr="00A1389F" w:rsidRDefault="00A047F5" w:rsidP="005F44C0">
            <w:pPr>
              <w:pStyle w:val="Documentsubtitle"/>
            </w:pPr>
            <w:r w:rsidRPr="00A047F5">
              <w:rPr>
                <w:lang w:val="en-GB"/>
              </w:rPr>
              <w:t>Standardised care process</w:t>
            </w:r>
          </w:p>
        </w:tc>
      </w:tr>
    </w:tbl>
    <w:p w14:paraId="13F58136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011DFD3D" w14:textId="1E90AB99" w:rsidR="004D1DA0" w:rsidRPr="004D1DA0" w:rsidRDefault="004D1DA0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>
        <w:rPr>
          <w:b/>
        </w:rPr>
        <w:fldChar w:fldCharType="begin"/>
      </w:r>
      <w:r>
        <w:rPr>
          <w:b/>
        </w:rPr>
        <w:instrText xml:space="preserve"> TOC \h \z \t "Heading 1,1,Heading 2,2" </w:instrText>
      </w:r>
      <w:r>
        <w:rPr>
          <w:b/>
        </w:rPr>
        <w:fldChar w:fldCharType="separate"/>
      </w:r>
      <w:hyperlink w:anchor="_Toc111478034" w:history="1">
        <w:r w:rsidRPr="004D1DA0">
          <w:rPr>
            <w:rStyle w:val="Hyperlink"/>
          </w:rPr>
          <w:t>Objective</w:t>
        </w:r>
        <w:r w:rsidRPr="004D1DA0">
          <w:rPr>
            <w:webHidden/>
          </w:rPr>
          <w:tab/>
        </w:r>
        <w:r w:rsidRPr="004D1DA0">
          <w:rPr>
            <w:webHidden/>
          </w:rPr>
          <w:fldChar w:fldCharType="begin"/>
        </w:r>
        <w:r w:rsidRPr="004D1DA0">
          <w:rPr>
            <w:webHidden/>
          </w:rPr>
          <w:instrText xml:space="preserve"> PAGEREF _Toc111478034 \h </w:instrText>
        </w:r>
        <w:r w:rsidRPr="004D1DA0">
          <w:rPr>
            <w:webHidden/>
          </w:rPr>
        </w:r>
        <w:r w:rsidRPr="004D1DA0">
          <w:rPr>
            <w:webHidden/>
          </w:rPr>
          <w:fldChar w:fldCharType="separate"/>
        </w:r>
        <w:r w:rsidR="00184C7A">
          <w:rPr>
            <w:webHidden/>
          </w:rPr>
          <w:t>2</w:t>
        </w:r>
        <w:r w:rsidRPr="004D1DA0">
          <w:rPr>
            <w:webHidden/>
          </w:rPr>
          <w:fldChar w:fldCharType="end"/>
        </w:r>
      </w:hyperlink>
    </w:p>
    <w:p w14:paraId="7688C9C6" w14:textId="23A1F249" w:rsidR="004D1DA0" w:rsidRPr="004D1DA0" w:rsidRDefault="00000000" w:rsidP="004D1DA0">
      <w:pPr>
        <w:pStyle w:val="TOC1"/>
        <w:spacing w:before="0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11478035" w:history="1">
        <w:r w:rsidR="004D1DA0" w:rsidRPr="004D1DA0">
          <w:rPr>
            <w:rStyle w:val="Hyperlink"/>
            <w:b w:val="0"/>
          </w:rPr>
          <w:t>Why the response to the actively dying stage is important</w:t>
        </w:r>
        <w:r w:rsidR="004D1DA0" w:rsidRPr="004D1DA0">
          <w:rPr>
            <w:b w:val="0"/>
            <w:webHidden/>
          </w:rPr>
          <w:tab/>
        </w:r>
        <w:r w:rsidR="004D1DA0" w:rsidRPr="004D1DA0">
          <w:rPr>
            <w:b w:val="0"/>
            <w:webHidden/>
          </w:rPr>
          <w:fldChar w:fldCharType="begin"/>
        </w:r>
        <w:r w:rsidR="004D1DA0" w:rsidRPr="004D1DA0">
          <w:rPr>
            <w:b w:val="0"/>
            <w:webHidden/>
          </w:rPr>
          <w:instrText xml:space="preserve"> PAGEREF _Toc111478035 \h </w:instrText>
        </w:r>
        <w:r w:rsidR="004D1DA0" w:rsidRPr="004D1DA0">
          <w:rPr>
            <w:b w:val="0"/>
            <w:webHidden/>
          </w:rPr>
        </w:r>
        <w:r w:rsidR="004D1DA0" w:rsidRPr="004D1DA0">
          <w:rPr>
            <w:b w:val="0"/>
            <w:webHidden/>
          </w:rPr>
          <w:fldChar w:fldCharType="separate"/>
        </w:r>
        <w:r w:rsidR="00184C7A">
          <w:rPr>
            <w:b w:val="0"/>
            <w:webHidden/>
          </w:rPr>
          <w:t>2</w:t>
        </w:r>
        <w:r w:rsidR="004D1DA0" w:rsidRPr="004D1DA0">
          <w:rPr>
            <w:b w:val="0"/>
            <w:webHidden/>
          </w:rPr>
          <w:fldChar w:fldCharType="end"/>
        </w:r>
      </w:hyperlink>
    </w:p>
    <w:p w14:paraId="78B1AF1B" w14:textId="1249E212" w:rsidR="004D1DA0" w:rsidRPr="004D1DA0" w:rsidRDefault="00000000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11478036" w:history="1">
        <w:r w:rsidR="004D1DA0" w:rsidRPr="004D1DA0">
          <w:rPr>
            <w:rStyle w:val="Hyperlink"/>
            <w:lang w:val="en-GB" w:eastAsia="en-AU"/>
          </w:rPr>
          <w:t>Definitions</w:t>
        </w:r>
        <w:r w:rsidR="004D1DA0" w:rsidRPr="004D1DA0">
          <w:rPr>
            <w:webHidden/>
          </w:rPr>
          <w:tab/>
        </w:r>
        <w:r w:rsidR="004D1DA0" w:rsidRPr="004D1DA0">
          <w:rPr>
            <w:webHidden/>
          </w:rPr>
          <w:fldChar w:fldCharType="begin"/>
        </w:r>
        <w:r w:rsidR="004D1DA0" w:rsidRPr="004D1DA0">
          <w:rPr>
            <w:webHidden/>
          </w:rPr>
          <w:instrText xml:space="preserve"> PAGEREF _Toc111478036 \h </w:instrText>
        </w:r>
        <w:r w:rsidR="004D1DA0" w:rsidRPr="004D1DA0">
          <w:rPr>
            <w:webHidden/>
          </w:rPr>
        </w:r>
        <w:r w:rsidR="004D1DA0" w:rsidRPr="004D1DA0">
          <w:rPr>
            <w:webHidden/>
          </w:rPr>
          <w:fldChar w:fldCharType="separate"/>
        </w:r>
        <w:r w:rsidR="00184C7A">
          <w:rPr>
            <w:webHidden/>
          </w:rPr>
          <w:t>2</w:t>
        </w:r>
        <w:r w:rsidR="004D1DA0" w:rsidRPr="004D1DA0">
          <w:rPr>
            <w:webHidden/>
          </w:rPr>
          <w:fldChar w:fldCharType="end"/>
        </w:r>
      </w:hyperlink>
    </w:p>
    <w:p w14:paraId="5397A60E" w14:textId="41496CBC" w:rsidR="004D1DA0" w:rsidRPr="004D1DA0" w:rsidRDefault="00000000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11478037" w:history="1">
        <w:r w:rsidR="004D1DA0" w:rsidRPr="004D1DA0">
          <w:rPr>
            <w:rStyle w:val="Hyperlink"/>
          </w:rPr>
          <w:t>Team</w:t>
        </w:r>
        <w:r w:rsidR="004D1DA0" w:rsidRPr="004D1DA0">
          <w:rPr>
            <w:webHidden/>
          </w:rPr>
          <w:tab/>
        </w:r>
        <w:r w:rsidR="004D1DA0" w:rsidRPr="004D1DA0">
          <w:rPr>
            <w:webHidden/>
          </w:rPr>
          <w:fldChar w:fldCharType="begin"/>
        </w:r>
        <w:r w:rsidR="004D1DA0" w:rsidRPr="004D1DA0">
          <w:rPr>
            <w:webHidden/>
          </w:rPr>
          <w:instrText xml:space="preserve"> PAGEREF _Toc111478037 \h </w:instrText>
        </w:r>
        <w:r w:rsidR="004D1DA0" w:rsidRPr="004D1DA0">
          <w:rPr>
            <w:webHidden/>
          </w:rPr>
        </w:r>
        <w:r w:rsidR="004D1DA0" w:rsidRPr="004D1DA0">
          <w:rPr>
            <w:webHidden/>
          </w:rPr>
          <w:fldChar w:fldCharType="separate"/>
        </w:r>
        <w:r w:rsidR="00184C7A">
          <w:rPr>
            <w:webHidden/>
          </w:rPr>
          <w:t>3</w:t>
        </w:r>
        <w:r w:rsidR="004D1DA0" w:rsidRPr="004D1DA0">
          <w:rPr>
            <w:webHidden/>
          </w:rPr>
          <w:fldChar w:fldCharType="end"/>
        </w:r>
      </w:hyperlink>
    </w:p>
    <w:p w14:paraId="7BCA3BAD" w14:textId="19C67B55" w:rsidR="004D1DA0" w:rsidRPr="004D1DA0" w:rsidRDefault="00000000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11478038" w:history="1">
        <w:r w:rsidR="004D1DA0" w:rsidRPr="004D1DA0">
          <w:rPr>
            <w:rStyle w:val="Hyperlink"/>
          </w:rPr>
          <w:t>Acknowledgement</w:t>
        </w:r>
        <w:r w:rsidR="004D1DA0" w:rsidRPr="004D1DA0">
          <w:rPr>
            <w:webHidden/>
          </w:rPr>
          <w:tab/>
        </w:r>
        <w:r w:rsidR="004D1DA0" w:rsidRPr="004D1DA0">
          <w:rPr>
            <w:webHidden/>
          </w:rPr>
          <w:fldChar w:fldCharType="begin"/>
        </w:r>
        <w:r w:rsidR="004D1DA0" w:rsidRPr="004D1DA0">
          <w:rPr>
            <w:webHidden/>
          </w:rPr>
          <w:instrText xml:space="preserve"> PAGEREF _Toc111478038 \h </w:instrText>
        </w:r>
        <w:r w:rsidR="004D1DA0" w:rsidRPr="004D1DA0">
          <w:rPr>
            <w:webHidden/>
          </w:rPr>
        </w:r>
        <w:r w:rsidR="004D1DA0" w:rsidRPr="004D1DA0">
          <w:rPr>
            <w:webHidden/>
          </w:rPr>
          <w:fldChar w:fldCharType="separate"/>
        </w:r>
        <w:r w:rsidR="00184C7A">
          <w:rPr>
            <w:webHidden/>
          </w:rPr>
          <w:t>3</w:t>
        </w:r>
        <w:r w:rsidR="004D1DA0" w:rsidRPr="004D1DA0">
          <w:rPr>
            <w:webHidden/>
          </w:rPr>
          <w:fldChar w:fldCharType="end"/>
        </w:r>
      </w:hyperlink>
    </w:p>
    <w:p w14:paraId="18605ED3" w14:textId="44F6D3B9" w:rsidR="004D1DA0" w:rsidRDefault="00000000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11478039" w:history="1">
        <w:r w:rsidR="004D1DA0" w:rsidRPr="00A348DF">
          <w:rPr>
            <w:rStyle w:val="Hyperlink"/>
          </w:rPr>
          <w:t>Brief standardised care process</w:t>
        </w:r>
        <w:r w:rsidR="004D1DA0">
          <w:rPr>
            <w:webHidden/>
          </w:rPr>
          <w:tab/>
        </w:r>
        <w:r w:rsidR="004D1DA0">
          <w:rPr>
            <w:webHidden/>
          </w:rPr>
          <w:fldChar w:fldCharType="begin"/>
        </w:r>
        <w:r w:rsidR="004D1DA0">
          <w:rPr>
            <w:webHidden/>
          </w:rPr>
          <w:instrText xml:space="preserve"> PAGEREF _Toc111478039 \h </w:instrText>
        </w:r>
        <w:r w:rsidR="004D1DA0">
          <w:rPr>
            <w:webHidden/>
          </w:rPr>
        </w:r>
        <w:r w:rsidR="004D1DA0">
          <w:rPr>
            <w:webHidden/>
          </w:rPr>
          <w:fldChar w:fldCharType="separate"/>
        </w:r>
        <w:r w:rsidR="00184C7A">
          <w:rPr>
            <w:webHidden/>
          </w:rPr>
          <w:t>4</w:t>
        </w:r>
        <w:r w:rsidR="004D1DA0">
          <w:rPr>
            <w:webHidden/>
          </w:rPr>
          <w:fldChar w:fldCharType="end"/>
        </w:r>
      </w:hyperlink>
    </w:p>
    <w:p w14:paraId="44228B9C" w14:textId="493C8689" w:rsidR="004D1DA0" w:rsidRDefault="00000000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11478040" w:history="1">
        <w:r w:rsidR="004D1DA0" w:rsidRPr="00A348DF">
          <w:rPr>
            <w:rStyle w:val="Hyperlink"/>
            <w:lang w:val="en-GB" w:eastAsia="en-AU"/>
          </w:rPr>
          <w:t>Recognition and assessment</w:t>
        </w:r>
        <w:r w:rsidR="004D1DA0">
          <w:rPr>
            <w:webHidden/>
          </w:rPr>
          <w:tab/>
        </w:r>
        <w:r w:rsidR="004D1DA0">
          <w:rPr>
            <w:webHidden/>
          </w:rPr>
          <w:fldChar w:fldCharType="begin"/>
        </w:r>
        <w:r w:rsidR="004D1DA0">
          <w:rPr>
            <w:webHidden/>
          </w:rPr>
          <w:instrText xml:space="preserve"> PAGEREF _Toc111478040 \h </w:instrText>
        </w:r>
        <w:r w:rsidR="004D1DA0">
          <w:rPr>
            <w:webHidden/>
          </w:rPr>
        </w:r>
        <w:r w:rsidR="004D1DA0">
          <w:rPr>
            <w:webHidden/>
          </w:rPr>
          <w:fldChar w:fldCharType="separate"/>
        </w:r>
        <w:r w:rsidR="00184C7A">
          <w:rPr>
            <w:webHidden/>
          </w:rPr>
          <w:t>4</w:t>
        </w:r>
        <w:r w:rsidR="004D1DA0">
          <w:rPr>
            <w:webHidden/>
          </w:rPr>
          <w:fldChar w:fldCharType="end"/>
        </w:r>
      </w:hyperlink>
    </w:p>
    <w:p w14:paraId="7C52BA08" w14:textId="12463A8E" w:rsidR="004D1DA0" w:rsidRDefault="00000000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11478041" w:history="1">
        <w:r w:rsidR="004D1DA0" w:rsidRPr="00A348DF">
          <w:rPr>
            <w:rStyle w:val="Hyperlink"/>
            <w:lang w:val="en-GB" w:eastAsia="en-AU"/>
          </w:rPr>
          <w:t>Interventions</w:t>
        </w:r>
        <w:r w:rsidR="004D1DA0">
          <w:rPr>
            <w:webHidden/>
          </w:rPr>
          <w:tab/>
        </w:r>
        <w:r w:rsidR="004D1DA0">
          <w:rPr>
            <w:webHidden/>
          </w:rPr>
          <w:fldChar w:fldCharType="begin"/>
        </w:r>
        <w:r w:rsidR="004D1DA0">
          <w:rPr>
            <w:webHidden/>
          </w:rPr>
          <w:instrText xml:space="preserve"> PAGEREF _Toc111478041 \h </w:instrText>
        </w:r>
        <w:r w:rsidR="004D1DA0">
          <w:rPr>
            <w:webHidden/>
          </w:rPr>
        </w:r>
        <w:r w:rsidR="004D1DA0">
          <w:rPr>
            <w:webHidden/>
          </w:rPr>
          <w:fldChar w:fldCharType="separate"/>
        </w:r>
        <w:r w:rsidR="00184C7A">
          <w:rPr>
            <w:webHidden/>
          </w:rPr>
          <w:t>4</w:t>
        </w:r>
        <w:r w:rsidR="004D1DA0">
          <w:rPr>
            <w:webHidden/>
          </w:rPr>
          <w:fldChar w:fldCharType="end"/>
        </w:r>
      </w:hyperlink>
    </w:p>
    <w:p w14:paraId="0CB7C75C" w14:textId="7D1A0864" w:rsidR="004D1DA0" w:rsidRDefault="00000000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11478042" w:history="1">
        <w:r w:rsidR="004D1DA0" w:rsidRPr="00A348DF">
          <w:rPr>
            <w:rStyle w:val="Hyperlink"/>
            <w:lang w:val="en-GB" w:eastAsia="en-AU"/>
          </w:rPr>
          <w:t>Referral</w:t>
        </w:r>
        <w:r w:rsidR="004D1DA0">
          <w:rPr>
            <w:webHidden/>
          </w:rPr>
          <w:tab/>
        </w:r>
        <w:r w:rsidR="004D1DA0">
          <w:rPr>
            <w:webHidden/>
          </w:rPr>
          <w:fldChar w:fldCharType="begin"/>
        </w:r>
        <w:r w:rsidR="004D1DA0">
          <w:rPr>
            <w:webHidden/>
          </w:rPr>
          <w:instrText xml:space="preserve"> PAGEREF _Toc111478042 \h </w:instrText>
        </w:r>
        <w:r w:rsidR="004D1DA0">
          <w:rPr>
            <w:webHidden/>
          </w:rPr>
        </w:r>
        <w:r w:rsidR="004D1DA0">
          <w:rPr>
            <w:webHidden/>
          </w:rPr>
          <w:fldChar w:fldCharType="separate"/>
        </w:r>
        <w:r w:rsidR="00184C7A">
          <w:rPr>
            <w:webHidden/>
          </w:rPr>
          <w:t>4</w:t>
        </w:r>
        <w:r w:rsidR="004D1DA0">
          <w:rPr>
            <w:webHidden/>
          </w:rPr>
          <w:fldChar w:fldCharType="end"/>
        </w:r>
      </w:hyperlink>
    </w:p>
    <w:p w14:paraId="0167D10B" w14:textId="03401BD9" w:rsidR="004D1DA0" w:rsidRDefault="00000000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11478043" w:history="1">
        <w:r w:rsidR="004D1DA0" w:rsidRPr="00A348DF">
          <w:rPr>
            <w:rStyle w:val="Hyperlink"/>
          </w:rPr>
          <w:t>Evaluation and reassessment</w:t>
        </w:r>
        <w:r w:rsidR="004D1DA0">
          <w:rPr>
            <w:webHidden/>
          </w:rPr>
          <w:tab/>
        </w:r>
        <w:r w:rsidR="004D1DA0">
          <w:rPr>
            <w:webHidden/>
          </w:rPr>
          <w:fldChar w:fldCharType="begin"/>
        </w:r>
        <w:r w:rsidR="004D1DA0">
          <w:rPr>
            <w:webHidden/>
          </w:rPr>
          <w:instrText xml:space="preserve"> PAGEREF _Toc111478043 \h </w:instrText>
        </w:r>
        <w:r w:rsidR="004D1DA0">
          <w:rPr>
            <w:webHidden/>
          </w:rPr>
        </w:r>
        <w:r w:rsidR="004D1DA0">
          <w:rPr>
            <w:webHidden/>
          </w:rPr>
          <w:fldChar w:fldCharType="separate"/>
        </w:r>
        <w:r w:rsidR="00184C7A">
          <w:rPr>
            <w:webHidden/>
          </w:rPr>
          <w:t>4</w:t>
        </w:r>
        <w:r w:rsidR="004D1DA0">
          <w:rPr>
            <w:webHidden/>
          </w:rPr>
          <w:fldChar w:fldCharType="end"/>
        </w:r>
      </w:hyperlink>
    </w:p>
    <w:p w14:paraId="06CB4474" w14:textId="39283BB5" w:rsidR="004D1DA0" w:rsidRDefault="00000000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11478044" w:history="1">
        <w:r w:rsidR="004D1DA0" w:rsidRPr="00A348DF">
          <w:rPr>
            <w:rStyle w:val="Hyperlink"/>
            <w:lang w:val="en-GB" w:eastAsia="en-AU"/>
          </w:rPr>
          <w:t>Resident involvement</w:t>
        </w:r>
        <w:r w:rsidR="004D1DA0">
          <w:rPr>
            <w:webHidden/>
          </w:rPr>
          <w:tab/>
        </w:r>
        <w:r w:rsidR="004D1DA0">
          <w:rPr>
            <w:webHidden/>
          </w:rPr>
          <w:fldChar w:fldCharType="begin"/>
        </w:r>
        <w:r w:rsidR="004D1DA0">
          <w:rPr>
            <w:webHidden/>
          </w:rPr>
          <w:instrText xml:space="preserve"> PAGEREF _Toc111478044 \h </w:instrText>
        </w:r>
        <w:r w:rsidR="004D1DA0">
          <w:rPr>
            <w:webHidden/>
          </w:rPr>
        </w:r>
        <w:r w:rsidR="004D1DA0">
          <w:rPr>
            <w:webHidden/>
          </w:rPr>
          <w:fldChar w:fldCharType="separate"/>
        </w:r>
        <w:r w:rsidR="00184C7A">
          <w:rPr>
            <w:webHidden/>
          </w:rPr>
          <w:t>4</w:t>
        </w:r>
        <w:r w:rsidR="004D1DA0">
          <w:rPr>
            <w:webHidden/>
          </w:rPr>
          <w:fldChar w:fldCharType="end"/>
        </w:r>
      </w:hyperlink>
    </w:p>
    <w:p w14:paraId="3F0DC51F" w14:textId="005CE58D" w:rsidR="004D1DA0" w:rsidRDefault="00000000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11478045" w:history="1">
        <w:r w:rsidR="004D1DA0" w:rsidRPr="00A348DF">
          <w:rPr>
            <w:rStyle w:val="Hyperlink"/>
          </w:rPr>
          <w:t>Staff knowledge and education</w:t>
        </w:r>
        <w:r w:rsidR="004D1DA0">
          <w:rPr>
            <w:webHidden/>
          </w:rPr>
          <w:tab/>
        </w:r>
        <w:r w:rsidR="004D1DA0">
          <w:rPr>
            <w:webHidden/>
          </w:rPr>
          <w:fldChar w:fldCharType="begin"/>
        </w:r>
        <w:r w:rsidR="004D1DA0">
          <w:rPr>
            <w:webHidden/>
          </w:rPr>
          <w:instrText xml:space="preserve"> PAGEREF _Toc111478045 \h </w:instrText>
        </w:r>
        <w:r w:rsidR="004D1DA0">
          <w:rPr>
            <w:webHidden/>
          </w:rPr>
        </w:r>
        <w:r w:rsidR="004D1DA0">
          <w:rPr>
            <w:webHidden/>
          </w:rPr>
          <w:fldChar w:fldCharType="separate"/>
        </w:r>
        <w:r w:rsidR="00184C7A">
          <w:rPr>
            <w:webHidden/>
          </w:rPr>
          <w:t>4</w:t>
        </w:r>
        <w:r w:rsidR="004D1DA0">
          <w:rPr>
            <w:webHidden/>
          </w:rPr>
          <w:fldChar w:fldCharType="end"/>
        </w:r>
      </w:hyperlink>
    </w:p>
    <w:p w14:paraId="0E501756" w14:textId="3415BF46" w:rsidR="004D1DA0" w:rsidRDefault="00000000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11478046" w:history="1">
        <w:r w:rsidR="004D1DA0" w:rsidRPr="00A348DF">
          <w:rPr>
            <w:rStyle w:val="Hyperlink"/>
            <w:lang w:val="en-GB"/>
          </w:rPr>
          <w:t>Full standardised care process</w:t>
        </w:r>
        <w:r w:rsidR="004D1DA0">
          <w:rPr>
            <w:webHidden/>
          </w:rPr>
          <w:tab/>
        </w:r>
        <w:r w:rsidR="004D1DA0">
          <w:rPr>
            <w:webHidden/>
          </w:rPr>
          <w:fldChar w:fldCharType="begin"/>
        </w:r>
        <w:r w:rsidR="004D1DA0">
          <w:rPr>
            <w:webHidden/>
          </w:rPr>
          <w:instrText xml:space="preserve"> PAGEREF _Toc111478046 \h </w:instrText>
        </w:r>
        <w:r w:rsidR="004D1DA0">
          <w:rPr>
            <w:webHidden/>
          </w:rPr>
        </w:r>
        <w:r w:rsidR="004D1DA0">
          <w:rPr>
            <w:webHidden/>
          </w:rPr>
          <w:fldChar w:fldCharType="separate"/>
        </w:r>
        <w:r w:rsidR="00184C7A">
          <w:rPr>
            <w:webHidden/>
          </w:rPr>
          <w:t>6</w:t>
        </w:r>
        <w:r w:rsidR="004D1DA0">
          <w:rPr>
            <w:webHidden/>
          </w:rPr>
          <w:fldChar w:fldCharType="end"/>
        </w:r>
      </w:hyperlink>
    </w:p>
    <w:p w14:paraId="319BEA9A" w14:textId="599D8C49" w:rsidR="004D1DA0" w:rsidRDefault="00000000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11478047" w:history="1">
        <w:r w:rsidR="004D1DA0" w:rsidRPr="00A348DF">
          <w:rPr>
            <w:rStyle w:val="Hyperlink"/>
          </w:rPr>
          <w:t>Recognition</w:t>
        </w:r>
        <w:r w:rsidR="004D1DA0">
          <w:rPr>
            <w:webHidden/>
          </w:rPr>
          <w:tab/>
        </w:r>
        <w:r w:rsidR="004D1DA0">
          <w:rPr>
            <w:webHidden/>
          </w:rPr>
          <w:fldChar w:fldCharType="begin"/>
        </w:r>
        <w:r w:rsidR="004D1DA0">
          <w:rPr>
            <w:webHidden/>
          </w:rPr>
          <w:instrText xml:space="preserve"> PAGEREF _Toc111478047 \h </w:instrText>
        </w:r>
        <w:r w:rsidR="004D1DA0">
          <w:rPr>
            <w:webHidden/>
          </w:rPr>
        </w:r>
        <w:r w:rsidR="004D1DA0">
          <w:rPr>
            <w:webHidden/>
          </w:rPr>
          <w:fldChar w:fldCharType="separate"/>
        </w:r>
        <w:r w:rsidR="00184C7A">
          <w:rPr>
            <w:webHidden/>
          </w:rPr>
          <w:t>6</w:t>
        </w:r>
        <w:r w:rsidR="004D1DA0">
          <w:rPr>
            <w:webHidden/>
          </w:rPr>
          <w:fldChar w:fldCharType="end"/>
        </w:r>
      </w:hyperlink>
    </w:p>
    <w:p w14:paraId="4583DDCD" w14:textId="1DBB32B9" w:rsidR="004D1DA0" w:rsidRDefault="00000000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11478048" w:history="1">
        <w:r w:rsidR="004D1DA0" w:rsidRPr="00A348DF">
          <w:rPr>
            <w:rStyle w:val="Hyperlink"/>
            <w:rFonts w:eastAsia="Times"/>
            <w:lang w:val="en-GB"/>
          </w:rPr>
          <w:t>Assessment</w:t>
        </w:r>
        <w:r w:rsidR="004D1DA0">
          <w:rPr>
            <w:webHidden/>
          </w:rPr>
          <w:tab/>
        </w:r>
        <w:r w:rsidR="004D1DA0">
          <w:rPr>
            <w:webHidden/>
          </w:rPr>
          <w:fldChar w:fldCharType="begin"/>
        </w:r>
        <w:r w:rsidR="004D1DA0">
          <w:rPr>
            <w:webHidden/>
          </w:rPr>
          <w:instrText xml:space="preserve"> PAGEREF _Toc111478048 \h </w:instrText>
        </w:r>
        <w:r w:rsidR="004D1DA0">
          <w:rPr>
            <w:webHidden/>
          </w:rPr>
        </w:r>
        <w:r w:rsidR="004D1DA0">
          <w:rPr>
            <w:webHidden/>
          </w:rPr>
          <w:fldChar w:fldCharType="separate"/>
        </w:r>
        <w:r w:rsidR="00184C7A">
          <w:rPr>
            <w:webHidden/>
          </w:rPr>
          <w:t>6</w:t>
        </w:r>
        <w:r w:rsidR="004D1DA0">
          <w:rPr>
            <w:webHidden/>
          </w:rPr>
          <w:fldChar w:fldCharType="end"/>
        </w:r>
      </w:hyperlink>
    </w:p>
    <w:p w14:paraId="6EE0E2BA" w14:textId="55158E7A" w:rsidR="004D1DA0" w:rsidRDefault="00000000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11478049" w:history="1">
        <w:r w:rsidR="004D1DA0" w:rsidRPr="00A348DF">
          <w:rPr>
            <w:rStyle w:val="Hyperlink"/>
            <w:lang w:val="en-GB" w:eastAsia="en-AU"/>
          </w:rPr>
          <w:t>Interventions</w:t>
        </w:r>
        <w:r w:rsidR="004D1DA0">
          <w:rPr>
            <w:webHidden/>
          </w:rPr>
          <w:tab/>
        </w:r>
        <w:r w:rsidR="004D1DA0">
          <w:rPr>
            <w:webHidden/>
          </w:rPr>
          <w:fldChar w:fldCharType="begin"/>
        </w:r>
        <w:r w:rsidR="004D1DA0">
          <w:rPr>
            <w:webHidden/>
          </w:rPr>
          <w:instrText xml:space="preserve"> PAGEREF _Toc111478049 \h </w:instrText>
        </w:r>
        <w:r w:rsidR="004D1DA0">
          <w:rPr>
            <w:webHidden/>
          </w:rPr>
        </w:r>
        <w:r w:rsidR="004D1DA0">
          <w:rPr>
            <w:webHidden/>
          </w:rPr>
          <w:fldChar w:fldCharType="separate"/>
        </w:r>
        <w:r w:rsidR="00184C7A">
          <w:rPr>
            <w:webHidden/>
          </w:rPr>
          <w:t>7</w:t>
        </w:r>
        <w:r w:rsidR="004D1DA0">
          <w:rPr>
            <w:webHidden/>
          </w:rPr>
          <w:fldChar w:fldCharType="end"/>
        </w:r>
      </w:hyperlink>
    </w:p>
    <w:p w14:paraId="4466F0EE" w14:textId="3CC3BEFE" w:rsidR="004D1DA0" w:rsidRDefault="00000000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11478050" w:history="1">
        <w:r w:rsidR="004D1DA0" w:rsidRPr="00A348DF">
          <w:rPr>
            <w:rStyle w:val="Hyperlink"/>
            <w:lang w:val="en-GB" w:eastAsia="en-AU"/>
          </w:rPr>
          <w:t>Referral</w:t>
        </w:r>
        <w:r w:rsidR="004D1DA0">
          <w:rPr>
            <w:webHidden/>
          </w:rPr>
          <w:tab/>
        </w:r>
        <w:r w:rsidR="004D1DA0">
          <w:rPr>
            <w:webHidden/>
          </w:rPr>
          <w:fldChar w:fldCharType="begin"/>
        </w:r>
        <w:r w:rsidR="004D1DA0">
          <w:rPr>
            <w:webHidden/>
          </w:rPr>
          <w:instrText xml:space="preserve"> PAGEREF _Toc111478050 \h </w:instrText>
        </w:r>
        <w:r w:rsidR="004D1DA0">
          <w:rPr>
            <w:webHidden/>
          </w:rPr>
        </w:r>
        <w:r w:rsidR="004D1DA0">
          <w:rPr>
            <w:webHidden/>
          </w:rPr>
          <w:fldChar w:fldCharType="separate"/>
        </w:r>
        <w:r w:rsidR="00184C7A">
          <w:rPr>
            <w:webHidden/>
          </w:rPr>
          <w:t>10</w:t>
        </w:r>
        <w:r w:rsidR="004D1DA0">
          <w:rPr>
            <w:webHidden/>
          </w:rPr>
          <w:fldChar w:fldCharType="end"/>
        </w:r>
      </w:hyperlink>
    </w:p>
    <w:p w14:paraId="3C35C1F0" w14:textId="042312A7" w:rsidR="004D1DA0" w:rsidRDefault="00000000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11478051" w:history="1">
        <w:r w:rsidR="004D1DA0" w:rsidRPr="00A348DF">
          <w:rPr>
            <w:rStyle w:val="Hyperlink"/>
            <w:lang w:val="en-GB" w:eastAsia="en-AU"/>
          </w:rPr>
          <w:t>Evaluation and reassessment</w:t>
        </w:r>
        <w:r w:rsidR="004D1DA0">
          <w:rPr>
            <w:webHidden/>
          </w:rPr>
          <w:tab/>
        </w:r>
        <w:r w:rsidR="004D1DA0">
          <w:rPr>
            <w:webHidden/>
          </w:rPr>
          <w:fldChar w:fldCharType="begin"/>
        </w:r>
        <w:r w:rsidR="004D1DA0">
          <w:rPr>
            <w:webHidden/>
          </w:rPr>
          <w:instrText xml:space="preserve"> PAGEREF _Toc111478051 \h </w:instrText>
        </w:r>
        <w:r w:rsidR="004D1DA0">
          <w:rPr>
            <w:webHidden/>
          </w:rPr>
        </w:r>
        <w:r w:rsidR="004D1DA0">
          <w:rPr>
            <w:webHidden/>
          </w:rPr>
          <w:fldChar w:fldCharType="separate"/>
        </w:r>
        <w:r w:rsidR="00184C7A">
          <w:rPr>
            <w:webHidden/>
          </w:rPr>
          <w:t>10</w:t>
        </w:r>
        <w:r w:rsidR="004D1DA0">
          <w:rPr>
            <w:webHidden/>
          </w:rPr>
          <w:fldChar w:fldCharType="end"/>
        </w:r>
      </w:hyperlink>
    </w:p>
    <w:p w14:paraId="755DE81B" w14:textId="24E25DD8" w:rsidR="004D1DA0" w:rsidRDefault="00000000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11478052" w:history="1">
        <w:r w:rsidR="004D1DA0" w:rsidRPr="00A348DF">
          <w:rPr>
            <w:rStyle w:val="Hyperlink"/>
            <w:lang w:val="en-GB" w:eastAsia="en-AU"/>
          </w:rPr>
          <w:t>Resident involvement</w:t>
        </w:r>
        <w:r w:rsidR="004D1DA0">
          <w:rPr>
            <w:webHidden/>
          </w:rPr>
          <w:tab/>
        </w:r>
        <w:r w:rsidR="004D1DA0">
          <w:rPr>
            <w:webHidden/>
          </w:rPr>
          <w:fldChar w:fldCharType="begin"/>
        </w:r>
        <w:r w:rsidR="004D1DA0">
          <w:rPr>
            <w:webHidden/>
          </w:rPr>
          <w:instrText xml:space="preserve"> PAGEREF _Toc111478052 \h </w:instrText>
        </w:r>
        <w:r w:rsidR="004D1DA0">
          <w:rPr>
            <w:webHidden/>
          </w:rPr>
        </w:r>
        <w:r w:rsidR="004D1DA0">
          <w:rPr>
            <w:webHidden/>
          </w:rPr>
          <w:fldChar w:fldCharType="separate"/>
        </w:r>
        <w:r w:rsidR="00184C7A">
          <w:rPr>
            <w:webHidden/>
          </w:rPr>
          <w:t>10</w:t>
        </w:r>
        <w:r w:rsidR="004D1DA0">
          <w:rPr>
            <w:webHidden/>
          </w:rPr>
          <w:fldChar w:fldCharType="end"/>
        </w:r>
      </w:hyperlink>
    </w:p>
    <w:p w14:paraId="2E9E3E6F" w14:textId="28202689" w:rsidR="004D1DA0" w:rsidRDefault="00000000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11478053" w:history="1">
        <w:r w:rsidR="004D1DA0" w:rsidRPr="00A348DF">
          <w:rPr>
            <w:rStyle w:val="Hyperlink"/>
            <w:lang w:val="en-GB" w:eastAsia="en-AU"/>
          </w:rPr>
          <w:t>Staff knowledge and education</w:t>
        </w:r>
        <w:r w:rsidR="004D1DA0">
          <w:rPr>
            <w:webHidden/>
          </w:rPr>
          <w:tab/>
        </w:r>
        <w:r w:rsidR="004D1DA0">
          <w:rPr>
            <w:webHidden/>
          </w:rPr>
          <w:fldChar w:fldCharType="begin"/>
        </w:r>
        <w:r w:rsidR="004D1DA0">
          <w:rPr>
            <w:webHidden/>
          </w:rPr>
          <w:instrText xml:space="preserve"> PAGEREF _Toc111478053 \h </w:instrText>
        </w:r>
        <w:r w:rsidR="004D1DA0">
          <w:rPr>
            <w:webHidden/>
          </w:rPr>
        </w:r>
        <w:r w:rsidR="004D1DA0">
          <w:rPr>
            <w:webHidden/>
          </w:rPr>
          <w:fldChar w:fldCharType="separate"/>
        </w:r>
        <w:r w:rsidR="00184C7A">
          <w:rPr>
            <w:webHidden/>
          </w:rPr>
          <w:t>10</w:t>
        </w:r>
        <w:r w:rsidR="004D1DA0">
          <w:rPr>
            <w:webHidden/>
          </w:rPr>
          <w:fldChar w:fldCharType="end"/>
        </w:r>
      </w:hyperlink>
    </w:p>
    <w:p w14:paraId="07CDEE16" w14:textId="01B42853" w:rsidR="004D1DA0" w:rsidRDefault="00000000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11478054" w:history="1">
        <w:r w:rsidR="004D1DA0" w:rsidRPr="00A348DF">
          <w:rPr>
            <w:rStyle w:val="Hyperlink"/>
          </w:rPr>
          <w:t>Evidence base</w:t>
        </w:r>
        <w:r w:rsidR="004D1DA0">
          <w:rPr>
            <w:webHidden/>
          </w:rPr>
          <w:tab/>
        </w:r>
        <w:r w:rsidR="004D1DA0">
          <w:rPr>
            <w:webHidden/>
          </w:rPr>
          <w:fldChar w:fldCharType="begin"/>
        </w:r>
        <w:r w:rsidR="004D1DA0">
          <w:rPr>
            <w:webHidden/>
          </w:rPr>
          <w:instrText xml:space="preserve"> PAGEREF _Toc111478054 \h </w:instrText>
        </w:r>
        <w:r w:rsidR="004D1DA0">
          <w:rPr>
            <w:webHidden/>
          </w:rPr>
        </w:r>
        <w:r w:rsidR="004D1DA0">
          <w:rPr>
            <w:webHidden/>
          </w:rPr>
          <w:fldChar w:fldCharType="separate"/>
        </w:r>
        <w:r w:rsidR="00184C7A">
          <w:rPr>
            <w:webHidden/>
          </w:rPr>
          <w:t>11</w:t>
        </w:r>
        <w:r w:rsidR="004D1DA0">
          <w:rPr>
            <w:webHidden/>
          </w:rPr>
          <w:fldChar w:fldCharType="end"/>
        </w:r>
      </w:hyperlink>
    </w:p>
    <w:p w14:paraId="7180B8A5" w14:textId="02337998" w:rsidR="007173CA" w:rsidRDefault="004D1DA0" w:rsidP="00D079AA">
      <w:pPr>
        <w:pStyle w:val="Body"/>
      </w:pPr>
      <w:r>
        <w:rPr>
          <w:rFonts w:eastAsia="Times New Roman"/>
          <w:b/>
          <w:noProof/>
        </w:rPr>
        <w:fldChar w:fldCharType="end"/>
      </w:r>
    </w:p>
    <w:p w14:paraId="7238730C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AA27CC8" w14:textId="77777777" w:rsidR="00F32368" w:rsidRPr="00F32368" w:rsidRDefault="00F32368" w:rsidP="00F32368">
      <w:pPr>
        <w:pStyle w:val="Body"/>
      </w:pPr>
      <w:bookmarkStart w:id="0" w:name="_Hlk41913885"/>
    </w:p>
    <w:bookmarkEnd w:id="0"/>
    <w:p w14:paraId="5CF08F43" w14:textId="77777777" w:rsidR="004D1DA0" w:rsidRDefault="004D1DA0">
      <w:pPr>
        <w:spacing w:after="0" w:line="240" w:lineRule="auto"/>
        <w:rPr>
          <w:b/>
          <w:color w:val="53565A"/>
          <w:sz w:val="32"/>
          <w:szCs w:val="28"/>
          <w:lang w:val="en-GB" w:eastAsia="en-AU"/>
        </w:rPr>
      </w:pPr>
      <w:r>
        <w:rPr>
          <w:lang w:val="en-GB" w:eastAsia="en-AU"/>
        </w:rPr>
        <w:br w:type="page"/>
      </w:r>
    </w:p>
    <w:p w14:paraId="305CE54D" w14:textId="7565C983" w:rsidR="00A047F5" w:rsidRPr="004D1DA0" w:rsidRDefault="00A047F5" w:rsidP="004D1DA0">
      <w:pPr>
        <w:pStyle w:val="Heading2"/>
      </w:pPr>
      <w:bookmarkStart w:id="1" w:name="_Toc111478034"/>
      <w:r w:rsidRPr="004D1DA0">
        <w:lastRenderedPageBreak/>
        <w:t>Objective</w:t>
      </w:r>
      <w:bookmarkEnd w:id="1"/>
    </w:p>
    <w:p w14:paraId="13553F6D" w14:textId="4EABFB91" w:rsidR="00413AAA" w:rsidRDefault="00413AAA" w:rsidP="00413AAA">
      <w:pPr>
        <w:pStyle w:val="Bodynospace"/>
      </w:pPr>
      <w:bookmarkStart w:id="2" w:name="_Toc111478035"/>
      <w:r w:rsidRPr="00413AAA">
        <w:t>To promote evidence-based practice in th</w:t>
      </w:r>
      <w:r>
        <w:t xml:space="preserve">e </w:t>
      </w:r>
      <w:r w:rsidRPr="00413AAA">
        <w:t>response to a hypoglycaemic episode for older</w:t>
      </w:r>
      <w:r>
        <w:t xml:space="preserve"> </w:t>
      </w:r>
      <w:r w:rsidRPr="00413AAA">
        <w:t>people who live in residential care settings.</w:t>
      </w:r>
    </w:p>
    <w:p w14:paraId="36DEB9ED" w14:textId="77777777" w:rsidR="00413AAA" w:rsidRPr="00413AAA" w:rsidRDefault="00413AAA" w:rsidP="00413AAA">
      <w:pPr>
        <w:pStyle w:val="Bodynospace"/>
      </w:pPr>
    </w:p>
    <w:p w14:paraId="14E59D99" w14:textId="032FC3A6" w:rsidR="00A047F5" w:rsidRPr="00413AAA" w:rsidRDefault="00A047F5" w:rsidP="00413AAA">
      <w:pPr>
        <w:pStyle w:val="Heading2"/>
      </w:pPr>
      <w:r w:rsidRPr="00413AAA">
        <w:t xml:space="preserve">Why </w:t>
      </w:r>
      <w:r w:rsidR="00413AAA" w:rsidRPr="00413AAA">
        <w:t>the identification and</w:t>
      </w:r>
      <w:r w:rsidR="00413AAA">
        <w:t xml:space="preserve"> </w:t>
      </w:r>
      <w:r w:rsidR="00413AAA" w:rsidRPr="00413AAA">
        <w:t xml:space="preserve">management of hypoglycaemia </w:t>
      </w:r>
      <w:r w:rsidRPr="00413AAA">
        <w:t>is important</w:t>
      </w:r>
      <w:bookmarkEnd w:id="2"/>
    </w:p>
    <w:p w14:paraId="481E3FE6" w14:textId="1210F6A7" w:rsidR="00413AAA" w:rsidRDefault="00413AAA" w:rsidP="00413AAA">
      <w:pPr>
        <w:pStyle w:val="Bodynospace"/>
        <w:rPr>
          <w:lang w:val="en-GB" w:eastAsia="en-AU"/>
        </w:rPr>
      </w:pPr>
      <w:r>
        <w:rPr>
          <w:lang w:val="en-GB" w:eastAsia="en-AU"/>
        </w:rPr>
        <w:t xml:space="preserve">There is an increased risk of hypoglycaemia for residents taking glucose-lowering medicines (for example, gliclazide) or insulin (Dunning, Duggan &amp; Savage 2014). Hypoglycaemia can result in cardiac arrhythmias, falls and fall-related injuries, seizure, or coma and, in severe cases, death (Meneilly, Knip, Miller, Sherafali, Tessier &amp; Zahedi 2018; RACGP </w:t>
      </w:r>
      <w:r w:rsidR="00C25C14">
        <w:rPr>
          <w:lang w:val="en-GB" w:eastAsia="en-AU"/>
        </w:rPr>
        <w:t xml:space="preserve">2016; </w:t>
      </w:r>
      <w:r>
        <w:rPr>
          <w:lang w:val="en-GB" w:eastAsia="en-AU"/>
        </w:rPr>
        <w:t>20</w:t>
      </w:r>
      <w:r w:rsidR="00BD17D4">
        <w:rPr>
          <w:lang w:val="en-GB" w:eastAsia="en-AU"/>
        </w:rPr>
        <w:t>20</w:t>
      </w:r>
      <w:r>
        <w:rPr>
          <w:lang w:val="en-GB" w:eastAsia="en-AU"/>
        </w:rPr>
        <w:t>). It is important to recognise and treat hypoglycaemia episodes and to reduce the risk of occurrence.</w:t>
      </w:r>
    </w:p>
    <w:p w14:paraId="56F5F5B1" w14:textId="77777777" w:rsidR="00413AAA" w:rsidRDefault="00413AAA" w:rsidP="00413AAA">
      <w:pPr>
        <w:pStyle w:val="Bodynospace"/>
        <w:rPr>
          <w:lang w:val="en-GB" w:eastAsia="en-AU"/>
        </w:rPr>
      </w:pPr>
    </w:p>
    <w:p w14:paraId="74DFAF44" w14:textId="63910184" w:rsidR="00413AAA" w:rsidRDefault="00413AAA" w:rsidP="00413AAA">
      <w:pPr>
        <w:pStyle w:val="Bodynospace"/>
        <w:rPr>
          <w:lang w:val="en-GB" w:eastAsia="en-AU"/>
        </w:rPr>
      </w:pPr>
      <w:r>
        <w:rPr>
          <w:lang w:val="en-GB" w:eastAsia="en-AU"/>
        </w:rPr>
        <w:t>No two older people are alike and every older person with diabetes needs a customised diabetes care plan. What works for one resident may not be the best course of treatment for another.</w:t>
      </w:r>
    </w:p>
    <w:p w14:paraId="4CF411F9" w14:textId="77777777" w:rsidR="00413AAA" w:rsidRDefault="00413AAA" w:rsidP="00413AAA">
      <w:pPr>
        <w:pStyle w:val="Bodynospace"/>
        <w:rPr>
          <w:lang w:val="en-GB" w:eastAsia="en-AU"/>
        </w:rPr>
      </w:pPr>
    </w:p>
    <w:p w14:paraId="44ED319F" w14:textId="41CC4CFD" w:rsidR="00413AAA" w:rsidRDefault="00413AAA" w:rsidP="00413AAA">
      <w:pPr>
        <w:pStyle w:val="Bodynospace"/>
        <w:rPr>
          <w:lang w:val="en-GB" w:eastAsia="en-AU"/>
        </w:rPr>
      </w:pPr>
      <w:r>
        <w:rPr>
          <w:lang w:val="en-GB" w:eastAsia="en-AU"/>
        </w:rPr>
        <w:t>In the older person with diabetes and multiple comorbidities and/or frailty, strategies should be used to strictly prevent hypoglycaemia, which include the choice of antihyperglycaemic therapy and a less stringent HBA1c target (Meneilly et al. 2018</w:t>
      </w:r>
      <w:r w:rsidR="00BD17D4">
        <w:rPr>
          <w:lang w:val="en-GB" w:eastAsia="en-AU"/>
        </w:rPr>
        <w:t>; RACGP 2020</w:t>
      </w:r>
      <w:r>
        <w:rPr>
          <w:lang w:val="en-GB" w:eastAsia="en-AU"/>
        </w:rPr>
        <w:t>).</w:t>
      </w:r>
    </w:p>
    <w:p w14:paraId="7C5CA9D0" w14:textId="77777777" w:rsidR="00836BA1" w:rsidRDefault="00836BA1" w:rsidP="00836BA1">
      <w:pPr>
        <w:pStyle w:val="Heading2"/>
        <w:rPr>
          <w:lang w:val="en-GB" w:eastAsia="en-AU"/>
        </w:rPr>
      </w:pPr>
      <w:bookmarkStart w:id="3" w:name="_Toc111478036"/>
      <w:r>
        <w:rPr>
          <w:lang w:val="en-GB" w:eastAsia="en-AU"/>
        </w:rPr>
        <w:t>Definitions</w:t>
      </w:r>
      <w:bookmarkEnd w:id="3"/>
    </w:p>
    <w:p w14:paraId="6C4C1274" w14:textId="7DDF728B" w:rsidR="00413AAA" w:rsidRDefault="00413AAA" w:rsidP="00413AAA">
      <w:pPr>
        <w:pStyle w:val="Body"/>
        <w:rPr>
          <w:lang w:val="en-GB" w:eastAsia="en-AU"/>
        </w:rPr>
      </w:pPr>
      <w:r w:rsidRPr="00413AAA">
        <w:rPr>
          <w:b/>
          <w:bCs/>
          <w:lang w:val="en-GB" w:eastAsia="en-AU"/>
        </w:rPr>
        <w:t>BGL</w:t>
      </w:r>
      <w:r>
        <w:rPr>
          <w:lang w:val="en-GB" w:eastAsia="en-AU"/>
        </w:rPr>
        <w:t>: blood glucose level.</w:t>
      </w:r>
    </w:p>
    <w:p w14:paraId="0B23888C" w14:textId="0F25434F" w:rsidR="00413AAA" w:rsidRDefault="00413AAA" w:rsidP="00413AAA">
      <w:pPr>
        <w:pStyle w:val="Body"/>
        <w:rPr>
          <w:lang w:val="en-GB" w:eastAsia="en-AU"/>
        </w:rPr>
      </w:pPr>
      <w:r w:rsidRPr="00413AAA">
        <w:rPr>
          <w:b/>
          <w:bCs/>
          <w:lang w:val="en-GB" w:eastAsia="en-AU"/>
        </w:rPr>
        <w:t>Capillary blood glucose levels:</w:t>
      </w:r>
      <w:r>
        <w:rPr>
          <w:lang w:val="en-GB" w:eastAsia="en-AU"/>
        </w:rPr>
        <w:t xml:space="preserve"> on-site measurement of blood glucose levels using a meter and in-date test strips.</w:t>
      </w:r>
    </w:p>
    <w:p w14:paraId="1AD9DC3C" w14:textId="4A5B98E7" w:rsidR="00413AAA" w:rsidRPr="00413AAA" w:rsidRDefault="00413AAA" w:rsidP="00413AAA">
      <w:pPr>
        <w:pStyle w:val="Body"/>
        <w:rPr>
          <w:lang w:val="en-GB" w:eastAsia="en-AU"/>
        </w:rPr>
      </w:pPr>
      <w:r w:rsidRPr="00413AAA">
        <w:rPr>
          <w:b/>
          <w:bCs/>
          <w:lang w:val="en-GB" w:eastAsia="en-AU"/>
        </w:rPr>
        <w:t>Hypoglycaemic episode</w:t>
      </w:r>
      <w:r>
        <w:rPr>
          <w:lang w:val="en-GB" w:eastAsia="en-AU"/>
        </w:rPr>
        <w:t>: blood glucose level lower than 4mmol/L, or low enough to cause symptoms (Therapeutic Guidelines Limited 2019).</w:t>
      </w:r>
    </w:p>
    <w:p w14:paraId="7DD66F3E" w14:textId="3419E483" w:rsidR="00AF35C5" w:rsidRPr="00AF35C5" w:rsidRDefault="00AF35C5" w:rsidP="00AF35C5">
      <w:pPr>
        <w:pStyle w:val="Heading2"/>
      </w:pPr>
      <w:bookmarkStart w:id="4" w:name="_Toc111478037"/>
      <w:r w:rsidRPr="00AF35C5">
        <w:t>Team</w:t>
      </w:r>
      <w:bookmarkEnd w:id="4"/>
    </w:p>
    <w:p w14:paraId="6D612AC8" w14:textId="3B94DBAC" w:rsidR="00413AAA" w:rsidRDefault="00413AAA" w:rsidP="00413AAA">
      <w:pPr>
        <w:pStyle w:val="Bodynospace"/>
        <w:rPr>
          <w:lang w:val="en-GB" w:eastAsia="en-AU"/>
        </w:rPr>
      </w:pPr>
      <w:bookmarkStart w:id="5" w:name="_Toc111478038"/>
      <w:r>
        <w:rPr>
          <w:lang w:val="en-GB" w:eastAsia="en-AU"/>
        </w:rPr>
        <w:t>Manager, registered nurses (RNs), enrolled nurses (ENs), personal care attendants (PCAs), leisure and lifestyle staff, general practitioner (GP), allied health professionals (such as a physiotherapist, occupational therapist and exercise physiologist), residents and/or family or carers.</w:t>
      </w:r>
    </w:p>
    <w:p w14:paraId="1E343488" w14:textId="43B338E9" w:rsidR="00AF35C5" w:rsidRPr="00AF35C5" w:rsidRDefault="00AF35C5" w:rsidP="00413AAA">
      <w:pPr>
        <w:pStyle w:val="Heading2"/>
      </w:pPr>
      <w:r w:rsidRPr="00AF35C5">
        <w:t>Acknowledgement</w:t>
      </w:r>
      <w:bookmarkEnd w:id="5"/>
    </w:p>
    <w:p w14:paraId="3EC2CA41" w14:textId="38A8480F" w:rsidR="00AF35C5" w:rsidRDefault="002D7CF3" w:rsidP="002D7CF3">
      <w:pPr>
        <w:pStyle w:val="Bodynospace"/>
      </w:pPr>
      <w:r w:rsidRPr="002D7CF3">
        <w:t>This standardised care process (SCP) has been</w:t>
      </w:r>
      <w:r>
        <w:t xml:space="preserve"> </w:t>
      </w:r>
      <w:r w:rsidRPr="002D7CF3">
        <w:t>developed for public sector residential aged</w:t>
      </w:r>
      <w:r>
        <w:t xml:space="preserve"> </w:t>
      </w:r>
      <w:r w:rsidRPr="002D7CF3">
        <w:t>care services (PSRACS) by the Australian Centre</w:t>
      </w:r>
      <w:r>
        <w:t xml:space="preserve"> </w:t>
      </w:r>
      <w:r w:rsidRPr="002D7CF3">
        <w:t>for Evidence Based Care (ACEBAC) at La Trobe</w:t>
      </w:r>
      <w:r>
        <w:t xml:space="preserve"> </w:t>
      </w:r>
      <w:r w:rsidRPr="002D7CF3">
        <w:t>University through the Department of Health and</w:t>
      </w:r>
      <w:r>
        <w:t xml:space="preserve"> </w:t>
      </w:r>
      <w:r w:rsidRPr="002D7CF3">
        <w:t>Human Services Strengthening Care Outcomes for</w:t>
      </w:r>
      <w:r>
        <w:t xml:space="preserve"> </w:t>
      </w:r>
      <w:r w:rsidRPr="002D7CF3">
        <w:t>Residents with Evidence (SCORE) initiatives. This</w:t>
      </w:r>
      <w:r>
        <w:t xml:space="preserve"> </w:t>
      </w:r>
      <w:r w:rsidRPr="002D7CF3">
        <w:t>SCP is one of a series of priority risk areas reviewed</w:t>
      </w:r>
      <w:r>
        <w:t xml:space="preserve"> </w:t>
      </w:r>
      <w:r w:rsidRPr="002D7CF3">
        <w:t>based on the best available evidence in 202</w:t>
      </w:r>
      <w:r w:rsidR="00BD17D4">
        <w:t>3</w:t>
      </w:r>
      <w:r w:rsidRPr="002D7CF3">
        <w:t>.</w:t>
      </w:r>
      <w:r w:rsidR="00AF35C5">
        <w:br w:type="page"/>
      </w:r>
    </w:p>
    <w:p w14:paraId="4945FF38" w14:textId="1142C236" w:rsidR="000A1155" w:rsidRDefault="00AF35C5" w:rsidP="000A1155">
      <w:pPr>
        <w:pStyle w:val="Heading1"/>
      </w:pPr>
      <w:bookmarkStart w:id="6" w:name="_Toc111478039"/>
      <w:r w:rsidRPr="00AF35C5">
        <w:lastRenderedPageBreak/>
        <w:t>Brief standardised care process</w:t>
      </w:r>
      <w:bookmarkEnd w:id="6"/>
    </w:p>
    <w:p w14:paraId="489F95F5" w14:textId="77777777" w:rsidR="00EA2C24" w:rsidRDefault="00EA2C24" w:rsidP="00AF35C5">
      <w:pPr>
        <w:pStyle w:val="Heading2"/>
        <w:rPr>
          <w:lang w:val="en-GB" w:eastAsia="en-AU"/>
        </w:rPr>
        <w:sectPr w:rsidR="00EA2C24" w:rsidSect="00E62622">
          <w:footerReference w:type="default" r:id="rId16"/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5C55105A" w14:textId="72B933CE" w:rsidR="00AF35C5" w:rsidRDefault="00AF35C5" w:rsidP="00AF35C5">
      <w:pPr>
        <w:pStyle w:val="Heading2"/>
        <w:rPr>
          <w:lang w:val="en-GB" w:eastAsia="en-AU"/>
        </w:rPr>
      </w:pPr>
      <w:bookmarkStart w:id="7" w:name="_Toc111478040"/>
      <w:r>
        <w:rPr>
          <w:lang w:val="en-GB" w:eastAsia="en-AU"/>
        </w:rPr>
        <w:t>Recognition and assessment</w:t>
      </w:r>
      <w:bookmarkEnd w:id="7"/>
    </w:p>
    <w:p w14:paraId="70E447C9" w14:textId="044BF509" w:rsidR="002D7CF3" w:rsidRPr="002D7CF3" w:rsidRDefault="002D7CF3" w:rsidP="00AC35E7">
      <w:pPr>
        <w:pStyle w:val="Bullet1"/>
        <w:rPr>
          <w:lang w:val="en-GB" w:eastAsia="en-AU"/>
        </w:rPr>
      </w:pPr>
      <w:r w:rsidRPr="002D7CF3">
        <w:rPr>
          <w:lang w:val="en-GB" w:eastAsia="en-AU"/>
        </w:rPr>
        <w:t>Identify residents who are at risk of developing</w:t>
      </w:r>
      <w:r>
        <w:rPr>
          <w:lang w:val="en-GB" w:eastAsia="en-AU"/>
        </w:rPr>
        <w:t xml:space="preserve"> </w:t>
      </w:r>
      <w:r w:rsidRPr="002D7CF3">
        <w:rPr>
          <w:lang w:val="en-GB" w:eastAsia="en-AU"/>
        </w:rPr>
        <w:t>severe hypoglycaemia.</w:t>
      </w:r>
    </w:p>
    <w:p w14:paraId="03990EB3" w14:textId="466F7249" w:rsidR="002D7CF3" w:rsidRPr="002D7CF3" w:rsidRDefault="002D7CF3" w:rsidP="00AE2E29">
      <w:pPr>
        <w:pStyle w:val="Bullet1"/>
        <w:rPr>
          <w:lang w:val="en-GB" w:eastAsia="en-AU"/>
        </w:rPr>
      </w:pPr>
      <w:r w:rsidRPr="002D7CF3">
        <w:rPr>
          <w:lang w:val="en-GB" w:eastAsia="en-AU"/>
        </w:rPr>
        <w:t>Suspect hypoglycaemia if the at-risk resident</w:t>
      </w:r>
      <w:r>
        <w:rPr>
          <w:lang w:val="en-GB" w:eastAsia="en-AU"/>
        </w:rPr>
        <w:t xml:space="preserve"> </w:t>
      </w:r>
      <w:r w:rsidRPr="002D7CF3">
        <w:rPr>
          <w:lang w:val="en-GB" w:eastAsia="en-AU"/>
        </w:rPr>
        <w:t>presents with symptoms.</w:t>
      </w:r>
    </w:p>
    <w:p w14:paraId="199D0CA6" w14:textId="1DD932EE" w:rsidR="002D7CF3" w:rsidRPr="002D7CF3" w:rsidRDefault="002D7CF3" w:rsidP="00A44D7A">
      <w:pPr>
        <w:pStyle w:val="Bullet1"/>
        <w:rPr>
          <w:lang w:val="en-GB" w:eastAsia="en-AU"/>
        </w:rPr>
      </w:pPr>
      <w:r w:rsidRPr="002D7CF3">
        <w:rPr>
          <w:lang w:val="en-GB" w:eastAsia="en-AU"/>
        </w:rPr>
        <w:t>Maintain awareness of neuroglycopenic</w:t>
      </w:r>
      <w:r>
        <w:rPr>
          <w:lang w:val="en-GB" w:eastAsia="en-AU"/>
        </w:rPr>
        <w:t xml:space="preserve"> </w:t>
      </w:r>
      <w:r w:rsidRPr="002D7CF3">
        <w:rPr>
          <w:lang w:val="en-GB" w:eastAsia="en-AU"/>
        </w:rPr>
        <w:t>symptoms.</w:t>
      </w:r>
    </w:p>
    <w:p w14:paraId="0F9538D5" w14:textId="18E1E105" w:rsidR="002D7CF3" w:rsidRPr="002D7CF3" w:rsidRDefault="002D7CF3" w:rsidP="006C6193">
      <w:pPr>
        <w:pStyle w:val="Bullet1"/>
        <w:rPr>
          <w:lang w:val="en-GB" w:eastAsia="en-AU"/>
        </w:rPr>
      </w:pPr>
      <w:r w:rsidRPr="002D7CF3">
        <w:rPr>
          <w:lang w:val="en-GB" w:eastAsia="en-AU"/>
        </w:rPr>
        <w:t>Check the resident’s capillary BGL to confirm</w:t>
      </w:r>
      <w:r>
        <w:rPr>
          <w:lang w:val="en-GB" w:eastAsia="en-AU"/>
        </w:rPr>
        <w:t xml:space="preserve"> </w:t>
      </w:r>
      <w:r w:rsidRPr="002D7CF3">
        <w:rPr>
          <w:lang w:val="en-GB" w:eastAsia="en-AU"/>
        </w:rPr>
        <w:t>the symptoms are due to hypoglycaemia.</w:t>
      </w:r>
    </w:p>
    <w:p w14:paraId="79BB610B" w14:textId="3802AB54" w:rsidR="00AF35C5" w:rsidRPr="00AF35C5" w:rsidRDefault="002D7CF3" w:rsidP="001A3772">
      <w:pPr>
        <w:pStyle w:val="Bullet1"/>
      </w:pPr>
      <w:r w:rsidRPr="002D7CF3">
        <w:rPr>
          <w:lang w:val="en-GB" w:eastAsia="en-AU"/>
        </w:rPr>
        <w:t>Check the resident’s care plan or medication chart for hypoglycaemia management</w:t>
      </w:r>
      <w:r>
        <w:rPr>
          <w:lang w:val="en-GB" w:eastAsia="en-AU"/>
        </w:rPr>
        <w:t xml:space="preserve"> </w:t>
      </w:r>
      <w:r w:rsidRPr="002D7CF3">
        <w:rPr>
          <w:lang w:val="en-GB" w:eastAsia="en-AU"/>
        </w:rPr>
        <w:t>and standing orders.</w:t>
      </w:r>
    </w:p>
    <w:p w14:paraId="306B2FB0" w14:textId="77777777" w:rsidR="002C117D" w:rsidRDefault="002C117D" w:rsidP="002C117D">
      <w:pPr>
        <w:pStyle w:val="Heading2"/>
        <w:rPr>
          <w:lang w:val="en-GB" w:eastAsia="en-AU"/>
        </w:rPr>
      </w:pPr>
      <w:bookmarkStart w:id="8" w:name="_Toc111478041"/>
      <w:r>
        <w:rPr>
          <w:lang w:val="en-GB" w:eastAsia="en-AU"/>
        </w:rPr>
        <w:t>Interventions</w:t>
      </w:r>
      <w:bookmarkEnd w:id="8"/>
    </w:p>
    <w:p w14:paraId="6DD31B02" w14:textId="4690E1F4" w:rsidR="002D7CF3" w:rsidRPr="002D7CF3" w:rsidRDefault="002D7CF3" w:rsidP="00CA1329">
      <w:pPr>
        <w:pStyle w:val="Bullet1"/>
        <w:rPr>
          <w:lang w:val="en-GB" w:eastAsia="en-AU"/>
        </w:rPr>
      </w:pPr>
      <w:r w:rsidRPr="002D7CF3">
        <w:rPr>
          <w:lang w:val="en-GB" w:eastAsia="en-AU"/>
        </w:rPr>
        <w:t>Respond to hypoglycaemic episodes as per</w:t>
      </w:r>
      <w:r>
        <w:rPr>
          <w:lang w:val="en-GB" w:eastAsia="en-AU"/>
        </w:rPr>
        <w:t xml:space="preserve"> </w:t>
      </w:r>
      <w:r w:rsidRPr="002D7CF3">
        <w:rPr>
          <w:lang w:val="en-GB" w:eastAsia="en-AU"/>
        </w:rPr>
        <w:t>the flow chart in this SCP.</w:t>
      </w:r>
    </w:p>
    <w:p w14:paraId="2113A132" w14:textId="0AB4E397" w:rsidR="002D7CF3" w:rsidRPr="002D7CF3" w:rsidRDefault="002D7CF3" w:rsidP="004F16DA">
      <w:pPr>
        <w:pStyle w:val="Bullet1"/>
        <w:rPr>
          <w:lang w:val="en-GB" w:eastAsia="en-AU"/>
        </w:rPr>
      </w:pPr>
      <w:r w:rsidRPr="002D7CF3">
        <w:rPr>
          <w:lang w:val="en-GB" w:eastAsia="en-AU"/>
        </w:rPr>
        <w:t>Report all episodes to the resident’s GP and</w:t>
      </w:r>
      <w:r>
        <w:rPr>
          <w:lang w:val="en-GB" w:eastAsia="en-AU"/>
        </w:rPr>
        <w:t xml:space="preserve"> </w:t>
      </w:r>
      <w:r w:rsidRPr="002D7CF3">
        <w:rPr>
          <w:lang w:val="en-GB" w:eastAsia="en-AU"/>
        </w:rPr>
        <w:t>document this.</w:t>
      </w:r>
    </w:p>
    <w:p w14:paraId="091BBF34" w14:textId="045AE0B2" w:rsidR="002D7CF3" w:rsidRPr="002D7CF3" w:rsidRDefault="002D7CF3" w:rsidP="002D7CF3">
      <w:pPr>
        <w:pStyle w:val="Bullet1"/>
        <w:rPr>
          <w:lang w:val="en-GB" w:eastAsia="en-AU"/>
        </w:rPr>
      </w:pPr>
      <w:r w:rsidRPr="002D7CF3">
        <w:rPr>
          <w:lang w:val="en-GB" w:eastAsia="en-AU"/>
        </w:rPr>
        <w:t>Monitor BGL hourly for the first four hours.</w:t>
      </w:r>
    </w:p>
    <w:p w14:paraId="1FA5297A" w14:textId="48D0E575" w:rsidR="002D7CF3" w:rsidRPr="002D7CF3" w:rsidRDefault="002D7CF3" w:rsidP="00DB11DD">
      <w:pPr>
        <w:pStyle w:val="Bullet1"/>
        <w:rPr>
          <w:lang w:val="en-GB" w:eastAsia="en-AU"/>
        </w:rPr>
      </w:pPr>
      <w:r w:rsidRPr="002D7CF3">
        <w:rPr>
          <w:lang w:val="en-GB" w:eastAsia="en-AU"/>
        </w:rPr>
        <w:t>Consult with the GP prior to omitting scheduled</w:t>
      </w:r>
      <w:r>
        <w:rPr>
          <w:lang w:val="en-GB" w:eastAsia="en-AU"/>
        </w:rPr>
        <w:t xml:space="preserve"> </w:t>
      </w:r>
      <w:r w:rsidRPr="002D7CF3">
        <w:rPr>
          <w:lang w:val="en-GB" w:eastAsia="en-AU"/>
        </w:rPr>
        <w:t>insulin or glucose-lowering medications.</w:t>
      </w:r>
    </w:p>
    <w:p w14:paraId="728BCB22" w14:textId="13E87E6E" w:rsidR="002D7CF3" w:rsidRPr="002D7CF3" w:rsidRDefault="002D7CF3" w:rsidP="0090347A">
      <w:pPr>
        <w:pStyle w:val="Bullet1"/>
        <w:rPr>
          <w:lang w:val="en-GB" w:eastAsia="en-AU"/>
        </w:rPr>
      </w:pPr>
      <w:r w:rsidRPr="002D7CF3">
        <w:rPr>
          <w:lang w:val="en-GB" w:eastAsia="en-AU"/>
        </w:rPr>
        <w:t>If the BGL rises but the resident does not recover,</w:t>
      </w:r>
      <w:r>
        <w:rPr>
          <w:lang w:val="en-GB" w:eastAsia="en-AU"/>
        </w:rPr>
        <w:t xml:space="preserve"> </w:t>
      </w:r>
      <w:r w:rsidRPr="002D7CF3">
        <w:rPr>
          <w:lang w:val="en-GB" w:eastAsia="en-AU"/>
        </w:rPr>
        <w:t>seek an alternative diagnosis.</w:t>
      </w:r>
    </w:p>
    <w:p w14:paraId="398A3879" w14:textId="54AB0614" w:rsidR="002D7CF3" w:rsidRPr="002D7CF3" w:rsidRDefault="002D7CF3" w:rsidP="006856A6">
      <w:pPr>
        <w:pStyle w:val="Bullet1"/>
        <w:rPr>
          <w:lang w:val="en-GB" w:eastAsia="en-AU"/>
        </w:rPr>
      </w:pPr>
      <w:r w:rsidRPr="002D7CF3">
        <w:rPr>
          <w:lang w:val="en-GB" w:eastAsia="en-AU"/>
        </w:rPr>
        <w:t>Identify the possible cause of the hypoglycaemic</w:t>
      </w:r>
      <w:r>
        <w:rPr>
          <w:lang w:val="en-GB" w:eastAsia="en-AU"/>
        </w:rPr>
        <w:t xml:space="preserve"> </w:t>
      </w:r>
      <w:r w:rsidRPr="002D7CF3">
        <w:rPr>
          <w:lang w:val="en-GB" w:eastAsia="en-AU"/>
        </w:rPr>
        <w:t>episode.</w:t>
      </w:r>
    </w:p>
    <w:p w14:paraId="0D4DA4A6" w14:textId="5205901D" w:rsidR="002D7CF3" w:rsidRPr="002D7CF3" w:rsidRDefault="002D7CF3" w:rsidP="003D6FB5">
      <w:pPr>
        <w:pStyle w:val="Bullet1"/>
        <w:rPr>
          <w:lang w:val="en-GB" w:eastAsia="en-AU"/>
        </w:rPr>
      </w:pPr>
      <w:r w:rsidRPr="002D7CF3">
        <w:rPr>
          <w:lang w:val="en-GB" w:eastAsia="en-AU"/>
        </w:rPr>
        <w:t>Assess the resident’s fitness to drive (where</w:t>
      </w:r>
      <w:r>
        <w:rPr>
          <w:lang w:val="en-GB" w:eastAsia="en-AU"/>
        </w:rPr>
        <w:t xml:space="preserve"> </w:t>
      </w:r>
      <w:r w:rsidRPr="002D7CF3">
        <w:rPr>
          <w:lang w:val="en-GB" w:eastAsia="en-AU"/>
        </w:rPr>
        <w:t>appropriate).</w:t>
      </w:r>
    </w:p>
    <w:p w14:paraId="2E649608" w14:textId="20BF2803" w:rsidR="002D7CF3" w:rsidRDefault="002D7CF3" w:rsidP="00CD4ED4">
      <w:pPr>
        <w:pStyle w:val="Bullet1"/>
        <w:rPr>
          <w:lang w:val="en-GB" w:eastAsia="en-AU"/>
        </w:rPr>
      </w:pPr>
      <w:r w:rsidRPr="002D7CF3">
        <w:rPr>
          <w:lang w:val="en-GB" w:eastAsia="en-AU"/>
        </w:rPr>
        <w:t>Implement an individualised risk reduction</w:t>
      </w:r>
      <w:r>
        <w:rPr>
          <w:lang w:val="en-GB" w:eastAsia="en-AU"/>
        </w:rPr>
        <w:t xml:space="preserve"> </w:t>
      </w:r>
      <w:r w:rsidRPr="002D7CF3">
        <w:rPr>
          <w:lang w:val="en-GB" w:eastAsia="en-AU"/>
        </w:rPr>
        <w:t>and prevention plan.</w:t>
      </w:r>
    </w:p>
    <w:p w14:paraId="740BE2EE" w14:textId="3E960FFE" w:rsidR="00BD17D4" w:rsidRPr="00BD17D4" w:rsidRDefault="00BD17D4" w:rsidP="00BD17D4">
      <w:pPr>
        <w:pStyle w:val="Bullet1"/>
      </w:pPr>
      <w:r w:rsidRPr="00BD17D4">
        <w:t>Older</w:t>
      </w:r>
      <w:r>
        <w:t xml:space="preserve"> people with diabetes should have an individualised hypoglycaemia management plan, which may need to include an order for glucagon.</w:t>
      </w:r>
    </w:p>
    <w:p w14:paraId="119BC314" w14:textId="4C50132B" w:rsidR="002C117D" w:rsidRPr="002D7CF3" w:rsidRDefault="002D7CF3" w:rsidP="004C663B">
      <w:pPr>
        <w:pStyle w:val="Bullet1"/>
        <w:rPr>
          <w:lang w:val="en-GB" w:eastAsia="en-AU"/>
        </w:rPr>
      </w:pPr>
      <w:r w:rsidRPr="002D7CF3">
        <w:rPr>
          <w:lang w:val="en-GB" w:eastAsia="en-AU"/>
        </w:rPr>
        <w:t>Maintain an appropriately equipped</w:t>
      </w:r>
      <w:r>
        <w:rPr>
          <w:lang w:val="en-GB" w:eastAsia="en-AU"/>
        </w:rPr>
        <w:t xml:space="preserve"> </w:t>
      </w:r>
      <w:r w:rsidRPr="002D7CF3">
        <w:rPr>
          <w:lang w:val="en-GB" w:eastAsia="en-AU"/>
        </w:rPr>
        <w:t>hypoglycaemia management kit.</w:t>
      </w:r>
    </w:p>
    <w:p w14:paraId="6510C2CE" w14:textId="77777777" w:rsidR="002C117D" w:rsidRDefault="002C117D" w:rsidP="002C117D">
      <w:pPr>
        <w:pStyle w:val="Heading2"/>
        <w:rPr>
          <w:lang w:val="en-GB" w:eastAsia="en-AU"/>
        </w:rPr>
      </w:pPr>
      <w:bookmarkStart w:id="9" w:name="_Toc111478042"/>
      <w:r>
        <w:rPr>
          <w:lang w:val="en-GB" w:eastAsia="en-AU"/>
        </w:rPr>
        <w:t>Referral</w:t>
      </w:r>
      <w:bookmarkEnd w:id="9"/>
    </w:p>
    <w:p w14:paraId="5D72C8D0" w14:textId="77777777" w:rsidR="002D7CF3" w:rsidRDefault="002D7CF3" w:rsidP="002D7CF3">
      <w:pPr>
        <w:pStyle w:val="Bullet1"/>
        <w:rPr>
          <w:lang w:val="en-GB" w:eastAsia="en-AU"/>
        </w:rPr>
      </w:pPr>
      <w:bookmarkStart w:id="10" w:name="_Toc111478043"/>
      <w:r>
        <w:rPr>
          <w:lang w:val="en-GB" w:eastAsia="en-AU"/>
        </w:rPr>
        <w:t>GP</w:t>
      </w:r>
    </w:p>
    <w:p w14:paraId="3E7C2669" w14:textId="79247465" w:rsidR="002D7CF3" w:rsidRPr="002D7CF3" w:rsidRDefault="002D7CF3" w:rsidP="00E334FC">
      <w:pPr>
        <w:pStyle w:val="Bullet1"/>
        <w:rPr>
          <w:lang w:val="en-GB" w:eastAsia="en-AU"/>
        </w:rPr>
      </w:pPr>
      <w:r w:rsidRPr="002D7CF3">
        <w:rPr>
          <w:lang w:val="en-GB" w:eastAsia="en-AU"/>
        </w:rPr>
        <w:t>Emergency medical assistance (ambulance service) if the resident is, or becomes,</w:t>
      </w:r>
      <w:r>
        <w:rPr>
          <w:lang w:val="en-GB" w:eastAsia="en-AU"/>
        </w:rPr>
        <w:t xml:space="preserve"> </w:t>
      </w:r>
      <w:r w:rsidRPr="002D7CF3">
        <w:rPr>
          <w:lang w:val="en-GB" w:eastAsia="en-AU"/>
        </w:rPr>
        <w:t>unconscious</w:t>
      </w:r>
    </w:p>
    <w:p w14:paraId="3BDA694E" w14:textId="350CCD0F" w:rsidR="002D7CF3" w:rsidRDefault="002D7CF3" w:rsidP="002D7CF3">
      <w:pPr>
        <w:pStyle w:val="Bullet1"/>
        <w:rPr>
          <w:lang w:val="en-GB" w:eastAsia="en-AU"/>
        </w:rPr>
      </w:pPr>
      <w:r>
        <w:rPr>
          <w:lang w:val="en-GB" w:eastAsia="en-AU"/>
        </w:rPr>
        <w:t>Dietitian or diabetes educator</w:t>
      </w:r>
    </w:p>
    <w:p w14:paraId="1B83AFAC" w14:textId="3A62560C" w:rsidR="002D7CF3" w:rsidRDefault="002D7CF3" w:rsidP="002D7CF3">
      <w:pPr>
        <w:pStyle w:val="Bullet1"/>
        <w:rPr>
          <w:lang w:val="en-GB" w:eastAsia="en-AU"/>
        </w:rPr>
      </w:pPr>
      <w:r>
        <w:rPr>
          <w:lang w:val="en-GB" w:eastAsia="en-AU"/>
        </w:rPr>
        <w:t>Pharmacist</w:t>
      </w:r>
    </w:p>
    <w:p w14:paraId="4DDEBA15" w14:textId="50EFD322" w:rsidR="009836D4" w:rsidRPr="002D28A3" w:rsidRDefault="009836D4" w:rsidP="002D7CF3">
      <w:pPr>
        <w:pStyle w:val="Heading2"/>
      </w:pPr>
      <w:r w:rsidRPr="002D28A3">
        <w:t>Evaluation and reassessment</w:t>
      </w:r>
      <w:bookmarkEnd w:id="10"/>
    </w:p>
    <w:p w14:paraId="6ECBB82A" w14:textId="5B8EFA81" w:rsidR="002D7CF3" w:rsidRPr="002D7CF3" w:rsidRDefault="002D7CF3" w:rsidP="00A83550">
      <w:pPr>
        <w:pStyle w:val="Bullet1"/>
      </w:pPr>
      <w:bookmarkStart w:id="11" w:name="_Toc111478044"/>
      <w:r w:rsidRPr="002D7CF3">
        <w:t>Medical review: consider a review of resident’s</w:t>
      </w:r>
      <w:r>
        <w:t xml:space="preserve"> </w:t>
      </w:r>
      <w:r w:rsidRPr="002D7CF3">
        <w:t>target blood glucose range</w:t>
      </w:r>
    </w:p>
    <w:p w14:paraId="18650CC2" w14:textId="368913A8" w:rsidR="002D7CF3" w:rsidRPr="002D7CF3" w:rsidRDefault="002D7CF3" w:rsidP="002D7CF3">
      <w:pPr>
        <w:pStyle w:val="Bullet1"/>
      </w:pPr>
      <w:r w:rsidRPr="002D7CF3">
        <w:t>Ongoing frequency of BGL monitoring</w:t>
      </w:r>
    </w:p>
    <w:p w14:paraId="35D62330" w14:textId="7F86BBB4" w:rsidR="002D7CF3" w:rsidRPr="002D7CF3" w:rsidRDefault="002D7CF3" w:rsidP="002D7CF3">
      <w:pPr>
        <w:pStyle w:val="Bullet1"/>
      </w:pPr>
      <w:r w:rsidRPr="002D7CF3">
        <w:t>Report fluctuations in BGL (outside the resident’s</w:t>
      </w:r>
      <w:r>
        <w:t xml:space="preserve"> </w:t>
      </w:r>
      <w:r w:rsidRPr="002D7CF3">
        <w:t>target range) to their GP</w:t>
      </w:r>
    </w:p>
    <w:p w14:paraId="4E7D727F" w14:textId="368F6302" w:rsidR="009836D4" w:rsidRDefault="009836D4" w:rsidP="002D7CF3">
      <w:pPr>
        <w:pStyle w:val="Heading2"/>
        <w:rPr>
          <w:lang w:val="en-GB" w:eastAsia="en-AU"/>
        </w:rPr>
      </w:pPr>
      <w:r>
        <w:rPr>
          <w:lang w:val="en-GB" w:eastAsia="en-AU"/>
        </w:rPr>
        <w:t>Resident involvement</w:t>
      </w:r>
      <w:bookmarkEnd w:id="11"/>
    </w:p>
    <w:p w14:paraId="05D6398E" w14:textId="0836FD95" w:rsidR="002D7CF3" w:rsidRPr="002D7CF3" w:rsidRDefault="002D7CF3" w:rsidP="00E5304B">
      <w:pPr>
        <w:pStyle w:val="Bullet1"/>
        <w:rPr>
          <w:lang w:val="en-GB"/>
        </w:rPr>
      </w:pPr>
      <w:r w:rsidRPr="002D7CF3">
        <w:rPr>
          <w:lang w:val="en-GB"/>
        </w:rPr>
        <w:t>Educate the resident about diabetes, including</w:t>
      </w:r>
      <w:r>
        <w:rPr>
          <w:lang w:val="en-GB"/>
        </w:rPr>
        <w:t xml:space="preserve"> </w:t>
      </w:r>
      <w:r w:rsidRPr="002D7CF3">
        <w:rPr>
          <w:lang w:val="en-GB"/>
        </w:rPr>
        <w:t>diet and medication action and management.</w:t>
      </w:r>
    </w:p>
    <w:p w14:paraId="47FC4FF2" w14:textId="1F3C3101" w:rsidR="002D7CF3" w:rsidRPr="002D7CF3" w:rsidRDefault="002D7CF3" w:rsidP="00B0396F">
      <w:pPr>
        <w:pStyle w:val="Bullet1"/>
        <w:rPr>
          <w:lang w:val="en-GB"/>
        </w:rPr>
      </w:pPr>
      <w:r w:rsidRPr="002D7CF3">
        <w:rPr>
          <w:lang w:val="en-GB"/>
        </w:rPr>
        <w:t>Involve the resident in discussions about</w:t>
      </w:r>
      <w:r>
        <w:rPr>
          <w:lang w:val="en-GB"/>
        </w:rPr>
        <w:t xml:space="preserve"> </w:t>
      </w:r>
      <w:r w:rsidRPr="002D7CF3">
        <w:rPr>
          <w:lang w:val="en-GB"/>
        </w:rPr>
        <w:t>target BGLs.</w:t>
      </w:r>
    </w:p>
    <w:p w14:paraId="0A9D98EC" w14:textId="00DDF30D" w:rsidR="002D7CF3" w:rsidRPr="002D7CF3" w:rsidRDefault="002D7CF3" w:rsidP="009B3635">
      <w:pPr>
        <w:pStyle w:val="Bullet1"/>
        <w:rPr>
          <w:lang w:val="en-GB"/>
        </w:rPr>
      </w:pPr>
      <w:r w:rsidRPr="002D7CF3">
        <w:rPr>
          <w:lang w:val="en-GB"/>
        </w:rPr>
        <w:t>Involve the resident in discussions aimed at determining the cause of hypoglycaemic</w:t>
      </w:r>
      <w:r>
        <w:rPr>
          <w:lang w:val="en-GB"/>
        </w:rPr>
        <w:t xml:space="preserve"> </w:t>
      </w:r>
      <w:r w:rsidRPr="002D7CF3">
        <w:rPr>
          <w:lang w:val="en-GB"/>
        </w:rPr>
        <w:t>episodes.</w:t>
      </w:r>
    </w:p>
    <w:p w14:paraId="3E6842AE" w14:textId="1D76E43D" w:rsidR="009836D4" w:rsidRDefault="002D7CF3" w:rsidP="00B377C3">
      <w:pPr>
        <w:pStyle w:val="Bullet1"/>
      </w:pPr>
      <w:r w:rsidRPr="002D7CF3">
        <w:rPr>
          <w:lang w:val="en-GB"/>
        </w:rPr>
        <w:t>Allow the resident to self-monitor BGLs if they are able to manage the procedure, and report</w:t>
      </w:r>
      <w:r>
        <w:rPr>
          <w:lang w:val="en-GB"/>
        </w:rPr>
        <w:t xml:space="preserve"> </w:t>
      </w:r>
      <w:r w:rsidRPr="002D7CF3">
        <w:rPr>
          <w:lang w:val="en-GB"/>
        </w:rPr>
        <w:t>to staff any abnormal readings.</w:t>
      </w:r>
    </w:p>
    <w:p w14:paraId="40D2D2F8" w14:textId="77777777" w:rsidR="009836D4" w:rsidRPr="002C117D" w:rsidRDefault="009836D4" w:rsidP="009836D4">
      <w:pPr>
        <w:pStyle w:val="Heading2"/>
      </w:pPr>
      <w:bookmarkStart w:id="12" w:name="_Toc111478045"/>
      <w:r w:rsidRPr="002C117D">
        <w:t>Staff knowledge and education</w:t>
      </w:r>
      <w:bookmarkEnd w:id="12"/>
    </w:p>
    <w:p w14:paraId="1FF72C34" w14:textId="77777777" w:rsidR="002D7CF3" w:rsidRDefault="002D7CF3" w:rsidP="002D7CF3">
      <w:pPr>
        <w:pStyle w:val="Bullet1"/>
        <w:rPr>
          <w:lang w:val="en-GB" w:eastAsia="en-AU"/>
        </w:rPr>
      </w:pPr>
      <w:r>
        <w:rPr>
          <w:lang w:val="en-GB" w:eastAsia="en-AU"/>
        </w:rPr>
        <w:t>Diabetes</w:t>
      </w:r>
    </w:p>
    <w:p w14:paraId="68678DEC" w14:textId="4417D624" w:rsidR="002D7CF3" w:rsidRDefault="002D7CF3" w:rsidP="002D7CF3">
      <w:pPr>
        <w:pStyle w:val="Bullet1"/>
        <w:rPr>
          <w:lang w:val="en-GB" w:eastAsia="en-AU"/>
        </w:rPr>
      </w:pPr>
      <w:r>
        <w:rPr>
          <w:lang w:val="en-GB" w:eastAsia="en-AU"/>
        </w:rPr>
        <w:lastRenderedPageBreak/>
        <w:t>Risk factors for hypoglycaemia</w:t>
      </w:r>
    </w:p>
    <w:p w14:paraId="4456FC24" w14:textId="4BECFF4E" w:rsidR="002D7CF3" w:rsidRPr="00231100" w:rsidRDefault="002D7CF3" w:rsidP="00D2581F">
      <w:pPr>
        <w:pStyle w:val="Bullet1"/>
        <w:rPr>
          <w:lang w:val="en-GB" w:eastAsia="en-AU"/>
        </w:rPr>
      </w:pPr>
      <w:r w:rsidRPr="00231100">
        <w:rPr>
          <w:lang w:val="en-GB" w:eastAsia="en-AU"/>
        </w:rPr>
        <w:t>Proactive development of a personalised</w:t>
      </w:r>
      <w:r w:rsidR="00231100">
        <w:rPr>
          <w:lang w:val="en-GB" w:eastAsia="en-AU"/>
        </w:rPr>
        <w:t xml:space="preserve"> </w:t>
      </w:r>
      <w:r w:rsidRPr="00231100">
        <w:rPr>
          <w:lang w:val="en-GB" w:eastAsia="en-AU"/>
        </w:rPr>
        <w:t>hypo</w:t>
      </w:r>
      <w:r w:rsidRPr="00231100">
        <w:rPr>
          <w:rFonts w:ascii="Cambria Math" w:hAnsi="Cambria Math" w:cs="Cambria Math"/>
          <w:lang w:val="en-GB" w:eastAsia="en-AU"/>
        </w:rPr>
        <w:t>‑</w:t>
      </w:r>
      <w:r w:rsidRPr="00231100">
        <w:rPr>
          <w:lang w:val="en-GB" w:eastAsia="en-AU"/>
        </w:rPr>
        <w:t>management plan</w:t>
      </w:r>
    </w:p>
    <w:p w14:paraId="5813D45B" w14:textId="7129827A" w:rsidR="002D7CF3" w:rsidRDefault="002D7CF3" w:rsidP="002D7CF3">
      <w:pPr>
        <w:pStyle w:val="Bullet1"/>
        <w:rPr>
          <w:lang w:val="en-GB" w:eastAsia="en-AU"/>
        </w:rPr>
      </w:pPr>
      <w:r>
        <w:rPr>
          <w:lang w:val="en-GB" w:eastAsia="en-AU"/>
        </w:rPr>
        <w:t>Recognition of hypoglycaemia in the older person</w:t>
      </w:r>
    </w:p>
    <w:p w14:paraId="0BC69AC0" w14:textId="169CA1FB" w:rsidR="002D7CF3" w:rsidRDefault="002D7CF3" w:rsidP="002D7CF3">
      <w:pPr>
        <w:pStyle w:val="Bullet1"/>
        <w:rPr>
          <w:lang w:val="en-GB" w:eastAsia="en-AU"/>
        </w:rPr>
      </w:pPr>
      <w:r>
        <w:rPr>
          <w:lang w:val="en-GB" w:eastAsia="en-AU"/>
        </w:rPr>
        <w:t>Immediate response to a hypoglycaemic episode</w:t>
      </w:r>
    </w:p>
    <w:p w14:paraId="40648BB8" w14:textId="79C81FAC" w:rsidR="002D7CF3" w:rsidRPr="002D7CF3" w:rsidRDefault="002D7CF3" w:rsidP="002D7CF3">
      <w:pPr>
        <w:pStyle w:val="Bullet1"/>
      </w:pPr>
      <w:r>
        <w:rPr>
          <w:lang w:val="en-GB" w:eastAsia="en-AU"/>
        </w:rPr>
        <w:t>Glucagon administration</w:t>
      </w:r>
    </w:p>
    <w:p w14:paraId="0D73FFE0" w14:textId="77777777" w:rsidR="00231100" w:rsidRDefault="00231100" w:rsidP="009836D4">
      <w:pPr>
        <w:spacing w:after="0" w:line="240" w:lineRule="auto"/>
        <w:sectPr w:rsidR="00231100" w:rsidSect="00231100"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36623FD9" w14:textId="77777777" w:rsidR="009836D4" w:rsidRDefault="009836D4" w:rsidP="009836D4">
      <w:pPr>
        <w:spacing w:after="0" w:line="240" w:lineRule="auto"/>
        <w:rPr>
          <w:rFonts w:eastAsia="Times"/>
        </w:rPr>
      </w:pPr>
      <w:r>
        <w:br w:type="page"/>
      </w:r>
    </w:p>
    <w:p w14:paraId="2D48C1E1" w14:textId="302C89FD" w:rsidR="009836D4" w:rsidRDefault="009836D4" w:rsidP="00AF35C5">
      <w:pPr>
        <w:pStyle w:val="Body"/>
        <w:sectPr w:rsidR="009836D4" w:rsidSect="00EA2C24">
          <w:type w:val="continuous"/>
          <w:pgSz w:w="11906" w:h="16838" w:code="9"/>
          <w:pgMar w:top="1418" w:right="851" w:bottom="1418" w:left="851" w:header="680" w:footer="851" w:gutter="0"/>
          <w:cols w:num="2" w:space="340"/>
          <w:docGrid w:linePitch="360"/>
        </w:sectPr>
      </w:pPr>
    </w:p>
    <w:p w14:paraId="2DD411B5" w14:textId="2C1DFC8F" w:rsidR="002C117D" w:rsidRDefault="009836D4" w:rsidP="009836D4">
      <w:pPr>
        <w:pStyle w:val="Heading1"/>
      </w:pPr>
      <w:bookmarkStart w:id="13" w:name="_Toc111478046"/>
      <w:r w:rsidRPr="009836D4">
        <w:rPr>
          <w:lang w:val="en-GB"/>
        </w:rPr>
        <w:lastRenderedPageBreak/>
        <w:t>Full standardised care process</w:t>
      </w:r>
      <w:bookmarkEnd w:id="13"/>
    </w:p>
    <w:p w14:paraId="4B64DF27" w14:textId="77777777" w:rsidR="001477A6" w:rsidRDefault="001477A6" w:rsidP="001477A6">
      <w:pPr>
        <w:pStyle w:val="Heading2"/>
        <w:sectPr w:rsidR="001477A6" w:rsidSect="00E62622"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789EB088" w14:textId="77777777" w:rsidR="001477A6" w:rsidRPr="001477A6" w:rsidRDefault="001477A6" w:rsidP="001477A6">
      <w:pPr>
        <w:pStyle w:val="Heading2"/>
      </w:pPr>
      <w:bookmarkStart w:id="14" w:name="_Toc111478047"/>
      <w:r w:rsidRPr="001477A6">
        <w:t>Recognition</w:t>
      </w:r>
      <w:bookmarkEnd w:id="14"/>
    </w:p>
    <w:p w14:paraId="4EDB0233" w14:textId="5624C09E" w:rsidR="00231100" w:rsidRDefault="00231100" w:rsidP="00231100">
      <w:pPr>
        <w:pStyle w:val="Bodynospace"/>
        <w:rPr>
          <w:lang w:val="en-GB" w:eastAsia="en-AU"/>
        </w:rPr>
      </w:pPr>
      <w:bookmarkStart w:id="15" w:name="_Toc111478048"/>
      <w:r>
        <w:rPr>
          <w:lang w:val="en-GB" w:eastAsia="en-AU"/>
        </w:rPr>
        <w:t>Identify residents who are at risk of developing severe hypoglycaemia, that is:</w:t>
      </w:r>
    </w:p>
    <w:p w14:paraId="42F04B06" w14:textId="6D3B4BA0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residents with diabetes</w:t>
      </w:r>
    </w:p>
    <w:p w14:paraId="639BC7EC" w14:textId="4AA139AF" w:rsidR="00231100" w:rsidRPr="00231100" w:rsidRDefault="00231100" w:rsidP="006416A2">
      <w:pPr>
        <w:pStyle w:val="Bullet1"/>
        <w:rPr>
          <w:lang w:val="en-GB" w:eastAsia="en-AU"/>
        </w:rPr>
      </w:pPr>
      <w:r w:rsidRPr="00231100">
        <w:rPr>
          <w:lang w:val="en-GB" w:eastAsia="en-AU"/>
        </w:rPr>
        <w:t>residents on insulin therapy or glucose-lowering</w:t>
      </w:r>
      <w:r>
        <w:rPr>
          <w:lang w:val="en-GB" w:eastAsia="en-AU"/>
        </w:rPr>
        <w:t xml:space="preserve"> </w:t>
      </w:r>
      <w:r w:rsidRPr="00231100">
        <w:rPr>
          <w:lang w:val="en-GB" w:eastAsia="en-AU"/>
        </w:rPr>
        <w:t>drugs from the sulfonylurea class of medicines (such as gliclazide)</w:t>
      </w:r>
    </w:p>
    <w:p w14:paraId="58803FBB" w14:textId="16D11C1C" w:rsidR="00231100" w:rsidRPr="00231100" w:rsidRDefault="00231100" w:rsidP="006C6101">
      <w:pPr>
        <w:pStyle w:val="Bullet1"/>
        <w:rPr>
          <w:lang w:val="en-GB" w:eastAsia="en-AU"/>
        </w:rPr>
      </w:pPr>
      <w:r w:rsidRPr="00231100">
        <w:rPr>
          <w:lang w:val="en-GB" w:eastAsia="en-AU"/>
        </w:rPr>
        <w:t>residents with low dietary intake on insulin</w:t>
      </w:r>
      <w:r>
        <w:rPr>
          <w:lang w:val="en-GB" w:eastAsia="en-AU"/>
        </w:rPr>
        <w:t xml:space="preserve"> </w:t>
      </w:r>
      <w:r w:rsidRPr="00231100">
        <w:rPr>
          <w:lang w:val="en-GB" w:eastAsia="en-AU"/>
        </w:rPr>
        <w:t>therapy or glucose lowering drugs</w:t>
      </w:r>
      <w:r>
        <w:rPr>
          <w:lang w:val="en-GB" w:eastAsia="en-AU"/>
        </w:rPr>
        <w:t>.</w:t>
      </w:r>
    </w:p>
    <w:p w14:paraId="2642EA68" w14:textId="77777777" w:rsidR="00231100" w:rsidRDefault="00231100" w:rsidP="00231100">
      <w:pPr>
        <w:pStyle w:val="Bodyafterbullets"/>
        <w:rPr>
          <w:lang w:val="en-GB" w:eastAsia="en-AU"/>
        </w:rPr>
      </w:pPr>
      <w:r>
        <w:rPr>
          <w:lang w:val="en-GB" w:eastAsia="en-AU"/>
        </w:rPr>
        <w:t>HBA1c targets need to be individualised. Tight blood glucose control increases the risk of hypoglycaemia.</w:t>
      </w:r>
    </w:p>
    <w:p w14:paraId="43B65C66" w14:textId="2A75FF43" w:rsidR="00231100" w:rsidRPr="00231100" w:rsidRDefault="00231100" w:rsidP="00231100">
      <w:pPr>
        <w:pStyle w:val="Bodynospace"/>
      </w:pPr>
      <w:r w:rsidRPr="00231100">
        <w:t>In the older person with diabetes and multiple comorbidities and/or frailty, strategies should be used to strictly prevent hypoglycaemia, which include the choice of antihyperglycemic therapy and a less stringent HBA1c target (Meneilly et al. 2018</w:t>
      </w:r>
      <w:r w:rsidR="00BD17D4">
        <w:t>; RACGP 2020</w:t>
      </w:r>
      <w:r w:rsidRPr="00231100">
        <w:t>).</w:t>
      </w:r>
    </w:p>
    <w:p w14:paraId="4C93B23A" w14:textId="4E844776" w:rsidR="001477A6" w:rsidRPr="001477A6" w:rsidRDefault="001477A6" w:rsidP="00231100">
      <w:pPr>
        <w:pStyle w:val="Heading2"/>
        <w:rPr>
          <w:rFonts w:eastAsia="Times"/>
          <w:lang w:val="en-GB"/>
        </w:rPr>
      </w:pPr>
      <w:r w:rsidRPr="001477A6">
        <w:rPr>
          <w:rFonts w:eastAsia="Times"/>
          <w:lang w:val="en-GB"/>
        </w:rPr>
        <w:t>Assessment</w:t>
      </w:r>
      <w:bookmarkEnd w:id="15"/>
    </w:p>
    <w:p w14:paraId="0016EAA2" w14:textId="1BFD78F3" w:rsidR="00231100" w:rsidRDefault="00231100" w:rsidP="00231100">
      <w:pPr>
        <w:pStyle w:val="Bodynospace"/>
        <w:rPr>
          <w:lang w:val="en-GB" w:eastAsia="en-AU"/>
        </w:rPr>
      </w:pPr>
      <w:r>
        <w:rPr>
          <w:lang w:val="en-GB" w:eastAsia="en-AU"/>
        </w:rPr>
        <w:t>Hypoglycaemia should be suspected if a resident presents with any of the following symptoms:</w:t>
      </w:r>
    </w:p>
    <w:p w14:paraId="0A33EEC5" w14:textId="51AF89BD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weakness, trembling or shaking</w:t>
      </w:r>
    </w:p>
    <w:p w14:paraId="055BAB9A" w14:textId="06E814EF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dizziness or light-headedness</w:t>
      </w:r>
    </w:p>
    <w:p w14:paraId="28D2DE46" w14:textId="60CA26EF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sweating</w:t>
      </w:r>
    </w:p>
    <w:p w14:paraId="3CA5F4F9" w14:textId="4CA4DA1E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headache</w:t>
      </w:r>
    </w:p>
    <w:p w14:paraId="45B3B80B" w14:textId="0D5CF586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hunger</w:t>
      </w:r>
    </w:p>
    <w:p w14:paraId="1AA851B2" w14:textId="3DAB53A7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irritability</w:t>
      </w:r>
    </w:p>
    <w:p w14:paraId="4652C905" w14:textId="6A332BD0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difficulty in concentrating</w:t>
      </w:r>
    </w:p>
    <w:p w14:paraId="3F067227" w14:textId="5FBC3188" w:rsidR="00231100" w:rsidRPr="00231100" w:rsidRDefault="00231100" w:rsidP="00A861AC">
      <w:pPr>
        <w:pStyle w:val="Bullet1"/>
        <w:rPr>
          <w:lang w:val="en-GB" w:eastAsia="en-AU"/>
        </w:rPr>
      </w:pPr>
      <w:r w:rsidRPr="00231100">
        <w:rPr>
          <w:lang w:val="en-GB" w:eastAsia="en-AU"/>
        </w:rPr>
        <w:t>numbness or tingling around the fingers, face,</w:t>
      </w:r>
      <w:r>
        <w:rPr>
          <w:lang w:val="en-GB" w:eastAsia="en-AU"/>
        </w:rPr>
        <w:t xml:space="preserve"> </w:t>
      </w:r>
      <w:r w:rsidRPr="00231100">
        <w:rPr>
          <w:lang w:val="en-GB" w:eastAsia="en-AU"/>
        </w:rPr>
        <w:t>and lips</w:t>
      </w:r>
    </w:p>
    <w:p w14:paraId="7556224C" w14:textId="137A7548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anxiety or fear.</w:t>
      </w:r>
    </w:p>
    <w:p w14:paraId="6C35B05E" w14:textId="77777777" w:rsidR="00231100" w:rsidRDefault="00231100" w:rsidP="002311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  <w:lang w:val="en-GB" w:eastAsia="en-AU"/>
        </w:rPr>
      </w:pPr>
    </w:p>
    <w:p w14:paraId="27B6C369" w14:textId="11069A87" w:rsidR="00231100" w:rsidRDefault="00231100" w:rsidP="00231100">
      <w:pPr>
        <w:pStyle w:val="Bodynospace"/>
        <w:rPr>
          <w:lang w:val="en-GB" w:eastAsia="en-AU"/>
        </w:rPr>
      </w:pPr>
      <w:r>
        <w:rPr>
          <w:lang w:val="en-GB" w:eastAsia="en-AU"/>
        </w:rPr>
        <w:t>Severe hypoglycaemia may present with these symptoms:</w:t>
      </w:r>
    </w:p>
    <w:p w14:paraId="2973686A" w14:textId="7371D80F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slurred speech</w:t>
      </w:r>
    </w:p>
    <w:p w14:paraId="4B79791B" w14:textId="0B127CEF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confusion and disorientation</w:t>
      </w:r>
    </w:p>
    <w:p w14:paraId="0E27EF68" w14:textId="0B7F1EB7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behaviour change (irritability or aggression)</w:t>
      </w:r>
    </w:p>
    <w:p w14:paraId="2D182028" w14:textId="30BD8962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lack of coordination</w:t>
      </w:r>
    </w:p>
    <w:p w14:paraId="11965AED" w14:textId="71453AEE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reduced or loss of consciousness</w:t>
      </w:r>
    </w:p>
    <w:p w14:paraId="502AF902" w14:textId="06A412DA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seizures.</w:t>
      </w:r>
    </w:p>
    <w:p w14:paraId="1B9FA370" w14:textId="77777777" w:rsidR="00231100" w:rsidRDefault="00231100" w:rsidP="00231100">
      <w:pPr>
        <w:pStyle w:val="Bodyafterbullets"/>
        <w:rPr>
          <w:lang w:val="en-GB" w:eastAsia="en-AU"/>
        </w:rPr>
      </w:pPr>
      <w:r>
        <w:rPr>
          <w:lang w:val="en-GB" w:eastAsia="en-AU"/>
        </w:rPr>
        <w:t>Symptoms to be aware of in older people include:</w:t>
      </w:r>
    </w:p>
    <w:p w14:paraId="564DADC4" w14:textId="76C0532B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napping before meals</w:t>
      </w:r>
    </w:p>
    <w:p w14:paraId="7D102D3D" w14:textId="792880F8" w:rsidR="00231100" w:rsidRDefault="00231100" w:rsidP="00231100">
      <w:pPr>
        <w:pStyle w:val="Bullet1"/>
        <w:rPr>
          <w:lang w:val="en-GB" w:eastAsia="en-AU"/>
        </w:rPr>
      </w:pPr>
      <w:r>
        <w:rPr>
          <w:lang w:val="en-GB" w:eastAsia="en-AU"/>
        </w:rPr>
        <w:t>cognitive and behaviour changes</w:t>
      </w:r>
    </w:p>
    <w:p w14:paraId="7A1809FE" w14:textId="3D9C981C" w:rsidR="00A346AC" w:rsidRPr="00A346AC" w:rsidRDefault="00231100" w:rsidP="00A346AC">
      <w:pPr>
        <w:pStyle w:val="Bullet1"/>
        <w:rPr>
          <w:lang w:val="en-GB"/>
        </w:rPr>
      </w:pPr>
      <w:r>
        <w:rPr>
          <w:lang w:val="en-GB" w:eastAsia="en-AU"/>
        </w:rPr>
        <w:t>falls.</w:t>
      </w:r>
    </w:p>
    <w:p w14:paraId="148EE975" w14:textId="6D15C2EA" w:rsidR="00A346AC" w:rsidRDefault="00A346AC" w:rsidP="00A346AC">
      <w:pPr>
        <w:pStyle w:val="Bodyafterbullets"/>
        <w:rPr>
          <w:lang w:val="en-GB" w:eastAsia="en-AU"/>
        </w:rPr>
      </w:pPr>
      <w:r>
        <w:rPr>
          <w:lang w:val="en-GB" w:eastAsia="en-AU"/>
        </w:rPr>
        <w:t>Older people often present with neuroglycopenic symptoms because the brain does not receive enough glucose during hypoglycaemia. It is important to:</w:t>
      </w:r>
    </w:p>
    <w:p w14:paraId="1ACD6061" w14:textId="649F4505" w:rsidR="00A346AC" w:rsidRPr="00A346AC" w:rsidRDefault="00A346AC" w:rsidP="00430D84">
      <w:pPr>
        <w:pStyle w:val="Bullet1"/>
        <w:rPr>
          <w:lang w:val="en-GB" w:eastAsia="en-AU"/>
        </w:rPr>
      </w:pPr>
      <w:r w:rsidRPr="00A346AC">
        <w:rPr>
          <w:lang w:val="en-GB" w:eastAsia="en-AU"/>
        </w:rPr>
        <w:t>check the resident’s capillary BGL to confirm symptoms are due to hypoglycaemia and document this in their medical record and</w:t>
      </w:r>
      <w:r>
        <w:rPr>
          <w:lang w:val="en-GB" w:eastAsia="en-AU"/>
        </w:rPr>
        <w:t xml:space="preserve"> </w:t>
      </w:r>
      <w:r w:rsidRPr="00A346AC">
        <w:rPr>
          <w:lang w:val="en-GB" w:eastAsia="en-AU"/>
        </w:rPr>
        <w:t>progress notes</w:t>
      </w:r>
    </w:p>
    <w:p w14:paraId="209E633D" w14:textId="592B9CB8" w:rsidR="00A346AC" w:rsidRPr="00A346AC" w:rsidRDefault="00A346AC" w:rsidP="00C55FF1">
      <w:pPr>
        <w:pStyle w:val="Bullet1"/>
        <w:rPr>
          <w:lang w:val="en-GB" w:eastAsia="en-AU"/>
        </w:rPr>
      </w:pPr>
      <w:r w:rsidRPr="00A346AC">
        <w:rPr>
          <w:lang w:val="en-GB" w:eastAsia="en-AU"/>
        </w:rPr>
        <w:t>check the resident’s care plan or medication chart for hypoglycaemia management and</w:t>
      </w:r>
      <w:r>
        <w:rPr>
          <w:lang w:val="en-GB" w:eastAsia="en-AU"/>
        </w:rPr>
        <w:t xml:space="preserve"> </w:t>
      </w:r>
      <w:r w:rsidRPr="00A346AC">
        <w:rPr>
          <w:lang w:val="en-GB" w:eastAsia="en-AU"/>
        </w:rPr>
        <w:t>a standing order for glucagon</w:t>
      </w:r>
    </w:p>
    <w:p w14:paraId="19EE2B52" w14:textId="29B7B9E8" w:rsidR="00A346AC" w:rsidRPr="00A346AC" w:rsidRDefault="00A346AC" w:rsidP="00361280">
      <w:pPr>
        <w:pStyle w:val="Bullet1"/>
        <w:rPr>
          <w:lang w:val="en-GB" w:eastAsia="en-AU"/>
        </w:rPr>
      </w:pPr>
      <w:r w:rsidRPr="00A346AC">
        <w:rPr>
          <w:lang w:val="en-GB" w:eastAsia="en-AU"/>
        </w:rPr>
        <w:lastRenderedPageBreak/>
        <w:t>identify the resident’s specific signs and symptoms of hypoglycaemia and document</w:t>
      </w:r>
      <w:r>
        <w:rPr>
          <w:lang w:val="en-GB" w:eastAsia="en-AU"/>
        </w:rPr>
        <w:t xml:space="preserve"> </w:t>
      </w:r>
      <w:r w:rsidRPr="00A346AC">
        <w:rPr>
          <w:lang w:val="en-GB" w:eastAsia="en-AU"/>
        </w:rPr>
        <w:t>these in their diabetes management plan</w:t>
      </w:r>
    </w:p>
    <w:p w14:paraId="3172856E" w14:textId="137903D0" w:rsidR="009836D4" w:rsidRDefault="00A346AC" w:rsidP="00A20C6A">
      <w:pPr>
        <w:pStyle w:val="Bullet1"/>
      </w:pPr>
      <w:r w:rsidRPr="00A346AC">
        <w:rPr>
          <w:lang w:val="en-GB" w:eastAsia="en-AU"/>
        </w:rPr>
        <w:t>identify residents who have impaired awareness</w:t>
      </w:r>
      <w:r>
        <w:rPr>
          <w:lang w:val="en-GB" w:eastAsia="en-AU"/>
        </w:rPr>
        <w:t xml:space="preserve"> </w:t>
      </w:r>
      <w:r w:rsidRPr="00A346AC">
        <w:rPr>
          <w:lang w:val="en-GB" w:eastAsia="en-AU"/>
        </w:rPr>
        <w:t>of hypoglycaemia symptoms.</w:t>
      </w:r>
    </w:p>
    <w:p w14:paraId="75B4547A" w14:textId="3AE8301F" w:rsidR="002D28A3" w:rsidRDefault="002D28A3" w:rsidP="000247EF">
      <w:pPr>
        <w:pStyle w:val="Heading2"/>
        <w:rPr>
          <w:lang w:val="en-GB" w:eastAsia="en-AU"/>
        </w:rPr>
        <w:sectPr w:rsidR="002D28A3" w:rsidSect="002D28A3"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788AF684" w14:textId="77777777" w:rsidR="002D28A3" w:rsidRDefault="000247EF" w:rsidP="000247EF">
      <w:pPr>
        <w:pStyle w:val="Heading2"/>
        <w:rPr>
          <w:lang w:val="en-GB" w:eastAsia="en-AU"/>
        </w:rPr>
        <w:sectPr w:rsidR="002D28A3" w:rsidSect="001477A6">
          <w:type w:val="continuous"/>
          <w:pgSz w:w="11906" w:h="16838" w:code="9"/>
          <w:pgMar w:top="1418" w:right="851" w:bottom="1418" w:left="851" w:header="680" w:footer="851" w:gutter="0"/>
          <w:cols w:num="2" w:space="340"/>
          <w:docGrid w:linePitch="360"/>
        </w:sectPr>
      </w:pPr>
      <w:bookmarkStart w:id="16" w:name="_Toc111478049"/>
      <w:r>
        <w:rPr>
          <w:lang w:val="en-GB" w:eastAsia="en-AU"/>
        </w:rPr>
        <w:t>Interventions</w:t>
      </w:r>
      <w:bookmarkEnd w:id="16"/>
    </w:p>
    <w:p w14:paraId="66DBC950" w14:textId="7A19FF03" w:rsidR="00A346AC" w:rsidRDefault="00A346AC" w:rsidP="00A346AC">
      <w:pPr>
        <w:pStyle w:val="Body"/>
        <w:rPr>
          <w:lang w:val="en-GB" w:eastAsia="en-AU"/>
        </w:rPr>
      </w:pPr>
      <w:r>
        <w:rPr>
          <w:lang w:val="en-GB" w:eastAsia="en-AU"/>
        </w:rPr>
        <w:t>The aim is to quickly return and maintain BGLs within the resident’s target range, to relieve symptoms and to eliminate risk of injury. Interventions should include the following:</w:t>
      </w:r>
    </w:p>
    <w:p w14:paraId="47635513" w14:textId="45F4EC5B" w:rsidR="00A346AC" w:rsidRPr="00A346AC" w:rsidRDefault="00A346AC" w:rsidP="00B62F9C">
      <w:pPr>
        <w:pStyle w:val="Bullet1"/>
        <w:rPr>
          <w:lang w:val="en-GB" w:eastAsia="en-AU"/>
        </w:rPr>
      </w:pPr>
      <w:r w:rsidRPr="00A346AC">
        <w:rPr>
          <w:lang w:val="en-GB" w:eastAsia="en-AU"/>
        </w:rPr>
        <w:t>Respond immediately to a hypoglycaemic episode as per the Immediate response to</w:t>
      </w:r>
      <w:r>
        <w:rPr>
          <w:lang w:val="en-GB" w:eastAsia="en-AU"/>
        </w:rPr>
        <w:t xml:space="preserve"> </w:t>
      </w:r>
      <w:r w:rsidRPr="00A346AC">
        <w:rPr>
          <w:lang w:val="en-GB" w:eastAsia="en-AU"/>
        </w:rPr>
        <w:t>a hypoglycaemic episode flow chart.</w:t>
      </w:r>
    </w:p>
    <w:p w14:paraId="13917FFB" w14:textId="76E25353" w:rsidR="00A346AC" w:rsidRPr="00A346AC" w:rsidRDefault="00A346AC" w:rsidP="00474E6A">
      <w:pPr>
        <w:pStyle w:val="Bullet1"/>
        <w:rPr>
          <w:lang w:val="en-GB" w:eastAsia="en-AU"/>
        </w:rPr>
      </w:pPr>
      <w:r w:rsidRPr="00A346AC">
        <w:rPr>
          <w:lang w:val="en-GB" w:eastAsia="en-AU"/>
        </w:rPr>
        <w:t>Report any incident to the resident’s GP</w:t>
      </w:r>
      <w:r>
        <w:rPr>
          <w:lang w:val="en-GB" w:eastAsia="en-AU"/>
        </w:rPr>
        <w:t xml:space="preserve"> </w:t>
      </w:r>
      <w:r w:rsidRPr="00A346AC">
        <w:rPr>
          <w:lang w:val="en-GB" w:eastAsia="en-AU"/>
        </w:rPr>
        <w:t>and document this.</w:t>
      </w:r>
    </w:p>
    <w:p w14:paraId="7EDC7A16" w14:textId="7378F496" w:rsidR="00A346AC" w:rsidRPr="00A346AC" w:rsidRDefault="00A346AC" w:rsidP="00702567">
      <w:pPr>
        <w:pStyle w:val="Bullet1"/>
        <w:rPr>
          <w:lang w:val="en-GB" w:eastAsia="en-AU"/>
        </w:rPr>
      </w:pPr>
      <w:r w:rsidRPr="00A346AC">
        <w:rPr>
          <w:lang w:val="en-GB" w:eastAsia="en-AU"/>
        </w:rPr>
        <w:t>Monitor the resident’s BGL hourly for the first</w:t>
      </w:r>
      <w:r>
        <w:rPr>
          <w:lang w:val="en-GB" w:eastAsia="en-AU"/>
        </w:rPr>
        <w:t xml:space="preserve"> </w:t>
      </w:r>
      <w:r w:rsidRPr="00A346AC">
        <w:rPr>
          <w:lang w:val="en-GB" w:eastAsia="en-AU"/>
        </w:rPr>
        <w:t>four hours.</w:t>
      </w:r>
    </w:p>
    <w:p w14:paraId="42C91216" w14:textId="7F490B2F" w:rsidR="00A346AC" w:rsidRPr="00A346AC" w:rsidRDefault="00A346AC" w:rsidP="005B23C8">
      <w:pPr>
        <w:pStyle w:val="Bullet1"/>
        <w:rPr>
          <w:lang w:val="en-GB" w:eastAsia="en-AU"/>
        </w:rPr>
      </w:pPr>
      <w:r w:rsidRPr="00A346AC">
        <w:rPr>
          <w:lang w:val="en-GB" w:eastAsia="en-AU"/>
        </w:rPr>
        <w:t>Consult the GP prior to omitting scheduled</w:t>
      </w:r>
      <w:r>
        <w:rPr>
          <w:lang w:val="en-GB" w:eastAsia="en-AU"/>
        </w:rPr>
        <w:t xml:space="preserve"> </w:t>
      </w:r>
      <w:r w:rsidRPr="00A346AC">
        <w:rPr>
          <w:lang w:val="en-GB" w:eastAsia="en-AU"/>
        </w:rPr>
        <w:t>insulin or glucose-lowering medications.</w:t>
      </w:r>
    </w:p>
    <w:p w14:paraId="24F95854" w14:textId="36BDB3B1" w:rsidR="00A346AC" w:rsidRPr="00A346AC" w:rsidRDefault="00A346AC" w:rsidP="004402C4">
      <w:pPr>
        <w:pStyle w:val="Bullet1"/>
        <w:rPr>
          <w:lang w:val="en-GB" w:eastAsia="en-AU"/>
        </w:rPr>
      </w:pPr>
      <w:r w:rsidRPr="00A346AC">
        <w:rPr>
          <w:lang w:val="en-GB" w:eastAsia="en-AU"/>
        </w:rPr>
        <w:t>If BGL rises but the resident does not recover,</w:t>
      </w:r>
      <w:r>
        <w:rPr>
          <w:lang w:val="en-GB" w:eastAsia="en-AU"/>
        </w:rPr>
        <w:t xml:space="preserve"> </w:t>
      </w:r>
      <w:r w:rsidRPr="00A346AC">
        <w:rPr>
          <w:lang w:val="en-GB" w:eastAsia="en-AU"/>
        </w:rPr>
        <w:t>consider an alternative diagnosis.</w:t>
      </w:r>
    </w:p>
    <w:p w14:paraId="7EED05C8" w14:textId="0795911D" w:rsidR="00A346AC" w:rsidRPr="00A346AC" w:rsidRDefault="00A346AC" w:rsidP="00FC7835">
      <w:pPr>
        <w:pStyle w:val="Bullet1"/>
        <w:rPr>
          <w:lang w:val="en-GB" w:eastAsia="en-AU"/>
        </w:rPr>
      </w:pPr>
      <w:r w:rsidRPr="00A346AC">
        <w:rPr>
          <w:lang w:val="en-GB" w:eastAsia="en-AU"/>
        </w:rPr>
        <w:t>Seek a possible cause of the hypoglycaemic</w:t>
      </w:r>
      <w:r>
        <w:rPr>
          <w:lang w:val="en-GB" w:eastAsia="en-AU"/>
        </w:rPr>
        <w:t xml:space="preserve"> </w:t>
      </w:r>
      <w:r w:rsidRPr="00A346AC">
        <w:rPr>
          <w:lang w:val="en-GB" w:eastAsia="en-AU"/>
        </w:rPr>
        <w:t>episode, for example:</w:t>
      </w:r>
    </w:p>
    <w:p w14:paraId="378F6F42" w14:textId="5F1DAF69" w:rsidR="00A346AC" w:rsidRPr="00A346AC" w:rsidRDefault="00A346AC" w:rsidP="00CE3EFC">
      <w:pPr>
        <w:pStyle w:val="Bullet2"/>
        <w:rPr>
          <w:lang w:val="en-GB" w:eastAsia="en-AU"/>
        </w:rPr>
      </w:pPr>
      <w:r w:rsidRPr="00A346AC">
        <w:rPr>
          <w:lang w:val="en-GB" w:eastAsia="en-AU"/>
        </w:rPr>
        <w:t>too much insulin/medication or taking it at</w:t>
      </w:r>
      <w:r>
        <w:rPr>
          <w:lang w:val="en-GB" w:eastAsia="en-AU"/>
        </w:rPr>
        <w:t xml:space="preserve"> </w:t>
      </w:r>
      <w:r w:rsidRPr="00A346AC">
        <w:rPr>
          <w:lang w:val="en-GB" w:eastAsia="en-AU"/>
        </w:rPr>
        <w:t>the incorrect time in relation to food intake</w:t>
      </w:r>
    </w:p>
    <w:p w14:paraId="14AC1A09" w14:textId="5CE93512" w:rsidR="00A346AC" w:rsidRDefault="00A346AC" w:rsidP="00A346AC">
      <w:pPr>
        <w:pStyle w:val="Bullet2"/>
        <w:rPr>
          <w:lang w:val="en-GB" w:eastAsia="en-AU"/>
        </w:rPr>
      </w:pPr>
      <w:r>
        <w:rPr>
          <w:lang w:val="en-GB" w:eastAsia="en-AU"/>
        </w:rPr>
        <w:t>long gaps between meals or a missed meal</w:t>
      </w:r>
    </w:p>
    <w:p w14:paraId="296F83B1" w14:textId="6A09A54B" w:rsidR="00A346AC" w:rsidRDefault="00A346AC" w:rsidP="00A346AC">
      <w:pPr>
        <w:pStyle w:val="Bullet2"/>
        <w:rPr>
          <w:lang w:val="en-GB" w:eastAsia="en-AU"/>
        </w:rPr>
      </w:pPr>
      <w:r>
        <w:rPr>
          <w:lang w:val="en-GB" w:eastAsia="en-AU"/>
        </w:rPr>
        <w:t>increased activity/exercise levels</w:t>
      </w:r>
    </w:p>
    <w:p w14:paraId="361BEE86" w14:textId="0F1728C2" w:rsidR="00A346AC" w:rsidRDefault="00A346AC" w:rsidP="00A346AC">
      <w:pPr>
        <w:pStyle w:val="Bullet2"/>
        <w:rPr>
          <w:lang w:val="en-GB" w:eastAsia="en-AU"/>
        </w:rPr>
      </w:pPr>
      <w:r>
        <w:rPr>
          <w:lang w:val="en-GB" w:eastAsia="en-AU"/>
        </w:rPr>
        <w:t>excess alcohol</w:t>
      </w:r>
    </w:p>
    <w:p w14:paraId="689A609F" w14:textId="06834D48" w:rsidR="00A346AC" w:rsidRDefault="00A346AC" w:rsidP="00A346AC">
      <w:pPr>
        <w:pStyle w:val="Bullet2"/>
        <w:rPr>
          <w:lang w:val="en-GB" w:eastAsia="en-AU"/>
        </w:rPr>
      </w:pPr>
      <w:r>
        <w:rPr>
          <w:lang w:val="en-GB" w:eastAsia="en-AU"/>
        </w:rPr>
        <w:t>changes in medication and/or dosages</w:t>
      </w:r>
    </w:p>
    <w:p w14:paraId="05799AB8" w14:textId="76387C79" w:rsidR="00A346AC" w:rsidRDefault="00A346AC" w:rsidP="00A346AC">
      <w:pPr>
        <w:pStyle w:val="Bullet2"/>
        <w:rPr>
          <w:lang w:val="en-GB" w:eastAsia="en-AU"/>
        </w:rPr>
      </w:pPr>
      <w:r>
        <w:rPr>
          <w:lang w:val="en-GB" w:eastAsia="en-AU"/>
        </w:rPr>
        <w:t>weight loss or decreased appetite</w:t>
      </w:r>
    </w:p>
    <w:p w14:paraId="253127FD" w14:textId="700C2C6F" w:rsidR="00A346AC" w:rsidRDefault="00A346AC" w:rsidP="00A346AC">
      <w:pPr>
        <w:pStyle w:val="Bullet2"/>
        <w:rPr>
          <w:lang w:val="en-GB" w:eastAsia="en-AU"/>
        </w:rPr>
      </w:pPr>
      <w:r>
        <w:rPr>
          <w:lang w:val="en-GB" w:eastAsia="en-AU"/>
        </w:rPr>
        <w:t>vomiting</w:t>
      </w:r>
    </w:p>
    <w:p w14:paraId="169E79EF" w14:textId="440D5535" w:rsidR="009836D4" w:rsidRDefault="00A346AC" w:rsidP="004B5582">
      <w:pPr>
        <w:pStyle w:val="Bullet2"/>
        <w:rPr>
          <w:lang w:val="en-GB" w:eastAsia="en-AU"/>
        </w:rPr>
      </w:pPr>
      <w:r w:rsidRPr="00A346AC">
        <w:rPr>
          <w:lang w:val="en-GB" w:eastAsia="en-AU"/>
        </w:rPr>
        <w:t>underlying illness (for example, chronic</w:t>
      </w:r>
      <w:r>
        <w:rPr>
          <w:lang w:val="en-GB" w:eastAsia="en-AU"/>
        </w:rPr>
        <w:t xml:space="preserve"> </w:t>
      </w:r>
      <w:r w:rsidRPr="00A346AC">
        <w:rPr>
          <w:lang w:val="en-GB" w:eastAsia="en-AU"/>
        </w:rPr>
        <w:t>kidney disease).</w:t>
      </w:r>
    </w:p>
    <w:p w14:paraId="59EFC43C" w14:textId="19C9B9D4" w:rsidR="00855CF4" w:rsidRDefault="00855CF4" w:rsidP="00855CF4">
      <w:pPr>
        <w:pStyle w:val="Bodyafterbullets"/>
        <w:rPr>
          <w:lang w:val="en-GB" w:eastAsia="en-AU"/>
        </w:rPr>
      </w:pPr>
      <w:r>
        <w:rPr>
          <w:lang w:val="en-GB" w:eastAsia="en-AU"/>
        </w:rPr>
        <w:t>Implement or review the resident’s existing individualised hypo-risk reduction and prevention plan:</w:t>
      </w:r>
    </w:p>
    <w:p w14:paraId="10C1B20C" w14:textId="77777313" w:rsidR="00855CF4" w:rsidRPr="00855CF4" w:rsidRDefault="00855CF4" w:rsidP="002B3650">
      <w:pPr>
        <w:pStyle w:val="Bullet1"/>
        <w:rPr>
          <w:lang w:val="en-GB" w:eastAsia="en-AU"/>
        </w:rPr>
      </w:pPr>
      <w:r w:rsidRPr="00855CF4">
        <w:rPr>
          <w:lang w:val="en-GB" w:eastAsia="en-AU"/>
        </w:rPr>
        <w:t>Establish and document the resident’s blood</w:t>
      </w:r>
      <w:r>
        <w:rPr>
          <w:lang w:val="en-GB" w:eastAsia="en-AU"/>
        </w:rPr>
        <w:t xml:space="preserve"> </w:t>
      </w:r>
      <w:r w:rsidRPr="00855CF4">
        <w:rPr>
          <w:lang w:val="en-GB" w:eastAsia="en-AU"/>
        </w:rPr>
        <w:t>glucose range.</w:t>
      </w:r>
    </w:p>
    <w:p w14:paraId="71D83FC9" w14:textId="12828B87" w:rsidR="00855CF4" w:rsidRDefault="00855CF4" w:rsidP="00855CF4">
      <w:pPr>
        <w:pStyle w:val="Bullet1"/>
        <w:rPr>
          <w:lang w:val="en-GB" w:eastAsia="en-AU"/>
        </w:rPr>
      </w:pPr>
      <w:r>
        <w:rPr>
          <w:lang w:val="en-GB" w:eastAsia="en-AU"/>
        </w:rPr>
        <w:t>Undertake regular blood glucose monitoring.</w:t>
      </w:r>
    </w:p>
    <w:p w14:paraId="39D1E810" w14:textId="3FC5FAAC" w:rsidR="00855CF4" w:rsidRPr="00855CF4" w:rsidRDefault="00855CF4" w:rsidP="00B13A95">
      <w:pPr>
        <w:pStyle w:val="Bullet1"/>
        <w:rPr>
          <w:lang w:val="en-GB" w:eastAsia="en-AU"/>
        </w:rPr>
      </w:pPr>
      <w:r w:rsidRPr="00855CF4">
        <w:rPr>
          <w:lang w:val="en-GB" w:eastAsia="en-AU"/>
        </w:rPr>
        <w:t>Consider a review of the resident’s medication (for medicines that lower blood glucose),</w:t>
      </w:r>
      <w:r>
        <w:rPr>
          <w:lang w:val="en-GB" w:eastAsia="en-AU"/>
        </w:rPr>
        <w:t xml:space="preserve"> </w:t>
      </w:r>
      <w:r w:rsidRPr="00855CF4">
        <w:rPr>
          <w:lang w:val="en-GB" w:eastAsia="en-AU"/>
        </w:rPr>
        <w:t>including complementary medicines.</w:t>
      </w:r>
    </w:p>
    <w:p w14:paraId="44C0796A" w14:textId="760FC9E2" w:rsidR="00855CF4" w:rsidRDefault="00855CF4" w:rsidP="00855CF4">
      <w:pPr>
        <w:pStyle w:val="Bullet1"/>
        <w:rPr>
          <w:lang w:val="en-GB" w:eastAsia="en-AU"/>
        </w:rPr>
      </w:pPr>
      <w:r>
        <w:rPr>
          <w:lang w:val="en-GB" w:eastAsia="en-AU"/>
        </w:rPr>
        <w:t>Consider a dietary review.</w:t>
      </w:r>
    </w:p>
    <w:p w14:paraId="157BC2C6" w14:textId="178B036B" w:rsidR="00855CF4" w:rsidRDefault="00855CF4" w:rsidP="00855CF4">
      <w:pPr>
        <w:pStyle w:val="Bodyafterbullets"/>
        <w:rPr>
          <w:lang w:val="en-GB" w:eastAsia="en-AU"/>
        </w:rPr>
      </w:pPr>
      <w:r>
        <w:rPr>
          <w:lang w:val="en-GB" w:eastAsia="en-AU"/>
        </w:rPr>
        <w:t>Maintain an appropriately equipped hypoglycaemic management kit containing:</w:t>
      </w:r>
    </w:p>
    <w:p w14:paraId="47EBD356" w14:textId="6170B137" w:rsidR="00855CF4" w:rsidRPr="00855CF4" w:rsidRDefault="00855CF4" w:rsidP="00855CF4">
      <w:pPr>
        <w:pStyle w:val="Bullet1"/>
      </w:pPr>
      <w:r w:rsidRPr="00855CF4">
        <w:t>blood glucose monitoring equipment</w:t>
      </w:r>
    </w:p>
    <w:p w14:paraId="3D1766EE" w14:textId="5B136829" w:rsidR="00855CF4" w:rsidRPr="00855CF4" w:rsidRDefault="00855CF4" w:rsidP="00855CF4">
      <w:pPr>
        <w:pStyle w:val="Bullet1"/>
      </w:pPr>
      <w:r w:rsidRPr="00855CF4">
        <w:t>carbohydrates</w:t>
      </w:r>
    </w:p>
    <w:p w14:paraId="45D48663" w14:textId="3282980E" w:rsidR="00855CF4" w:rsidRPr="00855CF4" w:rsidRDefault="00855CF4" w:rsidP="00855CF4">
      <w:pPr>
        <w:pStyle w:val="Bullet1"/>
      </w:pPr>
      <w:r w:rsidRPr="00855CF4">
        <w:t>glucose gel</w:t>
      </w:r>
    </w:p>
    <w:p w14:paraId="6AB16EDD" w14:textId="055A49CE" w:rsidR="00855CF4" w:rsidRPr="00855CF4" w:rsidRDefault="00855CF4" w:rsidP="00792DEA">
      <w:pPr>
        <w:pStyle w:val="Bullet1"/>
      </w:pPr>
      <w:r w:rsidRPr="00855CF4">
        <w:t>glucagon 1 mg IM plus equipment for</w:t>
      </w:r>
      <w:r>
        <w:t xml:space="preserve"> </w:t>
      </w:r>
      <w:r w:rsidRPr="00855CF4">
        <w:t>administration (needle, syringe, skin cleansing</w:t>
      </w:r>
      <w:r>
        <w:t xml:space="preserve"> </w:t>
      </w:r>
      <w:r w:rsidRPr="00855CF4">
        <w:t>swab)</w:t>
      </w:r>
    </w:p>
    <w:p w14:paraId="4E8AA2BA" w14:textId="078E135F" w:rsidR="00855CF4" w:rsidRPr="00855CF4" w:rsidRDefault="00855CF4" w:rsidP="009D6544">
      <w:pPr>
        <w:pStyle w:val="Bullet1"/>
      </w:pPr>
      <w:r w:rsidRPr="00855CF4">
        <w:t>intravenous set (cannula, syringe, sharps</w:t>
      </w:r>
      <w:r>
        <w:t xml:space="preserve"> </w:t>
      </w:r>
      <w:r w:rsidRPr="00855CF4">
        <w:t>container, gloves and skin cleansing swab).</w:t>
      </w:r>
    </w:p>
    <w:p w14:paraId="150DBF9B" w14:textId="77777777" w:rsidR="00CD448D" w:rsidRDefault="00CD448D" w:rsidP="00CD448D">
      <w:pPr>
        <w:pStyle w:val="Heading2"/>
        <w:rPr>
          <w:lang w:val="en-GB" w:eastAsia="en-AU"/>
        </w:rPr>
      </w:pPr>
      <w:bookmarkStart w:id="17" w:name="_Toc111478050"/>
      <w:r>
        <w:rPr>
          <w:lang w:val="en-GB" w:eastAsia="en-AU"/>
        </w:rPr>
        <w:t>Referral</w:t>
      </w:r>
      <w:bookmarkEnd w:id="17"/>
    </w:p>
    <w:p w14:paraId="231AE244" w14:textId="47B3AA5A" w:rsidR="00855CF4" w:rsidRPr="00855CF4" w:rsidRDefault="00855CF4" w:rsidP="00FD50E4">
      <w:pPr>
        <w:pStyle w:val="Bullet1"/>
        <w:rPr>
          <w:lang w:val="en-GB" w:eastAsia="en-AU"/>
        </w:rPr>
      </w:pPr>
      <w:bookmarkStart w:id="18" w:name="_Toc111478051"/>
      <w:r w:rsidRPr="00855CF4">
        <w:rPr>
          <w:lang w:val="en-GB" w:eastAsia="en-AU"/>
        </w:rPr>
        <w:t>Refer for emergency medical assistance (ambulance service) if the resident is, or</w:t>
      </w:r>
      <w:r>
        <w:rPr>
          <w:lang w:val="en-GB" w:eastAsia="en-AU"/>
        </w:rPr>
        <w:t xml:space="preserve"> </w:t>
      </w:r>
      <w:r w:rsidRPr="00855CF4">
        <w:rPr>
          <w:lang w:val="en-GB" w:eastAsia="en-AU"/>
        </w:rPr>
        <w:t>becomes, unconscious.</w:t>
      </w:r>
    </w:p>
    <w:p w14:paraId="63FD6529" w14:textId="1C0A5D60" w:rsidR="00855CF4" w:rsidRPr="00855CF4" w:rsidRDefault="00855CF4" w:rsidP="00642CAF">
      <w:pPr>
        <w:pStyle w:val="Bullet1"/>
        <w:rPr>
          <w:lang w:val="en-GB" w:eastAsia="en-AU"/>
        </w:rPr>
      </w:pPr>
      <w:r w:rsidRPr="00855CF4">
        <w:rPr>
          <w:lang w:val="en-GB" w:eastAsia="en-AU"/>
        </w:rPr>
        <w:t>Refer to the GP once treatment has been</w:t>
      </w:r>
      <w:r>
        <w:rPr>
          <w:lang w:val="en-GB" w:eastAsia="en-AU"/>
        </w:rPr>
        <w:t xml:space="preserve"> </w:t>
      </w:r>
      <w:r w:rsidRPr="00855CF4">
        <w:rPr>
          <w:lang w:val="en-GB" w:eastAsia="en-AU"/>
        </w:rPr>
        <w:t>administered.</w:t>
      </w:r>
    </w:p>
    <w:p w14:paraId="48B58ED0" w14:textId="01106566" w:rsidR="00855CF4" w:rsidRPr="00855CF4" w:rsidRDefault="00855CF4" w:rsidP="00E906A6">
      <w:pPr>
        <w:pStyle w:val="Bullet1"/>
        <w:rPr>
          <w:lang w:val="en-GB" w:eastAsia="en-AU"/>
        </w:rPr>
      </w:pPr>
      <w:r w:rsidRPr="00855CF4">
        <w:rPr>
          <w:lang w:val="en-GB" w:eastAsia="en-AU"/>
        </w:rPr>
        <w:t>Referral to a dietitian and/or diabetes educator may assist if insufficient carbohydrate intake</w:t>
      </w:r>
      <w:r>
        <w:rPr>
          <w:lang w:val="en-GB" w:eastAsia="en-AU"/>
        </w:rPr>
        <w:t xml:space="preserve"> </w:t>
      </w:r>
      <w:r w:rsidRPr="00855CF4">
        <w:rPr>
          <w:lang w:val="en-GB" w:eastAsia="en-AU"/>
        </w:rPr>
        <w:t>is the cause of the hypoglycaemic episodes.</w:t>
      </w:r>
    </w:p>
    <w:p w14:paraId="5B990212" w14:textId="64F3854C" w:rsidR="00855CF4" w:rsidRDefault="00855CF4" w:rsidP="00855CF4">
      <w:pPr>
        <w:pStyle w:val="Bullet1"/>
        <w:rPr>
          <w:lang w:val="en-GB" w:eastAsia="en-AU"/>
        </w:rPr>
      </w:pPr>
      <w:r>
        <w:rPr>
          <w:lang w:val="en-GB" w:eastAsia="en-AU"/>
        </w:rPr>
        <w:t>Refer to a pharmacist for a medication review.</w:t>
      </w:r>
    </w:p>
    <w:p w14:paraId="225BB86A" w14:textId="77777777" w:rsidR="00855CF4" w:rsidRDefault="00855CF4" w:rsidP="00855CF4">
      <w:pPr>
        <w:pStyle w:val="Heading2"/>
        <w:rPr>
          <w:rFonts w:ascii="Times New Roman" w:hAnsi="Times New Roman"/>
          <w:sz w:val="19"/>
          <w:szCs w:val="19"/>
          <w:lang w:val="en-GB" w:eastAsia="en-AU"/>
        </w:rPr>
      </w:pPr>
    </w:p>
    <w:p w14:paraId="04A445D9" w14:textId="17F1627B" w:rsidR="00CD448D" w:rsidRDefault="00CD448D" w:rsidP="00855CF4">
      <w:pPr>
        <w:pStyle w:val="Heading2"/>
        <w:rPr>
          <w:lang w:val="en-GB" w:eastAsia="en-AU"/>
        </w:rPr>
      </w:pPr>
      <w:r>
        <w:rPr>
          <w:lang w:val="en-GB" w:eastAsia="en-AU"/>
        </w:rPr>
        <w:t>Evaluation and reassessment</w:t>
      </w:r>
      <w:bookmarkEnd w:id="18"/>
    </w:p>
    <w:p w14:paraId="1F19CCC2" w14:textId="47781E0C" w:rsidR="00855CF4" w:rsidRPr="00855CF4" w:rsidRDefault="00855CF4" w:rsidP="00B83A81">
      <w:pPr>
        <w:pStyle w:val="Bullet1"/>
        <w:rPr>
          <w:lang w:val="en-GB" w:eastAsia="en-AU"/>
        </w:rPr>
      </w:pPr>
      <w:bookmarkStart w:id="19" w:name="_Toc111478052"/>
      <w:r w:rsidRPr="00855CF4">
        <w:rPr>
          <w:lang w:val="en-GB" w:eastAsia="en-AU"/>
        </w:rPr>
        <w:t>Organise a medical review of the resident’s</w:t>
      </w:r>
      <w:r>
        <w:rPr>
          <w:lang w:val="en-GB" w:eastAsia="en-AU"/>
        </w:rPr>
        <w:t xml:space="preserve"> </w:t>
      </w:r>
      <w:r w:rsidRPr="00855CF4">
        <w:rPr>
          <w:lang w:val="en-GB" w:eastAsia="en-AU"/>
        </w:rPr>
        <w:t>target blood glucose range.</w:t>
      </w:r>
    </w:p>
    <w:p w14:paraId="57EEFA02" w14:textId="0436F0E1" w:rsidR="00855CF4" w:rsidRPr="00855CF4" w:rsidRDefault="00855CF4" w:rsidP="00904035">
      <w:pPr>
        <w:pStyle w:val="Bullet1"/>
        <w:rPr>
          <w:lang w:val="en-GB" w:eastAsia="en-AU"/>
        </w:rPr>
      </w:pPr>
      <w:r w:rsidRPr="00855CF4">
        <w:rPr>
          <w:lang w:val="en-GB" w:eastAsia="en-AU"/>
        </w:rPr>
        <w:t>Monitor BGLs, with the frequency determined</w:t>
      </w:r>
      <w:r>
        <w:rPr>
          <w:lang w:val="en-GB" w:eastAsia="en-AU"/>
        </w:rPr>
        <w:t xml:space="preserve"> </w:t>
      </w:r>
      <w:r w:rsidRPr="00855CF4">
        <w:rPr>
          <w:lang w:val="en-GB" w:eastAsia="en-AU"/>
        </w:rPr>
        <w:t>in conjunction with the resident and their GP.</w:t>
      </w:r>
    </w:p>
    <w:p w14:paraId="2FE4FCF6" w14:textId="4492A874" w:rsidR="00855CF4" w:rsidRPr="00855CF4" w:rsidRDefault="00855CF4" w:rsidP="000B2580">
      <w:pPr>
        <w:pStyle w:val="Bullet1"/>
        <w:rPr>
          <w:lang w:val="en-GB" w:eastAsia="en-AU"/>
        </w:rPr>
      </w:pPr>
      <w:r w:rsidRPr="00855CF4">
        <w:rPr>
          <w:lang w:val="en-GB" w:eastAsia="en-AU"/>
        </w:rPr>
        <w:t>Report BGL fluctuations (outside the resident’s</w:t>
      </w:r>
      <w:r>
        <w:rPr>
          <w:lang w:val="en-GB" w:eastAsia="en-AU"/>
        </w:rPr>
        <w:t xml:space="preserve"> </w:t>
      </w:r>
      <w:r w:rsidRPr="00855CF4">
        <w:rPr>
          <w:lang w:val="en-GB" w:eastAsia="en-AU"/>
        </w:rPr>
        <w:t>target range) to the GP.</w:t>
      </w:r>
    </w:p>
    <w:p w14:paraId="70DD0BFF" w14:textId="246ACA70" w:rsidR="00942FAB" w:rsidRDefault="00942FAB" w:rsidP="00855CF4">
      <w:pPr>
        <w:pStyle w:val="Heading2"/>
        <w:rPr>
          <w:lang w:val="en-GB" w:eastAsia="en-AU"/>
        </w:rPr>
      </w:pPr>
      <w:r>
        <w:rPr>
          <w:lang w:val="en-GB" w:eastAsia="en-AU"/>
        </w:rPr>
        <w:t>Resident involvement</w:t>
      </w:r>
      <w:bookmarkEnd w:id="19"/>
    </w:p>
    <w:p w14:paraId="04FE380B" w14:textId="53E28915" w:rsidR="00855CF4" w:rsidRPr="00855CF4" w:rsidRDefault="00855CF4" w:rsidP="00BB6AF4">
      <w:pPr>
        <w:pStyle w:val="Bullet1"/>
        <w:rPr>
          <w:lang w:val="en-GB"/>
        </w:rPr>
      </w:pPr>
      <w:r w:rsidRPr="00855CF4">
        <w:rPr>
          <w:lang w:val="en-GB"/>
        </w:rPr>
        <w:t>Educate the resident about diabetes, including</w:t>
      </w:r>
      <w:r>
        <w:rPr>
          <w:lang w:val="en-GB"/>
        </w:rPr>
        <w:t xml:space="preserve"> </w:t>
      </w:r>
      <w:r w:rsidRPr="00855CF4">
        <w:rPr>
          <w:lang w:val="en-GB"/>
        </w:rPr>
        <w:t>diet and medication action and management.</w:t>
      </w:r>
    </w:p>
    <w:p w14:paraId="730A45CD" w14:textId="79242395" w:rsidR="00855CF4" w:rsidRPr="00855CF4" w:rsidRDefault="00855CF4" w:rsidP="004C22CD">
      <w:pPr>
        <w:pStyle w:val="Bullet1"/>
        <w:rPr>
          <w:lang w:val="en-GB"/>
        </w:rPr>
      </w:pPr>
      <w:r w:rsidRPr="00855CF4">
        <w:rPr>
          <w:lang w:val="en-GB"/>
        </w:rPr>
        <w:t>Involve the resident in discussions about</w:t>
      </w:r>
      <w:r>
        <w:rPr>
          <w:lang w:val="en-GB"/>
        </w:rPr>
        <w:t xml:space="preserve"> </w:t>
      </w:r>
      <w:r w:rsidRPr="00855CF4">
        <w:rPr>
          <w:lang w:val="en-GB"/>
        </w:rPr>
        <w:t>target BGLs.</w:t>
      </w:r>
    </w:p>
    <w:p w14:paraId="18061AAC" w14:textId="5889758E" w:rsidR="00855CF4" w:rsidRPr="00855CF4" w:rsidRDefault="00855CF4" w:rsidP="0081510E">
      <w:pPr>
        <w:pStyle w:val="Bullet1"/>
        <w:rPr>
          <w:lang w:val="en-GB"/>
        </w:rPr>
      </w:pPr>
      <w:r w:rsidRPr="00855CF4">
        <w:rPr>
          <w:lang w:val="en-GB"/>
        </w:rPr>
        <w:t>Involve the resident in discussions aimed at determining the cause of hypoglycaemic</w:t>
      </w:r>
      <w:r>
        <w:rPr>
          <w:lang w:val="en-GB"/>
        </w:rPr>
        <w:t xml:space="preserve"> </w:t>
      </w:r>
      <w:r w:rsidRPr="00855CF4">
        <w:rPr>
          <w:lang w:val="en-GB"/>
        </w:rPr>
        <w:t>episodes.</w:t>
      </w:r>
    </w:p>
    <w:p w14:paraId="2E0CE665" w14:textId="416A65E3" w:rsidR="004D1DA0" w:rsidRPr="00942FAB" w:rsidRDefault="00855CF4" w:rsidP="00644790">
      <w:pPr>
        <w:pStyle w:val="Bullet1"/>
      </w:pPr>
      <w:r w:rsidRPr="00855CF4">
        <w:rPr>
          <w:lang w:val="en-GB"/>
        </w:rPr>
        <w:t>Allow the resident to self-monitor BGLs if they are able to manage the procedure, and report</w:t>
      </w:r>
      <w:r>
        <w:rPr>
          <w:lang w:val="en-GB"/>
        </w:rPr>
        <w:t xml:space="preserve"> </w:t>
      </w:r>
      <w:r w:rsidRPr="00855CF4">
        <w:rPr>
          <w:lang w:val="en-GB"/>
        </w:rPr>
        <w:t>to staff any abnormal readings.</w:t>
      </w:r>
    </w:p>
    <w:p w14:paraId="1BF2D364" w14:textId="77777777" w:rsidR="00942FAB" w:rsidRDefault="00942FAB" w:rsidP="00942FAB">
      <w:pPr>
        <w:pStyle w:val="Heading2"/>
        <w:rPr>
          <w:lang w:val="en-GB" w:eastAsia="en-AU"/>
        </w:rPr>
      </w:pPr>
      <w:bookmarkStart w:id="20" w:name="_Toc111478053"/>
      <w:r>
        <w:rPr>
          <w:lang w:val="en-GB" w:eastAsia="en-AU"/>
        </w:rPr>
        <w:t>Staff knowledge and education</w:t>
      </w:r>
      <w:bookmarkEnd w:id="20"/>
    </w:p>
    <w:p w14:paraId="0DEAB0BA" w14:textId="77777777" w:rsidR="00855CF4" w:rsidRPr="00855CF4" w:rsidRDefault="00855CF4" w:rsidP="00855CF4">
      <w:pPr>
        <w:pStyle w:val="Bullet1"/>
        <w:rPr>
          <w:lang w:val="en-GB"/>
        </w:rPr>
      </w:pPr>
      <w:r w:rsidRPr="00855CF4">
        <w:rPr>
          <w:lang w:val="en-GB"/>
        </w:rPr>
        <w:t>Diabetes</w:t>
      </w:r>
    </w:p>
    <w:p w14:paraId="7FE37440" w14:textId="46F09FC0" w:rsidR="00855CF4" w:rsidRPr="00855CF4" w:rsidRDefault="00855CF4" w:rsidP="008A2E63">
      <w:pPr>
        <w:pStyle w:val="Bullet1"/>
        <w:rPr>
          <w:lang w:val="en-GB"/>
        </w:rPr>
      </w:pPr>
      <w:r w:rsidRPr="00855CF4">
        <w:rPr>
          <w:lang w:val="en-GB"/>
        </w:rPr>
        <w:t>Risk factors for hypoglycaemia and proactive</w:t>
      </w:r>
      <w:r>
        <w:rPr>
          <w:lang w:val="en-GB"/>
        </w:rPr>
        <w:t xml:space="preserve"> </w:t>
      </w:r>
      <w:r w:rsidRPr="00855CF4">
        <w:rPr>
          <w:lang w:val="en-GB"/>
        </w:rPr>
        <w:t>identification of a resident’s hypo risk</w:t>
      </w:r>
    </w:p>
    <w:p w14:paraId="30F10C21" w14:textId="3DBFA4E6" w:rsidR="00855CF4" w:rsidRPr="00855CF4" w:rsidRDefault="00855CF4" w:rsidP="00971EE6">
      <w:pPr>
        <w:pStyle w:val="Bullet1"/>
        <w:rPr>
          <w:lang w:val="en-GB"/>
        </w:rPr>
      </w:pPr>
      <w:r w:rsidRPr="00855CF4">
        <w:rPr>
          <w:lang w:val="en-GB"/>
        </w:rPr>
        <w:t>Proactive development of a personalised</w:t>
      </w:r>
      <w:r>
        <w:rPr>
          <w:lang w:val="en-GB"/>
        </w:rPr>
        <w:t xml:space="preserve"> </w:t>
      </w:r>
      <w:r w:rsidRPr="00855CF4">
        <w:rPr>
          <w:lang w:val="en-GB"/>
        </w:rPr>
        <w:t>hypo</w:t>
      </w:r>
      <w:r w:rsidRPr="00855CF4">
        <w:rPr>
          <w:rFonts w:ascii="Cambria Math" w:hAnsi="Cambria Math" w:cs="Cambria Math"/>
          <w:lang w:val="en-GB"/>
        </w:rPr>
        <w:t>‑</w:t>
      </w:r>
      <w:r w:rsidRPr="00855CF4">
        <w:rPr>
          <w:lang w:val="en-GB"/>
        </w:rPr>
        <w:t>management plan</w:t>
      </w:r>
    </w:p>
    <w:p w14:paraId="2A6B0B95" w14:textId="5565C93A" w:rsidR="00855CF4" w:rsidRPr="00855CF4" w:rsidRDefault="00855CF4" w:rsidP="00855CF4">
      <w:pPr>
        <w:pStyle w:val="Bullet1"/>
        <w:rPr>
          <w:lang w:val="en-GB"/>
        </w:rPr>
      </w:pPr>
      <w:r w:rsidRPr="00855CF4">
        <w:rPr>
          <w:lang w:val="en-GB"/>
        </w:rPr>
        <w:t>Recognition of hypoglycaemia in the older person</w:t>
      </w:r>
    </w:p>
    <w:p w14:paraId="67A81271" w14:textId="35BE9766" w:rsidR="00855CF4" w:rsidRPr="00855CF4" w:rsidRDefault="00855CF4" w:rsidP="00855CF4">
      <w:pPr>
        <w:pStyle w:val="Bullet1"/>
        <w:rPr>
          <w:lang w:val="en-GB"/>
        </w:rPr>
      </w:pPr>
      <w:r w:rsidRPr="00855CF4">
        <w:rPr>
          <w:lang w:val="en-GB"/>
        </w:rPr>
        <w:t>Immediate response to a hypoglycaemic episode</w:t>
      </w:r>
    </w:p>
    <w:p w14:paraId="14C74F53" w14:textId="6BC2E338" w:rsidR="009836D4" w:rsidRPr="00942FAB" w:rsidRDefault="00855CF4" w:rsidP="00855CF4">
      <w:pPr>
        <w:pStyle w:val="Bullet1"/>
      </w:pPr>
      <w:r w:rsidRPr="00855CF4">
        <w:rPr>
          <w:lang w:val="en-GB"/>
        </w:rPr>
        <w:t>Glucagon administration</w:t>
      </w:r>
      <w:r w:rsidR="00942FAB" w:rsidRPr="00942FAB">
        <w:t>/carers</w:t>
      </w:r>
    </w:p>
    <w:p w14:paraId="17457946" w14:textId="49FFB823" w:rsidR="009836D4" w:rsidRDefault="009836D4" w:rsidP="00AF35C5">
      <w:pPr>
        <w:pStyle w:val="Body"/>
      </w:pPr>
    </w:p>
    <w:p w14:paraId="309AD2A5" w14:textId="77777777" w:rsidR="003F276B" w:rsidRDefault="003F276B">
      <w:pPr>
        <w:spacing w:after="0" w:line="240" w:lineRule="auto"/>
        <w:rPr>
          <w:b/>
          <w:color w:val="53565A"/>
          <w:sz w:val="32"/>
          <w:szCs w:val="28"/>
          <w:lang w:val="en-GB"/>
        </w:rPr>
      </w:pPr>
      <w:r>
        <w:rPr>
          <w:lang w:val="en-GB"/>
        </w:rPr>
        <w:br w:type="page"/>
      </w:r>
    </w:p>
    <w:p w14:paraId="404166A3" w14:textId="3E67D673" w:rsidR="003D45CD" w:rsidRDefault="003D45CD" w:rsidP="003D45CD">
      <w:pPr>
        <w:pStyle w:val="Heading2"/>
        <w:rPr>
          <w:lang w:val="en-GB"/>
        </w:rPr>
      </w:pPr>
      <w:r w:rsidRPr="003D45CD">
        <w:rPr>
          <w:lang w:val="en-GB"/>
        </w:rPr>
        <w:lastRenderedPageBreak/>
        <w:t>Immediate response</w:t>
      </w:r>
      <w:r>
        <w:rPr>
          <w:lang w:val="en-GB"/>
        </w:rPr>
        <w:t xml:space="preserve"> </w:t>
      </w:r>
      <w:r w:rsidRPr="003D45CD">
        <w:rPr>
          <w:lang w:val="en-GB"/>
        </w:rPr>
        <w:t>to a hypoglycaemic episode –</w:t>
      </w:r>
      <w:r>
        <w:rPr>
          <w:lang w:val="en-GB"/>
        </w:rPr>
        <w:t xml:space="preserve"> </w:t>
      </w:r>
      <w:r w:rsidRPr="003D45CD">
        <w:rPr>
          <w:lang w:val="en-GB"/>
        </w:rPr>
        <w:t>symptomatic and asymptomatic</w:t>
      </w:r>
    </w:p>
    <w:p w14:paraId="77C3F7AE" w14:textId="3E8FC7C0" w:rsidR="00AE378A" w:rsidRPr="003F276B" w:rsidRDefault="003D45CD" w:rsidP="003F276B">
      <w:pPr>
        <w:pStyle w:val="Heading4"/>
        <w:rPr>
          <w:lang w:val="en-GB"/>
        </w:rPr>
      </w:pPr>
      <w:r w:rsidRPr="003D45CD">
        <w:rPr>
          <w:lang w:val="en-GB"/>
        </w:rPr>
        <w:t>If symptoms present or if BGL &lt; 4mmol/L, inform RN and check the resident’s safety</w:t>
      </w:r>
    </w:p>
    <w:p w14:paraId="30C5D45E" w14:textId="0D6F0949" w:rsidR="003D45CD" w:rsidRPr="00AE378A" w:rsidRDefault="003D45CD" w:rsidP="00AE378A">
      <w:pPr>
        <w:pStyle w:val="Bodynospace"/>
        <w:rPr>
          <w:b/>
          <w:bCs/>
          <w:lang w:val="en-GB"/>
        </w:rPr>
      </w:pPr>
      <w:r w:rsidRPr="00AE378A">
        <w:rPr>
          <w:b/>
          <w:bCs/>
          <w:lang w:val="en-GB"/>
        </w:rPr>
        <w:t>Resident tolerates normal diet</w:t>
      </w:r>
    </w:p>
    <w:p w14:paraId="730EE627" w14:textId="43C50132" w:rsidR="003D45CD" w:rsidRDefault="003D45CD" w:rsidP="003D45CD">
      <w:pPr>
        <w:pStyle w:val="Body"/>
        <w:rPr>
          <w:lang w:val="en-GB" w:eastAsia="en-AU"/>
        </w:rPr>
      </w:pPr>
      <w:r>
        <w:rPr>
          <w:lang w:val="en-GB" w:eastAsia="en-AU"/>
        </w:rPr>
        <w:t>Administer 15 g of quick-acting carbohydrate orally either:</w:t>
      </w:r>
    </w:p>
    <w:p w14:paraId="2E223539" w14:textId="36C79531" w:rsidR="003D45CD" w:rsidRPr="003D45CD" w:rsidRDefault="003D45CD" w:rsidP="00C25C03">
      <w:pPr>
        <w:pStyle w:val="Bullet1"/>
        <w:rPr>
          <w:lang w:val="en-GB" w:eastAsia="en-AU"/>
        </w:rPr>
      </w:pPr>
      <w:r w:rsidRPr="003D45CD">
        <w:rPr>
          <w:lang w:val="en-GB" w:eastAsia="en-AU"/>
        </w:rPr>
        <w:t>half a can of soft drink</w:t>
      </w:r>
      <w:r>
        <w:rPr>
          <w:lang w:val="en-GB" w:eastAsia="en-AU"/>
        </w:rPr>
        <w:t xml:space="preserve"> </w:t>
      </w:r>
      <w:r w:rsidRPr="003D45CD">
        <w:rPr>
          <w:lang w:val="en-GB" w:eastAsia="en-AU"/>
        </w:rPr>
        <w:t>(not sugar-free)</w:t>
      </w:r>
    </w:p>
    <w:p w14:paraId="71609030" w14:textId="764E1C91" w:rsidR="003D45CD" w:rsidRDefault="003D45CD" w:rsidP="003D45CD">
      <w:pPr>
        <w:pStyle w:val="Bullet1"/>
        <w:rPr>
          <w:lang w:val="en-GB" w:eastAsia="en-AU"/>
        </w:rPr>
      </w:pPr>
      <w:r>
        <w:rPr>
          <w:lang w:val="en-GB" w:eastAsia="en-AU"/>
        </w:rPr>
        <w:t>half a glass of fruit juice</w:t>
      </w:r>
    </w:p>
    <w:p w14:paraId="20888264" w14:textId="10B5B412" w:rsidR="003D45CD" w:rsidRDefault="003D45CD" w:rsidP="003D45CD">
      <w:pPr>
        <w:pStyle w:val="Bullet1"/>
        <w:rPr>
          <w:lang w:val="en-GB" w:eastAsia="en-AU"/>
        </w:rPr>
      </w:pPr>
      <w:r>
        <w:rPr>
          <w:lang w:val="en-GB" w:eastAsia="en-AU"/>
        </w:rPr>
        <w:t>6–7 jelly beans</w:t>
      </w:r>
    </w:p>
    <w:p w14:paraId="64D76D6A" w14:textId="2DB93238" w:rsidR="003D45CD" w:rsidRPr="003D45CD" w:rsidRDefault="003D45CD" w:rsidP="00FB3084">
      <w:pPr>
        <w:pStyle w:val="Bullet1"/>
        <w:rPr>
          <w:lang w:val="en-GB" w:eastAsia="en-AU"/>
        </w:rPr>
      </w:pPr>
      <w:r w:rsidRPr="003D45CD">
        <w:rPr>
          <w:lang w:val="en-GB" w:eastAsia="en-AU"/>
        </w:rPr>
        <w:t>3 teaspoons of sugar</w:t>
      </w:r>
      <w:r>
        <w:rPr>
          <w:lang w:val="en-GB" w:eastAsia="en-AU"/>
        </w:rPr>
        <w:t xml:space="preserve"> </w:t>
      </w:r>
      <w:r w:rsidRPr="003D45CD">
        <w:rPr>
          <w:lang w:val="en-GB" w:eastAsia="en-AU"/>
        </w:rPr>
        <w:t>or honey</w:t>
      </w:r>
    </w:p>
    <w:p w14:paraId="0B7FFA0A" w14:textId="77777777" w:rsidR="003D45CD" w:rsidRPr="003D45CD" w:rsidRDefault="003D45CD" w:rsidP="00B24C69">
      <w:pPr>
        <w:pStyle w:val="Bullet1"/>
      </w:pPr>
      <w:r w:rsidRPr="003D45CD">
        <w:rPr>
          <w:lang w:val="en-GB" w:eastAsia="en-AU"/>
        </w:rPr>
        <w:t>glucose tablets equivalent</w:t>
      </w:r>
      <w:r>
        <w:rPr>
          <w:lang w:val="en-GB" w:eastAsia="en-AU"/>
        </w:rPr>
        <w:t xml:space="preserve"> </w:t>
      </w:r>
      <w:r w:rsidRPr="003D45CD">
        <w:rPr>
          <w:lang w:val="en-GB" w:eastAsia="en-AU"/>
        </w:rPr>
        <w:t>to 15 g of carbohydrate</w:t>
      </w:r>
    </w:p>
    <w:p w14:paraId="13407BB3" w14:textId="77777777" w:rsidR="003D45CD" w:rsidRDefault="003D45CD" w:rsidP="003D45CD">
      <w:pPr>
        <w:pStyle w:val="Bullet1"/>
        <w:numPr>
          <w:ilvl w:val="0"/>
          <w:numId w:val="0"/>
        </w:numPr>
        <w:ind w:left="284" w:hanging="284"/>
        <w:rPr>
          <w:lang w:val="en-GB" w:eastAsia="en-AU"/>
        </w:rPr>
      </w:pPr>
    </w:p>
    <w:p w14:paraId="2C6589FF" w14:textId="28281B87" w:rsidR="003D45CD" w:rsidRPr="00AE378A" w:rsidRDefault="003D45CD" w:rsidP="00AE378A">
      <w:pPr>
        <w:pStyle w:val="Bodynospace"/>
        <w:rPr>
          <w:b/>
          <w:bCs/>
          <w:lang w:val="en-GB" w:eastAsia="en-AU"/>
        </w:rPr>
      </w:pPr>
      <w:r w:rsidRPr="00AE378A">
        <w:rPr>
          <w:b/>
          <w:bCs/>
          <w:lang w:val="en-GB" w:eastAsia="en-AU"/>
        </w:rPr>
        <w:t>Resident requires thickened fluids</w:t>
      </w:r>
    </w:p>
    <w:p w14:paraId="6D932080" w14:textId="77777777" w:rsidR="003D45CD" w:rsidRDefault="003D45CD" w:rsidP="00AE378A">
      <w:pPr>
        <w:pStyle w:val="Bullet1"/>
        <w:rPr>
          <w:lang w:val="en-GB" w:eastAsia="en-AU"/>
        </w:rPr>
      </w:pPr>
      <w:r>
        <w:rPr>
          <w:lang w:val="en-GB" w:eastAsia="en-AU"/>
        </w:rPr>
        <w:t>Give glucose gel (15 g on a spoon) orally</w:t>
      </w:r>
    </w:p>
    <w:p w14:paraId="41E23762" w14:textId="77777777" w:rsidR="003D45CD" w:rsidRDefault="003D45CD" w:rsidP="003D45CD">
      <w:pPr>
        <w:pStyle w:val="Bodynospace"/>
        <w:rPr>
          <w:lang w:val="en-GB" w:eastAsia="en-AU"/>
        </w:rPr>
      </w:pPr>
    </w:p>
    <w:p w14:paraId="27A59326" w14:textId="3CF95DCE" w:rsidR="003D45CD" w:rsidRPr="00AE378A" w:rsidRDefault="003D45CD" w:rsidP="00AE378A">
      <w:pPr>
        <w:pStyle w:val="Body"/>
        <w:rPr>
          <w:b/>
          <w:bCs/>
          <w:lang w:val="en-GB" w:eastAsia="en-AU"/>
        </w:rPr>
      </w:pPr>
      <w:r w:rsidRPr="00AE378A">
        <w:rPr>
          <w:b/>
          <w:bCs/>
          <w:lang w:val="en-GB" w:eastAsia="en-AU"/>
        </w:rPr>
        <w:t>Enteral therapy: nasogastric or PEG tube</w:t>
      </w:r>
    </w:p>
    <w:p w14:paraId="10EBD961" w14:textId="77777777" w:rsidR="003D45CD" w:rsidRPr="00AE378A" w:rsidRDefault="003D45CD" w:rsidP="00AE378A">
      <w:pPr>
        <w:pStyle w:val="Bullet1"/>
      </w:pPr>
      <w:r w:rsidRPr="00AE378A">
        <w:t>Give half a can of soft drink (not sugar-free) or half a glass of fruit juice via nasogastric or PEG tube</w:t>
      </w:r>
    </w:p>
    <w:p w14:paraId="4D96D3D1" w14:textId="77777777" w:rsidR="003D45CD" w:rsidRDefault="003D45CD" w:rsidP="003D45CD">
      <w:pPr>
        <w:pStyle w:val="Bodynospace"/>
        <w:rPr>
          <w:lang w:val="en-GB" w:eastAsia="en-AU"/>
        </w:rPr>
      </w:pPr>
    </w:p>
    <w:p w14:paraId="21161F19" w14:textId="66E0BB0C" w:rsidR="003D45CD" w:rsidRPr="00AE378A" w:rsidRDefault="003D45CD" w:rsidP="00AE378A">
      <w:pPr>
        <w:pStyle w:val="Bodynospace"/>
        <w:rPr>
          <w:b/>
          <w:bCs/>
        </w:rPr>
      </w:pPr>
      <w:r w:rsidRPr="00AE378A">
        <w:rPr>
          <w:b/>
          <w:bCs/>
        </w:rPr>
        <w:t>Resident is drowsy or unconscious.</w:t>
      </w:r>
      <w:r w:rsidR="003F276B">
        <w:rPr>
          <w:b/>
          <w:bCs/>
        </w:rPr>
        <w:t xml:space="preserve"> </w:t>
      </w:r>
      <w:r w:rsidRPr="00AE378A">
        <w:rPr>
          <w:b/>
          <w:bCs/>
        </w:rPr>
        <w:t>Unable to swallow safely</w:t>
      </w:r>
    </w:p>
    <w:p w14:paraId="5ECBF267" w14:textId="0BE0BBEB" w:rsidR="00AE378A" w:rsidRPr="00AE378A" w:rsidRDefault="00AE378A" w:rsidP="00AE378A">
      <w:pPr>
        <w:pStyle w:val="Bullet1"/>
      </w:pPr>
      <w:r w:rsidRPr="00AE378A">
        <w:t>Check ABC</w:t>
      </w:r>
    </w:p>
    <w:p w14:paraId="2BCBC5A8" w14:textId="4795E097" w:rsidR="00AE378A" w:rsidRPr="00AE378A" w:rsidRDefault="00AE378A" w:rsidP="00AE378A">
      <w:pPr>
        <w:pStyle w:val="Bullet1"/>
      </w:pPr>
      <w:r w:rsidRPr="00AE378A">
        <w:t>Place resident on their side (recovery position)</w:t>
      </w:r>
    </w:p>
    <w:p w14:paraId="04D3B9AC" w14:textId="77777777" w:rsidR="00AE378A" w:rsidRPr="00AE378A" w:rsidRDefault="00AE378A" w:rsidP="00AE378A">
      <w:pPr>
        <w:pStyle w:val="Bullet1"/>
      </w:pPr>
      <w:r w:rsidRPr="00AE378A">
        <w:t>Administer 1 mg glucagon if prescribed (either subcutaneously or intramuscularly as ordered)</w:t>
      </w:r>
    </w:p>
    <w:p w14:paraId="224F361D" w14:textId="73151C04" w:rsidR="00AE378A" w:rsidRPr="00AE378A" w:rsidRDefault="00AE378A" w:rsidP="00AE378A">
      <w:pPr>
        <w:pStyle w:val="Bullet1"/>
      </w:pPr>
      <w:r w:rsidRPr="00AE378A">
        <w:t>Call triple zero (000)</w:t>
      </w:r>
    </w:p>
    <w:p w14:paraId="307D2F12" w14:textId="411826C2" w:rsidR="00AE378A" w:rsidRPr="003F276B" w:rsidRDefault="00AE378A" w:rsidP="00AE378A">
      <w:pPr>
        <w:pStyle w:val="Bullet1"/>
      </w:pPr>
      <w:r w:rsidRPr="00AE378A">
        <w:t>State it is a diabetic emergency and request a MICA ambulance</w:t>
      </w:r>
    </w:p>
    <w:p w14:paraId="40D4D2CF" w14:textId="77777777" w:rsidR="00AE378A" w:rsidRDefault="00AE378A" w:rsidP="00AE378A">
      <w:pPr>
        <w:pStyle w:val="Heading4"/>
        <w:rPr>
          <w:lang w:val="en-GB" w:eastAsia="en-AU"/>
        </w:rPr>
      </w:pPr>
      <w:r>
        <w:rPr>
          <w:lang w:val="en-GB" w:eastAsia="en-AU"/>
        </w:rPr>
        <w:t>Review capillary blood glucose test in 15 minutes</w:t>
      </w:r>
    </w:p>
    <w:p w14:paraId="4A6FF1FC" w14:textId="6B25835D" w:rsidR="00AE378A" w:rsidRPr="003F276B" w:rsidRDefault="00AE378A" w:rsidP="00AE378A">
      <w:pPr>
        <w:pStyle w:val="Body"/>
        <w:rPr>
          <w:b/>
          <w:bCs/>
          <w:lang w:val="en-GB" w:eastAsia="en-AU"/>
        </w:rPr>
      </w:pPr>
      <w:r w:rsidRPr="003F276B">
        <w:rPr>
          <w:b/>
          <w:bCs/>
          <w:lang w:val="en-GB" w:eastAsia="en-AU"/>
        </w:rPr>
        <w:t>If blood glucose level &lt; 4mmol/L and the resident is conscious, give another quick-acting carbohydrate (as above)</w:t>
      </w:r>
      <w:r w:rsidR="003F276B">
        <w:rPr>
          <w:b/>
          <w:bCs/>
          <w:lang w:val="en-GB" w:eastAsia="en-AU"/>
        </w:rPr>
        <w:t xml:space="preserve">.  </w:t>
      </w:r>
      <w:r w:rsidRPr="003F276B">
        <w:rPr>
          <w:b/>
          <w:bCs/>
          <w:lang w:val="en-GB" w:eastAsia="en-AU"/>
        </w:rPr>
        <w:t>If blood glucose level &gt; 4mmol/L, move to next step</w:t>
      </w:r>
    </w:p>
    <w:p w14:paraId="35F6EDE4" w14:textId="153D1547" w:rsidR="00AE378A" w:rsidRDefault="00AE378A" w:rsidP="00AE378A">
      <w:pPr>
        <w:pStyle w:val="Bodynospace"/>
        <w:rPr>
          <w:lang w:val="en-GB" w:eastAsia="en-AU"/>
        </w:rPr>
      </w:pPr>
      <w:r>
        <w:rPr>
          <w:lang w:val="en-GB" w:eastAsia="en-AU"/>
        </w:rPr>
        <w:t>Complex (low GI) carbohydrate:</w:t>
      </w:r>
    </w:p>
    <w:p w14:paraId="75BA2EA2" w14:textId="22C0C54A" w:rsidR="00AE378A" w:rsidRDefault="00AE378A" w:rsidP="00AE378A">
      <w:pPr>
        <w:pStyle w:val="Bodynospace"/>
        <w:rPr>
          <w:lang w:val="en-GB" w:eastAsia="en-AU"/>
        </w:rPr>
      </w:pPr>
      <w:r>
        <w:rPr>
          <w:lang w:val="en-GB" w:eastAsia="en-AU"/>
        </w:rPr>
        <w:t>If next meal is more than 15 minutes away give either:</w:t>
      </w:r>
    </w:p>
    <w:p w14:paraId="029BF8DD" w14:textId="53439B7D" w:rsidR="00AE378A" w:rsidRDefault="00AE378A" w:rsidP="00AE378A">
      <w:pPr>
        <w:pStyle w:val="Bullet1"/>
        <w:rPr>
          <w:lang w:val="en-GB" w:eastAsia="en-AU"/>
        </w:rPr>
      </w:pPr>
      <w:r>
        <w:rPr>
          <w:lang w:val="en-GB" w:eastAsia="en-AU"/>
        </w:rPr>
        <w:t>a sandwich</w:t>
      </w:r>
    </w:p>
    <w:p w14:paraId="34A6DB13" w14:textId="16E03E04" w:rsidR="00AE378A" w:rsidRDefault="00AE378A" w:rsidP="00AE378A">
      <w:pPr>
        <w:pStyle w:val="Bullet1"/>
        <w:rPr>
          <w:lang w:val="en-GB" w:eastAsia="en-AU"/>
        </w:rPr>
      </w:pPr>
      <w:r>
        <w:rPr>
          <w:lang w:val="en-GB" w:eastAsia="en-AU"/>
        </w:rPr>
        <w:t>a piece of fruit</w:t>
      </w:r>
    </w:p>
    <w:p w14:paraId="002F48DE" w14:textId="1F2CB76A" w:rsidR="00AE378A" w:rsidRDefault="00AE378A" w:rsidP="00AE378A">
      <w:pPr>
        <w:pStyle w:val="Bullet1"/>
        <w:rPr>
          <w:lang w:val="en-GB" w:eastAsia="en-AU"/>
        </w:rPr>
      </w:pPr>
      <w:r>
        <w:rPr>
          <w:lang w:val="en-GB" w:eastAsia="en-AU"/>
        </w:rPr>
        <w:t>a glass of milk or soy milk</w:t>
      </w:r>
    </w:p>
    <w:p w14:paraId="310B126A" w14:textId="0AB6BAE6" w:rsidR="00AE378A" w:rsidRDefault="00AE378A" w:rsidP="00AE378A">
      <w:pPr>
        <w:pStyle w:val="Bullet1"/>
        <w:rPr>
          <w:lang w:val="en-GB" w:eastAsia="en-AU"/>
        </w:rPr>
      </w:pPr>
      <w:r>
        <w:rPr>
          <w:lang w:val="en-GB" w:eastAsia="en-AU"/>
        </w:rPr>
        <w:t>2–3 pieces of dried fruit</w:t>
      </w:r>
    </w:p>
    <w:p w14:paraId="10CE34F8" w14:textId="39DADA5B" w:rsidR="00AE378A" w:rsidRDefault="00AE378A" w:rsidP="00AE378A">
      <w:pPr>
        <w:pStyle w:val="Bullet1"/>
        <w:rPr>
          <w:lang w:val="en-GB" w:eastAsia="en-AU"/>
        </w:rPr>
      </w:pPr>
      <w:r>
        <w:rPr>
          <w:lang w:val="en-GB" w:eastAsia="en-AU"/>
        </w:rPr>
        <w:t>1 tub of low-fat yoghurt</w:t>
      </w:r>
    </w:p>
    <w:p w14:paraId="61976D07" w14:textId="77777777" w:rsidR="00AE378A" w:rsidRPr="00AE378A" w:rsidRDefault="00AE378A" w:rsidP="0059553C">
      <w:pPr>
        <w:pStyle w:val="Bullet1"/>
      </w:pPr>
      <w:r w:rsidRPr="00AE378A">
        <w:rPr>
          <w:lang w:val="en-GB" w:eastAsia="en-AU"/>
        </w:rPr>
        <w:t>6 small dry biscuits and</w:t>
      </w:r>
      <w:r>
        <w:rPr>
          <w:lang w:val="en-GB" w:eastAsia="en-AU"/>
        </w:rPr>
        <w:t xml:space="preserve"> </w:t>
      </w:r>
      <w:r w:rsidRPr="00AE378A">
        <w:rPr>
          <w:lang w:val="en-GB" w:eastAsia="en-AU"/>
        </w:rPr>
        <w:t>cheese</w:t>
      </w:r>
    </w:p>
    <w:p w14:paraId="3575C639" w14:textId="77777777" w:rsidR="00AE378A" w:rsidRDefault="00AE378A" w:rsidP="003F276B">
      <w:pPr>
        <w:pStyle w:val="Bodyafterbullets"/>
        <w:rPr>
          <w:lang w:val="en-GB"/>
        </w:rPr>
      </w:pPr>
      <w:r w:rsidRPr="00AE378A">
        <w:rPr>
          <w:lang w:val="en-GB"/>
        </w:rPr>
        <w:t>Complex</w:t>
      </w:r>
      <w:r>
        <w:rPr>
          <w:lang w:val="en-GB"/>
        </w:rPr>
        <w:t xml:space="preserve"> </w:t>
      </w:r>
      <w:r w:rsidRPr="00AE378A">
        <w:rPr>
          <w:lang w:val="en-GB"/>
        </w:rPr>
        <w:t>carbohydrate:</w:t>
      </w:r>
      <w:r>
        <w:rPr>
          <w:lang w:val="en-GB"/>
        </w:rPr>
        <w:t xml:space="preserve"> </w:t>
      </w:r>
      <w:r w:rsidRPr="00AE378A">
        <w:rPr>
          <w:lang w:val="en-GB"/>
        </w:rPr>
        <w:t>thickened fluid</w:t>
      </w:r>
      <w:r>
        <w:rPr>
          <w:lang w:val="en-GB"/>
        </w:rPr>
        <w:t xml:space="preserve"> </w:t>
      </w:r>
      <w:r w:rsidRPr="00AE378A">
        <w:rPr>
          <w:lang w:val="en-GB"/>
        </w:rPr>
        <w:t>or immediate</w:t>
      </w:r>
      <w:r>
        <w:rPr>
          <w:lang w:val="en-GB"/>
        </w:rPr>
        <w:t xml:space="preserve"> </w:t>
      </w:r>
      <w:r w:rsidRPr="00AE378A">
        <w:rPr>
          <w:lang w:val="en-GB"/>
        </w:rPr>
        <w:t>vitamised meal</w:t>
      </w:r>
      <w:r>
        <w:rPr>
          <w:lang w:val="en-GB"/>
        </w:rPr>
        <w:t>.</w:t>
      </w:r>
    </w:p>
    <w:p w14:paraId="4C901D8E" w14:textId="267EAEF5" w:rsidR="003F276B" w:rsidRDefault="00AE378A" w:rsidP="003F276B">
      <w:pPr>
        <w:pStyle w:val="Bodyafterbullets"/>
      </w:pPr>
      <w:r w:rsidRPr="00AE378A">
        <w:t>Complex</w:t>
      </w:r>
      <w:r>
        <w:t xml:space="preserve"> </w:t>
      </w:r>
      <w:r w:rsidRPr="00AE378A">
        <w:t>carbohydrate:</w:t>
      </w:r>
      <w:r>
        <w:t xml:space="preserve"> </w:t>
      </w:r>
      <w:r w:rsidRPr="00AE378A">
        <w:t>one serve of</w:t>
      </w:r>
      <w:r>
        <w:t xml:space="preserve"> </w:t>
      </w:r>
      <w:r w:rsidRPr="00AE378A">
        <w:t>nutritional</w:t>
      </w:r>
      <w:r>
        <w:t xml:space="preserve"> </w:t>
      </w:r>
      <w:r w:rsidRPr="00AE378A">
        <w:t>supplement</w:t>
      </w:r>
      <w:r w:rsidR="003F276B">
        <w:t>.</w:t>
      </w:r>
    </w:p>
    <w:p w14:paraId="140C6AD6" w14:textId="77777777" w:rsidR="003F276B" w:rsidRPr="003F276B" w:rsidRDefault="003F276B" w:rsidP="003F276B">
      <w:pPr>
        <w:pStyle w:val="Bodynospace"/>
        <w:rPr>
          <w:b/>
          <w:bCs/>
        </w:rPr>
      </w:pPr>
      <w:r w:rsidRPr="003F276B">
        <w:rPr>
          <w:b/>
          <w:bCs/>
        </w:rPr>
        <w:t>Failure to respond: administer another 1 mg glucagon 20 minutes after first dose:</w:t>
      </w:r>
    </w:p>
    <w:p w14:paraId="5D4FD024" w14:textId="77777777" w:rsidR="003F276B" w:rsidRPr="003F276B" w:rsidRDefault="003F276B" w:rsidP="00104585">
      <w:pPr>
        <w:pStyle w:val="Bullet1"/>
      </w:pPr>
      <w:r w:rsidRPr="003F276B">
        <w:rPr>
          <w:lang w:val="en-GB"/>
        </w:rPr>
        <w:t>When resident regains consciousness, give a quick-acting carbohydrate as for conscious person</w:t>
      </w:r>
      <w:r>
        <w:rPr>
          <w:lang w:val="en-GB"/>
        </w:rPr>
        <w:t xml:space="preserve"> </w:t>
      </w:r>
      <w:r w:rsidRPr="003F276B">
        <w:rPr>
          <w:lang w:val="en-GB"/>
        </w:rPr>
        <w:t>treatment</w:t>
      </w:r>
    </w:p>
    <w:p w14:paraId="2D47D907" w14:textId="77777777" w:rsidR="003F276B" w:rsidRDefault="003F276B" w:rsidP="003F276B">
      <w:pPr>
        <w:pStyle w:val="Bullet1"/>
        <w:numPr>
          <w:ilvl w:val="0"/>
          <w:numId w:val="0"/>
        </w:numPr>
        <w:rPr>
          <w:lang w:val="en-GB" w:eastAsia="en-AU"/>
        </w:rPr>
      </w:pPr>
    </w:p>
    <w:p w14:paraId="7247FECA" w14:textId="2AFCC6EA" w:rsidR="00942FAB" w:rsidRPr="003F276B" w:rsidRDefault="003F276B" w:rsidP="003F276B">
      <w:pPr>
        <w:pStyle w:val="Bullet1"/>
        <w:numPr>
          <w:ilvl w:val="0"/>
          <w:numId w:val="0"/>
        </w:numPr>
        <w:rPr>
          <w:b/>
          <w:bCs/>
          <w:lang w:val="en-GB" w:eastAsia="en-AU"/>
        </w:rPr>
      </w:pPr>
      <w:r w:rsidRPr="003F276B">
        <w:rPr>
          <w:b/>
          <w:bCs/>
          <w:lang w:val="en-GB" w:eastAsia="en-AU"/>
        </w:rPr>
        <w:t>Test BGL every 1–2 hours over the following four hours and notify the GP if the BGL is outside the resident’s reportable range.</w:t>
      </w:r>
      <w:r w:rsidR="00942FAB" w:rsidRPr="003F276B">
        <w:rPr>
          <w:b/>
          <w:bCs/>
        </w:rPr>
        <w:br w:type="page"/>
      </w:r>
    </w:p>
    <w:p w14:paraId="2AB0EE07" w14:textId="77777777" w:rsidR="00942FAB" w:rsidRPr="00942FAB" w:rsidRDefault="00942FAB" w:rsidP="00942FAB">
      <w:pPr>
        <w:pStyle w:val="Heading1"/>
      </w:pPr>
      <w:bookmarkStart w:id="21" w:name="_Toc111478054"/>
      <w:r w:rsidRPr="00942FAB">
        <w:lastRenderedPageBreak/>
        <w:t>Evidence base</w:t>
      </w:r>
      <w:bookmarkEnd w:id="21"/>
    </w:p>
    <w:p w14:paraId="4BE22423" w14:textId="0AEAE91D" w:rsidR="003F276B" w:rsidRPr="003F276B" w:rsidRDefault="003F276B" w:rsidP="003F276B">
      <w:pPr>
        <w:pStyle w:val="Body"/>
        <w:rPr>
          <w:lang w:val="en-GB" w:eastAsia="en-AU"/>
        </w:rPr>
      </w:pPr>
      <w:r w:rsidRPr="003F276B">
        <w:rPr>
          <w:lang w:val="en-GB" w:eastAsia="en-AU"/>
        </w:rPr>
        <w:t xml:space="preserve">Alberta Health Services 2021, </w:t>
      </w:r>
      <w:r w:rsidRPr="003F276B">
        <w:rPr>
          <w:i/>
          <w:iCs/>
          <w:lang w:val="en-GB" w:eastAsia="en-AU"/>
        </w:rPr>
        <w:t>Treatment</w:t>
      </w:r>
      <w:r w:rsidRPr="00B02768">
        <w:rPr>
          <w:i/>
          <w:iCs/>
          <w:lang w:val="en-GB" w:eastAsia="en-AU"/>
        </w:rPr>
        <w:t xml:space="preserve"> </w:t>
      </w:r>
      <w:r w:rsidRPr="003F276B">
        <w:rPr>
          <w:i/>
          <w:iCs/>
          <w:lang w:val="en-GB" w:eastAsia="en-AU"/>
        </w:rPr>
        <w:t>of hypoglycaemia – Adult</w:t>
      </w:r>
      <w:r w:rsidRPr="003F276B">
        <w:rPr>
          <w:lang w:val="en-GB" w:eastAsia="en-AU"/>
        </w:rPr>
        <w:t>, &lt;https://www.albertahealthservices.ca/scns/Page13361.aspx&gt;</w:t>
      </w:r>
    </w:p>
    <w:p w14:paraId="570BCE1C" w14:textId="3067D336" w:rsidR="003F276B" w:rsidRPr="003F276B" w:rsidRDefault="003F276B" w:rsidP="003F276B">
      <w:pPr>
        <w:pStyle w:val="Body"/>
        <w:rPr>
          <w:lang w:val="en-GB" w:eastAsia="en-AU"/>
        </w:rPr>
      </w:pPr>
      <w:r w:rsidRPr="003F276B">
        <w:rPr>
          <w:lang w:val="en-GB" w:eastAsia="en-AU"/>
        </w:rPr>
        <w:t xml:space="preserve">Alberta Health Services 2021, </w:t>
      </w:r>
      <w:r w:rsidRPr="003F276B">
        <w:rPr>
          <w:i/>
          <w:iCs/>
          <w:lang w:val="en-GB" w:eastAsia="en-AU"/>
        </w:rPr>
        <w:t>Glycaemic</w:t>
      </w:r>
      <w:r w:rsidRPr="00B02768">
        <w:rPr>
          <w:i/>
          <w:iCs/>
          <w:lang w:val="en-GB" w:eastAsia="en-AU"/>
        </w:rPr>
        <w:t xml:space="preserve"> </w:t>
      </w:r>
      <w:r w:rsidRPr="003F276B">
        <w:rPr>
          <w:i/>
          <w:iCs/>
          <w:lang w:val="en-GB" w:eastAsia="en-AU"/>
        </w:rPr>
        <w:t>management – Adult</w:t>
      </w:r>
      <w:r w:rsidRPr="003F276B">
        <w:rPr>
          <w:lang w:val="en-GB" w:eastAsia="en-AU"/>
        </w:rPr>
        <w:t xml:space="preserve">, </w:t>
      </w:r>
      <w:r w:rsidR="00B02768">
        <w:rPr>
          <w:lang w:val="en-GB" w:eastAsia="en-AU"/>
        </w:rPr>
        <w:t>&lt;</w:t>
      </w:r>
      <w:r w:rsidRPr="003F276B">
        <w:rPr>
          <w:lang w:val="en-GB" w:eastAsia="en-AU"/>
        </w:rPr>
        <w:t>https://www.albertahealthservices.ca/scns/Page13361.aspx&gt;</w:t>
      </w:r>
    </w:p>
    <w:p w14:paraId="2258A70C" w14:textId="564075D6" w:rsidR="003F276B" w:rsidRPr="003F276B" w:rsidRDefault="003F276B" w:rsidP="003F276B">
      <w:pPr>
        <w:pStyle w:val="Body"/>
        <w:rPr>
          <w:lang w:val="en-GB" w:eastAsia="en-AU"/>
        </w:rPr>
      </w:pPr>
      <w:r w:rsidRPr="003F276B">
        <w:rPr>
          <w:lang w:val="en-GB" w:eastAsia="en-AU"/>
        </w:rPr>
        <w:t>Craig, M, Twigg, S, Donaghue, K, Cheung, N,</w:t>
      </w:r>
      <w:r>
        <w:rPr>
          <w:lang w:val="en-GB" w:eastAsia="en-AU"/>
        </w:rPr>
        <w:t xml:space="preserve"> </w:t>
      </w:r>
      <w:r w:rsidRPr="003F276B">
        <w:rPr>
          <w:lang w:val="en-GB" w:eastAsia="en-AU"/>
        </w:rPr>
        <w:t>Cameron, F, Conn, J, Jenkins, A &amp; Silink, M 2011,</w:t>
      </w:r>
      <w:r>
        <w:rPr>
          <w:lang w:val="en-GB" w:eastAsia="en-AU"/>
        </w:rPr>
        <w:t xml:space="preserve"> </w:t>
      </w:r>
      <w:r w:rsidRPr="003F276B">
        <w:rPr>
          <w:i/>
          <w:iCs/>
          <w:lang w:val="en-GB" w:eastAsia="en-AU"/>
        </w:rPr>
        <w:t>National evidence-based clinical care guidelines</w:t>
      </w:r>
      <w:r w:rsidRPr="00B02768">
        <w:rPr>
          <w:i/>
          <w:iCs/>
          <w:lang w:val="en-GB" w:eastAsia="en-AU"/>
        </w:rPr>
        <w:t xml:space="preserve"> </w:t>
      </w:r>
      <w:r w:rsidRPr="003F276B">
        <w:rPr>
          <w:i/>
          <w:iCs/>
          <w:lang w:val="en-GB" w:eastAsia="en-AU"/>
        </w:rPr>
        <w:t>for type 1 diabetes in children, adolescents and</w:t>
      </w:r>
      <w:r w:rsidRPr="00B02768">
        <w:rPr>
          <w:i/>
          <w:iCs/>
          <w:lang w:val="en-GB" w:eastAsia="en-AU"/>
        </w:rPr>
        <w:t xml:space="preserve"> </w:t>
      </w:r>
      <w:r w:rsidRPr="003F276B">
        <w:rPr>
          <w:i/>
          <w:iCs/>
          <w:lang w:val="en-GB" w:eastAsia="en-AU"/>
        </w:rPr>
        <w:t>adults</w:t>
      </w:r>
      <w:r w:rsidRPr="003F276B">
        <w:rPr>
          <w:lang w:val="en-GB" w:eastAsia="en-AU"/>
        </w:rPr>
        <w:t>, Australian Government Department</w:t>
      </w:r>
      <w:r>
        <w:rPr>
          <w:lang w:val="en-GB" w:eastAsia="en-AU"/>
        </w:rPr>
        <w:t xml:space="preserve"> </w:t>
      </w:r>
      <w:r w:rsidRPr="003F276B">
        <w:rPr>
          <w:lang w:val="en-GB" w:eastAsia="en-AU"/>
        </w:rPr>
        <w:t>of Health and Ageing, Canberra.</w:t>
      </w:r>
    </w:p>
    <w:p w14:paraId="185327E7" w14:textId="5B1A2B97" w:rsidR="003F276B" w:rsidRPr="003F276B" w:rsidRDefault="003F276B" w:rsidP="003F276B">
      <w:pPr>
        <w:pStyle w:val="Body"/>
        <w:rPr>
          <w:lang w:val="en-GB" w:eastAsia="en-AU"/>
        </w:rPr>
      </w:pPr>
      <w:r w:rsidRPr="003F276B">
        <w:rPr>
          <w:lang w:val="en-GB" w:eastAsia="en-AU"/>
        </w:rPr>
        <w:t xml:space="preserve">Department of Health 2012, </w:t>
      </w:r>
      <w:r w:rsidRPr="003F276B">
        <w:rPr>
          <w:i/>
          <w:iCs/>
          <w:lang w:val="en-GB" w:eastAsia="en-AU"/>
        </w:rPr>
        <w:t>Strengthening care</w:t>
      </w:r>
      <w:r w:rsidRPr="00B02768">
        <w:rPr>
          <w:i/>
          <w:iCs/>
          <w:lang w:val="en-GB" w:eastAsia="en-AU"/>
        </w:rPr>
        <w:t xml:space="preserve"> </w:t>
      </w:r>
      <w:r w:rsidRPr="003F276B">
        <w:rPr>
          <w:i/>
          <w:iCs/>
          <w:lang w:val="en-GB" w:eastAsia="en-AU"/>
        </w:rPr>
        <w:t>outcomes for residents with evidence (SCORE)</w:t>
      </w:r>
      <w:r w:rsidRPr="003F276B">
        <w:rPr>
          <w:lang w:val="en-GB" w:eastAsia="en-AU"/>
        </w:rPr>
        <w:t>,</w:t>
      </w:r>
      <w:r>
        <w:rPr>
          <w:lang w:val="en-GB" w:eastAsia="en-AU"/>
        </w:rPr>
        <w:t xml:space="preserve"> </w:t>
      </w:r>
      <w:r w:rsidRPr="003F276B">
        <w:rPr>
          <w:lang w:val="en-GB" w:eastAsia="en-AU"/>
        </w:rPr>
        <w:t>Ageing and Aged Care Branch, State Government</w:t>
      </w:r>
      <w:r>
        <w:rPr>
          <w:lang w:val="en-GB" w:eastAsia="en-AU"/>
        </w:rPr>
        <w:t xml:space="preserve"> </w:t>
      </w:r>
      <w:r w:rsidRPr="003F276B">
        <w:rPr>
          <w:lang w:val="en-GB" w:eastAsia="en-AU"/>
        </w:rPr>
        <w:t>of Victoria, Melbourne.</w:t>
      </w:r>
    </w:p>
    <w:p w14:paraId="43160701" w14:textId="07595A17" w:rsidR="003F276B" w:rsidRPr="003F276B" w:rsidRDefault="003F276B" w:rsidP="003F276B">
      <w:pPr>
        <w:pStyle w:val="Body"/>
        <w:rPr>
          <w:lang w:val="en-GB" w:eastAsia="en-AU"/>
        </w:rPr>
      </w:pPr>
      <w:r w:rsidRPr="003F276B">
        <w:rPr>
          <w:lang w:val="en-GB" w:eastAsia="en-AU"/>
        </w:rPr>
        <w:t>Diabetes Canada Clinical Practice Guidelines</w:t>
      </w:r>
      <w:r>
        <w:rPr>
          <w:lang w:val="en-GB" w:eastAsia="en-AU"/>
        </w:rPr>
        <w:t xml:space="preserve"> </w:t>
      </w:r>
      <w:r w:rsidRPr="003F276B">
        <w:rPr>
          <w:lang w:val="en-GB" w:eastAsia="en-AU"/>
        </w:rPr>
        <w:t>Expert Committee 2018, ‘Diabetes Canada 2018</w:t>
      </w:r>
      <w:r>
        <w:rPr>
          <w:lang w:val="en-GB" w:eastAsia="en-AU"/>
        </w:rPr>
        <w:t xml:space="preserve"> </w:t>
      </w:r>
      <w:r w:rsidRPr="003F276B">
        <w:rPr>
          <w:lang w:val="en-GB" w:eastAsia="en-AU"/>
        </w:rPr>
        <w:t>Clinical Practice Guidelines for the prevention and</w:t>
      </w:r>
      <w:r>
        <w:rPr>
          <w:lang w:val="en-GB" w:eastAsia="en-AU"/>
        </w:rPr>
        <w:t xml:space="preserve"> </w:t>
      </w:r>
      <w:r w:rsidRPr="003F276B">
        <w:rPr>
          <w:lang w:val="en-GB" w:eastAsia="en-AU"/>
        </w:rPr>
        <w:t xml:space="preserve">management of diabetes in Canada’, </w:t>
      </w:r>
      <w:r w:rsidRPr="003F276B">
        <w:rPr>
          <w:i/>
          <w:iCs/>
          <w:lang w:val="en-GB" w:eastAsia="en-AU"/>
        </w:rPr>
        <w:t>Canadian</w:t>
      </w:r>
      <w:r w:rsidRPr="00B02768">
        <w:rPr>
          <w:i/>
          <w:iCs/>
          <w:lang w:val="en-GB" w:eastAsia="en-AU"/>
        </w:rPr>
        <w:t xml:space="preserve"> </w:t>
      </w:r>
      <w:r w:rsidRPr="003F276B">
        <w:rPr>
          <w:i/>
          <w:iCs/>
          <w:lang w:val="en-GB" w:eastAsia="en-AU"/>
        </w:rPr>
        <w:t>Journal of Diabetes</w:t>
      </w:r>
      <w:r w:rsidRPr="003F276B">
        <w:rPr>
          <w:lang w:val="en-GB" w:eastAsia="en-AU"/>
        </w:rPr>
        <w:t>, vol. 42 (Supp 1), S1-S325.</w:t>
      </w:r>
    </w:p>
    <w:p w14:paraId="099D7C47" w14:textId="342ADDC8" w:rsidR="003F276B" w:rsidRPr="003F276B" w:rsidRDefault="003F276B" w:rsidP="003F276B">
      <w:pPr>
        <w:pStyle w:val="Body"/>
        <w:rPr>
          <w:lang w:val="en-GB" w:eastAsia="en-AU"/>
        </w:rPr>
      </w:pPr>
      <w:r w:rsidRPr="003F276B">
        <w:rPr>
          <w:lang w:val="en-GB" w:eastAsia="en-AU"/>
        </w:rPr>
        <w:t xml:space="preserve">Dunning, T, Duggan, N &amp; Savage, S 2014, </w:t>
      </w:r>
      <w:r w:rsidRPr="003F276B">
        <w:rPr>
          <w:i/>
          <w:iCs/>
          <w:lang w:val="en-GB" w:eastAsia="en-AU"/>
        </w:rPr>
        <w:t>The</w:t>
      </w:r>
      <w:r w:rsidRPr="00B02768">
        <w:rPr>
          <w:i/>
          <w:iCs/>
          <w:lang w:val="en-GB" w:eastAsia="en-AU"/>
        </w:rPr>
        <w:t xml:space="preserve"> </w:t>
      </w:r>
      <w:r w:rsidRPr="003F276B">
        <w:rPr>
          <w:i/>
          <w:iCs/>
          <w:lang w:val="en-GB" w:eastAsia="en-AU"/>
        </w:rPr>
        <w:t>McKellar guidelines for managing older people with</w:t>
      </w:r>
      <w:r w:rsidR="00B02768" w:rsidRPr="00B02768">
        <w:rPr>
          <w:i/>
          <w:iCs/>
          <w:lang w:val="en-GB" w:eastAsia="en-AU"/>
        </w:rPr>
        <w:t xml:space="preserve"> </w:t>
      </w:r>
      <w:r w:rsidRPr="003F276B">
        <w:rPr>
          <w:i/>
          <w:iCs/>
          <w:lang w:val="en-GB" w:eastAsia="en-AU"/>
        </w:rPr>
        <w:t>diabetes in residential and other care settings</w:t>
      </w:r>
      <w:r w:rsidRPr="003F276B">
        <w:rPr>
          <w:lang w:val="en-GB" w:eastAsia="en-AU"/>
        </w:rPr>
        <w:t>,</w:t>
      </w:r>
      <w:r w:rsidR="00B02768">
        <w:rPr>
          <w:lang w:val="en-GB" w:eastAsia="en-AU"/>
        </w:rPr>
        <w:t xml:space="preserve"> </w:t>
      </w:r>
      <w:r w:rsidRPr="003F276B">
        <w:rPr>
          <w:lang w:val="en-GB" w:eastAsia="en-AU"/>
        </w:rPr>
        <w:t>Centre for Nursing and Allied Health, Deakin</w:t>
      </w:r>
      <w:r w:rsidR="00B02768">
        <w:rPr>
          <w:lang w:val="en-GB" w:eastAsia="en-AU"/>
        </w:rPr>
        <w:t xml:space="preserve"> </w:t>
      </w:r>
      <w:r w:rsidRPr="003F276B">
        <w:rPr>
          <w:lang w:val="en-GB" w:eastAsia="en-AU"/>
        </w:rPr>
        <w:t>University and Barwon Health, Geelong.</w:t>
      </w:r>
    </w:p>
    <w:p w14:paraId="195F0AF6" w14:textId="73E9C119" w:rsidR="003F276B" w:rsidRPr="003F276B" w:rsidRDefault="003F276B" w:rsidP="003F276B">
      <w:pPr>
        <w:pStyle w:val="Body"/>
        <w:rPr>
          <w:lang w:val="en-GB" w:eastAsia="en-AU"/>
        </w:rPr>
      </w:pPr>
      <w:r w:rsidRPr="003F276B">
        <w:rPr>
          <w:lang w:val="en-GB" w:eastAsia="en-AU"/>
        </w:rPr>
        <w:t>Meneilly, G, Knip, A, Miller, D, Sherafali, D, Tessier, D &amp;</w:t>
      </w:r>
      <w:r w:rsidR="00B02768">
        <w:rPr>
          <w:lang w:val="en-GB" w:eastAsia="en-AU"/>
        </w:rPr>
        <w:t xml:space="preserve"> </w:t>
      </w:r>
      <w:r w:rsidRPr="003F276B">
        <w:rPr>
          <w:lang w:val="en-GB" w:eastAsia="en-AU"/>
        </w:rPr>
        <w:t xml:space="preserve">Zahedi, A 2018, ‘Diabetes In older people’, </w:t>
      </w:r>
      <w:r w:rsidRPr="003F276B">
        <w:rPr>
          <w:i/>
          <w:iCs/>
          <w:lang w:val="en-GB" w:eastAsia="en-AU"/>
        </w:rPr>
        <w:t>Canadian</w:t>
      </w:r>
      <w:r w:rsidR="00B02768" w:rsidRPr="00B02768">
        <w:rPr>
          <w:i/>
          <w:iCs/>
          <w:lang w:val="en-GB" w:eastAsia="en-AU"/>
        </w:rPr>
        <w:t xml:space="preserve"> </w:t>
      </w:r>
      <w:r w:rsidRPr="003F276B">
        <w:rPr>
          <w:i/>
          <w:iCs/>
          <w:lang w:val="en-GB" w:eastAsia="en-AU"/>
        </w:rPr>
        <w:t>Journal of Diabetes</w:t>
      </w:r>
      <w:r w:rsidRPr="003F276B">
        <w:rPr>
          <w:lang w:val="en-GB" w:eastAsia="en-AU"/>
        </w:rPr>
        <w:t>, vol. 42, S283-S295.</w:t>
      </w:r>
    </w:p>
    <w:p w14:paraId="2AA4DF09" w14:textId="2828D254" w:rsidR="003F276B" w:rsidRPr="003F276B" w:rsidRDefault="003F276B" w:rsidP="003F276B">
      <w:pPr>
        <w:pStyle w:val="Body"/>
        <w:rPr>
          <w:lang w:val="en-GB" w:eastAsia="en-AU"/>
        </w:rPr>
      </w:pPr>
      <w:r w:rsidRPr="003F276B">
        <w:rPr>
          <w:lang w:val="en-GB" w:eastAsia="en-AU"/>
        </w:rPr>
        <w:t>National Institute for Health and Care Excellence</w:t>
      </w:r>
      <w:r w:rsidR="00B02768">
        <w:rPr>
          <w:lang w:val="en-GB" w:eastAsia="en-AU"/>
        </w:rPr>
        <w:t xml:space="preserve"> </w:t>
      </w:r>
      <w:r w:rsidRPr="003F276B">
        <w:rPr>
          <w:lang w:val="en-GB" w:eastAsia="en-AU"/>
        </w:rPr>
        <w:t xml:space="preserve">(NICE) 2016, </w:t>
      </w:r>
      <w:r w:rsidRPr="003F276B">
        <w:rPr>
          <w:i/>
          <w:iCs/>
          <w:lang w:val="en-GB" w:eastAsia="en-AU"/>
        </w:rPr>
        <w:t>Type 1 diabetes in adults: diagnosis and</w:t>
      </w:r>
      <w:r w:rsidR="00B02768" w:rsidRPr="00B02768">
        <w:rPr>
          <w:i/>
          <w:iCs/>
          <w:lang w:val="en-GB" w:eastAsia="en-AU"/>
        </w:rPr>
        <w:t xml:space="preserve"> </w:t>
      </w:r>
      <w:r w:rsidRPr="003F276B">
        <w:rPr>
          <w:i/>
          <w:iCs/>
          <w:lang w:val="en-GB" w:eastAsia="en-AU"/>
        </w:rPr>
        <w:t>management (NICE guideline; no. 17),</w:t>
      </w:r>
      <w:r w:rsidRPr="003F276B">
        <w:rPr>
          <w:lang w:val="en-GB" w:eastAsia="en-AU"/>
        </w:rPr>
        <w:t xml:space="preserve"> NICE, London.</w:t>
      </w:r>
    </w:p>
    <w:p w14:paraId="7104280F" w14:textId="4FDAB414" w:rsidR="003F276B" w:rsidRPr="003F276B" w:rsidRDefault="003F276B" w:rsidP="003F276B">
      <w:pPr>
        <w:pStyle w:val="Body"/>
        <w:rPr>
          <w:lang w:val="en-GB" w:eastAsia="en-AU"/>
        </w:rPr>
      </w:pPr>
      <w:r w:rsidRPr="003F276B">
        <w:rPr>
          <w:lang w:val="en-GB" w:eastAsia="en-AU"/>
        </w:rPr>
        <w:t>National Institute for Health and Care Excellence</w:t>
      </w:r>
      <w:r w:rsidR="00B02768">
        <w:rPr>
          <w:lang w:val="en-GB" w:eastAsia="en-AU"/>
        </w:rPr>
        <w:t xml:space="preserve"> </w:t>
      </w:r>
      <w:r w:rsidRPr="003F276B">
        <w:rPr>
          <w:lang w:val="en-GB" w:eastAsia="en-AU"/>
        </w:rPr>
        <w:t xml:space="preserve">(NICE) 2019, </w:t>
      </w:r>
      <w:r w:rsidRPr="003F276B">
        <w:rPr>
          <w:i/>
          <w:iCs/>
          <w:lang w:val="en-GB" w:eastAsia="en-AU"/>
        </w:rPr>
        <w:t>Type 2 diabetes in adults: management</w:t>
      </w:r>
      <w:r w:rsidR="00B02768" w:rsidRPr="00B02768">
        <w:rPr>
          <w:i/>
          <w:iCs/>
          <w:lang w:val="en-GB" w:eastAsia="en-AU"/>
        </w:rPr>
        <w:t xml:space="preserve"> </w:t>
      </w:r>
      <w:r w:rsidRPr="003F276B">
        <w:rPr>
          <w:i/>
          <w:iCs/>
          <w:lang w:val="en-GB" w:eastAsia="en-AU"/>
        </w:rPr>
        <w:t>(NICE guideline no. 28)</w:t>
      </w:r>
      <w:r w:rsidRPr="003F276B">
        <w:rPr>
          <w:lang w:val="en-GB" w:eastAsia="en-AU"/>
        </w:rPr>
        <w:t>, NICE, London.</w:t>
      </w:r>
    </w:p>
    <w:p w14:paraId="0DF99CD4" w14:textId="3390A654" w:rsidR="003F276B" w:rsidRPr="003F276B" w:rsidRDefault="003F276B" w:rsidP="003F276B">
      <w:pPr>
        <w:pStyle w:val="Body"/>
        <w:rPr>
          <w:lang w:val="en-GB" w:eastAsia="en-AU"/>
        </w:rPr>
      </w:pPr>
      <w:r w:rsidRPr="003F276B">
        <w:rPr>
          <w:lang w:val="en-GB" w:eastAsia="en-AU"/>
        </w:rPr>
        <w:t>Royal Australian College of General Practitioners</w:t>
      </w:r>
      <w:r w:rsidR="00B02768">
        <w:rPr>
          <w:lang w:val="en-GB" w:eastAsia="en-AU"/>
        </w:rPr>
        <w:t xml:space="preserve"> </w:t>
      </w:r>
      <w:r w:rsidRPr="003F276B">
        <w:rPr>
          <w:lang w:val="en-GB" w:eastAsia="en-AU"/>
        </w:rPr>
        <w:t xml:space="preserve">(RACGP) 2016, </w:t>
      </w:r>
      <w:r w:rsidRPr="003F276B">
        <w:rPr>
          <w:i/>
          <w:iCs/>
          <w:lang w:val="en-GB" w:eastAsia="en-AU"/>
        </w:rPr>
        <w:t>General practice management of</w:t>
      </w:r>
      <w:r w:rsidR="00B02768" w:rsidRPr="00B02768">
        <w:rPr>
          <w:i/>
          <w:iCs/>
          <w:lang w:val="en-GB" w:eastAsia="en-AU"/>
        </w:rPr>
        <w:t xml:space="preserve"> </w:t>
      </w:r>
      <w:r w:rsidRPr="003F276B">
        <w:rPr>
          <w:i/>
          <w:iCs/>
          <w:lang w:val="en-GB" w:eastAsia="en-AU"/>
        </w:rPr>
        <w:t>type 2 diabetes: 2016–18</w:t>
      </w:r>
      <w:r w:rsidRPr="003F276B">
        <w:rPr>
          <w:lang w:val="en-GB" w:eastAsia="en-AU"/>
        </w:rPr>
        <w:t>. RACGP, East Melbourne.</w:t>
      </w:r>
    </w:p>
    <w:p w14:paraId="5584232E" w14:textId="0E325A9C" w:rsidR="003F276B" w:rsidRPr="003F276B" w:rsidRDefault="003F276B" w:rsidP="003F276B">
      <w:pPr>
        <w:pStyle w:val="Body"/>
        <w:rPr>
          <w:lang w:val="en-GB" w:eastAsia="en-AU"/>
        </w:rPr>
      </w:pPr>
      <w:r w:rsidRPr="003F276B">
        <w:rPr>
          <w:lang w:val="en-GB" w:eastAsia="en-AU"/>
        </w:rPr>
        <w:t>Royal Australian College of General Practitioners</w:t>
      </w:r>
      <w:r w:rsidR="00B02768">
        <w:rPr>
          <w:lang w:val="en-GB" w:eastAsia="en-AU"/>
        </w:rPr>
        <w:t xml:space="preserve"> </w:t>
      </w:r>
      <w:r w:rsidRPr="003F276B">
        <w:rPr>
          <w:lang w:val="en-GB" w:eastAsia="en-AU"/>
        </w:rPr>
        <w:t xml:space="preserve">2020, </w:t>
      </w:r>
      <w:r w:rsidRPr="003F276B">
        <w:rPr>
          <w:i/>
          <w:iCs/>
          <w:lang w:val="en-GB" w:eastAsia="en-AU"/>
        </w:rPr>
        <w:t>Management of Type 2 diabetes in older</w:t>
      </w:r>
      <w:r w:rsidR="00B02768" w:rsidRPr="00B02768">
        <w:rPr>
          <w:i/>
          <w:iCs/>
          <w:lang w:val="en-GB" w:eastAsia="en-AU"/>
        </w:rPr>
        <w:t xml:space="preserve"> </w:t>
      </w:r>
      <w:r w:rsidRPr="003F276B">
        <w:rPr>
          <w:i/>
          <w:iCs/>
          <w:lang w:val="en-GB" w:eastAsia="en-AU"/>
        </w:rPr>
        <w:t>people and residential care facilities</w:t>
      </w:r>
      <w:r w:rsidRPr="003F276B">
        <w:rPr>
          <w:lang w:val="en-GB" w:eastAsia="en-AU"/>
        </w:rPr>
        <w:t>, &lt;https://www.racgp.org.au/clinical-resources/clinical-guidelines/key-racgp-guidelines/view-all-racgp-guidelines/diabetes/management-of-type-2-diabetes-in-theelderly-and-r&gt;</w:t>
      </w:r>
    </w:p>
    <w:p w14:paraId="0253D237" w14:textId="397118F9" w:rsidR="003F276B" w:rsidRPr="003F276B" w:rsidRDefault="003F276B" w:rsidP="003F276B">
      <w:pPr>
        <w:pStyle w:val="Body"/>
        <w:rPr>
          <w:lang w:val="en-GB" w:eastAsia="en-AU"/>
        </w:rPr>
      </w:pPr>
      <w:r w:rsidRPr="003F276B">
        <w:rPr>
          <w:lang w:val="en-GB" w:eastAsia="en-AU"/>
        </w:rPr>
        <w:t>Sivapuram, M 2019, Evidence Summary.</w:t>
      </w:r>
      <w:r w:rsidR="00B02768">
        <w:rPr>
          <w:lang w:val="en-GB" w:eastAsia="en-AU"/>
        </w:rPr>
        <w:t xml:space="preserve"> </w:t>
      </w:r>
      <w:r w:rsidRPr="003F276B">
        <w:rPr>
          <w:i/>
          <w:iCs/>
          <w:lang w:val="en-GB" w:eastAsia="en-AU"/>
        </w:rPr>
        <w:t>Hypoglycaemia in Diabetes: Management</w:t>
      </w:r>
      <w:r w:rsidRPr="003F276B">
        <w:rPr>
          <w:lang w:val="en-GB" w:eastAsia="en-AU"/>
        </w:rPr>
        <w:t>, The</w:t>
      </w:r>
      <w:r w:rsidR="00B02768">
        <w:rPr>
          <w:lang w:val="en-GB" w:eastAsia="en-AU"/>
        </w:rPr>
        <w:t xml:space="preserve"> </w:t>
      </w:r>
      <w:r w:rsidRPr="003F276B">
        <w:rPr>
          <w:lang w:val="en-GB" w:eastAsia="en-AU"/>
        </w:rPr>
        <w:t>Joanna Briggs Institute EBP Database, JBI@Ovid.JBI529.</w:t>
      </w:r>
    </w:p>
    <w:p w14:paraId="777C1E83" w14:textId="454B772A" w:rsidR="00B02768" w:rsidRDefault="003F276B" w:rsidP="003F276B">
      <w:pPr>
        <w:pStyle w:val="Body"/>
        <w:rPr>
          <w:lang w:val="en-GB" w:eastAsia="en-AU"/>
        </w:rPr>
      </w:pPr>
      <w:r w:rsidRPr="003F276B">
        <w:rPr>
          <w:lang w:val="en-GB" w:eastAsia="en-AU"/>
        </w:rPr>
        <w:t>Therapeutic Guidelines Limited 2019,</w:t>
      </w:r>
      <w:r w:rsidR="00B02768">
        <w:rPr>
          <w:lang w:val="en-GB" w:eastAsia="en-AU"/>
        </w:rPr>
        <w:t xml:space="preserve"> </w:t>
      </w:r>
      <w:r w:rsidRPr="003F276B">
        <w:rPr>
          <w:i/>
          <w:iCs/>
          <w:lang w:val="en-GB" w:eastAsia="en-AU"/>
        </w:rPr>
        <w:t>Hypoglycaemia in patients with diabetes</w:t>
      </w:r>
      <w:r w:rsidRPr="003F276B">
        <w:rPr>
          <w:lang w:val="en-GB" w:eastAsia="en-AU"/>
        </w:rPr>
        <w:t>, &lt;https://tgldcdp.tg.org.au/viewTopic?topicfile=hypoglycaemia-in-patients-with-diabetes&amp;guidelineName=Diabetes&amp;topicNavigation=navigateTopic&gt;</w:t>
      </w:r>
    </w:p>
    <w:p w14:paraId="37B75914" w14:textId="77777777" w:rsidR="00B02768" w:rsidRDefault="00B02768" w:rsidP="00B02768">
      <w:pPr>
        <w:pStyle w:val="Heading2"/>
        <w:rPr>
          <w:lang w:val="en-GB" w:eastAsia="en-AU"/>
        </w:rPr>
      </w:pPr>
      <w:r>
        <w:rPr>
          <w:lang w:val="en-GB" w:eastAsia="en-AU"/>
        </w:rPr>
        <w:t>Further reading</w:t>
      </w:r>
    </w:p>
    <w:p w14:paraId="30261F6B" w14:textId="3733910B" w:rsidR="00B02768" w:rsidRPr="00B02768" w:rsidRDefault="00B02768" w:rsidP="00B02768">
      <w:pPr>
        <w:pStyle w:val="Body"/>
      </w:pPr>
      <w:r w:rsidRPr="00B02768">
        <w:t xml:space="preserve">Podder, V 2018, Evidence Summary. </w:t>
      </w:r>
      <w:r w:rsidRPr="00B02768">
        <w:rPr>
          <w:i/>
          <w:iCs/>
        </w:rPr>
        <w:t>Diabetes care (older people): Residential Aged Care Facilities</w:t>
      </w:r>
      <w:r w:rsidRPr="00B02768">
        <w:t>, The</w:t>
      </w:r>
      <w:r>
        <w:t xml:space="preserve"> </w:t>
      </w:r>
      <w:r w:rsidRPr="00B02768">
        <w:t>Joanna Briggs Institute EBP Database, JBI@Ovide.JBI8842.</w:t>
      </w:r>
    </w:p>
    <w:p w14:paraId="21D0491A" w14:textId="65B72A81" w:rsidR="00B02768" w:rsidRPr="00B02768" w:rsidRDefault="00B02768" w:rsidP="00B02768">
      <w:pPr>
        <w:pStyle w:val="Body"/>
      </w:pPr>
      <w:r w:rsidRPr="00B02768">
        <w:t xml:space="preserve">Sharma, L 2018, Evidence Summary. </w:t>
      </w:r>
      <w:r w:rsidRPr="00B02768">
        <w:rPr>
          <w:i/>
          <w:iCs/>
        </w:rPr>
        <w:t>Blood glucose monitoring by health professionals</w:t>
      </w:r>
      <w:r w:rsidRPr="00B02768">
        <w:t>, The Joanna</w:t>
      </w:r>
      <w:r>
        <w:t xml:space="preserve"> </w:t>
      </w:r>
      <w:r w:rsidRPr="00B02768">
        <w:t>Briggs Institute EBP Database, JBI@Ovid. JBI5288.</w:t>
      </w:r>
    </w:p>
    <w:p w14:paraId="2293A7C6" w14:textId="29F231A5" w:rsidR="00B02768" w:rsidRPr="00B02768" w:rsidRDefault="00B02768" w:rsidP="00B02768">
      <w:pPr>
        <w:pStyle w:val="Body"/>
      </w:pPr>
      <w:r w:rsidRPr="00B02768">
        <w:t>Sircar, M, Bhatia, A &amp; Munshi, M 2016, ‘Review</w:t>
      </w:r>
      <w:r>
        <w:t xml:space="preserve"> </w:t>
      </w:r>
      <w:r w:rsidRPr="00B02768">
        <w:t>of hypoglycaemia in the older adult: Clinical</w:t>
      </w:r>
      <w:r>
        <w:t xml:space="preserve"> </w:t>
      </w:r>
      <w:r w:rsidRPr="00B02768">
        <w:t xml:space="preserve">Implications and management’, </w:t>
      </w:r>
      <w:r w:rsidRPr="00B02768">
        <w:rPr>
          <w:i/>
          <w:iCs/>
        </w:rPr>
        <w:t>Canadian Journal of Diabetes</w:t>
      </w:r>
      <w:r w:rsidRPr="00B02768">
        <w:t>, vol. 40, pp. 66–72.</w:t>
      </w:r>
    </w:p>
    <w:p w14:paraId="076EEB74" w14:textId="77777777" w:rsidR="00B02768" w:rsidRDefault="00B02768" w:rsidP="003F276B">
      <w:pPr>
        <w:pStyle w:val="Body"/>
        <w:rPr>
          <w:lang w:val="en-GB" w:eastAsia="en-AU"/>
        </w:rPr>
      </w:pPr>
    </w:p>
    <w:p w14:paraId="5C4E06E1" w14:textId="581A0C26" w:rsidR="00B13959" w:rsidRPr="00B02768" w:rsidRDefault="00B13959" w:rsidP="0E20CCE1">
      <w:pPr>
        <w:pStyle w:val="Body"/>
        <w:rPr>
          <w:sz w:val="20"/>
          <w:lang w:val="en-GB"/>
        </w:rPr>
      </w:pPr>
      <w:r w:rsidRPr="7CC6E731">
        <w:rPr>
          <w:b/>
          <w:bCs/>
          <w:sz w:val="20"/>
          <w:lang w:val="en-GB"/>
        </w:rPr>
        <w:lastRenderedPageBreak/>
        <w:t xml:space="preserve">Important note: </w:t>
      </w:r>
      <w:r w:rsidRPr="7CC6E731">
        <w:rPr>
          <w:sz w:val="20"/>
          <w:lang w:val="en-GB"/>
        </w:rPr>
        <w:t xml:space="preserve">This standardised care process (SCP) is a general resource only and should not be relied upon as an exhaustive or determinative clinical decision-making tool. It is just one element of good clinical care decision making, which also takes into account resident/patient preferences and values. All decisions in relation to resident/patient care should be made by appropriately qualified personnel in each case. To the extent allowed by law, the Department of Health </w:t>
      </w:r>
      <w:r w:rsidR="20874E8C" w:rsidRPr="7CC6E731">
        <w:rPr>
          <w:sz w:val="20"/>
          <w:lang w:val="en-GB"/>
        </w:rPr>
        <w:t xml:space="preserve">and </w:t>
      </w:r>
      <w:r w:rsidR="73775909" w:rsidRPr="7CC6E731">
        <w:rPr>
          <w:sz w:val="20"/>
          <w:lang w:val="en-GB"/>
        </w:rPr>
        <w:t xml:space="preserve">the </w:t>
      </w:r>
      <w:r w:rsidRPr="7CC6E731">
        <w:rPr>
          <w:sz w:val="20"/>
          <w:lang w:val="en-GB"/>
        </w:rPr>
        <w:t>State of Victoria disclaim all liability for any loss or damage that arises from any use of this SCP.</w:t>
      </w:r>
    </w:p>
    <w:p w14:paraId="2EBC9A18" w14:textId="77777777" w:rsidR="00B13959" w:rsidRPr="00B02768" w:rsidRDefault="00B13959" w:rsidP="00B13959">
      <w:pPr>
        <w:pStyle w:val="Body"/>
        <w:rPr>
          <w:sz w:val="20"/>
          <w:lang w:val="en-GB"/>
        </w:rPr>
      </w:pPr>
    </w:p>
    <w:p w14:paraId="73BD087F" w14:textId="77777777" w:rsidR="00B13959" w:rsidRPr="00B02768" w:rsidRDefault="00B13959" w:rsidP="00B13959">
      <w:pPr>
        <w:pStyle w:val="Body"/>
        <w:rPr>
          <w:sz w:val="20"/>
          <w:lang w:val="en-GB"/>
        </w:rPr>
      </w:pPr>
      <w:r w:rsidRPr="00B02768">
        <w:rPr>
          <w:sz w:val="20"/>
          <w:lang w:val="en-GB"/>
        </w:rPr>
        <w:t>Authorised and published by the Victorian Government, 1 Treasury Place, Melbourne.</w:t>
      </w:r>
    </w:p>
    <w:p w14:paraId="35FBE40D" w14:textId="6ABE1EE6" w:rsidR="00B13959" w:rsidRPr="00B02768" w:rsidRDefault="00B13959" w:rsidP="0E20CCE1">
      <w:pPr>
        <w:pStyle w:val="Body"/>
        <w:rPr>
          <w:sz w:val="20"/>
          <w:lang w:val="en-GB"/>
        </w:rPr>
      </w:pPr>
      <w:r w:rsidRPr="0E20CCE1">
        <w:rPr>
          <w:sz w:val="20"/>
          <w:lang w:val="en-GB"/>
        </w:rPr>
        <w:t xml:space="preserve">© State of Victoria, Department of Health, </w:t>
      </w:r>
      <w:r w:rsidR="5834138D" w:rsidRPr="0E20CCE1">
        <w:rPr>
          <w:sz w:val="20"/>
          <w:lang w:val="en-GB"/>
        </w:rPr>
        <w:t>A</w:t>
      </w:r>
      <w:r w:rsidR="00597F2E">
        <w:rPr>
          <w:sz w:val="20"/>
          <w:lang w:val="en-GB"/>
        </w:rPr>
        <w:t>pril</w:t>
      </w:r>
      <w:r w:rsidRPr="0E20CCE1">
        <w:rPr>
          <w:sz w:val="20"/>
          <w:lang w:val="en-GB"/>
        </w:rPr>
        <w:t xml:space="preserve"> 202</w:t>
      </w:r>
      <w:r w:rsidR="00BD17D4">
        <w:rPr>
          <w:sz w:val="20"/>
          <w:lang w:val="en-GB"/>
        </w:rPr>
        <w:t>3</w:t>
      </w:r>
      <w:r w:rsidRPr="0E20CCE1">
        <w:rPr>
          <w:sz w:val="20"/>
          <w:lang w:val="en-GB"/>
        </w:rPr>
        <w:t>. (2</w:t>
      </w:r>
      <w:r w:rsidR="00BD17D4">
        <w:rPr>
          <w:sz w:val="20"/>
          <w:lang w:val="en-GB"/>
        </w:rPr>
        <w:t>308532</w:t>
      </w:r>
      <w:r w:rsidRPr="0E20CCE1">
        <w:rPr>
          <w:sz w:val="20"/>
          <w:lang w:val="en-GB"/>
        </w:rPr>
        <w:t>)</w:t>
      </w:r>
    </w:p>
    <w:p w14:paraId="1B68A090" w14:textId="74DDF480" w:rsidR="00B13959" w:rsidRPr="00B02768" w:rsidRDefault="00B13959" w:rsidP="00B13959">
      <w:pPr>
        <w:pStyle w:val="Body"/>
        <w:rPr>
          <w:sz w:val="20"/>
          <w:lang w:val="en-GB"/>
        </w:rPr>
      </w:pPr>
      <w:r w:rsidRPr="00B02768">
        <w:rPr>
          <w:sz w:val="20"/>
          <w:lang w:val="en-GB"/>
        </w:rPr>
        <w:t>ISBN 978-1-76096-81</w:t>
      </w:r>
      <w:r w:rsidR="00597F2E">
        <w:rPr>
          <w:sz w:val="20"/>
          <w:lang w:val="en-GB"/>
        </w:rPr>
        <w:t>7</w:t>
      </w:r>
      <w:r w:rsidRPr="00B02768">
        <w:rPr>
          <w:sz w:val="20"/>
          <w:lang w:val="en-GB"/>
        </w:rPr>
        <w:t>-</w:t>
      </w:r>
      <w:r w:rsidR="00597F2E">
        <w:rPr>
          <w:sz w:val="20"/>
          <w:lang w:val="en-GB"/>
        </w:rPr>
        <w:t>5</w:t>
      </w:r>
      <w:r w:rsidRPr="00B02768">
        <w:rPr>
          <w:sz w:val="20"/>
          <w:lang w:val="en-GB"/>
        </w:rPr>
        <w:t xml:space="preserve"> (pdf/online/MS word)</w:t>
      </w:r>
    </w:p>
    <w:p w14:paraId="43294939" w14:textId="07916D0A" w:rsidR="00B13959" w:rsidRPr="00B02768" w:rsidRDefault="00BD17D4" w:rsidP="00BD17D4">
      <w:pPr>
        <w:pStyle w:val="Body"/>
        <w:rPr>
          <w:sz w:val="20"/>
        </w:rPr>
      </w:pPr>
      <w:r>
        <w:rPr>
          <w:lang w:val="en-GB" w:eastAsia="en-AU"/>
        </w:rPr>
        <w:t xml:space="preserve">Available from the department’s </w:t>
      </w:r>
      <w:hyperlink r:id="rId17" w:history="1">
        <w:r>
          <w:rPr>
            <w:color w:val="DCA10D"/>
            <w:u w:val="single" w:color="DCA10D"/>
            <w:lang w:val="en-GB" w:eastAsia="en-AU"/>
          </w:rPr>
          <w:t>Standardised care processes webpage</w:t>
        </w:r>
      </w:hyperlink>
      <w:r>
        <w:rPr>
          <w:lang w:val="en-GB" w:eastAsia="en-AU"/>
        </w:rPr>
        <w:t xml:space="preserve"> &lt;https://www.health.vic.gov.au/residential-aged-care/standardised-care-processes&gt;</w:t>
      </w:r>
      <w:r w:rsidR="00B13959" w:rsidRPr="00B02768">
        <w:rPr>
          <w:sz w:val="20"/>
          <w:lang w:val="en-GB"/>
        </w:rPr>
        <w:t>.</w:t>
      </w:r>
    </w:p>
    <w:sectPr w:rsidR="00B13959" w:rsidRPr="00B02768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62F2E" w14:textId="77777777" w:rsidR="002342DA" w:rsidRDefault="002342DA">
      <w:r>
        <w:separator/>
      </w:r>
    </w:p>
  </w:endnote>
  <w:endnote w:type="continuationSeparator" w:id="0">
    <w:p w14:paraId="580A36DC" w14:textId="77777777" w:rsidR="002342DA" w:rsidRDefault="0023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IC">
    <w:panose1 w:val="020B0604020202020204"/>
    <w:charset w:val="00"/>
    <w:family w:val="auto"/>
    <w:notTrueType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E18C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5A742283" wp14:editId="345CF127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6C9C3EC8" wp14:editId="412161C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991FE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C3EC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" o:allowincell="f" filled="f" stroked="f" strokeweight=".5pt">
              <v:textbox inset=",0,,0">
                <w:txbxContent>
                  <w:p w14:paraId="27991FE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F9E8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38B141D9" wp14:editId="0337F5E8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5D29B8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141D9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" o:allowincell="f" filled="f" stroked="f" strokeweight=".5pt">
              <v:textbox inset=",0,,0">
                <w:txbxContent>
                  <w:p w14:paraId="255D29B8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5FA11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4E1711E" wp14:editId="27BD495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0C4679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1711E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" o:allowincell="f" filled="f" stroked="f" strokeweight=".5pt">
              <v:textbox inset=",0,,0">
                <w:txbxContent>
                  <w:p w14:paraId="2C0C4679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547B" w14:textId="77777777" w:rsidR="002342DA" w:rsidRDefault="002342DA" w:rsidP="002862F1">
      <w:pPr>
        <w:spacing w:before="120"/>
      </w:pPr>
      <w:r>
        <w:separator/>
      </w:r>
    </w:p>
  </w:footnote>
  <w:footnote w:type="continuationSeparator" w:id="0">
    <w:p w14:paraId="72C26C29" w14:textId="77777777" w:rsidR="002342DA" w:rsidRDefault="00234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EB2F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96D5" w14:textId="4FAFB292" w:rsidR="00E261B3" w:rsidRPr="0051568D" w:rsidRDefault="00413AAA" w:rsidP="0011701A">
    <w:pPr>
      <w:pStyle w:val="Header"/>
    </w:pPr>
    <w:r w:rsidRPr="00413AAA">
      <w:rPr>
        <w:lang w:val="en-GB"/>
      </w:rPr>
      <w:t>Hypoglycaemia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2954589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4241707">
    <w:abstractNumId w:val="10"/>
  </w:num>
  <w:num w:numId="2" w16cid:durableId="1937441186">
    <w:abstractNumId w:val="18"/>
  </w:num>
  <w:num w:numId="3" w16cid:durableId="2283935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17833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07826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85526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5966730">
    <w:abstractNumId w:val="22"/>
  </w:num>
  <w:num w:numId="8" w16cid:durableId="2118794712">
    <w:abstractNumId w:val="17"/>
  </w:num>
  <w:num w:numId="9" w16cid:durableId="367991992">
    <w:abstractNumId w:val="21"/>
  </w:num>
  <w:num w:numId="10" w16cid:durableId="16350595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5927291">
    <w:abstractNumId w:val="23"/>
  </w:num>
  <w:num w:numId="12" w16cid:durableId="21353628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9202079">
    <w:abstractNumId w:val="19"/>
  </w:num>
  <w:num w:numId="14" w16cid:durableId="12017414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00841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19845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9273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5325649">
    <w:abstractNumId w:val="25"/>
  </w:num>
  <w:num w:numId="19" w16cid:durableId="5073281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562974">
    <w:abstractNumId w:val="15"/>
  </w:num>
  <w:num w:numId="21" w16cid:durableId="819737581">
    <w:abstractNumId w:val="13"/>
  </w:num>
  <w:num w:numId="22" w16cid:durableId="10556199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23731298">
    <w:abstractNumId w:val="16"/>
  </w:num>
  <w:num w:numId="24" w16cid:durableId="1318220924">
    <w:abstractNumId w:val="26"/>
  </w:num>
  <w:num w:numId="25" w16cid:durableId="182863475">
    <w:abstractNumId w:val="24"/>
  </w:num>
  <w:num w:numId="26" w16cid:durableId="1641105872">
    <w:abstractNumId w:val="20"/>
  </w:num>
  <w:num w:numId="27" w16cid:durableId="568001251">
    <w:abstractNumId w:val="12"/>
  </w:num>
  <w:num w:numId="28" w16cid:durableId="619647638">
    <w:abstractNumId w:val="27"/>
  </w:num>
  <w:num w:numId="29" w16cid:durableId="292371364">
    <w:abstractNumId w:val="9"/>
  </w:num>
  <w:num w:numId="30" w16cid:durableId="590163047">
    <w:abstractNumId w:val="7"/>
  </w:num>
  <w:num w:numId="31" w16cid:durableId="49887294">
    <w:abstractNumId w:val="6"/>
  </w:num>
  <w:num w:numId="32" w16cid:durableId="1134787591">
    <w:abstractNumId w:val="5"/>
  </w:num>
  <w:num w:numId="33" w16cid:durableId="306512534">
    <w:abstractNumId w:val="4"/>
  </w:num>
  <w:num w:numId="34" w16cid:durableId="2017993882">
    <w:abstractNumId w:val="8"/>
  </w:num>
  <w:num w:numId="35" w16cid:durableId="1160465762">
    <w:abstractNumId w:val="3"/>
  </w:num>
  <w:num w:numId="36" w16cid:durableId="935479986">
    <w:abstractNumId w:val="2"/>
  </w:num>
  <w:num w:numId="37" w16cid:durableId="1372992795">
    <w:abstractNumId w:val="1"/>
  </w:num>
  <w:num w:numId="38" w16cid:durableId="1520578918">
    <w:abstractNumId w:val="0"/>
  </w:num>
  <w:num w:numId="39" w16cid:durableId="158912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0228264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F5"/>
    <w:rsid w:val="00000719"/>
    <w:rsid w:val="00003403"/>
    <w:rsid w:val="00005347"/>
    <w:rsid w:val="000072B6"/>
    <w:rsid w:val="000101F4"/>
    <w:rsid w:val="0001021B"/>
    <w:rsid w:val="00011D89"/>
    <w:rsid w:val="000154FD"/>
    <w:rsid w:val="00016FBF"/>
    <w:rsid w:val="00022271"/>
    <w:rsid w:val="000235E8"/>
    <w:rsid w:val="000247EF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155"/>
    <w:rsid w:val="000A186C"/>
    <w:rsid w:val="000A1EA4"/>
    <w:rsid w:val="000A2476"/>
    <w:rsid w:val="000A3C26"/>
    <w:rsid w:val="000A641A"/>
    <w:rsid w:val="000A64C1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477A6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4C7A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C5A1D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1100"/>
    <w:rsid w:val="002333F5"/>
    <w:rsid w:val="00233724"/>
    <w:rsid w:val="002342DA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117D"/>
    <w:rsid w:val="002C2728"/>
    <w:rsid w:val="002D1E0D"/>
    <w:rsid w:val="002D28A3"/>
    <w:rsid w:val="002D5006"/>
    <w:rsid w:val="002D7CF3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9C0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1B5E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45CD"/>
    <w:rsid w:val="003D6475"/>
    <w:rsid w:val="003E2167"/>
    <w:rsid w:val="003E375C"/>
    <w:rsid w:val="003E4086"/>
    <w:rsid w:val="003E639E"/>
    <w:rsid w:val="003E71E5"/>
    <w:rsid w:val="003F0445"/>
    <w:rsid w:val="003F0CF0"/>
    <w:rsid w:val="003F14B1"/>
    <w:rsid w:val="003F276B"/>
    <w:rsid w:val="003F2B20"/>
    <w:rsid w:val="003F3289"/>
    <w:rsid w:val="003F5CB9"/>
    <w:rsid w:val="004013C7"/>
    <w:rsid w:val="00401FCF"/>
    <w:rsid w:val="0040248F"/>
    <w:rsid w:val="00406285"/>
    <w:rsid w:val="004112C6"/>
    <w:rsid w:val="00413AAA"/>
    <w:rsid w:val="004148F9"/>
    <w:rsid w:val="00414D4A"/>
    <w:rsid w:val="0042084E"/>
    <w:rsid w:val="0042187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1DA0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B91"/>
    <w:rsid w:val="00573CE3"/>
    <w:rsid w:val="00576E84"/>
    <w:rsid w:val="00580394"/>
    <w:rsid w:val="005809CD"/>
    <w:rsid w:val="00582B8C"/>
    <w:rsid w:val="0058757E"/>
    <w:rsid w:val="00596A4B"/>
    <w:rsid w:val="00597507"/>
    <w:rsid w:val="00597F2E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67994"/>
    <w:rsid w:val="00670597"/>
    <w:rsid w:val="006706D0"/>
    <w:rsid w:val="00673975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4ACF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7C00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36BA1"/>
    <w:rsid w:val="00841AA9"/>
    <w:rsid w:val="008474FE"/>
    <w:rsid w:val="00853EE4"/>
    <w:rsid w:val="00855535"/>
    <w:rsid w:val="00855920"/>
    <w:rsid w:val="00855CF4"/>
    <w:rsid w:val="00857C5A"/>
    <w:rsid w:val="0086255E"/>
    <w:rsid w:val="008633F0"/>
    <w:rsid w:val="00867D9D"/>
    <w:rsid w:val="00872E0A"/>
    <w:rsid w:val="00873594"/>
    <w:rsid w:val="00874519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2FAB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36D4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0D2A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7F5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346AC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78A"/>
    <w:rsid w:val="00AE3BD5"/>
    <w:rsid w:val="00AE59A0"/>
    <w:rsid w:val="00AF0C57"/>
    <w:rsid w:val="00AF26F3"/>
    <w:rsid w:val="00AF35C5"/>
    <w:rsid w:val="00AF5F04"/>
    <w:rsid w:val="00B00672"/>
    <w:rsid w:val="00B01B4D"/>
    <w:rsid w:val="00B02768"/>
    <w:rsid w:val="00B06571"/>
    <w:rsid w:val="00B068BA"/>
    <w:rsid w:val="00B07FF7"/>
    <w:rsid w:val="00B13851"/>
    <w:rsid w:val="00B13959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17D4"/>
    <w:rsid w:val="00BD2850"/>
    <w:rsid w:val="00BE28D2"/>
    <w:rsid w:val="00BE4A64"/>
    <w:rsid w:val="00BE5E43"/>
    <w:rsid w:val="00BF159E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5C14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448D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A48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C24"/>
    <w:rsid w:val="00EA2F6A"/>
    <w:rsid w:val="00EB00E0"/>
    <w:rsid w:val="00EB2E33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8F4"/>
    <w:rsid w:val="00FF7DD5"/>
    <w:rsid w:val="0E20CCE1"/>
    <w:rsid w:val="1DCD0329"/>
    <w:rsid w:val="20874E8C"/>
    <w:rsid w:val="5834138D"/>
    <w:rsid w:val="73775909"/>
    <w:rsid w:val="7CC6E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7734B0"/>
  <w15:docId w15:val="{90F1FD34-DB34-554C-B987-5941B33F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ListParagraph">
    <w:name w:val="List Paragraph"/>
    <w:basedOn w:val="Normal"/>
    <w:uiPriority w:val="72"/>
    <w:semiHidden/>
    <w:qFormat/>
    <w:rsid w:val="003B1B5E"/>
    <w:pPr>
      <w:ind w:left="720"/>
      <w:contextualSpacing/>
    </w:pPr>
  </w:style>
  <w:style w:type="paragraph" w:customStyle="1" w:styleId="BodyBulletBody">
    <w:name w:val="Body Bullet (Body)"/>
    <w:basedOn w:val="Normal"/>
    <w:uiPriority w:val="99"/>
    <w:rsid w:val="00BD17D4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28" w:line="250" w:lineRule="atLeast"/>
      <w:ind w:left="227" w:hanging="227"/>
      <w:textAlignment w:val="center"/>
    </w:pPr>
    <w:rPr>
      <w:rFonts w:ascii="VIC" w:hAnsi="VIC" w:cs="VIC"/>
      <w:color w:val="000000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residential-aged-care/standardised-care-processe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yannmcintyre/Desktop/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2e4f9-c376-4e2f-bd2e-796d1bcd5746">
      <Terms xmlns="http://schemas.microsoft.com/office/infopath/2007/PartnerControls"/>
    </lcf76f155ced4ddcb4097134ff3c332f>
    <TaxCatchAll xmlns="5ce0f2b5-5be5-4508-bce9-d7011ece0659" xsi:nil="true"/>
    <AccreditationCompliance xmlns="31b2e4f9-c376-4e2f-bd2e-796d1bcd574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7" ma:contentTypeDescription="Create a new document." ma:contentTypeScope="" ma:versionID="1ccb5c08fc987aae76c9040a2ef7cf61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34ff2ea20f3c0d4358ff758bc6885bad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AccreditationComplianc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ccreditationCompliance" ma:index="24" ma:displayName="Accreditation Compliance" ma:format="Dropdown" ma:internalName="AccreditationCompliance">
      <xsd:simpleType>
        <xsd:union memberTypes="dms:Text">
          <xsd:simpleType>
            <xsd:restriction base="dms:Choice">
              <xsd:enumeration value="Non-compliance"/>
              <xsd:enumeration value="Compliant"/>
              <xsd:enumeration value="Other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79ae61d-ea30-493b-8839-6f91706441b2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31b2e4f9-c376-4e2f-bd2e-796d1bcd5746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222D7351-0E25-403B-AFCB-764CD3F05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3</TotalTime>
  <Pages>10</Pages>
  <Words>2518</Words>
  <Characters>14359</Characters>
  <Application>Microsoft Office Word</Application>
  <DocSecurity>0</DocSecurity>
  <Lines>119</Lines>
  <Paragraphs>33</Paragraphs>
  <ScaleCrop>false</ScaleCrop>
  <Manager/>
  <Company>Victoria State Government, Department of Health</Company>
  <LinksUpToDate>false</LinksUpToDate>
  <CharactersWithSpaces>16844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 of life care</dc:title>
  <dc:subject>Standardised care process</dc:subject>
  <dc:creator>Aged Care &amp; Community Services</dc:creator>
  <cp:keywords>end of life, standardised care, care process</cp:keywords>
  <dc:description/>
  <cp:lastModifiedBy>Jo Press (Health)</cp:lastModifiedBy>
  <cp:revision>8</cp:revision>
  <cp:lastPrinted>2020-03-30T03:28:00Z</cp:lastPrinted>
  <dcterms:created xsi:type="dcterms:W3CDTF">2022-08-21T11:20:00Z</dcterms:created>
  <dcterms:modified xsi:type="dcterms:W3CDTF">2023-10-17T05:09:00Z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2021-03-12T01:24:49Z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