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3C91922F" w:rsidR="003B5733" w:rsidRPr="00384FF7" w:rsidRDefault="00384FF7" w:rsidP="00384FF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227" w:after="227" w:line="480" w:lineRule="atLeast"/>
              <w:ind w:right="-1282"/>
              <w:rPr>
                <w:rFonts w:ascii="Helvetica" w:hAnsi="Helvetica" w:cs="Helvetica"/>
                <w:b/>
                <w:bCs/>
                <w:color w:val="100149"/>
                <w:sz w:val="44"/>
                <w:szCs w:val="44"/>
              </w:rPr>
            </w:pPr>
            <w:r>
              <w:rPr>
                <w:rFonts w:ascii="Helvetica" w:hAnsi="Helvetica" w:cs="Helvetica"/>
                <w:b/>
                <w:bCs/>
                <w:color w:val="100149"/>
                <w:sz w:val="44"/>
                <w:szCs w:val="44"/>
              </w:rPr>
              <w:t>End-of-life care</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035F118F" w14:textId="3E9C3F3C" w:rsidR="00DB54AF"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4500219" w:history="1">
        <w:r w:rsidR="00DB54AF" w:rsidRPr="00123153">
          <w:rPr>
            <w:rStyle w:val="Hyperlink"/>
          </w:rPr>
          <w:t>Objective</w:t>
        </w:r>
        <w:r w:rsidR="00DB54AF">
          <w:rPr>
            <w:webHidden/>
          </w:rPr>
          <w:tab/>
        </w:r>
        <w:r w:rsidR="00DB54AF">
          <w:rPr>
            <w:webHidden/>
          </w:rPr>
          <w:fldChar w:fldCharType="begin"/>
        </w:r>
        <w:r w:rsidR="00DB54AF">
          <w:rPr>
            <w:webHidden/>
          </w:rPr>
          <w:instrText xml:space="preserve"> PAGEREF _Toc114500219 \h </w:instrText>
        </w:r>
        <w:r w:rsidR="00DB54AF">
          <w:rPr>
            <w:webHidden/>
          </w:rPr>
        </w:r>
        <w:r w:rsidR="00DB54AF">
          <w:rPr>
            <w:webHidden/>
          </w:rPr>
          <w:fldChar w:fldCharType="separate"/>
        </w:r>
        <w:r w:rsidR="00DB54AF">
          <w:rPr>
            <w:webHidden/>
          </w:rPr>
          <w:t>2</w:t>
        </w:r>
        <w:r w:rsidR="00DB54AF">
          <w:rPr>
            <w:webHidden/>
          </w:rPr>
          <w:fldChar w:fldCharType="end"/>
        </w:r>
      </w:hyperlink>
    </w:p>
    <w:p w14:paraId="713142F5" w14:textId="642EB86D" w:rsidR="00DB54AF" w:rsidRDefault="00000000">
      <w:pPr>
        <w:pStyle w:val="TOC2"/>
        <w:rPr>
          <w:rFonts w:asciiTheme="minorHAnsi" w:eastAsiaTheme="minorEastAsia" w:hAnsiTheme="minorHAnsi" w:cstheme="minorBidi"/>
          <w:sz w:val="24"/>
          <w:szCs w:val="24"/>
          <w:lang w:eastAsia="en-GB"/>
        </w:rPr>
      </w:pPr>
      <w:hyperlink w:anchor="_Toc114500220" w:history="1">
        <w:r w:rsidR="00DB54AF" w:rsidRPr="00123153">
          <w:rPr>
            <w:rStyle w:val="Hyperlink"/>
          </w:rPr>
          <w:t xml:space="preserve">Why </w:t>
        </w:r>
        <w:r w:rsidR="00DB54AF" w:rsidRPr="00123153">
          <w:rPr>
            <w:rStyle w:val="Hyperlink"/>
            <w:bCs/>
            <w:lang w:val="en-GB"/>
          </w:rPr>
          <w:t>the response to the actively dying stage is important</w:t>
        </w:r>
        <w:r w:rsidR="00DB54AF">
          <w:rPr>
            <w:webHidden/>
          </w:rPr>
          <w:tab/>
        </w:r>
        <w:r w:rsidR="00DB54AF">
          <w:rPr>
            <w:webHidden/>
          </w:rPr>
          <w:fldChar w:fldCharType="begin"/>
        </w:r>
        <w:r w:rsidR="00DB54AF">
          <w:rPr>
            <w:webHidden/>
          </w:rPr>
          <w:instrText xml:space="preserve"> PAGEREF _Toc114500220 \h </w:instrText>
        </w:r>
        <w:r w:rsidR="00DB54AF">
          <w:rPr>
            <w:webHidden/>
          </w:rPr>
        </w:r>
        <w:r w:rsidR="00DB54AF">
          <w:rPr>
            <w:webHidden/>
          </w:rPr>
          <w:fldChar w:fldCharType="separate"/>
        </w:r>
        <w:r w:rsidR="00DB54AF">
          <w:rPr>
            <w:webHidden/>
          </w:rPr>
          <w:t>2</w:t>
        </w:r>
        <w:r w:rsidR="00DB54AF">
          <w:rPr>
            <w:webHidden/>
          </w:rPr>
          <w:fldChar w:fldCharType="end"/>
        </w:r>
      </w:hyperlink>
    </w:p>
    <w:p w14:paraId="09E2B10F" w14:textId="562787B4" w:rsidR="00DB54AF" w:rsidRDefault="00000000">
      <w:pPr>
        <w:pStyle w:val="TOC2"/>
        <w:rPr>
          <w:rFonts w:asciiTheme="minorHAnsi" w:eastAsiaTheme="minorEastAsia" w:hAnsiTheme="minorHAnsi" w:cstheme="minorBidi"/>
          <w:sz w:val="24"/>
          <w:szCs w:val="24"/>
          <w:lang w:eastAsia="en-GB"/>
        </w:rPr>
      </w:pPr>
      <w:hyperlink w:anchor="_Toc114500221" w:history="1">
        <w:r w:rsidR="00DB54AF" w:rsidRPr="00123153">
          <w:rPr>
            <w:rStyle w:val="Hyperlink"/>
            <w:lang w:val="en-GB" w:eastAsia="en-AU"/>
          </w:rPr>
          <w:t>Definitions</w:t>
        </w:r>
        <w:r w:rsidR="00DB54AF">
          <w:rPr>
            <w:webHidden/>
          </w:rPr>
          <w:tab/>
        </w:r>
        <w:r w:rsidR="00DB54AF">
          <w:rPr>
            <w:webHidden/>
          </w:rPr>
          <w:fldChar w:fldCharType="begin"/>
        </w:r>
        <w:r w:rsidR="00DB54AF">
          <w:rPr>
            <w:webHidden/>
          </w:rPr>
          <w:instrText xml:space="preserve"> PAGEREF _Toc114500221 \h </w:instrText>
        </w:r>
        <w:r w:rsidR="00DB54AF">
          <w:rPr>
            <w:webHidden/>
          </w:rPr>
        </w:r>
        <w:r w:rsidR="00DB54AF">
          <w:rPr>
            <w:webHidden/>
          </w:rPr>
          <w:fldChar w:fldCharType="separate"/>
        </w:r>
        <w:r w:rsidR="00DB54AF">
          <w:rPr>
            <w:webHidden/>
          </w:rPr>
          <w:t>2</w:t>
        </w:r>
        <w:r w:rsidR="00DB54AF">
          <w:rPr>
            <w:webHidden/>
          </w:rPr>
          <w:fldChar w:fldCharType="end"/>
        </w:r>
      </w:hyperlink>
    </w:p>
    <w:p w14:paraId="58AF5042" w14:textId="6A028E55" w:rsidR="00DB54AF" w:rsidRDefault="00000000">
      <w:pPr>
        <w:pStyle w:val="TOC2"/>
        <w:rPr>
          <w:rFonts w:asciiTheme="minorHAnsi" w:eastAsiaTheme="minorEastAsia" w:hAnsiTheme="minorHAnsi" w:cstheme="minorBidi"/>
          <w:sz w:val="24"/>
          <w:szCs w:val="24"/>
          <w:lang w:eastAsia="en-GB"/>
        </w:rPr>
      </w:pPr>
      <w:hyperlink w:anchor="_Toc114500222" w:history="1">
        <w:r w:rsidR="00DB54AF" w:rsidRPr="00123153">
          <w:rPr>
            <w:rStyle w:val="Hyperlink"/>
          </w:rPr>
          <w:t>Team</w:t>
        </w:r>
        <w:r w:rsidR="00DB54AF">
          <w:rPr>
            <w:webHidden/>
          </w:rPr>
          <w:tab/>
        </w:r>
        <w:r w:rsidR="00DB54AF">
          <w:rPr>
            <w:webHidden/>
          </w:rPr>
          <w:fldChar w:fldCharType="begin"/>
        </w:r>
        <w:r w:rsidR="00DB54AF">
          <w:rPr>
            <w:webHidden/>
          </w:rPr>
          <w:instrText xml:space="preserve"> PAGEREF _Toc114500222 \h </w:instrText>
        </w:r>
        <w:r w:rsidR="00DB54AF">
          <w:rPr>
            <w:webHidden/>
          </w:rPr>
        </w:r>
        <w:r w:rsidR="00DB54AF">
          <w:rPr>
            <w:webHidden/>
          </w:rPr>
          <w:fldChar w:fldCharType="separate"/>
        </w:r>
        <w:r w:rsidR="00DB54AF">
          <w:rPr>
            <w:webHidden/>
          </w:rPr>
          <w:t>3</w:t>
        </w:r>
        <w:r w:rsidR="00DB54AF">
          <w:rPr>
            <w:webHidden/>
          </w:rPr>
          <w:fldChar w:fldCharType="end"/>
        </w:r>
      </w:hyperlink>
    </w:p>
    <w:p w14:paraId="58A6DC93" w14:textId="17684C38" w:rsidR="00DB54AF" w:rsidRDefault="00000000">
      <w:pPr>
        <w:pStyle w:val="TOC2"/>
        <w:rPr>
          <w:rFonts w:asciiTheme="minorHAnsi" w:eastAsiaTheme="minorEastAsia" w:hAnsiTheme="minorHAnsi" w:cstheme="minorBidi"/>
          <w:sz w:val="24"/>
          <w:szCs w:val="24"/>
          <w:lang w:eastAsia="en-GB"/>
        </w:rPr>
      </w:pPr>
      <w:hyperlink w:anchor="_Toc114500223" w:history="1">
        <w:r w:rsidR="00DB54AF" w:rsidRPr="00123153">
          <w:rPr>
            <w:rStyle w:val="Hyperlink"/>
          </w:rPr>
          <w:t>Acknowledgement</w:t>
        </w:r>
        <w:r w:rsidR="00DB54AF">
          <w:rPr>
            <w:webHidden/>
          </w:rPr>
          <w:tab/>
        </w:r>
        <w:r w:rsidR="00DB54AF">
          <w:rPr>
            <w:webHidden/>
          </w:rPr>
          <w:fldChar w:fldCharType="begin"/>
        </w:r>
        <w:r w:rsidR="00DB54AF">
          <w:rPr>
            <w:webHidden/>
          </w:rPr>
          <w:instrText xml:space="preserve"> PAGEREF _Toc114500223 \h </w:instrText>
        </w:r>
        <w:r w:rsidR="00DB54AF">
          <w:rPr>
            <w:webHidden/>
          </w:rPr>
        </w:r>
        <w:r w:rsidR="00DB54AF">
          <w:rPr>
            <w:webHidden/>
          </w:rPr>
          <w:fldChar w:fldCharType="separate"/>
        </w:r>
        <w:r w:rsidR="00DB54AF">
          <w:rPr>
            <w:webHidden/>
          </w:rPr>
          <w:t>3</w:t>
        </w:r>
        <w:r w:rsidR="00DB54AF">
          <w:rPr>
            <w:webHidden/>
          </w:rPr>
          <w:fldChar w:fldCharType="end"/>
        </w:r>
      </w:hyperlink>
    </w:p>
    <w:p w14:paraId="1468E320" w14:textId="66267EB9" w:rsidR="00DB54AF" w:rsidRDefault="00000000">
      <w:pPr>
        <w:pStyle w:val="TOC1"/>
        <w:rPr>
          <w:rFonts w:asciiTheme="minorHAnsi" w:eastAsiaTheme="minorEastAsia" w:hAnsiTheme="minorHAnsi" w:cstheme="minorBidi"/>
          <w:b w:val="0"/>
          <w:sz w:val="24"/>
          <w:szCs w:val="24"/>
          <w:lang w:eastAsia="en-GB"/>
        </w:rPr>
      </w:pPr>
      <w:hyperlink w:anchor="_Toc114500224" w:history="1">
        <w:r w:rsidR="00DB54AF" w:rsidRPr="00123153">
          <w:rPr>
            <w:rStyle w:val="Hyperlink"/>
          </w:rPr>
          <w:t>Brief standardised care process</w:t>
        </w:r>
        <w:r w:rsidR="00DB54AF">
          <w:rPr>
            <w:webHidden/>
          </w:rPr>
          <w:tab/>
        </w:r>
        <w:r w:rsidR="00DB54AF">
          <w:rPr>
            <w:webHidden/>
          </w:rPr>
          <w:fldChar w:fldCharType="begin"/>
        </w:r>
        <w:r w:rsidR="00DB54AF">
          <w:rPr>
            <w:webHidden/>
          </w:rPr>
          <w:instrText xml:space="preserve"> PAGEREF _Toc114500224 \h </w:instrText>
        </w:r>
        <w:r w:rsidR="00DB54AF">
          <w:rPr>
            <w:webHidden/>
          </w:rPr>
        </w:r>
        <w:r w:rsidR="00DB54AF">
          <w:rPr>
            <w:webHidden/>
          </w:rPr>
          <w:fldChar w:fldCharType="separate"/>
        </w:r>
        <w:r w:rsidR="00DB54AF">
          <w:rPr>
            <w:webHidden/>
          </w:rPr>
          <w:t>4</w:t>
        </w:r>
        <w:r w:rsidR="00DB54AF">
          <w:rPr>
            <w:webHidden/>
          </w:rPr>
          <w:fldChar w:fldCharType="end"/>
        </w:r>
      </w:hyperlink>
    </w:p>
    <w:p w14:paraId="16DDEF6F" w14:textId="31D1EC10" w:rsidR="00DB54AF" w:rsidRDefault="00000000">
      <w:pPr>
        <w:pStyle w:val="TOC2"/>
        <w:rPr>
          <w:rFonts w:asciiTheme="minorHAnsi" w:eastAsiaTheme="minorEastAsia" w:hAnsiTheme="minorHAnsi" w:cstheme="minorBidi"/>
          <w:sz w:val="24"/>
          <w:szCs w:val="24"/>
          <w:lang w:eastAsia="en-GB"/>
        </w:rPr>
      </w:pPr>
      <w:hyperlink w:anchor="_Toc114500225" w:history="1">
        <w:r w:rsidR="00DB54AF" w:rsidRPr="00123153">
          <w:rPr>
            <w:rStyle w:val="Hyperlink"/>
            <w:lang w:val="en-GB" w:eastAsia="en-AU"/>
          </w:rPr>
          <w:t>Recognition and assessment</w:t>
        </w:r>
        <w:r w:rsidR="00DB54AF">
          <w:rPr>
            <w:webHidden/>
          </w:rPr>
          <w:tab/>
        </w:r>
        <w:r w:rsidR="00DB54AF">
          <w:rPr>
            <w:webHidden/>
          </w:rPr>
          <w:fldChar w:fldCharType="begin"/>
        </w:r>
        <w:r w:rsidR="00DB54AF">
          <w:rPr>
            <w:webHidden/>
          </w:rPr>
          <w:instrText xml:space="preserve"> PAGEREF _Toc114500225 \h </w:instrText>
        </w:r>
        <w:r w:rsidR="00DB54AF">
          <w:rPr>
            <w:webHidden/>
          </w:rPr>
        </w:r>
        <w:r w:rsidR="00DB54AF">
          <w:rPr>
            <w:webHidden/>
          </w:rPr>
          <w:fldChar w:fldCharType="separate"/>
        </w:r>
        <w:r w:rsidR="00DB54AF">
          <w:rPr>
            <w:webHidden/>
          </w:rPr>
          <w:t>4</w:t>
        </w:r>
        <w:r w:rsidR="00DB54AF">
          <w:rPr>
            <w:webHidden/>
          </w:rPr>
          <w:fldChar w:fldCharType="end"/>
        </w:r>
      </w:hyperlink>
    </w:p>
    <w:p w14:paraId="5B3740A0" w14:textId="74595044" w:rsidR="00DB54AF" w:rsidRDefault="00000000">
      <w:pPr>
        <w:pStyle w:val="TOC2"/>
        <w:rPr>
          <w:rFonts w:asciiTheme="minorHAnsi" w:eastAsiaTheme="minorEastAsia" w:hAnsiTheme="minorHAnsi" w:cstheme="minorBidi"/>
          <w:sz w:val="24"/>
          <w:szCs w:val="24"/>
          <w:lang w:eastAsia="en-GB"/>
        </w:rPr>
      </w:pPr>
      <w:hyperlink w:anchor="_Toc114500226" w:history="1">
        <w:r w:rsidR="00DB54AF" w:rsidRPr="00123153">
          <w:rPr>
            <w:rStyle w:val="Hyperlink"/>
            <w:lang w:val="en-GB" w:eastAsia="en-AU"/>
          </w:rPr>
          <w:t>Interventions</w:t>
        </w:r>
        <w:r w:rsidR="00DB54AF">
          <w:rPr>
            <w:webHidden/>
          </w:rPr>
          <w:tab/>
        </w:r>
        <w:r w:rsidR="00DB54AF">
          <w:rPr>
            <w:webHidden/>
          </w:rPr>
          <w:fldChar w:fldCharType="begin"/>
        </w:r>
        <w:r w:rsidR="00DB54AF">
          <w:rPr>
            <w:webHidden/>
          </w:rPr>
          <w:instrText xml:space="preserve"> PAGEREF _Toc114500226 \h </w:instrText>
        </w:r>
        <w:r w:rsidR="00DB54AF">
          <w:rPr>
            <w:webHidden/>
          </w:rPr>
        </w:r>
        <w:r w:rsidR="00DB54AF">
          <w:rPr>
            <w:webHidden/>
          </w:rPr>
          <w:fldChar w:fldCharType="separate"/>
        </w:r>
        <w:r w:rsidR="00DB54AF">
          <w:rPr>
            <w:webHidden/>
          </w:rPr>
          <w:t>4</w:t>
        </w:r>
        <w:r w:rsidR="00DB54AF">
          <w:rPr>
            <w:webHidden/>
          </w:rPr>
          <w:fldChar w:fldCharType="end"/>
        </w:r>
      </w:hyperlink>
    </w:p>
    <w:p w14:paraId="71B72904" w14:textId="2C8A8D60" w:rsidR="00DB54AF" w:rsidRDefault="00000000">
      <w:pPr>
        <w:pStyle w:val="TOC2"/>
        <w:rPr>
          <w:rFonts w:asciiTheme="minorHAnsi" w:eastAsiaTheme="minorEastAsia" w:hAnsiTheme="minorHAnsi" w:cstheme="minorBidi"/>
          <w:sz w:val="24"/>
          <w:szCs w:val="24"/>
          <w:lang w:eastAsia="en-GB"/>
        </w:rPr>
      </w:pPr>
      <w:hyperlink w:anchor="_Toc114500227" w:history="1">
        <w:r w:rsidR="00DB54AF" w:rsidRPr="00123153">
          <w:rPr>
            <w:rStyle w:val="Hyperlink"/>
            <w:lang w:val="en-GB" w:eastAsia="en-AU"/>
          </w:rPr>
          <w:t>Referral</w:t>
        </w:r>
        <w:r w:rsidR="00DB54AF">
          <w:rPr>
            <w:webHidden/>
          </w:rPr>
          <w:tab/>
        </w:r>
        <w:r w:rsidR="00DB54AF">
          <w:rPr>
            <w:webHidden/>
          </w:rPr>
          <w:fldChar w:fldCharType="begin"/>
        </w:r>
        <w:r w:rsidR="00DB54AF">
          <w:rPr>
            <w:webHidden/>
          </w:rPr>
          <w:instrText xml:space="preserve"> PAGEREF _Toc114500227 \h </w:instrText>
        </w:r>
        <w:r w:rsidR="00DB54AF">
          <w:rPr>
            <w:webHidden/>
          </w:rPr>
        </w:r>
        <w:r w:rsidR="00DB54AF">
          <w:rPr>
            <w:webHidden/>
          </w:rPr>
          <w:fldChar w:fldCharType="separate"/>
        </w:r>
        <w:r w:rsidR="00DB54AF">
          <w:rPr>
            <w:webHidden/>
          </w:rPr>
          <w:t>4</w:t>
        </w:r>
        <w:r w:rsidR="00DB54AF">
          <w:rPr>
            <w:webHidden/>
          </w:rPr>
          <w:fldChar w:fldCharType="end"/>
        </w:r>
      </w:hyperlink>
    </w:p>
    <w:p w14:paraId="1AAD7810" w14:textId="0609C817" w:rsidR="00DB54AF" w:rsidRDefault="00000000">
      <w:pPr>
        <w:pStyle w:val="TOC2"/>
        <w:rPr>
          <w:rFonts w:asciiTheme="minorHAnsi" w:eastAsiaTheme="minorEastAsia" w:hAnsiTheme="minorHAnsi" w:cstheme="minorBidi"/>
          <w:sz w:val="24"/>
          <w:szCs w:val="24"/>
          <w:lang w:eastAsia="en-GB"/>
        </w:rPr>
      </w:pPr>
      <w:hyperlink w:anchor="_Toc114500228" w:history="1">
        <w:r w:rsidR="00DB54AF" w:rsidRPr="00123153">
          <w:rPr>
            <w:rStyle w:val="Hyperlink"/>
          </w:rPr>
          <w:t>Evaluation and reassessment</w:t>
        </w:r>
        <w:r w:rsidR="00DB54AF">
          <w:rPr>
            <w:webHidden/>
          </w:rPr>
          <w:tab/>
        </w:r>
        <w:r w:rsidR="00DB54AF">
          <w:rPr>
            <w:webHidden/>
          </w:rPr>
          <w:fldChar w:fldCharType="begin"/>
        </w:r>
        <w:r w:rsidR="00DB54AF">
          <w:rPr>
            <w:webHidden/>
          </w:rPr>
          <w:instrText xml:space="preserve"> PAGEREF _Toc114500228 \h </w:instrText>
        </w:r>
        <w:r w:rsidR="00DB54AF">
          <w:rPr>
            <w:webHidden/>
          </w:rPr>
        </w:r>
        <w:r w:rsidR="00DB54AF">
          <w:rPr>
            <w:webHidden/>
          </w:rPr>
          <w:fldChar w:fldCharType="separate"/>
        </w:r>
        <w:r w:rsidR="00DB54AF">
          <w:rPr>
            <w:webHidden/>
          </w:rPr>
          <w:t>4</w:t>
        </w:r>
        <w:r w:rsidR="00DB54AF">
          <w:rPr>
            <w:webHidden/>
          </w:rPr>
          <w:fldChar w:fldCharType="end"/>
        </w:r>
      </w:hyperlink>
    </w:p>
    <w:p w14:paraId="0BE3D02A" w14:textId="281B1B4F" w:rsidR="00DB54AF" w:rsidRDefault="00000000">
      <w:pPr>
        <w:pStyle w:val="TOC2"/>
        <w:rPr>
          <w:rFonts w:asciiTheme="minorHAnsi" w:eastAsiaTheme="minorEastAsia" w:hAnsiTheme="minorHAnsi" w:cstheme="minorBidi"/>
          <w:sz w:val="24"/>
          <w:szCs w:val="24"/>
          <w:lang w:eastAsia="en-GB"/>
        </w:rPr>
      </w:pPr>
      <w:hyperlink w:anchor="_Toc114500229" w:history="1">
        <w:r w:rsidR="00DB54AF" w:rsidRPr="00123153">
          <w:rPr>
            <w:rStyle w:val="Hyperlink"/>
            <w:lang w:val="en-GB" w:eastAsia="en-AU"/>
          </w:rPr>
          <w:t>Resident involvement</w:t>
        </w:r>
        <w:r w:rsidR="00DB54AF">
          <w:rPr>
            <w:webHidden/>
          </w:rPr>
          <w:tab/>
        </w:r>
        <w:r w:rsidR="00DB54AF">
          <w:rPr>
            <w:webHidden/>
          </w:rPr>
          <w:fldChar w:fldCharType="begin"/>
        </w:r>
        <w:r w:rsidR="00DB54AF">
          <w:rPr>
            <w:webHidden/>
          </w:rPr>
          <w:instrText xml:space="preserve"> PAGEREF _Toc114500229 \h </w:instrText>
        </w:r>
        <w:r w:rsidR="00DB54AF">
          <w:rPr>
            <w:webHidden/>
          </w:rPr>
        </w:r>
        <w:r w:rsidR="00DB54AF">
          <w:rPr>
            <w:webHidden/>
          </w:rPr>
          <w:fldChar w:fldCharType="separate"/>
        </w:r>
        <w:r w:rsidR="00DB54AF">
          <w:rPr>
            <w:webHidden/>
          </w:rPr>
          <w:t>4</w:t>
        </w:r>
        <w:r w:rsidR="00DB54AF">
          <w:rPr>
            <w:webHidden/>
          </w:rPr>
          <w:fldChar w:fldCharType="end"/>
        </w:r>
      </w:hyperlink>
    </w:p>
    <w:p w14:paraId="3DB58046" w14:textId="0DC1277C" w:rsidR="00DB54AF" w:rsidRDefault="00000000">
      <w:pPr>
        <w:pStyle w:val="TOC2"/>
        <w:rPr>
          <w:rFonts w:asciiTheme="minorHAnsi" w:eastAsiaTheme="minorEastAsia" w:hAnsiTheme="minorHAnsi" w:cstheme="minorBidi"/>
          <w:sz w:val="24"/>
          <w:szCs w:val="24"/>
          <w:lang w:eastAsia="en-GB"/>
        </w:rPr>
      </w:pPr>
      <w:hyperlink w:anchor="_Toc114500230" w:history="1">
        <w:r w:rsidR="00DB54AF" w:rsidRPr="00123153">
          <w:rPr>
            <w:rStyle w:val="Hyperlink"/>
          </w:rPr>
          <w:t>Staff knowledge and education</w:t>
        </w:r>
        <w:r w:rsidR="00DB54AF">
          <w:rPr>
            <w:webHidden/>
          </w:rPr>
          <w:tab/>
        </w:r>
        <w:r w:rsidR="00DB54AF">
          <w:rPr>
            <w:webHidden/>
          </w:rPr>
          <w:fldChar w:fldCharType="begin"/>
        </w:r>
        <w:r w:rsidR="00DB54AF">
          <w:rPr>
            <w:webHidden/>
          </w:rPr>
          <w:instrText xml:space="preserve"> PAGEREF _Toc114500230 \h </w:instrText>
        </w:r>
        <w:r w:rsidR="00DB54AF">
          <w:rPr>
            <w:webHidden/>
          </w:rPr>
        </w:r>
        <w:r w:rsidR="00DB54AF">
          <w:rPr>
            <w:webHidden/>
          </w:rPr>
          <w:fldChar w:fldCharType="separate"/>
        </w:r>
        <w:r w:rsidR="00DB54AF">
          <w:rPr>
            <w:webHidden/>
          </w:rPr>
          <w:t>4</w:t>
        </w:r>
        <w:r w:rsidR="00DB54AF">
          <w:rPr>
            <w:webHidden/>
          </w:rPr>
          <w:fldChar w:fldCharType="end"/>
        </w:r>
      </w:hyperlink>
    </w:p>
    <w:p w14:paraId="7706CCED" w14:textId="6CD34BC7" w:rsidR="00DB54AF" w:rsidRDefault="00000000">
      <w:pPr>
        <w:pStyle w:val="TOC1"/>
        <w:rPr>
          <w:rFonts w:asciiTheme="minorHAnsi" w:eastAsiaTheme="minorEastAsia" w:hAnsiTheme="minorHAnsi" w:cstheme="minorBidi"/>
          <w:b w:val="0"/>
          <w:sz w:val="24"/>
          <w:szCs w:val="24"/>
          <w:lang w:eastAsia="en-GB"/>
        </w:rPr>
      </w:pPr>
      <w:hyperlink w:anchor="_Toc114500231" w:history="1">
        <w:r w:rsidR="00DB54AF" w:rsidRPr="00123153">
          <w:rPr>
            <w:rStyle w:val="Hyperlink"/>
            <w:lang w:val="en-GB"/>
          </w:rPr>
          <w:t>Full standardised care process</w:t>
        </w:r>
        <w:r w:rsidR="00DB54AF">
          <w:rPr>
            <w:webHidden/>
          </w:rPr>
          <w:tab/>
        </w:r>
        <w:r w:rsidR="00DB54AF">
          <w:rPr>
            <w:webHidden/>
          </w:rPr>
          <w:fldChar w:fldCharType="begin"/>
        </w:r>
        <w:r w:rsidR="00DB54AF">
          <w:rPr>
            <w:webHidden/>
          </w:rPr>
          <w:instrText xml:space="preserve"> PAGEREF _Toc114500231 \h </w:instrText>
        </w:r>
        <w:r w:rsidR="00DB54AF">
          <w:rPr>
            <w:webHidden/>
          </w:rPr>
        </w:r>
        <w:r w:rsidR="00DB54AF">
          <w:rPr>
            <w:webHidden/>
          </w:rPr>
          <w:fldChar w:fldCharType="separate"/>
        </w:r>
        <w:r w:rsidR="00DB54AF">
          <w:rPr>
            <w:webHidden/>
          </w:rPr>
          <w:t>6</w:t>
        </w:r>
        <w:r w:rsidR="00DB54AF">
          <w:rPr>
            <w:webHidden/>
          </w:rPr>
          <w:fldChar w:fldCharType="end"/>
        </w:r>
      </w:hyperlink>
    </w:p>
    <w:p w14:paraId="5AF09595" w14:textId="0760D00D" w:rsidR="00DB54AF" w:rsidRDefault="00000000">
      <w:pPr>
        <w:pStyle w:val="TOC2"/>
        <w:rPr>
          <w:rFonts w:asciiTheme="minorHAnsi" w:eastAsiaTheme="minorEastAsia" w:hAnsiTheme="minorHAnsi" w:cstheme="minorBidi"/>
          <w:sz w:val="24"/>
          <w:szCs w:val="24"/>
          <w:lang w:eastAsia="en-GB"/>
        </w:rPr>
      </w:pPr>
      <w:hyperlink w:anchor="_Toc114500232" w:history="1">
        <w:r w:rsidR="00DB54AF" w:rsidRPr="00123153">
          <w:rPr>
            <w:rStyle w:val="Hyperlink"/>
          </w:rPr>
          <w:t>Recognition</w:t>
        </w:r>
        <w:r w:rsidR="00DB54AF">
          <w:rPr>
            <w:webHidden/>
          </w:rPr>
          <w:tab/>
        </w:r>
        <w:r w:rsidR="00DB54AF">
          <w:rPr>
            <w:webHidden/>
          </w:rPr>
          <w:fldChar w:fldCharType="begin"/>
        </w:r>
        <w:r w:rsidR="00DB54AF">
          <w:rPr>
            <w:webHidden/>
          </w:rPr>
          <w:instrText xml:space="preserve"> PAGEREF _Toc114500232 \h </w:instrText>
        </w:r>
        <w:r w:rsidR="00DB54AF">
          <w:rPr>
            <w:webHidden/>
          </w:rPr>
        </w:r>
        <w:r w:rsidR="00DB54AF">
          <w:rPr>
            <w:webHidden/>
          </w:rPr>
          <w:fldChar w:fldCharType="separate"/>
        </w:r>
        <w:r w:rsidR="00DB54AF">
          <w:rPr>
            <w:webHidden/>
          </w:rPr>
          <w:t>6</w:t>
        </w:r>
        <w:r w:rsidR="00DB54AF">
          <w:rPr>
            <w:webHidden/>
          </w:rPr>
          <w:fldChar w:fldCharType="end"/>
        </w:r>
      </w:hyperlink>
    </w:p>
    <w:p w14:paraId="5AA76E23" w14:textId="50BFE23B" w:rsidR="00DB54AF" w:rsidRDefault="00000000">
      <w:pPr>
        <w:pStyle w:val="TOC2"/>
        <w:rPr>
          <w:rFonts w:asciiTheme="minorHAnsi" w:eastAsiaTheme="minorEastAsia" w:hAnsiTheme="minorHAnsi" w:cstheme="minorBidi"/>
          <w:sz w:val="24"/>
          <w:szCs w:val="24"/>
          <w:lang w:eastAsia="en-GB"/>
        </w:rPr>
      </w:pPr>
      <w:hyperlink w:anchor="_Toc114500233" w:history="1">
        <w:r w:rsidR="00DB54AF" w:rsidRPr="00123153">
          <w:rPr>
            <w:rStyle w:val="Hyperlink"/>
            <w:rFonts w:eastAsia="Times"/>
            <w:lang w:val="en-GB"/>
          </w:rPr>
          <w:t>Assessment</w:t>
        </w:r>
        <w:r w:rsidR="00DB54AF">
          <w:rPr>
            <w:webHidden/>
          </w:rPr>
          <w:tab/>
        </w:r>
        <w:r w:rsidR="00DB54AF">
          <w:rPr>
            <w:webHidden/>
          </w:rPr>
          <w:fldChar w:fldCharType="begin"/>
        </w:r>
        <w:r w:rsidR="00DB54AF">
          <w:rPr>
            <w:webHidden/>
          </w:rPr>
          <w:instrText xml:space="preserve"> PAGEREF _Toc114500233 \h </w:instrText>
        </w:r>
        <w:r w:rsidR="00DB54AF">
          <w:rPr>
            <w:webHidden/>
          </w:rPr>
        </w:r>
        <w:r w:rsidR="00DB54AF">
          <w:rPr>
            <w:webHidden/>
          </w:rPr>
          <w:fldChar w:fldCharType="separate"/>
        </w:r>
        <w:r w:rsidR="00DB54AF">
          <w:rPr>
            <w:webHidden/>
          </w:rPr>
          <w:t>6</w:t>
        </w:r>
        <w:r w:rsidR="00DB54AF">
          <w:rPr>
            <w:webHidden/>
          </w:rPr>
          <w:fldChar w:fldCharType="end"/>
        </w:r>
      </w:hyperlink>
    </w:p>
    <w:p w14:paraId="64391BF7" w14:textId="55646A26" w:rsidR="00DB54AF" w:rsidRDefault="00000000">
      <w:pPr>
        <w:pStyle w:val="TOC2"/>
        <w:rPr>
          <w:rFonts w:asciiTheme="minorHAnsi" w:eastAsiaTheme="minorEastAsia" w:hAnsiTheme="minorHAnsi" w:cstheme="minorBidi"/>
          <w:sz w:val="24"/>
          <w:szCs w:val="24"/>
          <w:lang w:eastAsia="en-GB"/>
        </w:rPr>
      </w:pPr>
      <w:hyperlink w:anchor="_Toc114500234" w:history="1">
        <w:r w:rsidR="00DB54AF" w:rsidRPr="00123153">
          <w:rPr>
            <w:rStyle w:val="Hyperlink"/>
            <w:lang w:val="en-GB" w:eastAsia="en-AU"/>
          </w:rPr>
          <w:t>Interventions</w:t>
        </w:r>
        <w:r w:rsidR="00DB54AF">
          <w:rPr>
            <w:webHidden/>
          </w:rPr>
          <w:tab/>
        </w:r>
        <w:r w:rsidR="00DB54AF">
          <w:rPr>
            <w:webHidden/>
          </w:rPr>
          <w:fldChar w:fldCharType="begin"/>
        </w:r>
        <w:r w:rsidR="00DB54AF">
          <w:rPr>
            <w:webHidden/>
          </w:rPr>
          <w:instrText xml:space="preserve"> PAGEREF _Toc114500234 \h </w:instrText>
        </w:r>
        <w:r w:rsidR="00DB54AF">
          <w:rPr>
            <w:webHidden/>
          </w:rPr>
        </w:r>
        <w:r w:rsidR="00DB54AF">
          <w:rPr>
            <w:webHidden/>
          </w:rPr>
          <w:fldChar w:fldCharType="separate"/>
        </w:r>
        <w:r w:rsidR="00DB54AF">
          <w:rPr>
            <w:webHidden/>
          </w:rPr>
          <w:t>7</w:t>
        </w:r>
        <w:r w:rsidR="00DB54AF">
          <w:rPr>
            <w:webHidden/>
          </w:rPr>
          <w:fldChar w:fldCharType="end"/>
        </w:r>
      </w:hyperlink>
    </w:p>
    <w:p w14:paraId="7DF2B81B" w14:textId="58A7FDC9" w:rsidR="00DB54AF" w:rsidRDefault="00000000">
      <w:pPr>
        <w:pStyle w:val="TOC2"/>
        <w:rPr>
          <w:rFonts w:asciiTheme="minorHAnsi" w:eastAsiaTheme="minorEastAsia" w:hAnsiTheme="minorHAnsi" w:cstheme="minorBidi"/>
          <w:sz w:val="24"/>
          <w:szCs w:val="24"/>
          <w:lang w:eastAsia="en-GB"/>
        </w:rPr>
      </w:pPr>
      <w:hyperlink w:anchor="_Toc114500235" w:history="1">
        <w:r w:rsidR="00DB54AF" w:rsidRPr="00123153">
          <w:rPr>
            <w:rStyle w:val="Hyperlink"/>
            <w:lang w:val="en-GB" w:eastAsia="en-AU"/>
          </w:rPr>
          <w:t>Referral</w:t>
        </w:r>
        <w:r w:rsidR="00DB54AF">
          <w:rPr>
            <w:webHidden/>
          </w:rPr>
          <w:tab/>
        </w:r>
        <w:r w:rsidR="00DB54AF">
          <w:rPr>
            <w:webHidden/>
          </w:rPr>
          <w:fldChar w:fldCharType="begin"/>
        </w:r>
        <w:r w:rsidR="00DB54AF">
          <w:rPr>
            <w:webHidden/>
          </w:rPr>
          <w:instrText xml:space="preserve"> PAGEREF _Toc114500235 \h </w:instrText>
        </w:r>
        <w:r w:rsidR="00DB54AF">
          <w:rPr>
            <w:webHidden/>
          </w:rPr>
        </w:r>
        <w:r w:rsidR="00DB54AF">
          <w:rPr>
            <w:webHidden/>
          </w:rPr>
          <w:fldChar w:fldCharType="separate"/>
        </w:r>
        <w:r w:rsidR="00DB54AF">
          <w:rPr>
            <w:webHidden/>
          </w:rPr>
          <w:t>10</w:t>
        </w:r>
        <w:r w:rsidR="00DB54AF">
          <w:rPr>
            <w:webHidden/>
          </w:rPr>
          <w:fldChar w:fldCharType="end"/>
        </w:r>
      </w:hyperlink>
    </w:p>
    <w:p w14:paraId="638DDACB" w14:textId="6C146C66" w:rsidR="00DB54AF" w:rsidRDefault="00000000">
      <w:pPr>
        <w:pStyle w:val="TOC2"/>
        <w:rPr>
          <w:rFonts w:asciiTheme="minorHAnsi" w:eastAsiaTheme="minorEastAsia" w:hAnsiTheme="minorHAnsi" w:cstheme="minorBidi"/>
          <w:sz w:val="24"/>
          <w:szCs w:val="24"/>
          <w:lang w:eastAsia="en-GB"/>
        </w:rPr>
      </w:pPr>
      <w:hyperlink w:anchor="_Toc114500236" w:history="1">
        <w:r w:rsidR="00DB54AF" w:rsidRPr="00123153">
          <w:rPr>
            <w:rStyle w:val="Hyperlink"/>
            <w:lang w:val="en-GB" w:eastAsia="en-AU"/>
          </w:rPr>
          <w:t>Evaluation and reassessment</w:t>
        </w:r>
        <w:r w:rsidR="00DB54AF">
          <w:rPr>
            <w:webHidden/>
          </w:rPr>
          <w:tab/>
        </w:r>
        <w:r w:rsidR="00DB54AF">
          <w:rPr>
            <w:webHidden/>
          </w:rPr>
          <w:fldChar w:fldCharType="begin"/>
        </w:r>
        <w:r w:rsidR="00DB54AF">
          <w:rPr>
            <w:webHidden/>
          </w:rPr>
          <w:instrText xml:space="preserve"> PAGEREF _Toc114500236 \h </w:instrText>
        </w:r>
        <w:r w:rsidR="00DB54AF">
          <w:rPr>
            <w:webHidden/>
          </w:rPr>
        </w:r>
        <w:r w:rsidR="00DB54AF">
          <w:rPr>
            <w:webHidden/>
          </w:rPr>
          <w:fldChar w:fldCharType="separate"/>
        </w:r>
        <w:r w:rsidR="00DB54AF">
          <w:rPr>
            <w:webHidden/>
          </w:rPr>
          <w:t>10</w:t>
        </w:r>
        <w:r w:rsidR="00DB54AF">
          <w:rPr>
            <w:webHidden/>
          </w:rPr>
          <w:fldChar w:fldCharType="end"/>
        </w:r>
      </w:hyperlink>
    </w:p>
    <w:p w14:paraId="540F88AB" w14:textId="5F592DD4" w:rsidR="00DB54AF" w:rsidRDefault="00000000">
      <w:pPr>
        <w:pStyle w:val="TOC2"/>
        <w:rPr>
          <w:rFonts w:asciiTheme="minorHAnsi" w:eastAsiaTheme="minorEastAsia" w:hAnsiTheme="minorHAnsi" w:cstheme="minorBidi"/>
          <w:sz w:val="24"/>
          <w:szCs w:val="24"/>
          <w:lang w:eastAsia="en-GB"/>
        </w:rPr>
      </w:pPr>
      <w:hyperlink w:anchor="_Toc114500237" w:history="1">
        <w:r w:rsidR="00DB54AF" w:rsidRPr="00123153">
          <w:rPr>
            <w:rStyle w:val="Hyperlink"/>
            <w:lang w:val="en-GB" w:eastAsia="en-AU"/>
          </w:rPr>
          <w:t>Resident involvement</w:t>
        </w:r>
        <w:r w:rsidR="00DB54AF">
          <w:rPr>
            <w:webHidden/>
          </w:rPr>
          <w:tab/>
        </w:r>
        <w:r w:rsidR="00DB54AF">
          <w:rPr>
            <w:webHidden/>
          </w:rPr>
          <w:fldChar w:fldCharType="begin"/>
        </w:r>
        <w:r w:rsidR="00DB54AF">
          <w:rPr>
            <w:webHidden/>
          </w:rPr>
          <w:instrText xml:space="preserve"> PAGEREF _Toc114500237 \h </w:instrText>
        </w:r>
        <w:r w:rsidR="00DB54AF">
          <w:rPr>
            <w:webHidden/>
          </w:rPr>
        </w:r>
        <w:r w:rsidR="00DB54AF">
          <w:rPr>
            <w:webHidden/>
          </w:rPr>
          <w:fldChar w:fldCharType="separate"/>
        </w:r>
        <w:r w:rsidR="00DB54AF">
          <w:rPr>
            <w:webHidden/>
          </w:rPr>
          <w:t>10</w:t>
        </w:r>
        <w:r w:rsidR="00DB54AF">
          <w:rPr>
            <w:webHidden/>
          </w:rPr>
          <w:fldChar w:fldCharType="end"/>
        </w:r>
      </w:hyperlink>
    </w:p>
    <w:p w14:paraId="72FAE9AD" w14:textId="6FFD61EA" w:rsidR="00DB54AF" w:rsidRDefault="00000000">
      <w:pPr>
        <w:pStyle w:val="TOC2"/>
        <w:rPr>
          <w:rFonts w:asciiTheme="minorHAnsi" w:eastAsiaTheme="minorEastAsia" w:hAnsiTheme="minorHAnsi" w:cstheme="minorBidi"/>
          <w:sz w:val="24"/>
          <w:szCs w:val="24"/>
          <w:lang w:eastAsia="en-GB"/>
        </w:rPr>
      </w:pPr>
      <w:hyperlink w:anchor="_Toc114500238" w:history="1">
        <w:r w:rsidR="00DB54AF" w:rsidRPr="00123153">
          <w:rPr>
            <w:rStyle w:val="Hyperlink"/>
            <w:lang w:val="en-GB" w:eastAsia="en-AU"/>
          </w:rPr>
          <w:t>Staff knowledge and education</w:t>
        </w:r>
        <w:r w:rsidR="00DB54AF">
          <w:rPr>
            <w:webHidden/>
          </w:rPr>
          <w:tab/>
        </w:r>
        <w:r w:rsidR="00DB54AF">
          <w:rPr>
            <w:webHidden/>
          </w:rPr>
          <w:fldChar w:fldCharType="begin"/>
        </w:r>
        <w:r w:rsidR="00DB54AF">
          <w:rPr>
            <w:webHidden/>
          </w:rPr>
          <w:instrText xml:space="preserve"> PAGEREF _Toc114500238 \h </w:instrText>
        </w:r>
        <w:r w:rsidR="00DB54AF">
          <w:rPr>
            <w:webHidden/>
          </w:rPr>
        </w:r>
        <w:r w:rsidR="00DB54AF">
          <w:rPr>
            <w:webHidden/>
          </w:rPr>
          <w:fldChar w:fldCharType="separate"/>
        </w:r>
        <w:r w:rsidR="00DB54AF">
          <w:rPr>
            <w:webHidden/>
          </w:rPr>
          <w:t>10</w:t>
        </w:r>
        <w:r w:rsidR="00DB54AF">
          <w:rPr>
            <w:webHidden/>
          </w:rPr>
          <w:fldChar w:fldCharType="end"/>
        </w:r>
      </w:hyperlink>
    </w:p>
    <w:p w14:paraId="1EE37EB9" w14:textId="23E3968F" w:rsidR="00DB54AF" w:rsidRDefault="00000000">
      <w:pPr>
        <w:pStyle w:val="TOC1"/>
        <w:rPr>
          <w:rFonts w:asciiTheme="minorHAnsi" w:eastAsiaTheme="minorEastAsia" w:hAnsiTheme="minorHAnsi" w:cstheme="minorBidi"/>
          <w:b w:val="0"/>
          <w:sz w:val="24"/>
          <w:szCs w:val="24"/>
          <w:lang w:eastAsia="en-GB"/>
        </w:rPr>
      </w:pPr>
      <w:hyperlink w:anchor="_Toc114500239" w:history="1">
        <w:r w:rsidR="00DB54AF" w:rsidRPr="00123153">
          <w:rPr>
            <w:rStyle w:val="Hyperlink"/>
          </w:rPr>
          <w:t>Evidence base</w:t>
        </w:r>
        <w:r w:rsidR="00DB54AF">
          <w:rPr>
            <w:webHidden/>
          </w:rPr>
          <w:tab/>
        </w:r>
        <w:r w:rsidR="00DB54AF">
          <w:rPr>
            <w:webHidden/>
          </w:rPr>
          <w:fldChar w:fldCharType="begin"/>
        </w:r>
        <w:r w:rsidR="00DB54AF">
          <w:rPr>
            <w:webHidden/>
          </w:rPr>
          <w:instrText xml:space="preserve"> PAGEREF _Toc114500239 \h </w:instrText>
        </w:r>
        <w:r w:rsidR="00DB54AF">
          <w:rPr>
            <w:webHidden/>
          </w:rPr>
        </w:r>
        <w:r w:rsidR="00DB54AF">
          <w:rPr>
            <w:webHidden/>
          </w:rPr>
          <w:fldChar w:fldCharType="separate"/>
        </w:r>
        <w:r w:rsidR="00DB54AF">
          <w:rPr>
            <w:webHidden/>
          </w:rPr>
          <w:t>12</w:t>
        </w:r>
        <w:r w:rsidR="00DB54AF">
          <w:rPr>
            <w:webHidden/>
          </w:rPr>
          <w:fldChar w:fldCharType="end"/>
        </w:r>
      </w:hyperlink>
    </w:p>
    <w:p w14:paraId="7180B8A5" w14:textId="18812FD7"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4500219"/>
      <w:r w:rsidRPr="004D1DA0">
        <w:lastRenderedPageBreak/>
        <w:t>Objective</w:t>
      </w:r>
      <w:bookmarkEnd w:id="1"/>
    </w:p>
    <w:p w14:paraId="408824EC" w14:textId="54591357" w:rsidR="008B0A3C" w:rsidRDefault="008B0A3C" w:rsidP="008B0A3C">
      <w:pPr>
        <w:pStyle w:val="Body"/>
      </w:pPr>
      <w:r>
        <w:t>To promote an evidence-based approach to the care for older people living in a residential care setting during the actively dying stage.</w:t>
      </w:r>
    </w:p>
    <w:p w14:paraId="1DAB7EA1" w14:textId="4A109CE3" w:rsidR="000A5966" w:rsidRPr="000A5966" w:rsidRDefault="000A5966" w:rsidP="00A41997">
      <w:pPr>
        <w:pStyle w:val="Heading2"/>
      </w:pPr>
      <w:bookmarkStart w:id="2" w:name="_Toc114500220"/>
      <w:r w:rsidRPr="000A5966">
        <w:t xml:space="preserve">Why </w:t>
      </w:r>
      <w:r w:rsidR="008B0A3C" w:rsidRPr="008B0A3C">
        <w:rPr>
          <w:bCs/>
          <w:lang w:val="en-GB"/>
        </w:rPr>
        <w:t xml:space="preserve">the response to the actively dying stage is </w:t>
      </w:r>
      <w:proofErr w:type="gramStart"/>
      <w:r w:rsidR="008B0A3C" w:rsidRPr="008B0A3C">
        <w:rPr>
          <w:bCs/>
          <w:lang w:val="en-GB"/>
        </w:rPr>
        <w:t>important</w:t>
      </w:r>
      <w:bookmarkEnd w:id="2"/>
      <w:proofErr w:type="gramEnd"/>
    </w:p>
    <w:p w14:paraId="3FF2D2FC" w14:textId="4F4AF796" w:rsidR="008B0A3C" w:rsidRDefault="008B0A3C" w:rsidP="008B0A3C">
      <w:pPr>
        <w:pStyle w:val="Body"/>
      </w:pPr>
      <w:r>
        <w:t>The last days and hours of a resident’s life require an individualised approach so that a ‘good death’ is experienced. The care team must be able to recognise when the resident has entered the active period of dying (RNAO 20</w:t>
      </w:r>
      <w:r w:rsidR="007F28A2">
        <w:t>22</w:t>
      </w:r>
      <w:r>
        <w:t>).</w:t>
      </w:r>
    </w:p>
    <w:p w14:paraId="6194E00B" w14:textId="77777777" w:rsidR="008B0A3C" w:rsidRDefault="008B0A3C" w:rsidP="008B0A3C">
      <w:pPr>
        <w:pStyle w:val="Body"/>
      </w:pPr>
      <w:r>
        <w:t>The goals of end-of-life care are to:</w:t>
      </w:r>
    </w:p>
    <w:p w14:paraId="2763DF50" w14:textId="319A2809" w:rsidR="008B0A3C" w:rsidRDefault="008B0A3C" w:rsidP="008B0A3C">
      <w:pPr>
        <w:pStyle w:val="Bullet1"/>
      </w:pPr>
      <w:r>
        <w:t xml:space="preserve">minimise distress and suffering for the dying resident, their family and </w:t>
      </w:r>
      <w:proofErr w:type="gramStart"/>
      <w:r>
        <w:t>carers</w:t>
      </w:r>
      <w:proofErr w:type="gramEnd"/>
    </w:p>
    <w:p w14:paraId="3D7AC752" w14:textId="2309C21B" w:rsidR="008B0A3C" w:rsidRDefault="008B0A3C" w:rsidP="008B0A3C">
      <w:pPr>
        <w:pStyle w:val="Bullet1"/>
      </w:pPr>
      <w:r>
        <w:t xml:space="preserve">provide comfort through the best pain and symptom control </w:t>
      </w:r>
      <w:proofErr w:type="gramStart"/>
      <w:r>
        <w:t>possible</w:t>
      </w:r>
      <w:proofErr w:type="gramEnd"/>
    </w:p>
    <w:p w14:paraId="2A3D64AA" w14:textId="653BE239" w:rsidR="008B0A3C" w:rsidRDefault="008B0A3C" w:rsidP="008B0A3C">
      <w:pPr>
        <w:pStyle w:val="Bullet1"/>
      </w:pPr>
      <w:r>
        <w:t xml:space="preserve">provide spiritual and emotional </w:t>
      </w:r>
      <w:proofErr w:type="gramStart"/>
      <w:r>
        <w:t>support</w:t>
      </w:r>
      <w:proofErr w:type="gramEnd"/>
    </w:p>
    <w:p w14:paraId="104B995D" w14:textId="6FEDE366" w:rsidR="008B0A3C" w:rsidRDefault="008B0A3C" w:rsidP="008B0A3C">
      <w:pPr>
        <w:pStyle w:val="Bullet1"/>
      </w:pPr>
      <w:r>
        <w:t xml:space="preserve">provide culturally appropriate </w:t>
      </w:r>
      <w:proofErr w:type="gramStart"/>
      <w:r>
        <w:t>care</w:t>
      </w:r>
      <w:proofErr w:type="gramEnd"/>
    </w:p>
    <w:p w14:paraId="3F4742D3" w14:textId="033BBC36" w:rsidR="008B0A3C" w:rsidRDefault="008B0A3C" w:rsidP="008B0A3C">
      <w:pPr>
        <w:pStyle w:val="Bullet1"/>
      </w:pPr>
      <w:r>
        <w:t xml:space="preserve">provide information and </w:t>
      </w:r>
      <w:proofErr w:type="gramStart"/>
      <w:r>
        <w:t>support</w:t>
      </w:r>
      <w:proofErr w:type="gramEnd"/>
    </w:p>
    <w:p w14:paraId="2BDB81C7" w14:textId="70EB5473" w:rsidR="008B0A3C" w:rsidRDefault="008B0A3C" w:rsidP="008B0A3C">
      <w:pPr>
        <w:pStyle w:val="Bullet1"/>
      </w:pPr>
      <w:r>
        <w:t xml:space="preserve">preserve </w:t>
      </w:r>
      <w:proofErr w:type="gramStart"/>
      <w:r>
        <w:t>dignity</w:t>
      </w:r>
      <w:proofErr w:type="gramEnd"/>
    </w:p>
    <w:p w14:paraId="1F0E8311" w14:textId="00EFF202" w:rsidR="008B0A3C" w:rsidRDefault="008B0A3C" w:rsidP="008B0A3C">
      <w:pPr>
        <w:pStyle w:val="Bullet1"/>
      </w:pPr>
      <w:r>
        <w:t>support choice and respect the resident’s wishes.</w:t>
      </w:r>
    </w:p>
    <w:p w14:paraId="7C5CA9D0" w14:textId="77777777" w:rsidR="00836BA1" w:rsidRDefault="00836BA1" w:rsidP="00836BA1">
      <w:pPr>
        <w:pStyle w:val="Heading2"/>
        <w:rPr>
          <w:lang w:val="en-GB" w:eastAsia="en-AU"/>
        </w:rPr>
      </w:pPr>
      <w:bookmarkStart w:id="3" w:name="_Toc114500221"/>
      <w:r>
        <w:rPr>
          <w:lang w:val="en-GB" w:eastAsia="en-AU"/>
        </w:rPr>
        <w:t>Definitions</w:t>
      </w:r>
      <w:bookmarkEnd w:id="3"/>
    </w:p>
    <w:p w14:paraId="0589D858" w14:textId="77777777" w:rsidR="008B0A3C" w:rsidRPr="008B0A3C" w:rsidRDefault="008B0A3C" w:rsidP="008B0A3C">
      <w:pPr>
        <w:pStyle w:val="Body"/>
      </w:pPr>
      <w:r w:rsidRPr="008B0A3C">
        <w:t>Note: Varied definitions of ‘end of life’ are used. In Victoria, Australia, the following definitions apply, with this standardised care process relating to the ‘actively dying’ phase of end of life.</w:t>
      </w:r>
    </w:p>
    <w:p w14:paraId="143D4F3C" w14:textId="77777777" w:rsidR="008B0A3C" w:rsidRPr="008B0A3C" w:rsidRDefault="008B0A3C" w:rsidP="008B0A3C">
      <w:pPr>
        <w:pStyle w:val="Body"/>
      </w:pPr>
      <w:r w:rsidRPr="008B0A3C">
        <w:rPr>
          <w:b/>
          <w:bCs/>
        </w:rPr>
        <w:t>Altered breathing patterns:</w:t>
      </w:r>
      <w:r w:rsidRPr="008B0A3C">
        <w:t xml:space="preserve"> as the person approaches death their pattern of breathing will often change; alterations in the breathing pattern may range from slow to rapid to irregular (</w:t>
      </w:r>
      <w:proofErr w:type="spellStart"/>
      <w:r w:rsidRPr="008B0A3C">
        <w:t>eTG</w:t>
      </w:r>
      <w:proofErr w:type="spellEnd"/>
      <w:r w:rsidRPr="008B0A3C">
        <w:t xml:space="preserve"> 2016).</w:t>
      </w:r>
    </w:p>
    <w:p w14:paraId="0F156B2B" w14:textId="217226E7" w:rsidR="008B0A3C" w:rsidRPr="008B0A3C" w:rsidRDefault="008B0A3C" w:rsidP="008B0A3C">
      <w:pPr>
        <w:pStyle w:val="Body"/>
      </w:pPr>
      <w:r w:rsidRPr="008B0A3C">
        <w:rPr>
          <w:b/>
          <w:bCs/>
        </w:rPr>
        <w:t>Delirium:</w:t>
      </w:r>
      <w:r w:rsidRPr="008B0A3C">
        <w:t xml:space="preserve"> also known as agitation or terminal restlessness. A mental disturbance characterised by confusion disordered speech and hallucinations (RNAO 20</w:t>
      </w:r>
      <w:r w:rsidR="007F28A2">
        <w:t>22</w:t>
      </w:r>
      <w:r w:rsidRPr="008B0A3C">
        <w:t>). The person may exhibit restlessness and seem unable to find a comfortable position. They may try to get out of bed, pluck at the sheets or the air, groan, or speak incoherently (</w:t>
      </w:r>
      <w:proofErr w:type="spellStart"/>
      <w:r w:rsidRPr="008B0A3C">
        <w:t>eTG</w:t>
      </w:r>
      <w:proofErr w:type="spellEnd"/>
      <w:r w:rsidRPr="008B0A3C">
        <w:t xml:space="preserve"> 2016). This Is very common with a prevalence of up to 80% at the end of life in palliative care (</w:t>
      </w:r>
      <w:proofErr w:type="spellStart"/>
      <w:r w:rsidRPr="008B0A3C">
        <w:t>CareSearch</w:t>
      </w:r>
      <w:proofErr w:type="spellEnd"/>
      <w:r w:rsidRPr="008B0A3C">
        <w:t xml:space="preserve"> 2020).</w:t>
      </w:r>
    </w:p>
    <w:p w14:paraId="43BD1734" w14:textId="77777777" w:rsidR="008B0A3C" w:rsidRPr="008B0A3C" w:rsidRDefault="008B0A3C" w:rsidP="008B0A3C">
      <w:pPr>
        <w:pStyle w:val="Body"/>
      </w:pPr>
      <w:r w:rsidRPr="008B0A3C">
        <w:rPr>
          <w:b/>
          <w:bCs/>
        </w:rPr>
        <w:t>Dying, actively dying or terminal phase</w:t>
      </w:r>
      <w:r w:rsidRPr="008B0A3C">
        <w:t xml:space="preserve">: where death is imminent and likely to occur within hours or days or, occasionally, weeks (ACSQHC 2015; </w:t>
      </w:r>
      <w:proofErr w:type="spellStart"/>
      <w:r w:rsidRPr="008B0A3C">
        <w:t>CareSearch</w:t>
      </w:r>
      <w:proofErr w:type="spellEnd"/>
      <w:r w:rsidRPr="008B0A3C">
        <w:t xml:space="preserve"> 2020; </w:t>
      </w:r>
      <w:proofErr w:type="spellStart"/>
      <w:r w:rsidRPr="008B0A3C">
        <w:t>eTG</w:t>
      </w:r>
      <w:proofErr w:type="spellEnd"/>
      <w:r w:rsidRPr="008B0A3C">
        <w:t xml:space="preserve"> 2016).</w:t>
      </w:r>
    </w:p>
    <w:p w14:paraId="483003C7" w14:textId="77777777" w:rsidR="008B0A3C" w:rsidRPr="008B0A3C" w:rsidRDefault="008B0A3C" w:rsidP="008B0A3C">
      <w:pPr>
        <w:pStyle w:val="Body"/>
      </w:pPr>
      <w:r w:rsidRPr="008B0A3C">
        <w:rPr>
          <w:b/>
          <w:bCs/>
        </w:rPr>
        <w:t>Dyspnoea</w:t>
      </w:r>
      <w:r w:rsidRPr="008B0A3C">
        <w:t>: a subjective symptom characterised by difficulty or laboured breathing, air hunger or shortness of breath (RNAO 2011). Up to 70% of people referred to palliative care experience dyspnoea (</w:t>
      </w:r>
      <w:proofErr w:type="spellStart"/>
      <w:r w:rsidRPr="008B0A3C">
        <w:t>CareSearch</w:t>
      </w:r>
      <w:proofErr w:type="spellEnd"/>
      <w:r w:rsidRPr="008B0A3C">
        <w:t xml:space="preserve"> 2020).</w:t>
      </w:r>
    </w:p>
    <w:p w14:paraId="750DB39E" w14:textId="77777777" w:rsidR="008B0A3C" w:rsidRPr="008B0A3C" w:rsidRDefault="008B0A3C" w:rsidP="008B0A3C">
      <w:pPr>
        <w:pStyle w:val="Body"/>
      </w:pPr>
      <w:r w:rsidRPr="008B0A3C">
        <w:rPr>
          <w:b/>
          <w:bCs/>
        </w:rPr>
        <w:t>End of life</w:t>
      </w:r>
      <w:r w:rsidRPr="008B0A3C">
        <w:t>: when death is expected to occur within the next 12 months. This includes people whose death is imminent and expected within hours or days (Australian Government 2018; Department of Health and Human Services Victoria 2016; RNAO 2020; Sax Institute 2017).</w:t>
      </w:r>
    </w:p>
    <w:p w14:paraId="436B295C" w14:textId="77777777" w:rsidR="008B0A3C" w:rsidRPr="008B0A3C" w:rsidRDefault="008B0A3C" w:rsidP="008B0A3C">
      <w:pPr>
        <w:pStyle w:val="Body"/>
      </w:pPr>
      <w:r w:rsidRPr="008B0A3C">
        <w:rPr>
          <w:b/>
          <w:bCs/>
        </w:rPr>
        <w:t>End-of-life care</w:t>
      </w:r>
      <w:r w:rsidRPr="008B0A3C">
        <w:t>: the care delivered to people with progressive, incurable illness to live as well as possible until they die. It allows the supportive and palliative care needs of both the resident and their family/carer to be identified and met using the palliative approach to care for approximately the last 12 months of life (Australian Government 2018; Department of Health and Human Services Victoria 2016).</w:t>
      </w:r>
    </w:p>
    <w:p w14:paraId="011E8D5C" w14:textId="77777777" w:rsidR="008B0A3C" w:rsidRPr="008B0A3C" w:rsidRDefault="008B0A3C" w:rsidP="008B0A3C">
      <w:pPr>
        <w:pStyle w:val="Body"/>
      </w:pPr>
      <w:r w:rsidRPr="008B0A3C">
        <w:rPr>
          <w:b/>
          <w:bCs/>
        </w:rPr>
        <w:t>Palliative approach</w:t>
      </w:r>
      <w:r w:rsidRPr="008B0A3C">
        <w:t>: an approach to treatment that improves the quality of life of residents facing life-limiting illness by preventing and relieving suffering. It involves early identification, and impeccable assessment and treatment of, pain and other problems including physical, psychosocial and spiritual problems (ASQHC 2015; Australian Government 2018; Department of Health and Human Services Victoria 2016).</w:t>
      </w:r>
    </w:p>
    <w:p w14:paraId="0C21BB39" w14:textId="77777777" w:rsidR="008B0A3C" w:rsidRDefault="008B0A3C" w:rsidP="008B0A3C">
      <w:pPr>
        <w:pStyle w:val="Body"/>
      </w:pPr>
      <w:r>
        <w:rPr>
          <w:b/>
          <w:bCs/>
        </w:rPr>
        <w:lastRenderedPageBreak/>
        <w:t>Respiratory tract secretions</w:t>
      </w:r>
      <w:r>
        <w:t xml:space="preserve">: pooling of secretions in the throat which results in repetitive noisy breathing. Caused by the person's Inability to cough effectively or to swallow </w:t>
      </w:r>
      <w:proofErr w:type="gramStart"/>
      <w:r>
        <w:t>in order to</w:t>
      </w:r>
      <w:proofErr w:type="gramEnd"/>
      <w:r>
        <w:t xml:space="preserve"> clear secretions from the oropharynx or trachea (</w:t>
      </w:r>
      <w:proofErr w:type="spellStart"/>
      <w:r>
        <w:t>eTG</w:t>
      </w:r>
      <w:proofErr w:type="spellEnd"/>
      <w:r>
        <w:t xml:space="preserve"> 2016). </w:t>
      </w:r>
    </w:p>
    <w:p w14:paraId="3B25EE59" w14:textId="0518210D" w:rsidR="008B0A3C" w:rsidRDefault="008B0A3C" w:rsidP="008B0A3C">
      <w:pPr>
        <w:pStyle w:val="Body"/>
      </w:pPr>
      <w:r>
        <w:rPr>
          <w:b/>
          <w:bCs/>
        </w:rPr>
        <w:t>Terminal restlessness:</w:t>
      </w:r>
      <w:r>
        <w:t xml:space="preserve"> an agitated delirium that occurs in some people during the last few days of life (WA Cancer &amp; Palliative Care Network 2011).</w:t>
      </w:r>
    </w:p>
    <w:p w14:paraId="7DD66F3E" w14:textId="6BDDE84E" w:rsidR="00AF35C5" w:rsidRPr="00AF35C5" w:rsidRDefault="00AF35C5" w:rsidP="008B0A3C">
      <w:pPr>
        <w:pStyle w:val="Heading2"/>
      </w:pPr>
      <w:bookmarkStart w:id="4" w:name="_Toc114500222"/>
      <w:r w:rsidRPr="00AF35C5">
        <w:t>Team</w:t>
      </w:r>
      <w:bookmarkEnd w:id="4"/>
    </w:p>
    <w:p w14:paraId="4A040DB9" w14:textId="719F8E78" w:rsidR="000A5966" w:rsidRDefault="000A5966" w:rsidP="000A5966">
      <w:pPr>
        <w:pStyle w:val="Body"/>
      </w:pPr>
      <w:r>
        <w:t xml:space="preserve">Manager, registered nurses (RNs), enrolled nurses (ENs), personal care attendants (PCAs), leisure and lifestyle staff, general practitioner (GP), allied health professionals, residents and/or family or carers. </w:t>
      </w:r>
    </w:p>
    <w:p w14:paraId="1E343488" w14:textId="77777777" w:rsidR="00AF35C5" w:rsidRPr="00AF35C5" w:rsidRDefault="00AF35C5" w:rsidP="00AF35C5">
      <w:pPr>
        <w:pStyle w:val="Heading2"/>
      </w:pPr>
      <w:bookmarkStart w:id="5" w:name="_Toc114500223"/>
      <w:r w:rsidRPr="00AF35C5">
        <w:t>Acknowledgement</w:t>
      </w:r>
      <w:bookmarkEnd w:id="5"/>
    </w:p>
    <w:p w14:paraId="2D77439A" w14:textId="6A9980F7" w:rsidR="00836BA1" w:rsidRDefault="00AF35C5" w:rsidP="00AF35C5">
      <w:pPr>
        <w:pStyle w:val="Body"/>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7F28A2">
        <w:rPr>
          <w:lang w:val="en-GB" w:eastAsia="en-AU"/>
        </w:rPr>
        <w:t>3</w:t>
      </w:r>
      <w:r>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4500224"/>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4500225"/>
      <w:r>
        <w:rPr>
          <w:lang w:val="en-GB" w:eastAsia="en-AU"/>
        </w:rPr>
        <w:t>Recognition and assessment</w:t>
      </w:r>
      <w:bookmarkEnd w:id="7"/>
    </w:p>
    <w:p w14:paraId="5CDD6D26" w14:textId="34BCC078" w:rsidR="00EF698C" w:rsidRDefault="00EF698C" w:rsidP="00EF698C">
      <w:pPr>
        <w:pStyle w:val="Bullet1"/>
      </w:pPr>
      <w:r>
        <w:t>Recognise the common signs of the active phase of dying.</w:t>
      </w:r>
    </w:p>
    <w:p w14:paraId="35B12E4F" w14:textId="08101576" w:rsidR="00EF698C" w:rsidRDefault="00EF698C" w:rsidP="00EF698C">
      <w:pPr>
        <w:pStyle w:val="Bullet1"/>
      </w:pPr>
      <w:r>
        <w:t>Rule out deterioration due to reversible causes.</w:t>
      </w:r>
    </w:p>
    <w:p w14:paraId="694A6EEE" w14:textId="56893BDF" w:rsidR="00EF698C" w:rsidRDefault="00EF698C" w:rsidP="00EF698C">
      <w:pPr>
        <w:pStyle w:val="Bullet1"/>
      </w:pPr>
      <w:r>
        <w:t>Where there is an affirmative answer to the key prognostic question:</w:t>
      </w:r>
      <w:r>
        <w:rPr>
          <w:i/>
          <w:iCs/>
        </w:rPr>
        <w:t xml:space="preserve"> Would it be surprising if the resident were to die within the next few hours or days?</w:t>
      </w:r>
      <w:r>
        <w:t xml:space="preserve"> </w:t>
      </w:r>
    </w:p>
    <w:p w14:paraId="678E7F51" w14:textId="77777777" w:rsidR="00EF698C" w:rsidRPr="003A4CBF" w:rsidRDefault="00EF698C" w:rsidP="00EF698C">
      <w:pPr>
        <w:pStyle w:val="Bullet1"/>
      </w:pPr>
      <w:r>
        <w:t>Conduct</w:t>
      </w:r>
      <w:r w:rsidRPr="003A4CBF">
        <w:t xml:space="preserve"> a comprehensive assessment to establish the resident’s end-of-life plan of care.</w:t>
      </w:r>
    </w:p>
    <w:p w14:paraId="60B744FA" w14:textId="2445171F" w:rsidR="00EF698C" w:rsidRDefault="00EF698C" w:rsidP="00EF698C">
      <w:pPr>
        <w:pStyle w:val="Bullet1"/>
      </w:pPr>
      <w:r>
        <w:t>Document the assessment and its outcomes and communicate them to the care team.</w:t>
      </w:r>
    </w:p>
    <w:p w14:paraId="306B2FB0" w14:textId="77777777" w:rsidR="002C117D" w:rsidRDefault="002C117D" w:rsidP="002C117D">
      <w:pPr>
        <w:pStyle w:val="Heading2"/>
        <w:rPr>
          <w:lang w:val="en-GB" w:eastAsia="en-AU"/>
        </w:rPr>
      </w:pPr>
      <w:bookmarkStart w:id="8" w:name="_Toc114500226"/>
      <w:r>
        <w:rPr>
          <w:lang w:val="en-GB" w:eastAsia="en-AU"/>
        </w:rPr>
        <w:t>Interventions</w:t>
      </w:r>
      <w:bookmarkEnd w:id="8"/>
    </w:p>
    <w:p w14:paraId="44554960" w14:textId="07ED25FB" w:rsidR="00EF698C" w:rsidRDefault="00EF698C" w:rsidP="00EF698C">
      <w:pPr>
        <w:pStyle w:val="Bullet1"/>
      </w:pPr>
      <w:r>
        <w:t>Review and address the resident’s advance care plan and/or the resident’s goals of care.</w:t>
      </w:r>
    </w:p>
    <w:p w14:paraId="16ECC7A3" w14:textId="5C35090C" w:rsidR="00EF698C" w:rsidRDefault="00EF698C" w:rsidP="00EF698C">
      <w:pPr>
        <w:pStyle w:val="Bullet1"/>
      </w:pPr>
      <w:r>
        <w:t>Maintain effective communication strategies with the resident, family/carer and care team.</w:t>
      </w:r>
    </w:p>
    <w:p w14:paraId="14B370F0" w14:textId="64DD20F3" w:rsidR="00EF698C" w:rsidRDefault="00EF698C" w:rsidP="00EF698C">
      <w:pPr>
        <w:pStyle w:val="Bullet1"/>
      </w:pPr>
      <w:r>
        <w:t>Cease unnecessary interventions.</w:t>
      </w:r>
    </w:p>
    <w:p w14:paraId="43006DEC" w14:textId="21B6FD42" w:rsidR="00EF698C" w:rsidRDefault="00EF698C" w:rsidP="00EF698C">
      <w:pPr>
        <w:pStyle w:val="Bullet1"/>
      </w:pPr>
      <w:r>
        <w:t>Review and rationalise medicines to promote optimal symptom control, and review routes of administration.</w:t>
      </w:r>
    </w:p>
    <w:p w14:paraId="0285BC32" w14:textId="231B5DD4" w:rsidR="00EF698C" w:rsidRDefault="00EF698C" w:rsidP="00EF698C">
      <w:pPr>
        <w:pStyle w:val="Bullet1"/>
      </w:pPr>
      <w:r>
        <w:t>Organise advance prescribing for common end-of-life phase symptoms.</w:t>
      </w:r>
    </w:p>
    <w:p w14:paraId="5F918C40" w14:textId="3F69A056" w:rsidR="00EF698C" w:rsidRDefault="00EF698C" w:rsidP="00EF698C">
      <w:pPr>
        <w:pStyle w:val="Bullet1"/>
      </w:pPr>
      <w:r>
        <w:t>Manage common end-of-life symptoms.</w:t>
      </w:r>
    </w:p>
    <w:p w14:paraId="6DBE5508" w14:textId="6AB43E3B" w:rsidR="00EF698C" w:rsidRDefault="00EF698C" w:rsidP="00EF698C">
      <w:pPr>
        <w:pStyle w:val="Bullet1"/>
      </w:pPr>
      <w:r>
        <w:t>Address comfort care measures.</w:t>
      </w:r>
    </w:p>
    <w:p w14:paraId="39D10653" w14:textId="4715F841" w:rsidR="00EF698C" w:rsidRDefault="00EF698C" w:rsidP="00EF698C">
      <w:pPr>
        <w:pStyle w:val="Bullet1"/>
      </w:pPr>
      <w:r>
        <w:t>Address emotional, spiritual, religious, cultural and self-care support needs.</w:t>
      </w:r>
    </w:p>
    <w:p w14:paraId="6510C2CE" w14:textId="77777777" w:rsidR="002C117D" w:rsidRDefault="002C117D" w:rsidP="002C117D">
      <w:pPr>
        <w:pStyle w:val="Heading2"/>
        <w:rPr>
          <w:lang w:val="en-GB" w:eastAsia="en-AU"/>
        </w:rPr>
      </w:pPr>
      <w:bookmarkStart w:id="9" w:name="_Toc114500227"/>
      <w:r>
        <w:rPr>
          <w:lang w:val="en-GB" w:eastAsia="en-AU"/>
        </w:rPr>
        <w:t>Referral</w:t>
      </w:r>
      <w:bookmarkEnd w:id="9"/>
    </w:p>
    <w:p w14:paraId="4A7E778C" w14:textId="77777777" w:rsidR="00EF698C" w:rsidRPr="00EF698C" w:rsidRDefault="00EF698C" w:rsidP="00EF698C">
      <w:pPr>
        <w:pStyle w:val="Bullet1"/>
      </w:pPr>
      <w:r w:rsidRPr="00EF698C">
        <w:t>Specialist palliative care services</w:t>
      </w:r>
    </w:p>
    <w:p w14:paraId="70BD1B76" w14:textId="4063986A" w:rsidR="00EF698C" w:rsidRPr="00EF698C" w:rsidRDefault="00EF698C" w:rsidP="00EF698C">
      <w:pPr>
        <w:pStyle w:val="Bullet1"/>
      </w:pPr>
      <w:r w:rsidRPr="00EF698C">
        <w:t>Residential in-reach teams</w:t>
      </w:r>
    </w:p>
    <w:p w14:paraId="21D36366" w14:textId="357B1067" w:rsidR="00EF698C" w:rsidRPr="00EF698C" w:rsidRDefault="00EF698C" w:rsidP="00EF698C">
      <w:pPr>
        <w:pStyle w:val="Bullet1"/>
      </w:pPr>
      <w:r w:rsidRPr="00EF698C">
        <w:t>Pharmacist</w:t>
      </w:r>
    </w:p>
    <w:p w14:paraId="4598F853" w14:textId="6D91E271" w:rsidR="00EF698C" w:rsidRPr="00EF698C" w:rsidRDefault="00EF698C" w:rsidP="00EF698C">
      <w:pPr>
        <w:pStyle w:val="Bullet1"/>
      </w:pPr>
      <w:r w:rsidRPr="00EF698C">
        <w:t>Pastoral care</w:t>
      </w:r>
    </w:p>
    <w:p w14:paraId="187B71CE" w14:textId="3E6AA4A8" w:rsidR="00EF698C" w:rsidRPr="00EF698C" w:rsidRDefault="00EF698C" w:rsidP="00EF698C">
      <w:pPr>
        <w:pStyle w:val="Bullet1"/>
      </w:pPr>
      <w:r w:rsidRPr="00EF698C">
        <w:t>Religious ministers</w:t>
      </w:r>
    </w:p>
    <w:p w14:paraId="52C9A3A8" w14:textId="33FF2236" w:rsidR="00EF698C" w:rsidRPr="00EF698C" w:rsidRDefault="00EF698C" w:rsidP="00EF698C">
      <w:pPr>
        <w:pStyle w:val="Bullet1"/>
      </w:pPr>
      <w:r w:rsidRPr="00EF698C">
        <w:t>Bereavement counselling</w:t>
      </w:r>
    </w:p>
    <w:p w14:paraId="4DDEBA15" w14:textId="53237539" w:rsidR="009836D4" w:rsidRPr="002D28A3" w:rsidRDefault="009836D4" w:rsidP="002D28A3">
      <w:pPr>
        <w:pStyle w:val="Heading2"/>
      </w:pPr>
      <w:bookmarkStart w:id="10" w:name="_Toc114500228"/>
      <w:r w:rsidRPr="002D28A3">
        <w:t>Evaluation and reassessment</w:t>
      </w:r>
      <w:bookmarkEnd w:id="10"/>
    </w:p>
    <w:p w14:paraId="185CA440" w14:textId="52E0B8C8" w:rsidR="00EF698C" w:rsidRDefault="00EF698C" w:rsidP="00EF698C">
      <w:pPr>
        <w:pStyle w:val="Bullet1"/>
      </w:pPr>
      <w:r>
        <w:t>Reassess the resident and their family/carers regularly to establish goals/outcomes of care and changes in care needs.</w:t>
      </w:r>
    </w:p>
    <w:p w14:paraId="4743E2D0" w14:textId="37433024" w:rsidR="000A5966" w:rsidRDefault="00EF698C" w:rsidP="00EF698C">
      <w:pPr>
        <w:pStyle w:val="Bullet1"/>
      </w:pPr>
      <w:r>
        <w:t>Regularly monitor all medicines for efficacy and side effects.</w:t>
      </w:r>
    </w:p>
    <w:p w14:paraId="4E7D727F" w14:textId="77777777" w:rsidR="009836D4" w:rsidRDefault="009836D4" w:rsidP="009836D4">
      <w:pPr>
        <w:pStyle w:val="Heading2"/>
        <w:rPr>
          <w:lang w:val="en-GB" w:eastAsia="en-AU"/>
        </w:rPr>
      </w:pPr>
      <w:bookmarkStart w:id="11" w:name="_Toc114500229"/>
      <w:r>
        <w:rPr>
          <w:lang w:val="en-GB" w:eastAsia="en-AU"/>
        </w:rPr>
        <w:t>Resident involvement</w:t>
      </w:r>
      <w:bookmarkEnd w:id="11"/>
    </w:p>
    <w:p w14:paraId="3A35C722" w14:textId="0BC8FF8A" w:rsidR="00EF698C" w:rsidRDefault="00EF698C" w:rsidP="00EF698C">
      <w:pPr>
        <w:pStyle w:val="Bullet1"/>
      </w:pPr>
      <w:r>
        <w:t>Respect the advance care plan and/or goals of care as described by the resident and their family/carers.</w:t>
      </w:r>
    </w:p>
    <w:p w14:paraId="58136075" w14:textId="59972028" w:rsidR="000A5966" w:rsidRDefault="00EF698C" w:rsidP="00EF698C">
      <w:pPr>
        <w:pStyle w:val="Bullet1"/>
      </w:pPr>
      <w:r>
        <w:t>Invite the family/carers to be involved in practical care if they wish.</w:t>
      </w:r>
    </w:p>
    <w:p w14:paraId="40D2D2F8" w14:textId="77777777" w:rsidR="009836D4" w:rsidRPr="002C117D" w:rsidRDefault="009836D4" w:rsidP="009836D4">
      <w:pPr>
        <w:pStyle w:val="Heading2"/>
      </w:pPr>
      <w:bookmarkStart w:id="12" w:name="_Toc114500230"/>
      <w:r w:rsidRPr="002C117D">
        <w:t>Staff knowledge and education</w:t>
      </w:r>
      <w:bookmarkEnd w:id="12"/>
    </w:p>
    <w:p w14:paraId="31DE3612" w14:textId="4BEE3A21" w:rsidR="00EF698C" w:rsidRPr="00BE77CA" w:rsidRDefault="00EF698C" w:rsidP="00EF698C">
      <w:pPr>
        <w:pStyle w:val="Bullet1"/>
      </w:pPr>
      <w:r w:rsidRPr="00622F95">
        <w:t>Palliative approach</w:t>
      </w:r>
    </w:p>
    <w:p w14:paraId="34CD2822" w14:textId="5C99BD8B" w:rsidR="00EF698C" w:rsidRPr="00EF698C" w:rsidRDefault="00EF698C" w:rsidP="00EF698C">
      <w:pPr>
        <w:pStyle w:val="Bullet1"/>
      </w:pPr>
      <w:r w:rsidRPr="00EF698C">
        <w:t>Managing a family conference and meeting family/carer needs</w:t>
      </w:r>
    </w:p>
    <w:p w14:paraId="3D8960CA" w14:textId="0A397EFE" w:rsidR="00EF698C" w:rsidRPr="00EF698C" w:rsidRDefault="00EF698C" w:rsidP="00EF698C">
      <w:pPr>
        <w:pStyle w:val="Bullet1"/>
      </w:pPr>
      <w:r w:rsidRPr="00EF698C">
        <w:t>Common signs and symptoms at end of life</w:t>
      </w:r>
    </w:p>
    <w:p w14:paraId="5A530750" w14:textId="7F466CF9" w:rsidR="00EF698C" w:rsidRPr="00EF698C" w:rsidRDefault="00EF698C" w:rsidP="00EF698C">
      <w:pPr>
        <w:pStyle w:val="Bullet1"/>
      </w:pPr>
      <w:r w:rsidRPr="00EF698C">
        <w:t xml:space="preserve">Knowledge and skills in managing the common symptoms experienced at end of </w:t>
      </w:r>
      <w:proofErr w:type="gramStart"/>
      <w:r w:rsidRPr="00EF698C">
        <w:t>life</w:t>
      </w:r>
      <w:proofErr w:type="gramEnd"/>
    </w:p>
    <w:p w14:paraId="3E4C7169" w14:textId="72D2D278" w:rsidR="00EF698C" w:rsidRPr="00EF698C" w:rsidRDefault="00EF698C" w:rsidP="00EF698C">
      <w:pPr>
        <w:pStyle w:val="Bullet1"/>
      </w:pPr>
      <w:r w:rsidRPr="00EF698C">
        <w:lastRenderedPageBreak/>
        <w:t xml:space="preserve">Knowledge and skills in meeting emotional, spiritual/religious and cultural needs and managing existential </w:t>
      </w:r>
      <w:proofErr w:type="gramStart"/>
      <w:r w:rsidRPr="00EF698C">
        <w:t>distress</w:t>
      </w:r>
      <w:proofErr w:type="gramEnd"/>
    </w:p>
    <w:p w14:paraId="15A7B1D2" w14:textId="06BE71A0" w:rsidR="00EF698C" w:rsidRPr="00EF698C" w:rsidRDefault="00EF698C" w:rsidP="00EF698C">
      <w:pPr>
        <w:pStyle w:val="Bullet1"/>
      </w:pPr>
      <w:r w:rsidRPr="00EF698C">
        <w:t>Bereavement options for family/carer</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0A5966">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4500231"/>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4500232"/>
      <w:r w:rsidRPr="001477A6">
        <w:t>Recognition</w:t>
      </w:r>
      <w:bookmarkEnd w:id="14"/>
    </w:p>
    <w:p w14:paraId="18BEE35F" w14:textId="77777777" w:rsidR="00EF698C" w:rsidRDefault="00EF698C" w:rsidP="00EF698C">
      <w:pPr>
        <w:pStyle w:val="Body"/>
      </w:pPr>
      <w:r>
        <w:t>Recognise the common signs of the active phase of dying:</w:t>
      </w:r>
    </w:p>
    <w:p w14:paraId="6E256DE1" w14:textId="63D1FF63" w:rsidR="00EF698C" w:rsidRPr="00EF698C" w:rsidRDefault="00EF698C" w:rsidP="00EF698C">
      <w:pPr>
        <w:pStyle w:val="Bullet1"/>
      </w:pPr>
      <w:r w:rsidRPr="00EF698C">
        <w:t>rapid and irreversible day-to-day deterioration</w:t>
      </w:r>
    </w:p>
    <w:p w14:paraId="2CF53DAF" w14:textId="3B32F0AE" w:rsidR="00EF698C" w:rsidRPr="00EF698C" w:rsidRDefault="00EF698C" w:rsidP="00EF698C">
      <w:pPr>
        <w:pStyle w:val="Bullet1"/>
      </w:pPr>
      <w:r w:rsidRPr="00EF698C">
        <w:t>restlessness and agitation</w:t>
      </w:r>
    </w:p>
    <w:p w14:paraId="574C409C" w14:textId="648C9908" w:rsidR="00EF698C" w:rsidRPr="00EF698C" w:rsidRDefault="00EF698C" w:rsidP="00EF698C">
      <w:pPr>
        <w:pStyle w:val="Bullet1"/>
      </w:pPr>
      <w:r w:rsidRPr="00EF698C">
        <w:t xml:space="preserve">delirium that is not related to any other underlying </w:t>
      </w:r>
      <w:proofErr w:type="gramStart"/>
      <w:r w:rsidRPr="00EF698C">
        <w:t>cause</w:t>
      </w:r>
      <w:proofErr w:type="gramEnd"/>
    </w:p>
    <w:p w14:paraId="235778F1" w14:textId="6F2AC29A" w:rsidR="00EF698C" w:rsidRPr="00EF698C" w:rsidRDefault="00EF698C" w:rsidP="00EF698C">
      <w:pPr>
        <w:pStyle w:val="Bullet1"/>
      </w:pPr>
      <w:r w:rsidRPr="00EF698C">
        <w:t>progressive weakness</w:t>
      </w:r>
    </w:p>
    <w:p w14:paraId="6DC767FA" w14:textId="6956EC12" w:rsidR="00EF698C" w:rsidRPr="00EF698C" w:rsidRDefault="00EF698C" w:rsidP="00EF698C">
      <w:pPr>
        <w:pStyle w:val="Bullet1"/>
      </w:pPr>
      <w:r w:rsidRPr="00EF698C">
        <w:t>changed or noisy breathing</w:t>
      </w:r>
    </w:p>
    <w:p w14:paraId="15ECC507" w14:textId="3970E472" w:rsidR="00EF698C" w:rsidRPr="00EF698C" w:rsidRDefault="00EF698C" w:rsidP="00EF698C">
      <w:pPr>
        <w:pStyle w:val="Bullet1"/>
      </w:pPr>
      <w:r w:rsidRPr="00EF698C">
        <w:t>excessive secretions in the upper airway</w:t>
      </w:r>
    </w:p>
    <w:p w14:paraId="374F63E7" w14:textId="74FFBF6E" w:rsidR="00EF698C" w:rsidRPr="00EF698C" w:rsidRDefault="00EF698C" w:rsidP="00EF698C">
      <w:pPr>
        <w:pStyle w:val="Bullet1"/>
      </w:pPr>
      <w:r w:rsidRPr="00EF698C">
        <w:t>peripheral shutdown and cyanosis</w:t>
      </w:r>
    </w:p>
    <w:p w14:paraId="7BB85DE5" w14:textId="7EF36EC3" w:rsidR="00EF698C" w:rsidRPr="00EF698C" w:rsidRDefault="00EF698C" w:rsidP="00EF698C">
      <w:pPr>
        <w:pStyle w:val="Bullet1"/>
      </w:pPr>
      <w:r w:rsidRPr="00EF698C">
        <w:t>decreased level of consciousness or reduced cognition</w:t>
      </w:r>
    </w:p>
    <w:p w14:paraId="6AF7173F" w14:textId="35F32227" w:rsidR="00EF698C" w:rsidRPr="00EF698C" w:rsidRDefault="00EF698C" w:rsidP="00EF698C">
      <w:pPr>
        <w:pStyle w:val="Bullet1"/>
      </w:pPr>
      <w:r w:rsidRPr="00EF698C">
        <w:t>little interest in food and fluid</w:t>
      </w:r>
    </w:p>
    <w:p w14:paraId="2443ABDF" w14:textId="7226902E" w:rsidR="00EF698C" w:rsidRPr="00EF698C" w:rsidRDefault="00EF698C" w:rsidP="00EF698C">
      <w:pPr>
        <w:pStyle w:val="Bullet1"/>
      </w:pPr>
      <w:r w:rsidRPr="00EF698C">
        <w:t>difficulty swallowing</w:t>
      </w:r>
    </w:p>
    <w:p w14:paraId="532557B6" w14:textId="6AFBC7A8" w:rsidR="00EF698C" w:rsidRPr="00EF698C" w:rsidRDefault="00EF698C" w:rsidP="00EF698C">
      <w:pPr>
        <w:pStyle w:val="Bullet1"/>
      </w:pPr>
      <w:r w:rsidRPr="00EF698C">
        <w:t>progressive and irreversible weight loss</w:t>
      </w:r>
    </w:p>
    <w:p w14:paraId="5AA2C8D1" w14:textId="79AD309D" w:rsidR="00EF698C" w:rsidRPr="00EF698C" w:rsidRDefault="00EF698C" w:rsidP="00EF698C">
      <w:pPr>
        <w:pStyle w:val="Bullet1"/>
      </w:pPr>
      <w:r w:rsidRPr="00EF698C">
        <w:t xml:space="preserve">decreased urinary output that is dark in </w:t>
      </w:r>
      <w:proofErr w:type="gramStart"/>
      <w:r w:rsidRPr="00EF698C">
        <w:t>colour</w:t>
      </w:r>
      <w:proofErr w:type="gramEnd"/>
    </w:p>
    <w:p w14:paraId="31FEE2C0" w14:textId="1562F86E" w:rsidR="00EF698C" w:rsidRPr="00EF698C" w:rsidRDefault="00EF698C" w:rsidP="00EF698C">
      <w:pPr>
        <w:pStyle w:val="Bullet1"/>
      </w:pPr>
      <w:r w:rsidRPr="00EF698C">
        <w:t xml:space="preserve">difficulty waking the </w:t>
      </w:r>
      <w:proofErr w:type="gramStart"/>
      <w:r w:rsidRPr="00EF698C">
        <w:t>resident</w:t>
      </w:r>
      <w:proofErr w:type="gramEnd"/>
    </w:p>
    <w:p w14:paraId="1A4DBE03" w14:textId="2E27FDBB" w:rsidR="00EF698C" w:rsidRPr="00EF698C" w:rsidRDefault="00EF698C" w:rsidP="00EF698C">
      <w:pPr>
        <w:pStyle w:val="Bullet1"/>
      </w:pPr>
      <w:r w:rsidRPr="00EF698C">
        <w:t>reduced function in communication, mobility, activities of daily living and social activity.</w:t>
      </w:r>
    </w:p>
    <w:p w14:paraId="4C93B23A" w14:textId="77777777" w:rsidR="001477A6" w:rsidRPr="001477A6" w:rsidRDefault="001477A6" w:rsidP="001477A6">
      <w:pPr>
        <w:pStyle w:val="Heading2"/>
        <w:rPr>
          <w:rFonts w:eastAsia="Times"/>
          <w:lang w:val="en-GB"/>
        </w:rPr>
      </w:pPr>
      <w:bookmarkStart w:id="15" w:name="_Toc114500233"/>
      <w:r w:rsidRPr="001477A6">
        <w:rPr>
          <w:rFonts w:eastAsia="Times"/>
          <w:lang w:val="en-GB"/>
        </w:rPr>
        <w:t>Assessment</w:t>
      </w:r>
      <w:bookmarkEnd w:id="15"/>
    </w:p>
    <w:p w14:paraId="6D3C4AE9" w14:textId="77777777" w:rsidR="00EF698C" w:rsidRDefault="00EF698C" w:rsidP="00EF698C">
      <w:pPr>
        <w:pStyle w:val="Body"/>
      </w:pPr>
      <w:r>
        <w:t>Rule out deterioration due to reversible causes such as:</w:t>
      </w:r>
    </w:p>
    <w:p w14:paraId="3D12CF3F" w14:textId="452646D8" w:rsidR="00EF698C" w:rsidRPr="00EF698C" w:rsidRDefault="00EF698C" w:rsidP="00EF698C">
      <w:pPr>
        <w:pStyle w:val="Bullet1"/>
      </w:pPr>
      <w:r w:rsidRPr="00EF698C">
        <w:t>dehydration</w:t>
      </w:r>
    </w:p>
    <w:p w14:paraId="15A56E71" w14:textId="7917E4C8" w:rsidR="00EF698C" w:rsidRPr="00EF698C" w:rsidRDefault="00EF698C" w:rsidP="00EF698C">
      <w:pPr>
        <w:pStyle w:val="Bullet1"/>
      </w:pPr>
      <w:r w:rsidRPr="00EF698C">
        <w:t>infection</w:t>
      </w:r>
    </w:p>
    <w:p w14:paraId="068AB4A1" w14:textId="2A1DCECC" w:rsidR="00EF698C" w:rsidRPr="00EF698C" w:rsidRDefault="00EF698C" w:rsidP="00EF698C">
      <w:pPr>
        <w:pStyle w:val="Bullet1"/>
      </w:pPr>
      <w:r w:rsidRPr="00EF698C">
        <w:t>delirium</w:t>
      </w:r>
    </w:p>
    <w:p w14:paraId="12403439" w14:textId="2C7BE54F" w:rsidR="00EF698C" w:rsidRPr="00EF698C" w:rsidRDefault="00EF698C" w:rsidP="00EF698C">
      <w:pPr>
        <w:pStyle w:val="Bullet1"/>
      </w:pPr>
      <w:r w:rsidRPr="00EF698C">
        <w:t>hypercalcaemia</w:t>
      </w:r>
    </w:p>
    <w:p w14:paraId="442016DE" w14:textId="5C9CE7CC" w:rsidR="00EF698C" w:rsidRPr="00EF698C" w:rsidRDefault="00EF698C" w:rsidP="00EF698C">
      <w:pPr>
        <w:pStyle w:val="Bullet1"/>
      </w:pPr>
      <w:r w:rsidRPr="00EF698C">
        <w:t>drug toxicity or withdrawal.</w:t>
      </w:r>
    </w:p>
    <w:p w14:paraId="1E1A2A47" w14:textId="77777777" w:rsidR="00EF698C" w:rsidRDefault="00EF698C" w:rsidP="00EF698C">
      <w:pPr>
        <w:pStyle w:val="Bodyafterbullets"/>
      </w:pPr>
      <w:r>
        <w:t>Ask the key prognostic question: Would it be surprising if the resident were to die within the next few hours or days?</w:t>
      </w:r>
    </w:p>
    <w:p w14:paraId="6CD4A149" w14:textId="77777777" w:rsidR="00EF698C" w:rsidRPr="00BE77CA" w:rsidRDefault="00EF698C" w:rsidP="00EF698C">
      <w:pPr>
        <w:pStyle w:val="Body"/>
      </w:pPr>
      <w:r w:rsidRPr="00BE77CA">
        <w:t>Where the answer is ‘no’, contact the resident’s GP and begin a comprehensive assessment to determine whether the resident is entering the last days of life as well as meeting the resident’s and family/carer’s end-of-life care needs.</w:t>
      </w:r>
    </w:p>
    <w:p w14:paraId="343C4FE7" w14:textId="77777777" w:rsidR="00EF698C" w:rsidRDefault="00EF698C" w:rsidP="00EF698C">
      <w:pPr>
        <w:pStyle w:val="Body"/>
      </w:pPr>
      <w:r>
        <w:t>Work in partnership with the resident, their family/carer and the care team to establish:</w:t>
      </w:r>
    </w:p>
    <w:p w14:paraId="08D2176E" w14:textId="2E1780F9" w:rsidR="00EF698C" w:rsidRPr="00EF698C" w:rsidRDefault="00EF698C" w:rsidP="00EF698C">
      <w:pPr>
        <w:pStyle w:val="Bullet1"/>
      </w:pPr>
      <w:r w:rsidRPr="00EF698C">
        <w:t xml:space="preserve">required disease </w:t>
      </w:r>
      <w:proofErr w:type="gramStart"/>
      <w:r w:rsidRPr="00EF698C">
        <w:t>management</w:t>
      </w:r>
      <w:proofErr w:type="gramEnd"/>
    </w:p>
    <w:p w14:paraId="7ED98783" w14:textId="7390302F" w:rsidR="00EF698C" w:rsidRPr="00EF698C" w:rsidRDefault="00EF698C" w:rsidP="00EF698C">
      <w:pPr>
        <w:pStyle w:val="Bullet1"/>
      </w:pPr>
      <w:r w:rsidRPr="00EF698C">
        <w:t>the resident’s physical, social and psychological needs</w:t>
      </w:r>
    </w:p>
    <w:p w14:paraId="7A30A166" w14:textId="665D15F1" w:rsidR="00EF698C" w:rsidRPr="00EF698C" w:rsidRDefault="00EF698C" w:rsidP="00EF698C">
      <w:pPr>
        <w:pStyle w:val="Bullet1"/>
      </w:pPr>
      <w:r w:rsidRPr="00EF698C">
        <w:t>cultural, faith and spiritual practices</w:t>
      </w:r>
    </w:p>
    <w:p w14:paraId="36ACCD27" w14:textId="0456B84C" w:rsidR="00EF698C" w:rsidRPr="00EF698C" w:rsidRDefault="00EF698C" w:rsidP="00EF698C">
      <w:pPr>
        <w:pStyle w:val="Bullet1"/>
      </w:pPr>
      <w:r w:rsidRPr="00EF698C">
        <w:t xml:space="preserve">the </w:t>
      </w:r>
      <w:proofErr w:type="spellStart"/>
      <w:r w:rsidRPr="00EF698C">
        <w:t>resident’s</w:t>
      </w:r>
      <w:proofErr w:type="spellEnd"/>
      <w:r w:rsidRPr="00EF698C">
        <w:t xml:space="preserve"> ability and wish to participate in shared decision making regarding their end-of-life </w:t>
      </w:r>
      <w:proofErr w:type="gramStart"/>
      <w:r w:rsidRPr="00EF698C">
        <w:t>care</w:t>
      </w:r>
      <w:proofErr w:type="gramEnd"/>
    </w:p>
    <w:p w14:paraId="1E4717D4" w14:textId="3F3AC295" w:rsidR="00EF698C" w:rsidRPr="00EF698C" w:rsidRDefault="00EF698C" w:rsidP="00EF698C">
      <w:pPr>
        <w:pStyle w:val="Bullet2"/>
      </w:pPr>
      <w:r w:rsidRPr="00EF698C">
        <w:t xml:space="preserve">comprehension of what is happening at the end of </w:t>
      </w:r>
      <w:proofErr w:type="gramStart"/>
      <w:r w:rsidRPr="00EF698C">
        <w:t>life</w:t>
      </w:r>
      <w:proofErr w:type="gramEnd"/>
    </w:p>
    <w:p w14:paraId="2869DE82" w14:textId="74FADBA4" w:rsidR="00EF698C" w:rsidRPr="00EF698C" w:rsidRDefault="00EF698C" w:rsidP="00EF698C">
      <w:pPr>
        <w:pStyle w:val="Bullet2"/>
      </w:pPr>
      <w:r w:rsidRPr="00EF698C">
        <w:t>education, information and support needs</w:t>
      </w:r>
    </w:p>
    <w:p w14:paraId="0089E770" w14:textId="7BD834F4" w:rsidR="00EF698C" w:rsidRPr="00EF698C" w:rsidRDefault="00EF698C" w:rsidP="00EF698C">
      <w:pPr>
        <w:pStyle w:val="Bullet2"/>
      </w:pPr>
      <w:r w:rsidRPr="00EF698C">
        <w:t>loss and grief support</w:t>
      </w:r>
    </w:p>
    <w:p w14:paraId="45806EBB" w14:textId="68B46353" w:rsidR="00EF698C" w:rsidRPr="00002406" w:rsidRDefault="00EF698C" w:rsidP="00002406">
      <w:pPr>
        <w:pStyle w:val="Bullet1"/>
      </w:pPr>
      <w:r w:rsidRPr="00002406">
        <w:t>need for specialist palliative service input.</w:t>
      </w:r>
    </w:p>
    <w:p w14:paraId="6B24DADE" w14:textId="77777777" w:rsidR="00EF698C" w:rsidRDefault="00EF698C" w:rsidP="00002406">
      <w:pPr>
        <w:pStyle w:val="Bodyafterbullets"/>
      </w:pPr>
      <w:r>
        <w:lastRenderedPageBreak/>
        <w:t>Assess the resident for signs of distress or discomfort. Where preferred, use validated symptom assessment and screening tools. These should include but not be limited to:</w:t>
      </w:r>
    </w:p>
    <w:p w14:paraId="7FED6145" w14:textId="0EAD7911" w:rsidR="00EF698C" w:rsidRPr="00002406" w:rsidRDefault="00EF698C" w:rsidP="00002406">
      <w:pPr>
        <w:pStyle w:val="Bullet1"/>
      </w:pPr>
      <w:r w:rsidRPr="00002406">
        <w:t xml:space="preserve">Australian modified </w:t>
      </w:r>
      <w:proofErr w:type="spellStart"/>
      <w:r w:rsidRPr="00002406">
        <w:t>Karnofsky</w:t>
      </w:r>
      <w:proofErr w:type="spellEnd"/>
      <w:r w:rsidRPr="00002406">
        <w:t xml:space="preserve"> Performance Status scale</w:t>
      </w:r>
    </w:p>
    <w:p w14:paraId="50B98030" w14:textId="149DE4CE" w:rsidR="00EF698C" w:rsidRPr="00002406" w:rsidRDefault="00EF698C" w:rsidP="00002406">
      <w:pPr>
        <w:pStyle w:val="Bullet1"/>
      </w:pPr>
      <w:r w:rsidRPr="00002406">
        <w:t>Pain scales (for example, Abbey)</w:t>
      </w:r>
    </w:p>
    <w:p w14:paraId="1101ED3A" w14:textId="5168BFC4" w:rsidR="00002406" w:rsidRPr="00002406" w:rsidRDefault="00002406" w:rsidP="00002406">
      <w:pPr>
        <w:pStyle w:val="Bullet1"/>
      </w:pPr>
      <w:r w:rsidRPr="00002406">
        <w:t>Confusion Assessment Method (CAM).</w:t>
      </w:r>
    </w:p>
    <w:p w14:paraId="11F68EEF" w14:textId="77777777" w:rsidR="00002406" w:rsidRPr="00002406" w:rsidRDefault="00002406" w:rsidP="00002406">
      <w:pPr>
        <w:pStyle w:val="Bodyafterbullets"/>
      </w:pPr>
      <w:r w:rsidRPr="00002406">
        <w:t>Document the assessment and its outcomes.</w:t>
      </w:r>
    </w:p>
    <w:p w14:paraId="3AD61787" w14:textId="77777777" w:rsidR="00002406" w:rsidRPr="00002406" w:rsidRDefault="00002406" w:rsidP="00002406">
      <w:pPr>
        <w:pStyle w:val="Bodyafterbullets"/>
      </w:pPr>
      <w:r w:rsidRPr="00002406">
        <w:t>Communicate the prognosis to the resident and their family/carer.</w:t>
      </w:r>
    </w:p>
    <w:p w14:paraId="4251726E" w14:textId="77777777" w:rsidR="00002406" w:rsidRDefault="00002406" w:rsidP="00002406">
      <w:pPr>
        <w:pStyle w:val="Bodyafterbullets"/>
      </w:pPr>
      <w:r w:rsidRPr="00002406">
        <w:t>Communicate the assessment findings to the care team</w:t>
      </w:r>
      <w:r>
        <w:t>.</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4500234"/>
      <w:r>
        <w:rPr>
          <w:lang w:val="en-GB" w:eastAsia="en-AU"/>
        </w:rPr>
        <w:t>Interventions</w:t>
      </w:r>
      <w:bookmarkEnd w:id="16"/>
    </w:p>
    <w:p w14:paraId="51932C3E" w14:textId="77777777" w:rsidR="00002406" w:rsidRDefault="00002406" w:rsidP="00002406">
      <w:pPr>
        <w:pStyle w:val="Body"/>
      </w:pPr>
      <w:r>
        <w:t>All interventions should aim to provide comfort, symptom control and support for the resident and their family/carer.</w:t>
      </w:r>
    </w:p>
    <w:p w14:paraId="161519EC" w14:textId="6F0BBFFF" w:rsidR="00002406" w:rsidRDefault="00002406" w:rsidP="00002406">
      <w:pPr>
        <w:pStyle w:val="Bullet1"/>
      </w:pPr>
      <w:r>
        <w:t>Check for an existing advance care plan.</w:t>
      </w:r>
    </w:p>
    <w:p w14:paraId="42902C94" w14:textId="6F619464" w:rsidR="00002406" w:rsidRDefault="00002406" w:rsidP="00002406">
      <w:pPr>
        <w:pStyle w:val="Bullet1"/>
      </w:pPr>
      <w:r>
        <w:t>Reaffirm the existing goals of care.</w:t>
      </w:r>
    </w:p>
    <w:p w14:paraId="300B0C4C" w14:textId="0386EAC0" w:rsidR="00002406" w:rsidRDefault="00002406" w:rsidP="00002406">
      <w:pPr>
        <w:pStyle w:val="Bullet1"/>
      </w:pPr>
      <w:r>
        <w:t>In the absence of an advance care plan or goals of care, give the resident and/or their family/carer an opportunity to establish preferences for care in the last days of life.</w:t>
      </w:r>
    </w:p>
    <w:p w14:paraId="32E393FB" w14:textId="14C3E927" w:rsidR="00002406" w:rsidRDefault="00002406" w:rsidP="00002406">
      <w:pPr>
        <w:pStyle w:val="Bullet1"/>
      </w:pPr>
      <w:r>
        <w:t>Communication:</w:t>
      </w:r>
    </w:p>
    <w:p w14:paraId="5FB0CBE3" w14:textId="02E4E352" w:rsidR="00002406" w:rsidRDefault="00002406" w:rsidP="00002406">
      <w:pPr>
        <w:pStyle w:val="Bullet2"/>
      </w:pPr>
      <w:r>
        <w:t>Clarify the resident’s resuscitation status.</w:t>
      </w:r>
    </w:p>
    <w:p w14:paraId="1C8ABD27" w14:textId="46FAA6E5" w:rsidR="00002406" w:rsidRDefault="00002406" w:rsidP="00002406">
      <w:pPr>
        <w:pStyle w:val="Bullet2"/>
      </w:pPr>
      <w:r>
        <w:t>Hold a family/carer conference.</w:t>
      </w:r>
    </w:p>
    <w:p w14:paraId="1187340C" w14:textId="1D06D86B" w:rsidR="00002406" w:rsidRDefault="00002406" w:rsidP="00002406">
      <w:pPr>
        <w:pStyle w:val="Bullet2"/>
      </w:pPr>
      <w:r>
        <w:t>Hand over the care plan to the care team.</w:t>
      </w:r>
    </w:p>
    <w:p w14:paraId="0AE470A7" w14:textId="3869AA95" w:rsidR="00002406" w:rsidRDefault="00002406" w:rsidP="00002406">
      <w:pPr>
        <w:pStyle w:val="Bullet2"/>
      </w:pPr>
      <w:r>
        <w:t>Ensure the end-of-life care plan and advance care plan or goals of care are accessible to the care team and other health professionals involved in the resident’s care.</w:t>
      </w:r>
    </w:p>
    <w:p w14:paraId="78C2644C" w14:textId="52033B91" w:rsidR="00002406" w:rsidRDefault="00002406" w:rsidP="00002406">
      <w:pPr>
        <w:pStyle w:val="Bullet2"/>
      </w:pPr>
      <w:r>
        <w:t>Reassure the dying resident and their family/carer and explain what to expect as the resident’s condition deteriorates.</w:t>
      </w:r>
    </w:p>
    <w:p w14:paraId="548EA933" w14:textId="6E16860B" w:rsidR="00002406" w:rsidRDefault="00002406" w:rsidP="00002406">
      <w:pPr>
        <w:pStyle w:val="Bullet1"/>
      </w:pPr>
      <w:r>
        <w:t>Cease unnecessary observations and communicate this to the team. These may include:</w:t>
      </w:r>
    </w:p>
    <w:p w14:paraId="7FFDF173" w14:textId="6261E5B2" w:rsidR="00002406" w:rsidRPr="00002406" w:rsidRDefault="00002406" w:rsidP="00002406">
      <w:pPr>
        <w:pStyle w:val="Bullet2"/>
      </w:pPr>
      <w:r w:rsidRPr="00002406">
        <w:t>blood glucose monitoring and blood tests</w:t>
      </w:r>
    </w:p>
    <w:p w14:paraId="4C24C682" w14:textId="3B4FA7DB" w:rsidR="00002406" w:rsidRPr="00002406" w:rsidRDefault="00002406" w:rsidP="00002406">
      <w:pPr>
        <w:pStyle w:val="Bullet2"/>
      </w:pPr>
      <w:r w:rsidRPr="00002406">
        <w:t>vital signs including blood pressure monitoring.</w:t>
      </w:r>
    </w:p>
    <w:p w14:paraId="39E03B46" w14:textId="77777777" w:rsidR="00002406" w:rsidRPr="00002406" w:rsidRDefault="00002406" w:rsidP="00002406">
      <w:pPr>
        <w:pStyle w:val="Bullet1"/>
      </w:pPr>
      <w:r w:rsidRPr="00002406">
        <w:t>Manage the resident’s continence and pressure area needs in a manner that minimises distress or discomfort (this may result in reducing the frequency of interventions or the introduction of continence aids).</w:t>
      </w:r>
    </w:p>
    <w:p w14:paraId="56189227" w14:textId="77777777" w:rsidR="00002406" w:rsidRDefault="00002406" w:rsidP="00002406">
      <w:pPr>
        <w:pStyle w:val="Bodyafterbullets"/>
      </w:pPr>
      <w:r w:rsidRPr="000E1D3A">
        <w:rPr>
          <w:b/>
          <w:bCs/>
        </w:rPr>
        <w:t>Review medicines</w:t>
      </w:r>
      <w:r>
        <w:t xml:space="preserve"> to provide optimal symptom control.</w:t>
      </w:r>
    </w:p>
    <w:p w14:paraId="07ABC6A7" w14:textId="76D5A1B9" w:rsidR="00002406" w:rsidRDefault="00002406" w:rsidP="00002406">
      <w:pPr>
        <w:pStyle w:val="Bullet1"/>
      </w:pPr>
      <w:r>
        <w:t>Review and rationalise medicines that have no therapeutic value in the dying stage or are not consistent with the goals of care.</w:t>
      </w:r>
    </w:p>
    <w:p w14:paraId="63F09808" w14:textId="25869378" w:rsidR="00002406" w:rsidRDefault="00002406" w:rsidP="00002406">
      <w:pPr>
        <w:pStyle w:val="Bullet1"/>
      </w:pPr>
      <w:r>
        <w:t>Review routes of administration:</w:t>
      </w:r>
    </w:p>
    <w:p w14:paraId="200560EC" w14:textId="668AB9C4" w:rsidR="00002406" w:rsidRDefault="00002406" w:rsidP="00002406">
      <w:pPr>
        <w:pStyle w:val="Bullet2"/>
      </w:pPr>
      <w:r>
        <w:t>Oral medicines may no longer be viable due to dysphagia, nausea or decreased level of consciousness.</w:t>
      </w:r>
    </w:p>
    <w:p w14:paraId="0963F470" w14:textId="33F0BB6F" w:rsidR="00002406" w:rsidRDefault="00002406" w:rsidP="00002406">
      <w:pPr>
        <w:pStyle w:val="Bullet2"/>
      </w:pPr>
      <w:r>
        <w:t>Alternatives include transdermal, sublingual, rectal or parenteral routes.</w:t>
      </w:r>
    </w:p>
    <w:p w14:paraId="5AA510BA" w14:textId="504C1333" w:rsidR="00002406" w:rsidRDefault="00002406" w:rsidP="00002406">
      <w:pPr>
        <w:pStyle w:val="Bullet2"/>
      </w:pPr>
      <w:r>
        <w:t>The subcutaneous route is the preferred parenteral route because it is less invasive and has fewer risks of infection.</w:t>
      </w:r>
    </w:p>
    <w:p w14:paraId="097F9793" w14:textId="5EE01A5F" w:rsidR="00002406" w:rsidRDefault="00002406" w:rsidP="00002406">
      <w:pPr>
        <w:pStyle w:val="Bullet2"/>
      </w:pPr>
      <w:r>
        <w:t>The use of a syringe driver will be determined by the need for 24-hour administration of a medication, the availability of appropriately qualified staff and access to specialist palliative care services.</w:t>
      </w:r>
    </w:p>
    <w:p w14:paraId="7EE69A5F" w14:textId="77777777" w:rsidR="00002406" w:rsidRPr="000E1D3A" w:rsidRDefault="00002406" w:rsidP="00002406">
      <w:pPr>
        <w:pStyle w:val="Bullet1"/>
      </w:pPr>
      <w:r w:rsidRPr="000E1D3A">
        <w:lastRenderedPageBreak/>
        <w:t>Prescribing in advance for common end-of-life phase symptoms that can develop quickly (pain, nausea and vomiting, terminal restlessness, dyspnoea and respiratory tract secretions) should be planned in partnership with the residential home, the GP, pharmacist, resident and family</w:t>
      </w:r>
      <w:r>
        <w:t>/carer</w:t>
      </w:r>
      <w:r w:rsidRPr="000E1D3A">
        <w:t>.</w:t>
      </w:r>
    </w:p>
    <w:p w14:paraId="6FBD22A6" w14:textId="77777777" w:rsidR="00002406" w:rsidRPr="000E1D3A" w:rsidRDefault="00002406" w:rsidP="00002406">
      <w:pPr>
        <w:pStyle w:val="Bullet2"/>
      </w:pPr>
      <w:r w:rsidRPr="000E1D3A">
        <w:t>Relevant medicines should be prescribed and readily available.</w:t>
      </w:r>
    </w:p>
    <w:p w14:paraId="45E72920" w14:textId="77777777" w:rsidR="00002406" w:rsidRPr="000E1D3A" w:rsidRDefault="00002406" w:rsidP="00002406">
      <w:pPr>
        <w:pStyle w:val="Bullet2"/>
      </w:pPr>
      <w:r w:rsidRPr="000E1D3A">
        <w:t>Ensure medicines are prescribed for the appropriate route.</w:t>
      </w:r>
    </w:p>
    <w:p w14:paraId="50217CFA" w14:textId="77777777" w:rsidR="00002406" w:rsidRPr="000E1D3A" w:rsidRDefault="00002406" w:rsidP="00002406">
      <w:pPr>
        <w:pStyle w:val="Bullet2"/>
      </w:pPr>
      <w:r w:rsidRPr="000E1D3A">
        <w:t>Sufficient ranges of dose should be prescribed and made available to deal with a worsening of symptoms.</w:t>
      </w:r>
    </w:p>
    <w:p w14:paraId="2FC4602F" w14:textId="1888EEE4" w:rsidR="00002406" w:rsidRDefault="00002406" w:rsidP="00002406">
      <w:pPr>
        <w:pStyle w:val="Bullet2"/>
      </w:pPr>
      <w:r w:rsidRPr="000E1D3A">
        <w:t>Review prescriptions as the resident’s needs change.</w:t>
      </w:r>
    </w:p>
    <w:p w14:paraId="209159A7" w14:textId="77777777" w:rsidR="00002406" w:rsidRDefault="00002406" w:rsidP="00002406">
      <w:pPr>
        <w:pStyle w:val="Bodyafterbullets"/>
      </w:pPr>
      <w:r w:rsidRPr="000E1D3A">
        <w:rPr>
          <w:b/>
          <w:bCs/>
        </w:rPr>
        <w:t>Review medicines</w:t>
      </w:r>
      <w:r>
        <w:t xml:space="preserve"> to provide optimal symptom control.</w:t>
      </w:r>
    </w:p>
    <w:p w14:paraId="03290D80" w14:textId="28F2E099" w:rsidR="00002406" w:rsidRDefault="00002406" w:rsidP="00002406">
      <w:pPr>
        <w:pStyle w:val="Bullet1"/>
      </w:pPr>
      <w:r>
        <w:t>Review and rationalise medicines that have no therapeutic value in the dying stage or are not consistent with the goals of care.</w:t>
      </w:r>
    </w:p>
    <w:p w14:paraId="58F792F5" w14:textId="5A87A520" w:rsidR="00002406" w:rsidRDefault="00002406" w:rsidP="00002406">
      <w:pPr>
        <w:pStyle w:val="Bullet1"/>
      </w:pPr>
      <w:r>
        <w:t>Review routes of administration:</w:t>
      </w:r>
    </w:p>
    <w:p w14:paraId="2CCDA855" w14:textId="60CFC287" w:rsidR="00002406" w:rsidRDefault="00002406" w:rsidP="00002406">
      <w:pPr>
        <w:pStyle w:val="Bullet2"/>
      </w:pPr>
      <w:r>
        <w:t>Oral medicines may no longer be viable due to dysphagia, nausea or decreased level of consciousness.</w:t>
      </w:r>
    </w:p>
    <w:p w14:paraId="68BFA1DD" w14:textId="02EBC11F" w:rsidR="00002406" w:rsidRDefault="00002406" w:rsidP="00002406">
      <w:pPr>
        <w:pStyle w:val="Bullet2"/>
      </w:pPr>
      <w:r>
        <w:t>Alternatives include transdermal, sublingual, rectal or parenteral routes.</w:t>
      </w:r>
    </w:p>
    <w:p w14:paraId="1AB18516" w14:textId="5BCFDD51" w:rsidR="00002406" w:rsidRDefault="00002406" w:rsidP="00002406">
      <w:pPr>
        <w:pStyle w:val="Bullet2"/>
      </w:pPr>
      <w:r>
        <w:t>The subcutaneous route is the preferred parenteral route because it is less invasive and has fewer risks of infection.</w:t>
      </w:r>
    </w:p>
    <w:p w14:paraId="274B62C1" w14:textId="17AC152A" w:rsidR="00002406" w:rsidRDefault="00002406" w:rsidP="00002406">
      <w:pPr>
        <w:pStyle w:val="Bullet2"/>
      </w:pPr>
      <w:r>
        <w:t>The use of a syringe driver will be determined by the need for 24-hour administration of a medication, the availability of appropriately qualified staff and access to specialist palliative care services.</w:t>
      </w:r>
    </w:p>
    <w:p w14:paraId="12183DB7" w14:textId="77777777" w:rsidR="00002406" w:rsidRPr="00002406" w:rsidRDefault="00002406" w:rsidP="00002406">
      <w:pPr>
        <w:pStyle w:val="Bullet1"/>
      </w:pPr>
      <w:r w:rsidRPr="00002406">
        <w:t>Prescribing in advance for common end-of-life phase symptoms that can develop quickly (pain, nausea and vomiting, terminal restlessness, dyspnoea and respiratory tract secretions) should be planned in partnership with the residential home, the GP, pharmacist, resident and family/carer.</w:t>
      </w:r>
    </w:p>
    <w:p w14:paraId="4704406A" w14:textId="77777777" w:rsidR="00002406" w:rsidRPr="000E1D3A" w:rsidRDefault="00002406" w:rsidP="00002406">
      <w:pPr>
        <w:pStyle w:val="Bullet2"/>
      </w:pPr>
      <w:r w:rsidRPr="000E1D3A">
        <w:t>Relevant medicines should be prescribed and readily available.</w:t>
      </w:r>
    </w:p>
    <w:p w14:paraId="0927FF6C" w14:textId="77777777" w:rsidR="00002406" w:rsidRPr="000E1D3A" w:rsidRDefault="00002406" w:rsidP="00002406">
      <w:pPr>
        <w:pStyle w:val="Bullet2"/>
      </w:pPr>
      <w:r w:rsidRPr="000E1D3A">
        <w:t>Ensure medicines are prescribed for the appropriate route.</w:t>
      </w:r>
    </w:p>
    <w:p w14:paraId="5E7E8EB3" w14:textId="77777777" w:rsidR="00002406" w:rsidRPr="000E1D3A" w:rsidRDefault="00002406" w:rsidP="00002406">
      <w:pPr>
        <w:pStyle w:val="Bullet2"/>
      </w:pPr>
      <w:r w:rsidRPr="000E1D3A">
        <w:t>Sufficient ranges of dose should be prescribed and made available to deal with a worsening of symptoms.</w:t>
      </w:r>
    </w:p>
    <w:p w14:paraId="58415E6B" w14:textId="372F13E3" w:rsidR="00002406" w:rsidRDefault="00002406" w:rsidP="00002406">
      <w:pPr>
        <w:pStyle w:val="Bullet2"/>
      </w:pPr>
      <w:r w:rsidRPr="000E1D3A">
        <w:t>Review prescriptions as the resident’s needs change.</w:t>
      </w:r>
    </w:p>
    <w:p w14:paraId="486EDE81" w14:textId="77777777" w:rsidR="00002406" w:rsidRPr="00002406" w:rsidRDefault="00002406" w:rsidP="00002406">
      <w:pPr>
        <w:pStyle w:val="Heading4"/>
      </w:pPr>
      <w:r w:rsidRPr="00002406">
        <w:t>Management of common end-of-life symptoms</w:t>
      </w:r>
    </w:p>
    <w:p w14:paraId="605ACEB5"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i/>
          <w:iCs/>
          <w:color w:val="333740"/>
          <w:spacing w:val="3"/>
          <w:kern w:val="1"/>
          <w:sz w:val="20"/>
        </w:rPr>
      </w:pPr>
      <w:r w:rsidRPr="00DB54AF">
        <w:rPr>
          <w:rStyle w:val="BodyChar"/>
          <w:b/>
          <w:bCs/>
        </w:rPr>
        <w:t>Pain and discomfort</w:t>
      </w:r>
      <w:r>
        <w:rPr>
          <w:rFonts w:ascii="Helvetica" w:hAnsi="Helvetica" w:cs="Helvetica"/>
          <w:i/>
          <w:iCs/>
          <w:color w:val="333740"/>
          <w:spacing w:val="3"/>
          <w:kern w:val="1"/>
          <w:sz w:val="20"/>
        </w:rPr>
        <w:t xml:space="preserve"> (Note: pain or discomfort may be expressed as agitation)</w:t>
      </w:r>
    </w:p>
    <w:p w14:paraId="16B8D969" w14:textId="624D2665" w:rsidR="00002406" w:rsidRDefault="00002406" w:rsidP="00002406">
      <w:pPr>
        <w:pStyle w:val="Bullet1"/>
      </w:pPr>
      <w:r>
        <w:t>Pharmacological interventions:</w:t>
      </w:r>
    </w:p>
    <w:p w14:paraId="4C795AF3" w14:textId="4342F7B7" w:rsidR="00002406" w:rsidRPr="00002406" w:rsidRDefault="00002406" w:rsidP="00002406">
      <w:pPr>
        <w:pStyle w:val="Bullet2"/>
      </w:pPr>
      <w:r w:rsidRPr="00002406">
        <w:t>Ensure a pre-emptive prescription of opioid analgesia is available.</w:t>
      </w:r>
    </w:p>
    <w:p w14:paraId="66A2F2E4" w14:textId="7A782AB1" w:rsidR="00002406" w:rsidRPr="00002406" w:rsidRDefault="00002406" w:rsidP="00002406">
      <w:pPr>
        <w:pStyle w:val="Bullet2"/>
      </w:pPr>
      <w:r w:rsidRPr="00002406">
        <w:t>Regularly assess for signs (verbal or non-verbal) of pain using a pain assessment tool.</w:t>
      </w:r>
    </w:p>
    <w:p w14:paraId="144D1422" w14:textId="0C840590" w:rsidR="00002406" w:rsidRPr="00002406" w:rsidRDefault="00002406" w:rsidP="00002406">
      <w:pPr>
        <w:pStyle w:val="Bullet2"/>
      </w:pPr>
      <w:r w:rsidRPr="00002406">
        <w:t>Where required, provide continuous and breakthrough analgesia until the resident is comfortable.</w:t>
      </w:r>
    </w:p>
    <w:p w14:paraId="6C0A2721" w14:textId="11822614" w:rsidR="00002406" w:rsidRPr="00002406" w:rsidRDefault="00002406" w:rsidP="00002406">
      <w:pPr>
        <w:pStyle w:val="Bullet2"/>
      </w:pPr>
      <w:r w:rsidRPr="00002406">
        <w:t>Seek urgent specialist advice if the resident’s pain is not controlled.</w:t>
      </w:r>
    </w:p>
    <w:p w14:paraId="5C8C0177" w14:textId="02549D1B" w:rsidR="00002406" w:rsidRPr="00002406" w:rsidRDefault="00002406" w:rsidP="00002406">
      <w:pPr>
        <w:pStyle w:val="Bullet1"/>
      </w:pPr>
      <w:r w:rsidRPr="00002406">
        <w:t>Non-pharmacological interventions:</w:t>
      </w:r>
    </w:p>
    <w:p w14:paraId="02212267" w14:textId="431FD8CA" w:rsidR="00002406" w:rsidRPr="00002406" w:rsidRDefault="00002406" w:rsidP="00002406">
      <w:pPr>
        <w:pStyle w:val="Bullet2"/>
      </w:pPr>
      <w:r w:rsidRPr="00002406">
        <w:t>Reposition or provide an alternative mattress to minimise the resident’s distress or discomfort.</w:t>
      </w:r>
    </w:p>
    <w:p w14:paraId="2115946E" w14:textId="7AD3E415" w:rsidR="00002406" w:rsidRPr="00002406" w:rsidRDefault="00002406" w:rsidP="00002406">
      <w:pPr>
        <w:pStyle w:val="Bullet2"/>
      </w:pPr>
      <w:r w:rsidRPr="00002406">
        <w:t>Manage continence and address underlying causes such as urinary retention or constipation.</w:t>
      </w:r>
    </w:p>
    <w:p w14:paraId="5EFAC156"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b/>
          <w:bCs/>
          <w:color w:val="333740"/>
          <w:spacing w:val="3"/>
          <w:kern w:val="1"/>
          <w:sz w:val="20"/>
        </w:rPr>
      </w:pPr>
    </w:p>
    <w:p w14:paraId="53EBFB61" w14:textId="36C92E1C" w:rsidR="00002406" w:rsidRPr="00DB54AF" w:rsidRDefault="00002406" w:rsidP="00DB54AF">
      <w:pPr>
        <w:pStyle w:val="Body"/>
        <w:rPr>
          <w:b/>
          <w:bCs/>
        </w:rPr>
      </w:pPr>
      <w:r w:rsidRPr="00DB54AF">
        <w:rPr>
          <w:b/>
          <w:bCs/>
        </w:rPr>
        <w:t>Nausea and vomiting</w:t>
      </w:r>
    </w:p>
    <w:p w14:paraId="1F1793A7" w14:textId="6221404F" w:rsidR="00002406" w:rsidRPr="00002406" w:rsidRDefault="00002406" w:rsidP="00002406">
      <w:pPr>
        <w:pStyle w:val="Bullet1"/>
      </w:pPr>
      <w:r w:rsidRPr="00002406">
        <w:t>Ensure a pre-emptive prescription of antiemetic is available.</w:t>
      </w:r>
    </w:p>
    <w:p w14:paraId="66883838" w14:textId="79A540FC" w:rsidR="00002406" w:rsidRPr="00002406" w:rsidRDefault="00002406" w:rsidP="00002406">
      <w:pPr>
        <w:pStyle w:val="Bullet1"/>
      </w:pPr>
      <w:r w:rsidRPr="00002406">
        <w:t>Regularly assess for signs and causes of nausea and vomiting.</w:t>
      </w:r>
    </w:p>
    <w:p w14:paraId="12E1B249" w14:textId="492127C6" w:rsidR="00002406" w:rsidRPr="00002406" w:rsidRDefault="00002406" w:rsidP="00002406">
      <w:pPr>
        <w:pStyle w:val="Bullet1"/>
      </w:pPr>
      <w:r w:rsidRPr="00002406">
        <w:t>Where required, provide antiemetics until symptoms resolve.</w:t>
      </w:r>
    </w:p>
    <w:p w14:paraId="77814A3F" w14:textId="44C902C9" w:rsidR="00002406" w:rsidRPr="00002406" w:rsidRDefault="00002406" w:rsidP="00002406">
      <w:pPr>
        <w:pStyle w:val="Bullet1"/>
      </w:pPr>
      <w:r w:rsidRPr="00002406">
        <w:t>Seek urgent specialist advice if symptoms are not controlled.</w:t>
      </w:r>
    </w:p>
    <w:p w14:paraId="360A47C7"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i/>
          <w:iCs/>
          <w:color w:val="333740"/>
          <w:spacing w:val="3"/>
          <w:kern w:val="1"/>
          <w:sz w:val="20"/>
        </w:rPr>
      </w:pPr>
    </w:p>
    <w:p w14:paraId="43705E8E" w14:textId="77777777" w:rsidR="00002406" w:rsidRPr="00DB54AF" w:rsidRDefault="00002406" w:rsidP="00DB54AF">
      <w:pPr>
        <w:pStyle w:val="Body"/>
        <w:rPr>
          <w:b/>
          <w:bCs/>
        </w:rPr>
      </w:pPr>
      <w:r w:rsidRPr="00DB54AF">
        <w:rPr>
          <w:b/>
          <w:bCs/>
        </w:rPr>
        <w:t>Delirium/agitation</w:t>
      </w:r>
    </w:p>
    <w:p w14:paraId="48E84F71" w14:textId="6951BB74" w:rsidR="00002406" w:rsidRDefault="00002406" w:rsidP="00002406">
      <w:pPr>
        <w:pStyle w:val="Bullet1"/>
      </w:pPr>
      <w:r>
        <w:t>Ensure pre-emptive prescriptions of a benzodiazepine and antipsychotic are available.</w:t>
      </w:r>
    </w:p>
    <w:p w14:paraId="133C846F" w14:textId="03D0BB52" w:rsidR="00002406" w:rsidRDefault="00002406" w:rsidP="00002406">
      <w:pPr>
        <w:pStyle w:val="Bullet1"/>
      </w:pPr>
      <w:r>
        <w:t>Regularly assess for symptoms and possible underlying causes of agitation.</w:t>
      </w:r>
    </w:p>
    <w:p w14:paraId="13B15CC3" w14:textId="43E1DE73" w:rsidR="00002406" w:rsidRDefault="00002406" w:rsidP="00002406">
      <w:pPr>
        <w:pStyle w:val="Bullet1"/>
      </w:pPr>
      <w:r>
        <w:t>Address reversible causes of agitation (for example, pain, delirium, emotional distress, urinary retention or faecal loading).</w:t>
      </w:r>
    </w:p>
    <w:p w14:paraId="16404E6E" w14:textId="19510663" w:rsidR="00002406" w:rsidRDefault="00002406" w:rsidP="00002406">
      <w:pPr>
        <w:pStyle w:val="Bullet1"/>
      </w:pPr>
      <w:r>
        <w:t>Non-pharmacological interventions include:</w:t>
      </w:r>
    </w:p>
    <w:p w14:paraId="3C0D7E2B" w14:textId="5D930422" w:rsidR="00002406" w:rsidRPr="00002406" w:rsidRDefault="00002406" w:rsidP="00002406">
      <w:pPr>
        <w:pStyle w:val="Bullet2"/>
      </w:pPr>
      <w:r w:rsidRPr="00002406">
        <w:t>a calm and quiet environment</w:t>
      </w:r>
    </w:p>
    <w:p w14:paraId="6CAE17E7" w14:textId="1BCFB5FB" w:rsidR="00002406" w:rsidRPr="00002406" w:rsidRDefault="00002406" w:rsidP="00002406">
      <w:pPr>
        <w:pStyle w:val="Bullet2"/>
      </w:pPr>
      <w:r w:rsidRPr="00002406">
        <w:t>familiar people in attendance</w:t>
      </w:r>
    </w:p>
    <w:p w14:paraId="6DD7E26A" w14:textId="2EFA86F2" w:rsidR="00002406" w:rsidRPr="00002406" w:rsidRDefault="00002406" w:rsidP="00002406">
      <w:pPr>
        <w:pStyle w:val="Bullet2"/>
      </w:pPr>
      <w:r w:rsidRPr="00002406">
        <w:t>room lighting that is appropriate to the time of day</w:t>
      </w:r>
    </w:p>
    <w:p w14:paraId="0E15F31F" w14:textId="16808D57" w:rsidR="00002406" w:rsidRPr="00002406" w:rsidRDefault="00002406" w:rsidP="00002406">
      <w:pPr>
        <w:pStyle w:val="Bullet2"/>
      </w:pPr>
      <w:r w:rsidRPr="00002406">
        <w:t>reassuring the resident’s family/carer.</w:t>
      </w:r>
    </w:p>
    <w:p w14:paraId="7B1CB46A" w14:textId="18D3281C" w:rsidR="00002406" w:rsidRDefault="00002406" w:rsidP="00002406">
      <w:pPr>
        <w:pStyle w:val="Bullet1"/>
      </w:pPr>
      <w:r>
        <w:t>If symptoms persist, initiate medication as prescribed.</w:t>
      </w:r>
    </w:p>
    <w:p w14:paraId="174243A4" w14:textId="30D7DA18" w:rsidR="00002406" w:rsidRDefault="00002406" w:rsidP="00002406">
      <w:pPr>
        <w:pStyle w:val="Bullet1"/>
      </w:pPr>
      <w:r>
        <w:t>If there is no response to medication after 24 hours, add sedation.</w:t>
      </w:r>
    </w:p>
    <w:p w14:paraId="6429AB3D" w14:textId="239F9EB4" w:rsidR="00002406" w:rsidRDefault="00002406" w:rsidP="00002406">
      <w:pPr>
        <w:pStyle w:val="Bullet1"/>
      </w:pPr>
      <w:r>
        <w:t>Seek urgent specialist advice if the resident’s symptoms are not controlled.</w:t>
      </w:r>
    </w:p>
    <w:p w14:paraId="3D982A52" w14:textId="77777777" w:rsidR="00002406" w:rsidRDefault="00002406" w:rsidP="00002406">
      <w:pPr>
        <w:pStyle w:val="Bullet1"/>
        <w:numPr>
          <w:ilvl w:val="0"/>
          <w:numId w:val="0"/>
        </w:numPr>
        <w:ind w:left="284"/>
      </w:pPr>
    </w:p>
    <w:p w14:paraId="2D9B39FF" w14:textId="77777777" w:rsidR="00002406" w:rsidRPr="00DB54AF" w:rsidRDefault="00002406" w:rsidP="00DB54AF">
      <w:pPr>
        <w:pStyle w:val="Body"/>
        <w:rPr>
          <w:b/>
          <w:bCs/>
        </w:rPr>
      </w:pPr>
      <w:r w:rsidRPr="00DB54AF">
        <w:rPr>
          <w:b/>
          <w:bCs/>
        </w:rPr>
        <w:t>Respiratory tract secretions</w:t>
      </w:r>
    </w:p>
    <w:p w14:paraId="370CC8A0" w14:textId="5281C657" w:rsidR="00002406" w:rsidRDefault="00002406" w:rsidP="00002406">
      <w:pPr>
        <w:pStyle w:val="Bullet1"/>
      </w:pPr>
      <w:r w:rsidRPr="003A4CBF">
        <w:t>Provide information and reassurance about the symptom.</w:t>
      </w:r>
    </w:p>
    <w:p w14:paraId="00796591" w14:textId="77777777" w:rsidR="00002406" w:rsidRPr="003A4CBF" w:rsidRDefault="00002406" w:rsidP="00002406">
      <w:pPr>
        <w:pStyle w:val="Bullet1"/>
      </w:pPr>
      <w:r w:rsidRPr="003A4CBF">
        <w:t>Pharmacological interventions:</w:t>
      </w:r>
    </w:p>
    <w:p w14:paraId="4C3A0B12" w14:textId="6B735719" w:rsidR="00002406" w:rsidRDefault="00002406" w:rsidP="00002406">
      <w:pPr>
        <w:pStyle w:val="Bullet2"/>
      </w:pPr>
      <w:r>
        <w:t>Ensure a pre-emptive prescription of anticholinergic medication is available.</w:t>
      </w:r>
    </w:p>
    <w:p w14:paraId="69C78F80" w14:textId="564C6290" w:rsidR="00002406" w:rsidRDefault="00002406" w:rsidP="00002406">
      <w:pPr>
        <w:pStyle w:val="Bullet2"/>
      </w:pPr>
      <w:r>
        <w:t>Initiate medication when the early signs of secretions appear. Continue until the symptoms resolve or review if there is no improvement within 12–24 hours.</w:t>
      </w:r>
    </w:p>
    <w:p w14:paraId="27D8FE43" w14:textId="1D18E298" w:rsidR="00002406" w:rsidRDefault="00002406" w:rsidP="00002406">
      <w:pPr>
        <w:pStyle w:val="Bullet1"/>
      </w:pPr>
      <w:r>
        <w:t>Regularly assess for signs of secretions.</w:t>
      </w:r>
    </w:p>
    <w:p w14:paraId="4A9F253C" w14:textId="10E35E54" w:rsidR="00002406" w:rsidRDefault="00002406" w:rsidP="00002406">
      <w:pPr>
        <w:pStyle w:val="Bullet1"/>
      </w:pPr>
      <w:r>
        <w:t>Determine the resident’s and family’s/carer’s levels of distress resulting from the secretions.</w:t>
      </w:r>
    </w:p>
    <w:p w14:paraId="566440EB" w14:textId="78EBE95C" w:rsidR="00002406" w:rsidRDefault="00002406" w:rsidP="00002406">
      <w:pPr>
        <w:pStyle w:val="Bullet1"/>
      </w:pPr>
      <w:r>
        <w:t>Non-pharmacological interventions include:</w:t>
      </w:r>
    </w:p>
    <w:p w14:paraId="5F1B5435" w14:textId="57DDA409" w:rsidR="00002406" w:rsidRDefault="00002406" w:rsidP="00002406">
      <w:pPr>
        <w:pStyle w:val="Bullet2"/>
      </w:pPr>
      <w:r>
        <w:t>good mouth care</w:t>
      </w:r>
    </w:p>
    <w:p w14:paraId="367A511E" w14:textId="09BC629E" w:rsidR="00002406" w:rsidRDefault="00002406" w:rsidP="00002406">
      <w:pPr>
        <w:pStyle w:val="Bullet2"/>
      </w:pPr>
      <w:r>
        <w:t xml:space="preserve">positioning the resident side to side with the head elevated a little to encourage </w:t>
      </w:r>
      <w:proofErr w:type="gramStart"/>
      <w:r>
        <w:t>drainage</w:t>
      </w:r>
      <w:proofErr w:type="gramEnd"/>
    </w:p>
    <w:p w14:paraId="0D86B9E7" w14:textId="3658247E" w:rsidR="00002406" w:rsidRDefault="00002406" w:rsidP="00002406">
      <w:pPr>
        <w:pStyle w:val="Bullet2"/>
      </w:pPr>
      <w:r>
        <w:t>maintaining the airway, decreasing the pooling of secretions and avoiding the use of suctioning</w:t>
      </w:r>
    </w:p>
    <w:p w14:paraId="049689C5" w14:textId="46943BEE" w:rsidR="00002406" w:rsidRDefault="00002406" w:rsidP="00002406">
      <w:pPr>
        <w:pStyle w:val="Bullet2"/>
      </w:pPr>
      <w:r>
        <w:t>avoiding fluid overload</w:t>
      </w:r>
    </w:p>
    <w:p w14:paraId="1E2FFC8C" w14:textId="0D952A68" w:rsidR="00002406" w:rsidRDefault="00002406" w:rsidP="00002406">
      <w:pPr>
        <w:pStyle w:val="Bullet2"/>
      </w:pPr>
      <w:r>
        <w:t>reassuring the family/carer</w:t>
      </w:r>
    </w:p>
    <w:p w14:paraId="31F84041" w14:textId="40806CF3" w:rsidR="00002406" w:rsidRDefault="00002406" w:rsidP="00002406">
      <w:pPr>
        <w:pStyle w:val="Bullet2"/>
      </w:pPr>
      <w:r>
        <w:t>seeking urgent specialist advice if symptoms are not controlled.</w:t>
      </w:r>
    </w:p>
    <w:p w14:paraId="19E07076" w14:textId="77777777" w:rsidR="00DB54AF" w:rsidRDefault="00DB54AF" w:rsidP="00DB54AF">
      <w:pPr>
        <w:pStyle w:val="Bullet2"/>
        <w:numPr>
          <w:ilvl w:val="0"/>
          <w:numId w:val="0"/>
        </w:numPr>
        <w:ind w:left="567"/>
      </w:pPr>
    </w:p>
    <w:p w14:paraId="1BC5DCB3" w14:textId="77777777" w:rsidR="00002406" w:rsidRPr="00DB54AF" w:rsidRDefault="00002406" w:rsidP="00DB54AF">
      <w:pPr>
        <w:pStyle w:val="Body"/>
        <w:rPr>
          <w:b/>
          <w:bCs/>
        </w:rPr>
      </w:pPr>
      <w:r w:rsidRPr="00DB54AF">
        <w:rPr>
          <w:b/>
          <w:bCs/>
        </w:rPr>
        <w:t xml:space="preserve">Dyspnoea/altered breathing </w:t>
      </w:r>
      <w:proofErr w:type="gramStart"/>
      <w:r w:rsidRPr="00DB54AF">
        <w:rPr>
          <w:b/>
          <w:bCs/>
        </w:rPr>
        <w:t>patterns</w:t>
      </w:r>
      <w:proofErr w:type="gramEnd"/>
    </w:p>
    <w:p w14:paraId="10B085C3" w14:textId="5C475098" w:rsidR="00002406" w:rsidRDefault="00002406" w:rsidP="00DB54AF">
      <w:pPr>
        <w:pStyle w:val="Bullet1"/>
      </w:pPr>
      <w:r>
        <w:t>Ensure pre-emptive prescriptions of opioid medication (for dyspnoea) and benzodiazepine (for anxiety) are available.</w:t>
      </w:r>
    </w:p>
    <w:p w14:paraId="5F084F4C" w14:textId="0D6701EE" w:rsidR="00002406" w:rsidRDefault="00002406" w:rsidP="00DB54AF">
      <w:pPr>
        <w:pStyle w:val="Bullet1"/>
      </w:pPr>
      <w:r>
        <w:t>Regularly assess for signs of changes in the resident’s breathing.</w:t>
      </w:r>
    </w:p>
    <w:p w14:paraId="5CD6FF0F" w14:textId="7D74B518" w:rsidR="00002406" w:rsidRDefault="00002406" w:rsidP="00DB54AF">
      <w:pPr>
        <w:pStyle w:val="Bullet1"/>
      </w:pPr>
      <w:r>
        <w:t>Determine the resident’s and family’s/carer’s levels of distress resulting from the changed breathing. Provide information and reassurance about the symptom.</w:t>
      </w:r>
    </w:p>
    <w:p w14:paraId="3F03C43B" w14:textId="280C05E3" w:rsidR="00002406" w:rsidRDefault="00002406" w:rsidP="00DB54AF">
      <w:pPr>
        <w:pStyle w:val="Bullet2"/>
      </w:pPr>
      <w:r>
        <w:t>there is no evidence to support oxygen administration to the dying person.</w:t>
      </w:r>
    </w:p>
    <w:p w14:paraId="0E8BE6D9" w14:textId="7281D3C3" w:rsidR="00002406" w:rsidRDefault="00002406" w:rsidP="00DB54AF">
      <w:pPr>
        <w:pStyle w:val="Bullet1"/>
      </w:pPr>
      <w:r>
        <w:t>Non-pharmacological interventions include:</w:t>
      </w:r>
    </w:p>
    <w:p w14:paraId="2823DD63" w14:textId="5CB7C202" w:rsidR="00002406" w:rsidRDefault="00002406" w:rsidP="00DB54AF">
      <w:pPr>
        <w:pStyle w:val="Bullet2"/>
      </w:pPr>
      <w:r>
        <w:t>positioning</w:t>
      </w:r>
    </w:p>
    <w:p w14:paraId="02F0EE8B" w14:textId="178766EB" w:rsidR="00002406" w:rsidRDefault="00002406" w:rsidP="00DB54AF">
      <w:pPr>
        <w:pStyle w:val="Bullet2"/>
      </w:pPr>
      <w:r>
        <w:t>fan/airflow over the resident’s face</w:t>
      </w:r>
    </w:p>
    <w:p w14:paraId="6FFBFA39" w14:textId="24ABCEF3" w:rsidR="00002406" w:rsidRDefault="00002406" w:rsidP="00DB54AF">
      <w:pPr>
        <w:pStyle w:val="Bullet2"/>
      </w:pPr>
      <w:r>
        <w:t>ensuring a calm environment</w:t>
      </w:r>
    </w:p>
    <w:p w14:paraId="30BB5199" w14:textId="1EC21151" w:rsidR="00002406" w:rsidRDefault="00002406" w:rsidP="00DB54AF">
      <w:pPr>
        <w:pStyle w:val="Bullet2"/>
      </w:pPr>
      <w:r>
        <w:t>reassurance.</w:t>
      </w:r>
    </w:p>
    <w:p w14:paraId="1D3632ED" w14:textId="0A20AF14" w:rsidR="00002406" w:rsidRDefault="00002406" w:rsidP="00DB54AF">
      <w:pPr>
        <w:pStyle w:val="Bullet1"/>
      </w:pPr>
      <w:r>
        <w:lastRenderedPageBreak/>
        <w:t>Pharmacological intervention:</w:t>
      </w:r>
    </w:p>
    <w:p w14:paraId="434C677E" w14:textId="3A6E02F5" w:rsidR="00002406" w:rsidRDefault="00002406" w:rsidP="00DB54AF">
      <w:pPr>
        <w:pStyle w:val="Bullet2"/>
      </w:pPr>
      <w:r>
        <w:t>Where required, provide opioid and/or benzodiazepine medication until symptoms resolve.</w:t>
      </w:r>
    </w:p>
    <w:p w14:paraId="652B2BDB" w14:textId="77777777" w:rsidR="00002406" w:rsidRDefault="00002406" w:rsidP="0000240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before="57" w:after="57" w:line="250" w:lineRule="atLeast"/>
        <w:ind w:right="-1282"/>
        <w:rPr>
          <w:rFonts w:ascii="Helvetica" w:hAnsi="Helvetica" w:cs="Helvetica"/>
          <w:i/>
          <w:iCs/>
          <w:color w:val="333740"/>
          <w:spacing w:val="3"/>
          <w:kern w:val="1"/>
          <w:sz w:val="20"/>
        </w:rPr>
      </w:pPr>
    </w:p>
    <w:p w14:paraId="443E5DA7" w14:textId="77777777" w:rsidR="00002406" w:rsidRPr="00DB54AF" w:rsidRDefault="00002406" w:rsidP="00DB54AF">
      <w:pPr>
        <w:pStyle w:val="Body"/>
        <w:rPr>
          <w:b/>
          <w:bCs/>
        </w:rPr>
      </w:pPr>
      <w:r w:rsidRPr="00DB54AF">
        <w:rPr>
          <w:b/>
          <w:bCs/>
        </w:rPr>
        <w:t>Acute end-of-life events (including haemorrhage, acute pain, unrelieved distress and acute respiratory distress)</w:t>
      </w:r>
    </w:p>
    <w:p w14:paraId="279BBB7E" w14:textId="6CF9C584" w:rsidR="00002406" w:rsidRDefault="00002406" w:rsidP="00DB54AF">
      <w:pPr>
        <w:pStyle w:val="Bullet1"/>
      </w:pPr>
      <w:r>
        <w:t>Ensure pre-emptive prescriptions of appropriate medicines are available.</w:t>
      </w:r>
    </w:p>
    <w:p w14:paraId="1C7492DD" w14:textId="4360BA7D" w:rsidR="00002406" w:rsidRDefault="00002406" w:rsidP="00DB54AF">
      <w:pPr>
        <w:pStyle w:val="Bullet1"/>
      </w:pPr>
      <w:r>
        <w:t>Regularly assess for signs of an acute event.</w:t>
      </w:r>
    </w:p>
    <w:p w14:paraId="3F32E3B4" w14:textId="3AB84205" w:rsidR="00002406" w:rsidRDefault="00002406" w:rsidP="00DB54AF">
      <w:pPr>
        <w:pStyle w:val="Bullet1"/>
      </w:pPr>
      <w:r>
        <w:t>Where required, provide medication until symptoms resolve.</w:t>
      </w:r>
    </w:p>
    <w:p w14:paraId="1E564BCE" w14:textId="5377B99E" w:rsidR="00002406" w:rsidRDefault="00002406" w:rsidP="00DB54AF">
      <w:pPr>
        <w:pStyle w:val="Bullet1"/>
      </w:pPr>
      <w:r>
        <w:t>Seek specialist advice where required.</w:t>
      </w:r>
    </w:p>
    <w:p w14:paraId="6FA6E863" w14:textId="77777777" w:rsidR="00002406" w:rsidRDefault="00002406" w:rsidP="00DB54AF">
      <w:pPr>
        <w:pStyle w:val="Bodyafterbullets"/>
      </w:pPr>
      <w:r>
        <w:t>Comfort care measures and regular observations should include:</w:t>
      </w:r>
    </w:p>
    <w:p w14:paraId="712E13E6" w14:textId="5E2434BD" w:rsidR="00002406" w:rsidRDefault="00002406" w:rsidP="00DB54AF">
      <w:pPr>
        <w:pStyle w:val="Bullet1"/>
      </w:pPr>
      <w:r>
        <w:t>general hygiene</w:t>
      </w:r>
    </w:p>
    <w:p w14:paraId="0FBE5B2A" w14:textId="093C6FD8" w:rsidR="00002406" w:rsidRDefault="00002406" w:rsidP="00DB54AF">
      <w:pPr>
        <w:pStyle w:val="Bullet1"/>
      </w:pPr>
      <w:r>
        <w:t>mouth and eye care</w:t>
      </w:r>
    </w:p>
    <w:p w14:paraId="14BC106F" w14:textId="5B3FE0CA" w:rsidR="00002406" w:rsidRDefault="00002406" w:rsidP="00DB54AF">
      <w:pPr>
        <w:pStyle w:val="Bullet1"/>
      </w:pPr>
      <w:r>
        <w:t>skin and pressure area care</w:t>
      </w:r>
    </w:p>
    <w:p w14:paraId="0DCF3251" w14:textId="51D451DB" w:rsidR="00002406" w:rsidRDefault="00002406" w:rsidP="00DB54AF">
      <w:pPr>
        <w:pStyle w:val="Bullet1"/>
      </w:pPr>
      <w:r>
        <w:t>comfortable positioning</w:t>
      </w:r>
    </w:p>
    <w:p w14:paraId="60CA058C" w14:textId="31988717" w:rsidR="00002406" w:rsidRDefault="00002406" w:rsidP="00DB54AF">
      <w:pPr>
        <w:pStyle w:val="Bullet1"/>
      </w:pPr>
      <w:r>
        <w:t>micturition</w:t>
      </w:r>
    </w:p>
    <w:p w14:paraId="4143A792" w14:textId="1CCC97D8" w:rsidR="00002406" w:rsidRDefault="00002406" w:rsidP="00DB54AF">
      <w:pPr>
        <w:pStyle w:val="Bullet1"/>
      </w:pPr>
      <w:r>
        <w:t>bowel care</w:t>
      </w:r>
    </w:p>
    <w:p w14:paraId="5B807277" w14:textId="7E55F903" w:rsidR="00002406" w:rsidRDefault="00002406" w:rsidP="00DB54AF">
      <w:pPr>
        <w:pStyle w:val="Bullet1"/>
      </w:pPr>
      <w:r>
        <w:t xml:space="preserve">nutrition and hydration as </w:t>
      </w:r>
      <w:proofErr w:type="gramStart"/>
      <w:r>
        <w:t>tolerated</w:t>
      </w:r>
      <w:proofErr w:type="gramEnd"/>
    </w:p>
    <w:p w14:paraId="69B424AE" w14:textId="5CF572ED" w:rsidR="00002406" w:rsidRDefault="00002406" w:rsidP="00DB54AF">
      <w:pPr>
        <w:pStyle w:val="Bullet1"/>
      </w:pPr>
      <w:r>
        <w:t>oral nutrition and hydration as tolerated – the benefits and risks of medically assisted (parenteral) nutrition and hydration should be considered before being commenced.</w:t>
      </w:r>
    </w:p>
    <w:p w14:paraId="3EF0252A" w14:textId="77777777" w:rsidR="00002406" w:rsidRDefault="00002406" w:rsidP="00DB54AF">
      <w:pPr>
        <w:pStyle w:val="Bodyafterbullets"/>
      </w:pPr>
      <w:r>
        <w:t>Address the emotional, spiritual, religious, cultural and self-care needs of the dying resident, their family/carer and staff.</w:t>
      </w:r>
    </w:p>
    <w:p w14:paraId="3FFF83C4" w14:textId="13FC206D" w:rsidR="00002406" w:rsidRPr="000E1D3A" w:rsidRDefault="00002406" w:rsidP="00DB54AF">
      <w:pPr>
        <w:pStyle w:val="Bodyafterbullets"/>
      </w:pPr>
      <w:r>
        <w:t>Provide information on bereavement support for the family/carer and staff.</w:t>
      </w:r>
    </w:p>
    <w:p w14:paraId="150DBF9B" w14:textId="77777777" w:rsidR="00CD448D" w:rsidRDefault="00CD448D" w:rsidP="00CD448D">
      <w:pPr>
        <w:pStyle w:val="Heading2"/>
        <w:rPr>
          <w:lang w:val="en-GB" w:eastAsia="en-AU"/>
        </w:rPr>
      </w:pPr>
      <w:bookmarkStart w:id="17" w:name="_Toc114500235"/>
      <w:r>
        <w:rPr>
          <w:lang w:val="en-GB" w:eastAsia="en-AU"/>
        </w:rPr>
        <w:t>Referral</w:t>
      </w:r>
      <w:bookmarkEnd w:id="17"/>
    </w:p>
    <w:p w14:paraId="626051CE" w14:textId="453C2483" w:rsidR="00DB54AF" w:rsidRPr="00DB54AF" w:rsidRDefault="00DB54AF" w:rsidP="00DB54AF">
      <w:pPr>
        <w:pStyle w:val="Bullet1"/>
      </w:pPr>
      <w:r w:rsidRPr="00DB54AF">
        <w:t>Specialist palliative services</w:t>
      </w:r>
    </w:p>
    <w:p w14:paraId="242F34AA" w14:textId="65013743" w:rsidR="00DB54AF" w:rsidRPr="00DB54AF" w:rsidRDefault="00DB54AF" w:rsidP="00DB54AF">
      <w:pPr>
        <w:pStyle w:val="Bullet1"/>
      </w:pPr>
      <w:r w:rsidRPr="00DB54AF">
        <w:t>Residential in-reach teams</w:t>
      </w:r>
    </w:p>
    <w:p w14:paraId="420415A8" w14:textId="19522544" w:rsidR="00DB54AF" w:rsidRPr="00DB54AF" w:rsidRDefault="00DB54AF" w:rsidP="00DB54AF">
      <w:pPr>
        <w:pStyle w:val="Bullet1"/>
      </w:pPr>
      <w:r w:rsidRPr="00DB54AF">
        <w:t>Pharmacist</w:t>
      </w:r>
    </w:p>
    <w:p w14:paraId="31BF94D7" w14:textId="7E11A915" w:rsidR="00DB54AF" w:rsidRPr="00DB54AF" w:rsidRDefault="00DB54AF" w:rsidP="00DB54AF">
      <w:pPr>
        <w:pStyle w:val="Bullet1"/>
      </w:pPr>
      <w:r w:rsidRPr="00DB54AF">
        <w:t>Pastoral care</w:t>
      </w:r>
    </w:p>
    <w:p w14:paraId="1DBDC889" w14:textId="6F78FE29" w:rsidR="00DB54AF" w:rsidRPr="00DB54AF" w:rsidRDefault="00DB54AF" w:rsidP="00DB54AF">
      <w:pPr>
        <w:pStyle w:val="Bullet1"/>
      </w:pPr>
      <w:r w:rsidRPr="00DB54AF">
        <w:t>Religious ministers</w:t>
      </w:r>
    </w:p>
    <w:p w14:paraId="14C2EDBD" w14:textId="23C09324" w:rsidR="00DB54AF" w:rsidRPr="00DB54AF" w:rsidRDefault="00DB54AF" w:rsidP="00DB54AF">
      <w:pPr>
        <w:pStyle w:val="Bullet1"/>
      </w:pPr>
      <w:r w:rsidRPr="00DB54AF">
        <w:t>Bereavement counselling</w:t>
      </w:r>
    </w:p>
    <w:p w14:paraId="04A445D9" w14:textId="026A2029" w:rsidR="00CD448D" w:rsidRDefault="00CD448D" w:rsidP="00CD448D">
      <w:pPr>
        <w:pStyle w:val="Heading2"/>
        <w:rPr>
          <w:lang w:val="en-GB" w:eastAsia="en-AU"/>
        </w:rPr>
      </w:pPr>
      <w:bookmarkStart w:id="18" w:name="_Toc114500236"/>
      <w:r>
        <w:rPr>
          <w:lang w:val="en-GB" w:eastAsia="en-AU"/>
        </w:rPr>
        <w:t>Evaluation and reassessment</w:t>
      </w:r>
      <w:bookmarkEnd w:id="18"/>
    </w:p>
    <w:p w14:paraId="08F1654B" w14:textId="123D8CB0" w:rsidR="00DB54AF" w:rsidRDefault="00DB54AF" w:rsidP="00DB54AF">
      <w:pPr>
        <w:pStyle w:val="Bullet1"/>
      </w:pPr>
      <w:r>
        <w:t>Reassess the resident and their family/carer regularly to establish outcomes of care and changes in care needs.</w:t>
      </w:r>
    </w:p>
    <w:p w14:paraId="2FC79D3A" w14:textId="7AE0F1E9" w:rsidR="00DB54AF" w:rsidRDefault="00DB54AF" w:rsidP="00DB54AF">
      <w:pPr>
        <w:pStyle w:val="Bullet1"/>
      </w:pPr>
      <w:r>
        <w:t>Regularly reassess all medicines for efficacy and side effects (at least daily).</w:t>
      </w:r>
    </w:p>
    <w:p w14:paraId="70DD0BFF" w14:textId="77777777" w:rsidR="00942FAB" w:rsidRDefault="00942FAB" w:rsidP="00942FAB">
      <w:pPr>
        <w:pStyle w:val="Heading2"/>
        <w:rPr>
          <w:lang w:val="en-GB" w:eastAsia="en-AU"/>
        </w:rPr>
      </w:pPr>
      <w:bookmarkStart w:id="19" w:name="_Toc114500237"/>
      <w:r>
        <w:rPr>
          <w:lang w:val="en-GB" w:eastAsia="en-AU"/>
        </w:rPr>
        <w:t>Resident involvement</w:t>
      </w:r>
      <w:bookmarkEnd w:id="19"/>
    </w:p>
    <w:p w14:paraId="2DF5565A" w14:textId="77777777" w:rsidR="00DB54AF" w:rsidRDefault="00DB54AF" w:rsidP="00DB54AF">
      <w:pPr>
        <w:pStyle w:val="Bullet1"/>
      </w:pPr>
      <w:r>
        <w:t>Respect the resident’s wishes as stated in the advance care plan where one exists and goals of care as described by the resident.</w:t>
      </w:r>
    </w:p>
    <w:p w14:paraId="2DBC9F33" w14:textId="77BAE2DD" w:rsidR="00DB54AF" w:rsidRDefault="00DB54AF" w:rsidP="00DB54AF">
      <w:pPr>
        <w:pStyle w:val="Bullet1"/>
      </w:pPr>
      <w:r>
        <w:t>Invite the family/carer to be involved in practical care if they wish.</w:t>
      </w:r>
    </w:p>
    <w:p w14:paraId="1BF2D364" w14:textId="3DF9A85C" w:rsidR="00942FAB" w:rsidRDefault="00942FAB" w:rsidP="00DB54AF">
      <w:pPr>
        <w:pStyle w:val="Heading2"/>
        <w:rPr>
          <w:lang w:val="en-GB" w:eastAsia="en-AU"/>
        </w:rPr>
      </w:pPr>
      <w:bookmarkStart w:id="20" w:name="_Toc114500238"/>
      <w:r>
        <w:rPr>
          <w:lang w:val="en-GB" w:eastAsia="en-AU"/>
        </w:rPr>
        <w:t>Staff knowledge and education</w:t>
      </w:r>
      <w:bookmarkEnd w:id="20"/>
    </w:p>
    <w:p w14:paraId="59A4B332" w14:textId="71BF5BF0" w:rsidR="00DB54AF" w:rsidRPr="00423258" w:rsidRDefault="00DB54AF" w:rsidP="00DB54AF">
      <w:pPr>
        <w:pStyle w:val="Bullet1"/>
      </w:pPr>
      <w:r w:rsidRPr="00423258">
        <w:t>Palliative approach</w:t>
      </w:r>
    </w:p>
    <w:p w14:paraId="1E7B6E24" w14:textId="3A5083D6"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lastRenderedPageBreak/>
        <w:t>Managing a family/carer conference and meeting their needs</w:t>
      </w:r>
    </w:p>
    <w:p w14:paraId="003D20EA" w14:textId="1A0E1948"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 xml:space="preserve">Knowledge of and skills in recognising the common symptoms experienced at the end of </w:t>
      </w:r>
      <w:proofErr w:type="gramStart"/>
      <w:r>
        <w:rPr>
          <w:rFonts w:ascii="Helvetica" w:hAnsi="Helvetica" w:cs="Helvetica"/>
          <w:spacing w:val="3"/>
          <w:kern w:val="1"/>
          <w:sz w:val="19"/>
          <w:szCs w:val="19"/>
        </w:rPr>
        <w:t>life</w:t>
      </w:r>
      <w:proofErr w:type="gramEnd"/>
    </w:p>
    <w:p w14:paraId="44246F93" w14:textId="5879A0B5"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 xml:space="preserve">Knowledge and skills in meeting emotional, spiritual/religious and cultural needs and in managing existential </w:t>
      </w:r>
      <w:proofErr w:type="gramStart"/>
      <w:r>
        <w:rPr>
          <w:rFonts w:ascii="Helvetica" w:hAnsi="Helvetica" w:cs="Helvetica"/>
          <w:spacing w:val="3"/>
          <w:kern w:val="1"/>
          <w:sz w:val="19"/>
          <w:szCs w:val="19"/>
        </w:rPr>
        <w:t>distress</w:t>
      </w:r>
      <w:proofErr w:type="gramEnd"/>
    </w:p>
    <w:p w14:paraId="44D92794" w14:textId="0C1DB84C"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 xml:space="preserve">Skills for communicating end-of-life </w:t>
      </w:r>
      <w:proofErr w:type="gramStart"/>
      <w:r>
        <w:rPr>
          <w:rFonts w:ascii="Helvetica" w:hAnsi="Helvetica" w:cs="Helvetica"/>
          <w:spacing w:val="3"/>
          <w:kern w:val="1"/>
          <w:sz w:val="19"/>
          <w:szCs w:val="19"/>
        </w:rPr>
        <w:t>issues</w:t>
      </w:r>
      <w:proofErr w:type="gramEnd"/>
    </w:p>
    <w:p w14:paraId="59D04470" w14:textId="42AFCD6E" w:rsidR="00DB54AF" w:rsidRDefault="00DB54AF" w:rsidP="00DB54AF">
      <w:pPr>
        <w:pStyle w:val="Bullet1"/>
        <w:rPr>
          <w:rFonts w:ascii="Helvetica" w:hAnsi="Helvetica" w:cs="Helvetica"/>
          <w:spacing w:val="3"/>
          <w:kern w:val="1"/>
          <w:sz w:val="19"/>
          <w:szCs w:val="19"/>
        </w:rPr>
      </w:pPr>
      <w:r>
        <w:rPr>
          <w:rFonts w:ascii="Helvetica" w:hAnsi="Helvetica" w:cs="Helvetica"/>
          <w:spacing w:val="3"/>
          <w:kern w:val="1"/>
          <w:sz w:val="19"/>
          <w:szCs w:val="19"/>
        </w:rPr>
        <w:t>Bereavement options for families/carers</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4500239"/>
      <w:r w:rsidRPr="00942FAB">
        <w:lastRenderedPageBreak/>
        <w:t>Evidence base</w:t>
      </w:r>
      <w:bookmarkEnd w:id="21"/>
    </w:p>
    <w:p w14:paraId="6586B82F" w14:textId="77777777" w:rsidR="00DB54AF" w:rsidRDefault="00DB54AF" w:rsidP="00DB54AF">
      <w:pPr>
        <w:pStyle w:val="Body"/>
      </w:pPr>
      <w:r>
        <w:t xml:space="preserve">Agency for Clinical Innovation 2020, </w:t>
      </w:r>
      <w:r>
        <w:rPr>
          <w:i/>
          <w:iCs/>
        </w:rPr>
        <w:t>Palliative and end of life care: a blueprint for Improvement</w:t>
      </w:r>
      <w:r>
        <w:t>, NSW &lt;https://www.aci.health.nsw.gov.au/palliative-care-blueprint&gt;</w:t>
      </w:r>
    </w:p>
    <w:p w14:paraId="7C54CC1F" w14:textId="77777777" w:rsidR="00DB54AF" w:rsidRDefault="00DB54AF" w:rsidP="00DB54AF">
      <w:pPr>
        <w:pStyle w:val="Body"/>
      </w:pPr>
      <w:r>
        <w:t>Australian Commission on Safety and Quality in Health Care (ACSQHC) 2015,</w:t>
      </w:r>
      <w:r>
        <w:rPr>
          <w:i/>
          <w:iCs/>
        </w:rPr>
        <w:t xml:space="preserve"> National consensus statement: essential elements for safe and high</w:t>
      </w:r>
      <w:r>
        <w:rPr>
          <w:rFonts w:ascii="Cambria Math" w:hAnsi="Cambria Math" w:cs="Cambria Math"/>
          <w:i/>
          <w:iCs/>
        </w:rPr>
        <w:t>‑</w:t>
      </w:r>
      <w:r>
        <w:rPr>
          <w:i/>
          <w:iCs/>
        </w:rPr>
        <w:t>quality end-of-life care</w:t>
      </w:r>
      <w:r>
        <w:t>. ACSQHC, Sydney  &lt;</w:t>
      </w:r>
      <w:hyperlink r:id="rId17" w:history="1">
        <w:r w:rsidRPr="00FD6704">
          <w:rPr>
            <w:rStyle w:val="Hyperlink"/>
            <w:rFonts w:ascii="Helvetica" w:hAnsi="Helvetica" w:cs="Helvetica"/>
            <w:spacing w:val="3"/>
            <w:kern w:val="1"/>
            <w:sz w:val="19"/>
            <w:szCs w:val="19"/>
          </w:rPr>
          <w:t>https://www.safetyandquality.gov.au/publications-and-resources/resource-library/national-consensus-statement-essential-elements-safe-and-high-quality-end-life-care</w:t>
        </w:r>
      </w:hyperlink>
      <w:r>
        <w:rPr>
          <w:color w:val="0000FF"/>
          <w:u w:val="single" w:color="0000FF"/>
        </w:rPr>
        <w:t>&gt;</w:t>
      </w:r>
      <w:r>
        <w:t xml:space="preserve"> </w:t>
      </w:r>
    </w:p>
    <w:p w14:paraId="5C27B46D" w14:textId="77777777" w:rsidR="00DB54AF" w:rsidRDefault="00DB54AF" w:rsidP="00DB54AF">
      <w:pPr>
        <w:pStyle w:val="Body"/>
      </w:pPr>
      <w:r>
        <w:t xml:space="preserve">Australian Government, Department of Health 2018, </w:t>
      </w:r>
      <w:r>
        <w:rPr>
          <w:i/>
          <w:iCs/>
        </w:rPr>
        <w:t>National palliative care strategy</w:t>
      </w:r>
      <w:r>
        <w:t>, &lt;</w:t>
      </w:r>
      <w:hyperlink r:id="rId18" w:history="1">
        <w:r w:rsidRPr="00FD6704">
          <w:rPr>
            <w:rStyle w:val="Hyperlink"/>
            <w:rFonts w:ascii="Helvetica" w:hAnsi="Helvetica" w:cs="Helvetica"/>
            <w:spacing w:val="3"/>
            <w:kern w:val="1"/>
            <w:sz w:val="19"/>
            <w:szCs w:val="19"/>
          </w:rPr>
          <w:t>https://www.health.gov.au/resources/publications/the-national-palliative-care-strategy-2018</w:t>
        </w:r>
      </w:hyperlink>
      <w:r>
        <w:rPr>
          <w:color w:val="0000FF"/>
          <w:u w:val="single" w:color="0000FF"/>
        </w:rPr>
        <w:t>&gt;</w:t>
      </w:r>
    </w:p>
    <w:p w14:paraId="7A419A7A" w14:textId="77777777" w:rsidR="00DB54AF" w:rsidRDefault="00DB54AF" w:rsidP="00DB54AF">
      <w:pPr>
        <w:pStyle w:val="Body"/>
      </w:pPr>
      <w:proofErr w:type="spellStart"/>
      <w:r>
        <w:t>CareSearch</w:t>
      </w:r>
      <w:proofErr w:type="spellEnd"/>
      <w:r>
        <w:t xml:space="preserve"> 2020, </w:t>
      </w:r>
      <w:r>
        <w:rPr>
          <w:i/>
          <w:iCs/>
        </w:rPr>
        <w:t>Care of the dying person</w:t>
      </w:r>
      <w:r>
        <w:t>, &lt;</w:t>
      </w:r>
      <w:hyperlink r:id="rId19" w:history="1">
        <w:r w:rsidRPr="00FD6704">
          <w:rPr>
            <w:rStyle w:val="Hyperlink"/>
            <w:rFonts w:ascii="Helvetica" w:hAnsi="Helvetica" w:cs="Helvetica"/>
            <w:spacing w:val="3"/>
            <w:kern w:val="1"/>
            <w:sz w:val="19"/>
            <w:szCs w:val="19"/>
          </w:rPr>
          <w:t>https://www.caresearch.com.au/caresearch/tabid/738/Default.aspx</w:t>
        </w:r>
      </w:hyperlink>
      <w:r>
        <w:rPr>
          <w:color w:val="0000FF"/>
          <w:u w:val="single" w:color="0000FF"/>
        </w:rPr>
        <w:t>&gt;</w:t>
      </w:r>
    </w:p>
    <w:p w14:paraId="41D03534" w14:textId="77777777" w:rsidR="00DB54AF" w:rsidRDefault="00DB54AF" w:rsidP="00DB54AF">
      <w:pPr>
        <w:pStyle w:val="Body"/>
      </w:pPr>
      <w:proofErr w:type="spellStart"/>
      <w:r>
        <w:t>CareSearch</w:t>
      </w:r>
      <w:proofErr w:type="spellEnd"/>
      <w:r>
        <w:t xml:space="preserve"> 2019, </w:t>
      </w:r>
      <w:r>
        <w:rPr>
          <w:i/>
          <w:iCs/>
        </w:rPr>
        <w:t>Recognising the last year of life</w:t>
      </w:r>
      <w:r>
        <w:t>, &lt;</w:t>
      </w:r>
      <w:hyperlink r:id="rId20" w:history="1">
        <w:r w:rsidRPr="00FD6704">
          <w:rPr>
            <w:rStyle w:val="Hyperlink"/>
            <w:rFonts w:ascii="Helvetica" w:hAnsi="Helvetica" w:cs="Helvetica"/>
            <w:spacing w:val="3"/>
            <w:kern w:val="1"/>
            <w:sz w:val="19"/>
            <w:szCs w:val="19"/>
          </w:rPr>
          <w:t>https://www.caresearch.com.au/caresearch/tabid/5918/Default.aspx</w:t>
        </w:r>
      </w:hyperlink>
      <w:r>
        <w:rPr>
          <w:color w:val="0000FF"/>
          <w:u w:val="single" w:color="0000FF"/>
        </w:rPr>
        <w:t>&gt;</w:t>
      </w:r>
    </w:p>
    <w:p w14:paraId="6B95E188" w14:textId="77777777" w:rsidR="00DB54AF" w:rsidRDefault="00DB54AF" w:rsidP="00DB54AF">
      <w:pPr>
        <w:pStyle w:val="Body"/>
      </w:pPr>
      <w:r>
        <w:t xml:space="preserve">Department of Health 2012, </w:t>
      </w:r>
      <w:r>
        <w:rPr>
          <w:i/>
          <w:iCs/>
        </w:rPr>
        <w:t>Strengthening care outcomes for residents with evidence (SCORE)</w:t>
      </w:r>
      <w:r>
        <w:t>, Ageing and Aged Care Branch, State Government of Victoria, Melbourne.</w:t>
      </w:r>
    </w:p>
    <w:p w14:paraId="6FFA0FD8" w14:textId="77777777" w:rsidR="00DB54AF" w:rsidRDefault="00DB54AF" w:rsidP="00DB54AF">
      <w:pPr>
        <w:pStyle w:val="Body"/>
      </w:pPr>
      <w:r>
        <w:t xml:space="preserve">Department of Health and Human Services Victoria 2017 </w:t>
      </w:r>
      <w:r>
        <w:rPr>
          <w:i/>
          <w:iCs/>
        </w:rPr>
        <w:t>Essential elements of end of life care</w:t>
      </w:r>
      <w:r>
        <w:t>, State Government of Victoria, Melbourne, &lt;</w:t>
      </w:r>
      <w:hyperlink r:id="rId21" w:history="1">
        <w:r w:rsidRPr="00FD6704">
          <w:rPr>
            <w:rStyle w:val="Hyperlink"/>
            <w:rFonts w:ascii="Helvetica" w:hAnsi="Helvetica" w:cs="Helvetica"/>
            <w:spacing w:val="3"/>
            <w:kern w:val="1"/>
            <w:sz w:val="19"/>
            <w:szCs w:val="19"/>
          </w:rPr>
          <w:t>https://www2.health.vic.gov.au/hospitals-and-health-services/patient-care/end-of-life-care/palliative-care/essential-elements/triggers</w:t>
        </w:r>
      </w:hyperlink>
      <w:r>
        <w:rPr>
          <w:color w:val="0000FF"/>
          <w:u w:val="single" w:color="0000FF"/>
        </w:rPr>
        <w:t>&gt;</w:t>
      </w:r>
      <w:r>
        <w:t xml:space="preserve"> </w:t>
      </w:r>
    </w:p>
    <w:p w14:paraId="673ED1F8" w14:textId="77777777" w:rsidR="00DB54AF" w:rsidRDefault="00DB54AF" w:rsidP="00DB54AF">
      <w:pPr>
        <w:pStyle w:val="Body"/>
      </w:pPr>
      <w:r>
        <w:t xml:space="preserve">Department of Health and Human Services Victoria 2016. </w:t>
      </w:r>
      <w:r>
        <w:rPr>
          <w:i/>
          <w:iCs/>
        </w:rPr>
        <w:t xml:space="preserve">Victoria's end of life and palliative care framework, </w:t>
      </w:r>
      <w:r>
        <w:t>State Government of Victoria, Melbourne, &lt;</w:t>
      </w:r>
      <w:hyperlink r:id="rId22" w:history="1">
        <w:r w:rsidRPr="00FD6704">
          <w:rPr>
            <w:rStyle w:val="Hyperlink"/>
            <w:rFonts w:ascii="Helvetica" w:hAnsi="Helvetica" w:cs="Helvetica"/>
            <w:spacing w:val="3"/>
            <w:kern w:val="1"/>
            <w:sz w:val="19"/>
            <w:szCs w:val="19"/>
          </w:rPr>
          <w:t>https://www2.health.vic.gov.au/hospitals-and-health-services/patient-care/end-of-life-care/palliative-care/end-of-life-and-palliative-care-framework</w:t>
        </w:r>
      </w:hyperlink>
      <w:r>
        <w:rPr>
          <w:color w:val="0000FF"/>
          <w:u w:val="single" w:color="0000FF"/>
        </w:rPr>
        <w:t>&gt;</w:t>
      </w:r>
    </w:p>
    <w:p w14:paraId="700A04B6" w14:textId="77777777" w:rsidR="00DB54AF" w:rsidRDefault="00DB54AF" w:rsidP="00DB54AF">
      <w:pPr>
        <w:pStyle w:val="Body"/>
      </w:pPr>
      <w:r>
        <w:t xml:space="preserve">National Institute for Health and Care Excellence (NICE) 2015, </w:t>
      </w:r>
      <w:r>
        <w:rPr>
          <w:i/>
          <w:iCs/>
        </w:rPr>
        <w:t>Care of dying adults in the last days of life (NG 31)</w:t>
      </w:r>
      <w:r>
        <w:t>, &lt;</w:t>
      </w:r>
      <w:hyperlink r:id="rId23" w:history="1">
        <w:r w:rsidRPr="00FD6704">
          <w:rPr>
            <w:rStyle w:val="Hyperlink"/>
            <w:rFonts w:ascii="Helvetica" w:hAnsi="Helvetica" w:cs="Helvetica"/>
            <w:spacing w:val="3"/>
            <w:kern w:val="1"/>
            <w:sz w:val="19"/>
            <w:szCs w:val="19"/>
          </w:rPr>
          <w:t>https://www.nice.org.uk/guidance/ng31</w:t>
        </w:r>
      </w:hyperlink>
      <w:r>
        <w:rPr>
          <w:color w:val="0000FF"/>
          <w:u w:val="single" w:color="0000FF"/>
        </w:rPr>
        <w:t>&gt;</w:t>
      </w:r>
    </w:p>
    <w:p w14:paraId="2A68EE71" w14:textId="31CD14B4" w:rsidR="007F28A2" w:rsidRPr="007F28A2" w:rsidRDefault="007F28A2" w:rsidP="007F28A2">
      <w:pPr>
        <w:pStyle w:val="Body"/>
        <w:rPr>
          <w:i/>
          <w:iCs/>
        </w:rPr>
      </w:pPr>
      <w:bookmarkStart w:id="22" w:name="_Hlk133224637"/>
      <w:proofErr w:type="spellStart"/>
      <w:r>
        <w:t>Palliaged</w:t>
      </w:r>
      <w:proofErr w:type="spellEnd"/>
      <w:r>
        <w:t xml:space="preserve">. 2023. </w:t>
      </w:r>
      <w:hyperlink r:id="rId24" w:history="1">
        <w:r w:rsidRPr="00B66A67">
          <w:rPr>
            <w:rStyle w:val="Hyperlink"/>
            <w:rFonts w:ascii="Helvetica" w:hAnsi="Helvetica" w:cs="Helvetica"/>
            <w:spacing w:val="3"/>
            <w:kern w:val="1"/>
            <w:sz w:val="19"/>
            <w:szCs w:val="19"/>
          </w:rPr>
          <w:t>https://www.palliaged.com.au/</w:t>
        </w:r>
      </w:hyperlink>
      <w:r>
        <w:t xml:space="preserve"> </w:t>
      </w:r>
      <w:r>
        <w:rPr>
          <w:i/>
          <w:iCs/>
        </w:rPr>
        <w:t>A Palliative approach in residential aged care</w:t>
      </w:r>
      <w:bookmarkEnd w:id="22"/>
    </w:p>
    <w:p w14:paraId="4B63B05B" w14:textId="3B9DA8FE" w:rsidR="00DB54AF" w:rsidRDefault="00DB54AF" w:rsidP="00DB54AF">
      <w:pPr>
        <w:pStyle w:val="Body"/>
      </w:pPr>
      <w:r>
        <w:t xml:space="preserve">Palliative Care Australia 2018, </w:t>
      </w:r>
      <w:r>
        <w:rPr>
          <w:i/>
          <w:iCs/>
        </w:rPr>
        <w:t>National palliative care standards,</w:t>
      </w:r>
      <w:r>
        <w:t xml:space="preserve"> 5th </w:t>
      </w:r>
      <w:proofErr w:type="spellStart"/>
      <w:r>
        <w:t>edn</w:t>
      </w:r>
      <w:proofErr w:type="spellEnd"/>
      <w:r>
        <w:t>. PCA, Canberra.</w:t>
      </w:r>
    </w:p>
    <w:p w14:paraId="4A715ED0" w14:textId="3E6724FB" w:rsidR="00DB54AF" w:rsidRDefault="00DB54AF" w:rsidP="00DB54AF">
      <w:pPr>
        <w:pStyle w:val="Body"/>
      </w:pPr>
      <w:r>
        <w:t>Registered Nurses’ Association of Ontario (RNAO) 20</w:t>
      </w:r>
      <w:r w:rsidR="007F28A2">
        <w:t>22</w:t>
      </w:r>
      <w:r>
        <w:t xml:space="preserve">, </w:t>
      </w:r>
      <w:r>
        <w:rPr>
          <w:i/>
          <w:iCs/>
        </w:rPr>
        <w:t>End-of-life care during the last days and hours,</w:t>
      </w:r>
      <w:r>
        <w:t xml:space="preserve"> RNAO, Toronto.</w:t>
      </w:r>
    </w:p>
    <w:p w14:paraId="7A4F1D89" w14:textId="77777777" w:rsidR="00DB54AF" w:rsidRDefault="00DB54AF" w:rsidP="00DB54AF">
      <w:pPr>
        <w:pStyle w:val="Body"/>
      </w:pPr>
      <w:r>
        <w:t xml:space="preserve">Registered Nurses' Association of Ontario (RNAO) 2020, </w:t>
      </w:r>
      <w:r w:rsidRPr="00EF7AE0">
        <w:rPr>
          <w:i/>
          <w:iCs/>
        </w:rPr>
        <w:t>A palliative approach to care in the last 12 months of life</w:t>
      </w:r>
      <w:r>
        <w:t>, RNAO, Toronto.</w:t>
      </w:r>
    </w:p>
    <w:p w14:paraId="482D1804" w14:textId="77777777" w:rsidR="00DB54AF" w:rsidRDefault="00DB54AF" w:rsidP="00DB54AF">
      <w:pPr>
        <w:pStyle w:val="Body"/>
      </w:pPr>
      <w:r>
        <w:t xml:space="preserve">Sax Institute 2017, </w:t>
      </w:r>
      <w:r>
        <w:rPr>
          <w:i/>
          <w:iCs/>
        </w:rPr>
        <w:t>Tools to aid clinical identification of end of life: an evidence check rapid review</w:t>
      </w:r>
      <w:r>
        <w:t>. Agency for Clinical Innovation, NSW, &lt;</w:t>
      </w:r>
      <w:hyperlink r:id="rId25" w:history="1">
        <w:r w:rsidRPr="00FD6704">
          <w:rPr>
            <w:rStyle w:val="Hyperlink"/>
            <w:rFonts w:ascii="Helvetica" w:hAnsi="Helvetica" w:cs="Helvetica"/>
            <w:spacing w:val="3"/>
            <w:kern w:val="1"/>
            <w:sz w:val="19"/>
            <w:szCs w:val="19"/>
          </w:rPr>
          <w:t>www.saxinstitute.org.au</w:t>
        </w:r>
      </w:hyperlink>
      <w:r>
        <w:rPr>
          <w:color w:val="0000FF"/>
          <w:u w:val="single" w:color="0000FF"/>
        </w:rPr>
        <w:t>&gt;</w:t>
      </w:r>
    </w:p>
    <w:p w14:paraId="04FF260D" w14:textId="77777777" w:rsidR="00DB54AF" w:rsidRDefault="00DB54AF" w:rsidP="00DB54AF">
      <w:pPr>
        <w:pStyle w:val="Body"/>
      </w:pPr>
      <w:r>
        <w:t>Therapeutic Guidelines Limited (</w:t>
      </w:r>
      <w:proofErr w:type="spellStart"/>
      <w:r>
        <w:t>eTG</w:t>
      </w:r>
      <w:proofErr w:type="spellEnd"/>
      <w:r>
        <w:t xml:space="preserve">) 2016, </w:t>
      </w:r>
      <w:r>
        <w:rPr>
          <w:i/>
          <w:iCs/>
        </w:rPr>
        <w:t>Overview of palliative care</w:t>
      </w:r>
      <w:r>
        <w:t>, TGL, North Melbourne, &lt;</w:t>
      </w:r>
      <w:hyperlink r:id="rId26" w:anchor="toc_d1e47" w:history="1">
        <w:r w:rsidRPr="00FD6704">
          <w:rPr>
            <w:rStyle w:val="Hyperlink"/>
            <w:rFonts w:ascii="Helvetica" w:hAnsi="Helvetica" w:cs="Helvetica"/>
            <w:spacing w:val="3"/>
            <w:kern w:val="1"/>
            <w:sz w:val="19"/>
            <w:szCs w:val="19"/>
          </w:rPr>
          <w:t>https://tgldcdp.tg.org.au/viewTopic?topicfile=palliative-care-overview#toc_d1e47</w:t>
        </w:r>
      </w:hyperlink>
      <w:r>
        <w:rPr>
          <w:color w:val="0000FF"/>
          <w:u w:val="single" w:color="0000FF"/>
        </w:rPr>
        <w:t>&gt;</w:t>
      </w:r>
      <w:r>
        <w:t xml:space="preserve"> </w:t>
      </w:r>
    </w:p>
    <w:p w14:paraId="14EEBDE0" w14:textId="77777777" w:rsidR="00DB54AF" w:rsidRDefault="00DB54AF" w:rsidP="00DB54AF">
      <w:pPr>
        <w:pStyle w:val="Body"/>
      </w:pPr>
      <w:r>
        <w:t xml:space="preserve">WA Cancer and Palliative Care Network 2011, </w:t>
      </w:r>
      <w:r>
        <w:rPr>
          <w:i/>
          <w:iCs/>
        </w:rPr>
        <w:t xml:space="preserve">Evidence based clinical guidelines for adults in the terminal phase, </w:t>
      </w:r>
      <w:r w:rsidRPr="00EF7AE0">
        <w:t xml:space="preserve">2nd </w:t>
      </w:r>
      <w:proofErr w:type="spellStart"/>
      <w:r w:rsidRPr="00EF7AE0">
        <w:t>edn</w:t>
      </w:r>
      <w:proofErr w:type="spellEnd"/>
      <w:r>
        <w:t>. State Government of Western Australia Department of Health, Perth. &lt;</w:t>
      </w:r>
      <w:hyperlink r:id="rId27" w:history="1">
        <w:r w:rsidRPr="00FD6704">
          <w:rPr>
            <w:rStyle w:val="Hyperlink"/>
            <w:rFonts w:ascii="Helvetica" w:hAnsi="Helvetica" w:cs="Helvetica"/>
            <w:spacing w:val="3"/>
            <w:kern w:val="1"/>
            <w:sz w:val="19"/>
            <w:szCs w:val="19"/>
          </w:rPr>
          <w:t>https://ww2.health.wa.gov.au/~/media/Files/Corporate/general%20documents/Palliative/Evidence_based_guidelines.pdf</w:t>
        </w:r>
      </w:hyperlink>
      <w:r>
        <w:t>&gt;</w:t>
      </w:r>
    </w:p>
    <w:p w14:paraId="25F6F01A" w14:textId="77777777" w:rsidR="00DB54AF" w:rsidRPr="00F23D31" w:rsidRDefault="00DB54AF" w:rsidP="00DB54AF">
      <w:pPr>
        <w:rPr>
          <w:rFonts w:ascii="Times New Roman" w:hAnsi="Times New Roman"/>
          <w:lang w:eastAsia="en-GB"/>
        </w:rPr>
      </w:pPr>
    </w:p>
    <w:p w14:paraId="2950E4BC" w14:textId="4A096579" w:rsidR="000A5966" w:rsidRDefault="000A5966" w:rsidP="000A5966">
      <w:pPr>
        <w:pStyle w:val="Body"/>
        <w:rPr>
          <w:lang w:eastAsia="en-AU"/>
        </w:rPr>
      </w:pPr>
      <w:r w:rsidRPr="000A5966">
        <w:rPr>
          <w:lang w:eastAsia="en-AU"/>
        </w:rPr>
        <w:t xml:space="preserve"> </w:t>
      </w:r>
    </w:p>
    <w:p w14:paraId="580739E5" w14:textId="77777777" w:rsidR="00A41997" w:rsidRPr="000A5966" w:rsidRDefault="00A41997" w:rsidP="000A5966">
      <w:pPr>
        <w:pStyle w:val="Body"/>
        <w:rPr>
          <w:lang w:eastAsia="en-AU"/>
        </w:rPr>
      </w:pPr>
    </w:p>
    <w:p w14:paraId="5C4E06E1" w14:textId="085B860D" w:rsidR="00B13959" w:rsidRPr="00B13959" w:rsidRDefault="00B13959" w:rsidP="00B13959">
      <w:pPr>
        <w:pStyle w:val="Body"/>
        <w:rPr>
          <w:lang w:val="en-GB"/>
        </w:rPr>
      </w:pPr>
      <w:r w:rsidRPr="35B02F2E">
        <w:rPr>
          <w:b/>
          <w:bCs/>
          <w:lang w:val="en-GB"/>
        </w:rPr>
        <w:lastRenderedPageBreak/>
        <w:t xml:space="preserve">Important note: </w:t>
      </w:r>
      <w:r w:rsidRPr="35B02F2E">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35B02F2E">
        <w:rPr>
          <w:lang w:val="en-GB"/>
        </w:rPr>
        <w:t>takes into account</w:t>
      </w:r>
      <w:proofErr w:type="gramEnd"/>
      <w:r w:rsidRPr="35B02F2E">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67FC4BC2" w:rsidR="00B13959" w:rsidRPr="00B13959" w:rsidRDefault="00B13959" w:rsidP="00B13959">
      <w:pPr>
        <w:pStyle w:val="Body"/>
        <w:rPr>
          <w:lang w:val="en-GB"/>
        </w:rPr>
      </w:pPr>
      <w:r w:rsidRPr="35B02F2E">
        <w:rPr>
          <w:lang w:val="en-GB"/>
        </w:rPr>
        <w:t xml:space="preserve">© State of Victoria, Department of Health, </w:t>
      </w:r>
      <w:r w:rsidR="3596DD17" w:rsidRPr="35B02F2E">
        <w:rPr>
          <w:lang w:val="en-GB"/>
        </w:rPr>
        <w:t>A</w:t>
      </w:r>
      <w:r w:rsidR="005855D6">
        <w:rPr>
          <w:lang w:val="en-GB"/>
        </w:rPr>
        <w:t>pril</w:t>
      </w:r>
      <w:r w:rsidR="3596DD17" w:rsidRPr="35B02F2E">
        <w:rPr>
          <w:lang w:val="en-GB"/>
        </w:rPr>
        <w:t xml:space="preserve"> </w:t>
      </w:r>
      <w:r w:rsidRPr="35B02F2E">
        <w:rPr>
          <w:lang w:val="en-GB"/>
        </w:rPr>
        <w:t>202</w:t>
      </w:r>
      <w:r w:rsidR="007F28A2">
        <w:rPr>
          <w:lang w:val="en-GB"/>
        </w:rPr>
        <w:t>3</w:t>
      </w:r>
      <w:r w:rsidRPr="35B02F2E">
        <w:rPr>
          <w:lang w:val="en-GB"/>
        </w:rPr>
        <w:t>. (2</w:t>
      </w:r>
      <w:r w:rsidR="007F28A2">
        <w:rPr>
          <w:lang w:val="en-GB"/>
        </w:rPr>
        <w:t>308532</w:t>
      </w:r>
      <w:r w:rsidRPr="35B02F2E">
        <w:rPr>
          <w:lang w:val="en-GB"/>
        </w:rPr>
        <w:t>)</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7CC9D7D8" w:rsidR="00B13959" w:rsidRPr="007F28A2" w:rsidRDefault="007F28A2" w:rsidP="007F28A2">
      <w:pPr>
        <w:pStyle w:val="Body"/>
      </w:pPr>
      <w:r>
        <w:rPr>
          <w:lang w:val="en-GB" w:eastAsia="en-AU"/>
        </w:rPr>
        <w:t xml:space="preserve">Available from the department’s </w:t>
      </w:r>
      <w:hyperlink r:id="rId28"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sectPr w:rsidR="00B13959" w:rsidRPr="007F28A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12CD" w14:textId="77777777" w:rsidR="003A62F7" w:rsidRDefault="003A62F7">
      <w:r>
        <w:separator/>
      </w:r>
    </w:p>
  </w:endnote>
  <w:endnote w:type="continuationSeparator" w:id="0">
    <w:p w14:paraId="0E5B9934" w14:textId="77777777" w:rsidR="003A62F7" w:rsidRDefault="003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v:textbox inset=",0,,0">
                <w:txbxContent>
                  <w:p w:rsidRPr="00B21F90" w:rsidR="00E261B3" w:rsidP="00B21F90" w:rsidRDefault="00E261B3" w14:paraId="27991FE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v:textbox inset=",0,,0">
                <w:txbxContent>
                  <w:p w:rsidRPr="00B21F90" w:rsidR="00E261B3" w:rsidP="00B21F90" w:rsidRDefault="00E261B3" w14:paraId="255D29B8"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v:textbox inset=",0,,0">
                <w:txbxContent>
                  <w:p w:rsidRPr="00B07FF7" w:rsidR="00B07FF7" w:rsidP="00B07FF7" w:rsidRDefault="00B07FF7" w14:paraId="2C0C467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E3C9" w14:textId="77777777" w:rsidR="003A62F7" w:rsidRDefault="003A62F7" w:rsidP="002862F1">
      <w:pPr>
        <w:spacing w:before="120"/>
      </w:pPr>
      <w:r>
        <w:separator/>
      </w:r>
    </w:p>
  </w:footnote>
  <w:footnote w:type="continuationSeparator" w:id="0">
    <w:p w14:paraId="19B48988" w14:textId="77777777" w:rsidR="003A62F7" w:rsidRDefault="003A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A46D" w14:textId="3D90B369" w:rsidR="000A5966" w:rsidRPr="000A5966" w:rsidRDefault="00EF698C" w:rsidP="0011701A">
    <w:pPr>
      <w:pStyle w:val="Header"/>
      <w:rPr>
        <w:lang w:val="en-US"/>
      </w:rPr>
    </w:pPr>
    <w:r>
      <w:rPr>
        <w:lang w:val="en-US"/>
      </w:rPr>
      <w:t>End of life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53618ED"/>
    <w:multiLevelType w:val="hybridMultilevel"/>
    <w:tmpl w:val="FCCE2B4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E107A62"/>
    <w:multiLevelType w:val="hybridMultilevel"/>
    <w:tmpl w:val="D0BE9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55774A"/>
    <w:multiLevelType w:val="hybridMultilevel"/>
    <w:tmpl w:val="EDE40B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82538759">
    <w:abstractNumId w:val="2"/>
  </w:num>
  <w:num w:numId="2" w16cid:durableId="1270308722">
    <w:abstractNumId w:val="6"/>
  </w:num>
  <w:num w:numId="3" w16cid:durableId="1195801293">
    <w:abstractNumId w:val="5"/>
  </w:num>
  <w:num w:numId="4" w16cid:durableId="628242292">
    <w:abstractNumId w:val="8"/>
  </w:num>
  <w:num w:numId="5" w16cid:durableId="409273136">
    <w:abstractNumId w:val="3"/>
  </w:num>
  <w:num w:numId="6" w16cid:durableId="693768529">
    <w:abstractNumId w:val="0"/>
  </w:num>
  <w:num w:numId="7" w16cid:durableId="1810853965">
    <w:abstractNumId w:val="4"/>
  </w:num>
  <w:num w:numId="8" w16cid:durableId="739716835">
    <w:abstractNumId w:val="7"/>
  </w:num>
  <w:num w:numId="9" w16cid:durableId="10454474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2406"/>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596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4FF7"/>
    <w:rsid w:val="00386109"/>
    <w:rsid w:val="00386944"/>
    <w:rsid w:val="00387225"/>
    <w:rsid w:val="003956CC"/>
    <w:rsid w:val="00395C9A"/>
    <w:rsid w:val="003A0853"/>
    <w:rsid w:val="003A62F7"/>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55D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D57"/>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28A2"/>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0A3C"/>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1997"/>
    <w:rsid w:val="00A44882"/>
    <w:rsid w:val="00A45125"/>
    <w:rsid w:val="00A54715"/>
    <w:rsid w:val="00A6061C"/>
    <w:rsid w:val="00A62D44"/>
    <w:rsid w:val="00A67263"/>
    <w:rsid w:val="00A7161C"/>
    <w:rsid w:val="00A7173F"/>
    <w:rsid w:val="00A77AA3"/>
    <w:rsid w:val="00A8236D"/>
    <w:rsid w:val="00A854EB"/>
    <w:rsid w:val="00A872E5"/>
    <w:rsid w:val="00A91406"/>
    <w:rsid w:val="00A96E65"/>
    <w:rsid w:val="00A97C72"/>
    <w:rsid w:val="00AA268E"/>
    <w:rsid w:val="00AA310B"/>
    <w:rsid w:val="00AA63D4"/>
    <w:rsid w:val="00AB06E8"/>
    <w:rsid w:val="00AB1CD3"/>
    <w:rsid w:val="00AB1DAD"/>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54AF"/>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6354"/>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98C"/>
    <w:rsid w:val="00F00F9C"/>
    <w:rsid w:val="00F01E5F"/>
    <w:rsid w:val="00F024F3"/>
    <w:rsid w:val="00F02ABA"/>
    <w:rsid w:val="00F0437A"/>
    <w:rsid w:val="00F101B8"/>
    <w:rsid w:val="00F11037"/>
    <w:rsid w:val="00F16F1B"/>
    <w:rsid w:val="00F250A9"/>
    <w:rsid w:val="00F267AF"/>
    <w:rsid w:val="00F269D6"/>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3596DD17"/>
    <w:rsid w:val="35B02F2E"/>
    <w:rsid w:val="6DBC1A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3B1B5E"/>
    <w:pPr>
      <w:ind w:left="720"/>
      <w:contextualSpacing/>
    </w:pPr>
  </w:style>
  <w:style w:type="paragraph" w:styleId="NormalWeb">
    <w:name w:val="Normal (Web)"/>
    <w:basedOn w:val="Normal"/>
    <w:uiPriority w:val="99"/>
    <w:semiHidden/>
    <w:unhideWhenUsed/>
    <w:rsid w:val="000A5966"/>
    <w:pPr>
      <w:spacing w:before="100" w:beforeAutospacing="1" w:after="100" w:afterAutospacing="1" w:line="240" w:lineRule="auto"/>
    </w:pPr>
    <w:rPr>
      <w:rFonts w:ascii="Times New Roman" w:hAnsi="Times New Roman"/>
      <w:sz w:val="24"/>
      <w:szCs w:val="24"/>
      <w:lang w:eastAsia="en-GB"/>
    </w:rPr>
  </w:style>
  <w:style w:type="paragraph" w:customStyle="1" w:styleId="bullet">
    <w:name w:val="bullet"/>
    <w:basedOn w:val="Normal"/>
    <w:qFormat/>
    <w:rsid w:val="00DB54A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28" w:line="250" w:lineRule="atLeast"/>
      <w:ind w:left="227" w:right="-1282" w:hanging="227"/>
    </w:pPr>
    <w:rPr>
      <w:rFonts w:ascii="Helvetica" w:eastAsiaTheme="minorHAnsi" w:hAnsi="Helvetica" w:cs="Helvetica"/>
      <w:spacing w:val="3"/>
      <w:kern w:val="1"/>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4466">
      <w:bodyDiv w:val="1"/>
      <w:marLeft w:val="0"/>
      <w:marRight w:val="0"/>
      <w:marTop w:val="0"/>
      <w:marBottom w:val="0"/>
      <w:divBdr>
        <w:top w:val="none" w:sz="0" w:space="0" w:color="auto"/>
        <w:left w:val="none" w:sz="0" w:space="0" w:color="auto"/>
        <w:bottom w:val="none" w:sz="0" w:space="0" w:color="auto"/>
        <w:right w:val="none" w:sz="0" w:space="0" w:color="auto"/>
      </w:divBdr>
      <w:divsChild>
        <w:div w:id="64885224">
          <w:marLeft w:val="0"/>
          <w:marRight w:val="0"/>
          <w:marTop w:val="0"/>
          <w:marBottom w:val="0"/>
          <w:divBdr>
            <w:top w:val="none" w:sz="0" w:space="0" w:color="auto"/>
            <w:left w:val="none" w:sz="0" w:space="0" w:color="auto"/>
            <w:bottom w:val="none" w:sz="0" w:space="0" w:color="auto"/>
            <w:right w:val="none" w:sz="0" w:space="0" w:color="auto"/>
          </w:divBdr>
          <w:divsChild>
            <w:div w:id="1381787722">
              <w:marLeft w:val="0"/>
              <w:marRight w:val="0"/>
              <w:marTop w:val="0"/>
              <w:marBottom w:val="0"/>
              <w:divBdr>
                <w:top w:val="none" w:sz="0" w:space="0" w:color="auto"/>
                <w:left w:val="none" w:sz="0" w:space="0" w:color="auto"/>
                <w:bottom w:val="none" w:sz="0" w:space="0" w:color="auto"/>
                <w:right w:val="none" w:sz="0" w:space="0" w:color="auto"/>
              </w:divBdr>
              <w:divsChild>
                <w:div w:id="338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0613">
      <w:bodyDiv w:val="1"/>
      <w:marLeft w:val="0"/>
      <w:marRight w:val="0"/>
      <w:marTop w:val="0"/>
      <w:marBottom w:val="0"/>
      <w:divBdr>
        <w:top w:val="none" w:sz="0" w:space="0" w:color="auto"/>
        <w:left w:val="none" w:sz="0" w:space="0" w:color="auto"/>
        <w:bottom w:val="none" w:sz="0" w:space="0" w:color="auto"/>
        <w:right w:val="none" w:sz="0" w:space="0" w:color="auto"/>
      </w:divBdr>
      <w:divsChild>
        <w:div w:id="74473692">
          <w:marLeft w:val="0"/>
          <w:marRight w:val="0"/>
          <w:marTop w:val="0"/>
          <w:marBottom w:val="0"/>
          <w:divBdr>
            <w:top w:val="none" w:sz="0" w:space="0" w:color="auto"/>
            <w:left w:val="none" w:sz="0" w:space="0" w:color="auto"/>
            <w:bottom w:val="none" w:sz="0" w:space="0" w:color="auto"/>
            <w:right w:val="none" w:sz="0" w:space="0" w:color="auto"/>
          </w:divBdr>
          <w:divsChild>
            <w:div w:id="2137064849">
              <w:marLeft w:val="0"/>
              <w:marRight w:val="0"/>
              <w:marTop w:val="0"/>
              <w:marBottom w:val="0"/>
              <w:divBdr>
                <w:top w:val="none" w:sz="0" w:space="0" w:color="auto"/>
                <w:left w:val="none" w:sz="0" w:space="0" w:color="auto"/>
                <w:bottom w:val="none" w:sz="0" w:space="0" w:color="auto"/>
                <w:right w:val="none" w:sz="0" w:space="0" w:color="auto"/>
              </w:divBdr>
              <w:divsChild>
                <w:div w:id="7648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62">
      <w:bodyDiv w:val="1"/>
      <w:marLeft w:val="0"/>
      <w:marRight w:val="0"/>
      <w:marTop w:val="0"/>
      <w:marBottom w:val="0"/>
      <w:divBdr>
        <w:top w:val="none" w:sz="0" w:space="0" w:color="auto"/>
        <w:left w:val="none" w:sz="0" w:space="0" w:color="auto"/>
        <w:bottom w:val="none" w:sz="0" w:space="0" w:color="auto"/>
        <w:right w:val="none" w:sz="0" w:space="0" w:color="auto"/>
      </w:divBdr>
      <w:divsChild>
        <w:div w:id="1500190885">
          <w:marLeft w:val="0"/>
          <w:marRight w:val="0"/>
          <w:marTop w:val="0"/>
          <w:marBottom w:val="0"/>
          <w:divBdr>
            <w:top w:val="none" w:sz="0" w:space="0" w:color="auto"/>
            <w:left w:val="none" w:sz="0" w:space="0" w:color="auto"/>
            <w:bottom w:val="none" w:sz="0" w:space="0" w:color="auto"/>
            <w:right w:val="none" w:sz="0" w:space="0" w:color="auto"/>
          </w:divBdr>
          <w:divsChild>
            <w:div w:id="1393625064">
              <w:marLeft w:val="0"/>
              <w:marRight w:val="0"/>
              <w:marTop w:val="0"/>
              <w:marBottom w:val="0"/>
              <w:divBdr>
                <w:top w:val="none" w:sz="0" w:space="0" w:color="auto"/>
                <w:left w:val="none" w:sz="0" w:space="0" w:color="auto"/>
                <w:bottom w:val="none" w:sz="0" w:space="0" w:color="auto"/>
                <w:right w:val="none" w:sz="0" w:space="0" w:color="auto"/>
              </w:divBdr>
              <w:divsChild>
                <w:div w:id="4962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2988067">
      <w:bodyDiv w:val="1"/>
      <w:marLeft w:val="0"/>
      <w:marRight w:val="0"/>
      <w:marTop w:val="0"/>
      <w:marBottom w:val="0"/>
      <w:divBdr>
        <w:top w:val="none" w:sz="0" w:space="0" w:color="auto"/>
        <w:left w:val="none" w:sz="0" w:space="0" w:color="auto"/>
        <w:bottom w:val="none" w:sz="0" w:space="0" w:color="auto"/>
        <w:right w:val="none" w:sz="0" w:space="0" w:color="auto"/>
      </w:divBdr>
      <w:divsChild>
        <w:div w:id="1476415924">
          <w:marLeft w:val="0"/>
          <w:marRight w:val="0"/>
          <w:marTop w:val="0"/>
          <w:marBottom w:val="0"/>
          <w:divBdr>
            <w:top w:val="none" w:sz="0" w:space="0" w:color="auto"/>
            <w:left w:val="none" w:sz="0" w:space="0" w:color="auto"/>
            <w:bottom w:val="none" w:sz="0" w:space="0" w:color="auto"/>
            <w:right w:val="none" w:sz="0" w:space="0" w:color="auto"/>
          </w:divBdr>
          <w:divsChild>
            <w:div w:id="1466123968">
              <w:marLeft w:val="0"/>
              <w:marRight w:val="0"/>
              <w:marTop w:val="0"/>
              <w:marBottom w:val="0"/>
              <w:divBdr>
                <w:top w:val="none" w:sz="0" w:space="0" w:color="auto"/>
                <w:left w:val="none" w:sz="0" w:space="0" w:color="auto"/>
                <w:bottom w:val="none" w:sz="0" w:space="0" w:color="auto"/>
                <w:right w:val="none" w:sz="0" w:space="0" w:color="auto"/>
              </w:divBdr>
              <w:divsChild>
                <w:div w:id="18379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504">
      <w:bodyDiv w:val="1"/>
      <w:marLeft w:val="0"/>
      <w:marRight w:val="0"/>
      <w:marTop w:val="0"/>
      <w:marBottom w:val="0"/>
      <w:divBdr>
        <w:top w:val="none" w:sz="0" w:space="0" w:color="auto"/>
        <w:left w:val="none" w:sz="0" w:space="0" w:color="auto"/>
        <w:bottom w:val="none" w:sz="0" w:space="0" w:color="auto"/>
        <w:right w:val="none" w:sz="0" w:space="0" w:color="auto"/>
      </w:divBdr>
      <w:divsChild>
        <w:div w:id="881790156">
          <w:marLeft w:val="0"/>
          <w:marRight w:val="0"/>
          <w:marTop w:val="0"/>
          <w:marBottom w:val="0"/>
          <w:divBdr>
            <w:top w:val="none" w:sz="0" w:space="0" w:color="auto"/>
            <w:left w:val="none" w:sz="0" w:space="0" w:color="auto"/>
            <w:bottom w:val="none" w:sz="0" w:space="0" w:color="auto"/>
            <w:right w:val="none" w:sz="0" w:space="0" w:color="auto"/>
          </w:divBdr>
          <w:divsChild>
            <w:div w:id="38238928">
              <w:marLeft w:val="0"/>
              <w:marRight w:val="0"/>
              <w:marTop w:val="0"/>
              <w:marBottom w:val="0"/>
              <w:divBdr>
                <w:top w:val="none" w:sz="0" w:space="0" w:color="auto"/>
                <w:left w:val="none" w:sz="0" w:space="0" w:color="auto"/>
                <w:bottom w:val="none" w:sz="0" w:space="0" w:color="auto"/>
                <w:right w:val="none" w:sz="0" w:space="0" w:color="auto"/>
              </w:divBdr>
              <w:divsChild>
                <w:div w:id="561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120">
      <w:bodyDiv w:val="1"/>
      <w:marLeft w:val="0"/>
      <w:marRight w:val="0"/>
      <w:marTop w:val="0"/>
      <w:marBottom w:val="0"/>
      <w:divBdr>
        <w:top w:val="none" w:sz="0" w:space="0" w:color="auto"/>
        <w:left w:val="none" w:sz="0" w:space="0" w:color="auto"/>
        <w:bottom w:val="none" w:sz="0" w:space="0" w:color="auto"/>
        <w:right w:val="none" w:sz="0" w:space="0" w:color="auto"/>
      </w:divBdr>
      <w:divsChild>
        <w:div w:id="1748457725">
          <w:marLeft w:val="0"/>
          <w:marRight w:val="0"/>
          <w:marTop w:val="0"/>
          <w:marBottom w:val="0"/>
          <w:divBdr>
            <w:top w:val="none" w:sz="0" w:space="0" w:color="auto"/>
            <w:left w:val="none" w:sz="0" w:space="0" w:color="auto"/>
            <w:bottom w:val="none" w:sz="0" w:space="0" w:color="auto"/>
            <w:right w:val="none" w:sz="0" w:space="0" w:color="auto"/>
          </w:divBdr>
          <w:divsChild>
            <w:div w:id="346567579">
              <w:marLeft w:val="0"/>
              <w:marRight w:val="0"/>
              <w:marTop w:val="0"/>
              <w:marBottom w:val="0"/>
              <w:divBdr>
                <w:top w:val="none" w:sz="0" w:space="0" w:color="auto"/>
                <w:left w:val="none" w:sz="0" w:space="0" w:color="auto"/>
                <w:bottom w:val="none" w:sz="0" w:space="0" w:color="auto"/>
                <w:right w:val="none" w:sz="0" w:space="0" w:color="auto"/>
              </w:divBdr>
              <w:divsChild>
                <w:div w:id="14782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1998135">
      <w:bodyDiv w:val="1"/>
      <w:marLeft w:val="0"/>
      <w:marRight w:val="0"/>
      <w:marTop w:val="0"/>
      <w:marBottom w:val="0"/>
      <w:divBdr>
        <w:top w:val="none" w:sz="0" w:space="0" w:color="auto"/>
        <w:left w:val="none" w:sz="0" w:space="0" w:color="auto"/>
        <w:bottom w:val="none" w:sz="0" w:space="0" w:color="auto"/>
        <w:right w:val="none" w:sz="0" w:space="0" w:color="auto"/>
      </w:divBdr>
      <w:divsChild>
        <w:div w:id="130288179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sChild>
                <w:div w:id="1388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438">
      <w:bodyDiv w:val="1"/>
      <w:marLeft w:val="0"/>
      <w:marRight w:val="0"/>
      <w:marTop w:val="0"/>
      <w:marBottom w:val="0"/>
      <w:divBdr>
        <w:top w:val="none" w:sz="0" w:space="0" w:color="auto"/>
        <w:left w:val="none" w:sz="0" w:space="0" w:color="auto"/>
        <w:bottom w:val="none" w:sz="0" w:space="0" w:color="auto"/>
        <w:right w:val="none" w:sz="0" w:space="0" w:color="auto"/>
      </w:divBdr>
      <w:divsChild>
        <w:div w:id="430275360">
          <w:marLeft w:val="0"/>
          <w:marRight w:val="0"/>
          <w:marTop w:val="0"/>
          <w:marBottom w:val="0"/>
          <w:divBdr>
            <w:top w:val="none" w:sz="0" w:space="0" w:color="auto"/>
            <w:left w:val="none" w:sz="0" w:space="0" w:color="auto"/>
            <w:bottom w:val="none" w:sz="0" w:space="0" w:color="auto"/>
            <w:right w:val="none" w:sz="0" w:space="0" w:color="auto"/>
          </w:divBdr>
          <w:divsChild>
            <w:div w:id="1365329212">
              <w:marLeft w:val="0"/>
              <w:marRight w:val="0"/>
              <w:marTop w:val="0"/>
              <w:marBottom w:val="0"/>
              <w:divBdr>
                <w:top w:val="none" w:sz="0" w:space="0" w:color="auto"/>
                <w:left w:val="none" w:sz="0" w:space="0" w:color="auto"/>
                <w:bottom w:val="none" w:sz="0" w:space="0" w:color="auto"/>
                <w:right w:val="none" w:sz="0" w:space="0" w:color="auto"/>
              </w:divBdr>
              <w:divsChild>
                <w:div w:id="406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7811">
      <w:bodyDiv w:val="1"/>
      <w:marLeft w:val="0"/>
      <w:marRight w:val="0"/>
      <w:marTop w:val="0"/>
      <w:marBottom w:val="0"/>
      <w:divBdr>
        <w:top w:val="none" w:sz="0" w:space="0" w:color="auto"/>
        <w:left w:val="none" w:sz="0" w:space="0" w:color="auto"/>
        <w:bottom w:val="none" w:sz="0" w:space="0" w:color="auto"/>
        <w:right w:val="none" w:sz="0" w:space="0" w:color="auto"/>
      </w:divBdr>
      <w:divsChild>
        <w:div w:id="1512453321">
          <w:marLeft w:val="0"/>
          <w:marRight w:val="0"/>
          <w:marTop w:val="0"/>
          <w:marBottom w:val="0"/>
          <w:divBdr>
            <w:top w:val="none" w:sz="0" w:space="0" w:color="auto"/>
            <w:left w:val="none" w:sz="0" w:space="0" w:color="auto"/>
            <w:bottom w:val="none" w:sz="0" w:space="0" w:color="auto"/>
            <w:right w:val="none" w:sz="0" w:space="0" w:color="auto"/>
          </w:divBdr>
          <w:divsChild>
            <w:div w:id="889803477">
              <w:marLeft w:val="0"/>
              <w:marRight w:val="0"/>
              <w:marTop w:val="0"/>
              <w:marBottom w:val="0"/>
              <w:divBdr>
                <w:top w:val="none" w:sz="0" w:space="0" w:color="auto"/>
                <w:left w:val="none" w:sz="0" w:space="0" w:color="auto"/>
                <w:bottom w:val="none" w:sz="0" w:space="0" w:color="auto"/>
                <w:right w:val="none" w:sz="0" w:space="0" w:color="auto"/>
              </w:divBdr>
              <w:divsChild>
                <w:div w:id="34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733">
      <w:bodyDiv w:val="1"/>
      <w:marLeft w:val="0"/>
      <w:marRight w:val="0"/>
      <w:marTop w:val="0"/>
      <w:marBottom w:val="0"/>
      <w:divBdr>
        <w:top w:val="none" w:sz="0" w:space="0" w:color="auto"/>
        <w:left w:val="none" w:sz="0" w:space="0" w:color="auto"/>
        <w:bottom w:val="none" w:sz="0" w:space="0" w:color="auto"/>
        <w:right w:val="none" w:sz="0" w:space="0" w:color="auto"/>
      </w:divBdr>
      <w:divsChild>
        <w:div w:id="1034232135">
          <w:marLeft w:val="0"/>
          <w:marRight w:val="0"/>
          <w:marTop w:val="0"/>
          <w:marBottom w:val="0"/>
          <w:divBdr>
            <w:top w:val="none" w:sz="0" w:space="0" w:color="auto"/>
            <w:left w:val="none" w:sz="0" w:space="0" w:color="auto"/>
            <w:bottom w:val="none" w:sz="0" w:space="0" w:color="auto"/>
            <w:right w:val="none" w:sz="0" w:space="0" w:color="auto"/>
          </w:divBdr>
          <w:divsChild>
            <w:div w:id="360975846">
              <w:marLeft w:val="0"/>
              <w:marRight w:val="0"/>
              <w:marTop w:val="0"/>
              <w:marBottom w:val="0"/>
              <w:divBdr>
                <w:top w:val="none" w:sz="0" w:space="0" w:color="auto"/>
                <w:left w:val="none" w:sz="0" w:space="0" w:color="auto"/>
                <w:bottom w:val="none" w:sz="0" w:space="0" w:color="auto"/>
                <w:right w:val="none" w:sz="0" w:space="0" w:color="auto"/>
              </w:divBdr>
              <w:divsChild>
                <w:div w:id="14933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2760">
      <w:bodyDiv w:val="1"/>
      <w:marLeft w:val="0"/>
      <w:marRight w:val="0"/>
      <w:marTop w:val="0"/>
      <w:marBottom w:val="0"/>
      <w:divBdr>
        <w:top w:val="none" w:sz="0" w:space="0" w:color="auto"/>
        <w:left w:val="none" w:sz="0" w:space="0" w:color="auto"/>
        <w:bottom w:val="none" w:sz="0" w:space="0" w:color="auto"/>
        <w:right w:val="none" w:sz="0" w:space="0" w:color="auto"/>
      </w:divBdr>
      <w:divsChild>
        <w:div w:id="1847861722">
          <w:marLeft w:val="0"/>
          <w:marRight w:val="0"/>
          <w:marTop w:val="0"/>
          <w:marBottom w:val="0"/>
          <w:divBdr>
            <w:top w:val="none" w:sz="0" w:space="0" w:color="auto"/>
            <w:left w:val="none" w:sz="0" w:space="0" w:color="auto"/>
            <w:bottom w:val="none" w:sz="0" w:space="0" w:color="auto"/>
            <w:right w:val="none" w:sz="0" w:space="0" w:color="auto"/>
          </w:divBdr>
          <w:divsChild>
            <w:div w:id="2082940109">
              <w:marLeft w:val="0"/>
              <w:marRight w:val="0"/>
              <w:marTop w:val="0"/>
              <w:marBottom w:val="0"/>
              <w:divBdr>
                <w:top w:val="none" w:sz="0" w:space="0" w:color="auto"/>
                <w:left w:val="none" w:sz="0" w:space="0" w:color="auto"/>
                <w:bottom w:val="none" w:sz="0" w:space="0" w:color="auto"/>
                <w:right w:val="none" w:sz="0" w:space="0" w:color="auto"/>
              </w:divBdr>
              <w:divsChild>
                <w:div w:id="142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7857">
      <w:bodyDiv w:val="1"/>
      <w:marLeft w:val="0"/>
      <w:marRight w:val="0"/>
      <w:marTop w:val="0"/>
      <w:marBottom w:val="0"/>
      <w:divBdr>
        <w:top w:val="none" w:sz="0" w:space="0" w:color="auto"/>
        <w:left w:val="none" w:sz="0" w:space="0" w:color="auto"/>
        <w:bottom w:val="none" w:sz="0" w:space="0" w:color="auto"/>
        <w:right w:val="none" w:sz="0" w:space="0" w:color="auto"/>
      </w:divBdr>
      <w:divsChild>
        <w:div w:id="304747422">
          <w:marLeft w:val="0"/>
          <w:marRight w:val="0"/>
          <w:marTop w:val="0"/>
          <w:marBottom w:val="0"/>
          <w:divBdr>
            <w:top w:val="none" w:sz="0" w:space="0" w:color="auto"/>
            <w:left w:val="none" w:sz="0" w:space="0" w:color="auto"/>
            <w:bottom w:val="none" w:sz="0" w:space="0" w:color="auto"/>
            <w:right w:val="none" w:sz="0" w:space="0" w:color="auto"/>
          </w:divBdr>
          <w:divsChild>
            <w:div w:id="1600522111">
              <w:marLeft w:val="0"/>
              <w:marRight w:val="0"/>
              <w:marTop w:val="0"/>
              <w:marBottom w:val="0"/>
              <w:divBdr>
                <w:top w:val="none" w:sz="0" w:space="0" w:color="auto"/>
                <w:left w:val="none" w:sz="0" w:space="0" w:color="auto"/>
                <w:bottom w:val="none" w:sz="0" w:space="0" w:color="auto"/>
                <w:right w:val="none" w:sz="0" w:space="0" w:color="auto"/>
              </w:divBdr>
              <w:divsChild>
                <w:div w:id="15035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359">
      <w:bodyDiv w:val="1"/>
      <w:marLeft w:val="0"/>
      <w:marRight w:val="0"/>
      <w:marTop w:val="0"/>
      <w:marBottom w:val="0"/>
      <w:divBdr>
        <w:top w:val="none" w:sz="0" w:space="0" w:color="auto"/>
        <w:left w:val="none" w:sz="0" w:space="0" w:color="auto"/>
        <w:bottom w:val="none" w:sz="0" w:space="0" w:color="auto"/>
        <w:right w:val="none" w:sz="0" w:space="0" w:color="auto"/>
      </w:divBdr>
      <w:divsChild>
        <w:div w:id="1454210185">
          <w:marLeft w:val="0"/>
          <w:marRight w:val="0"/>
          <w:marTop w:val="0"/>
          <w:marBottom w:val="0"/>
          <w:divBdr>
            <w:top w:val="none" w:sz="0" w:space="0" w:color="auto"/>
            <w:left w:val="none" w:sz="0" w:space="0" w:color="auto"/>
            <w:bottom w:val="none" w:sz="0" w:space="0" w:color="auto"/>
            <w:right w:val="none" w:sz="0" w:space="0" w:color="auto"/>
          </w:divBdr>
          <w:divsChild>
            <w:div w:id="1991979104">
              <w:marLeft w:val="0"/>
              <w:marRight w:val="0"/>
              <w:marTop w:val="0"/>
              <w:marBottom w:val="0"/>
              <w:divBdr>
                <w:top w:val="none" w:sz="0" w:space="0" w:color="auto"/>
                <w:left w:val="none" w:sz="0" w:space="0" w:color="auto"/>
                <w:bottom w:val="none" w:sz="0" w:space="0" w:color="auto"/>
                <w:right w:val="none" w:sz="0" w:space="0" w:color="auto"/>
              </w:divBdr>
              <w:divsChild>
                <w:div w:id="1621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1490307">
      <w:bodyDiv w:val="1"/>
      <w:marLeft w:val="0"/>
      <w:marRight w:val="0"/>
      <w:marTop w:val="0"/>
      <w:marBottom w:val="0"/>
      <w:divBdr>
        <w:top w:val="none" w:sz="0" w:space="0" w:color="auto"/>
        <w:left w:val="none" w:sz="0" w:space="0" w:color="auto"/>
        <w:bottom w:val="none" w:sz="0" w:space="0" w:color="auto"/>
        <w:right w:val="none" w:sz="0" w:space="0" w:color="auto"/>
      </w:divBdr>
      <w:divsChild>
        <w:div w:id="794058537">
          <w:marLeft w:val="0"/>
          <w:marRight w:val="0"/>
          <w:marTop w:val="0"/>
          <w:marBottom w:val="0"/>
          <w:divBdr>
            <w:top w:val="none" w:sz="0" w:space="0" w:color="auto"/>
            <w:left w:val="none" w:sz="0" w:space="0" w:color="auto"/>
            <w:bottom w:val="none" w:sz="0" w:space="0" w:color="auto"/>
            <w:right w:val="none" w:sz="0" w:space="0" w:color="auto"/>
          </w:divBdr>
          <w:divsChild>
            <w:div w:id="1099332287">
              <w:marLeft w:val="0"/>
              <w:marRight w:val="0"/>
              <w:marTop w:val="0"/>
              <w:marBottom w:val="0"/>
              <w:divBdr>
                <w:top w:val="none" w:sz="0" w:space="0" w:color="auto"/>
                <w:left w:val="none" w:sz="0" w:space="0" w:color="auto"/>
                <w:bottom w:val="none" w:sz="0" w:space="0" w:color="auto"/>
                <w:right w:val="none" w:sz="0" w:space="0" w:color="auto"/>
              </w:divBdr>
              <w:divsChild>
                <w:div w:id="1813790711">
                  <w:marLeft w:val="0"/>
                  <w:marRight w:val="0"/>
                  <w:marTop w:val="0"/>
                  <w:marBottom w:val="0"/>
                  <w:divBdr>
                    <w:top w:val="none" w:sz="0" w:space="0" w:color="auto"/>
                    <w:left w:val="none" w:sz="0" w:space="0" w:color="auto"/>
                    <w:bottom w:val="none" w:sz="0" w:space="0" w:color="auto"/>
                    <w:right w:val="none" w:sz="0" w:space="0" w:color="auto"/>
                  </w:divBdr>
                </w:div>
                <w:div w:id="1327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9732">
      <w:bodyDiv w:val="1"/>
      <w:marLeft w:val="0"/>
      <w:marRight w:val="0"/>
      <w:marTop w:val="0"/>
      <w:marBottom w:val="0"/>
      <w:divBdr>
        <w:top w:val="none" w:sz="0" w:space="0" w:color="auto"/>
        <w:left w:val="none" w:sz="0" w:space="0" w:color="auto"/>
        <w:bottom w:val="none" w:sz="0" w:space="0" w:color="auto"/>
        <w:right w:val="none" w:sz="0" w:space="0" w:color="auto"/>
      </w:divBdr>
      <w:divsChild>
        <w:div w:id="2081100913">
          <w:marLeft w:val="0"/>
          <w:marRight w:val="0"/>
          <w:marTop w:val="0"/>
          <w:marBottom w:val="0"/>
          <w:divBdr>
            <w:top w:val="none" w:sz="0" w:space="0" w:color="auto"/>
            <w:left w:val="none" w:sz="0" w:space="0" w:color="auto"/>
            <w:bottom w:val="none" w:sz="0" w:space="0" w:color="auto"/>
            <w:right w:val="none" w:sz="0" w:space="0" w:color="auto"/>
          </w:divBdr>
          <w:divsChild>
            <w:div w:id="592973314">
              <w:marLeft w:val="0"/>
              <w:marRight w:val="0"/>
              <w:marTop w:val="0"/>
              <w:marBottom w:val="0"/>
              <w:divBdr>
                <w:top w:val="none" w:sz="0" w:space="0" w:color="auto"/>
                <w:left w:val="none" w:sz="0" w:space="0" w:color="auto"/>
                <w:bottom w:val="none" w:sz="0" w:space="0" w:color="auto"/>
                <w:right w:val="none" w:sz="0" w:space="0" w:color="auto"/>
              </w:divBdr>
              <w:divsChild>
                <w:div w:id="401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5036">
      <w:bodyDiv w:val="1"/>
      <w:marLeft w:val="0"/>
      <w:marRight w:val="0"/>
      <w:marTop w:val="0"/>
      <w:marBottom w:val="0"/>
      <w:divBdr>
        <w:top w:val="none" w:sz="0" w:space="0" w:color="auto"/>
        <w:left w:val="none" w:sz="0" w:space="0" w:color="auto"/>
        <w:bottom w:val="none" w:sz="0" w:space="0" w:color="auto"/>
        <w:right w:val="none" w:sz="0" w:space="0" w:color="auto"/>
      </w:divBdr>
      <w:divsChild>
        <w:div w:id="426123128">
          <w:marLeft w:val="0"/>
          <w:marRight w:val="0"/>
          <w:marTop w:val="0"/>
          <w:marBottom w:val="0"/>
          <w:divBdr>
            <w:top w:val="none" w:sz="0" w:space="0" w:color="auto"/>
            <w:left w:val="none" w:sz="0" w:space="0" w:color="auto"/>
            <w:bottom w:val="none" w:sz="0" w:space="0" w:color="auto"/>
            <w:right w:val="none" w:sz="0" w:space="0" w:color="auto"/>
          </w:divBdr>
          <w:divsChild>
            <w:div w:id="1337534040">
              <w:marLeft w:val="0"/>
              <w:marRight w:val="0"/>
              <w:marTop w:val="0"/>
              <w:marBottom w:val="0"/>
              <w:divBdr>
                <w:top w:val="none" w:sz="0" w:space="0" w:color="auto"/>
                <w:left w:val="none" w:sz="0" w:space="0" w:color="auto"/>
                <w:bottom w:val="none" w:sz="0" w:space="0" w:color="auto"/>
                <w:right w:val="none" w:sz="0" w:space="0" w:color="auto"/>
              </w:divBdr>
              <w:divsChild>
                <w:div w:id="794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501939">
      <w:bodyDiv w:val="1"/>
      <w:marLeft w:val="0"/>
      <w:marRight w:val="0"/>
      <w:marTop w:val="0"/>
      <w:marBottom w:val="0"/>
      <w:divBdr>
        <w:top w:val="none" w:sz="0" w:space="0" w:color="auto"/>
        <w:left w:val="none" w:sz="0" w:space="0" w:color="auto"/>
        <w:bottom w:val="none" w:sz="0" w:space="0" w:color="auto"/>
        <w:right w:val="none" w:sz="0" w:space="0" w:color="auto"/>
      </w:divBdr>
      <w:divsChild>
        <w:div w:id="824862232">
          <w:marLeft w:val="0"/>
          <w:marRight w:val="0"/>
          <w:marTop w:val="0"/>
          <w:marBottom w:val="0"/>
          <w:divBdr>
            <w:top w:val="none" w:sz="0" w:space="0" w:color="auto"/>
            <w:left w:val="none" w:sz="0" w:space="0" w:color="auto"/>
            <w:bottom w:val="none" w:sz="0" w:space="0" w:color="auto"/>
            <w:right w:val="none" w:sz="0" w:space="0" w:color="auto"/>
          </w:divBdr>
          <w:divsChild>
            <w:div w:id="79061293">
              <w:marLeft w:val="0"/>
              <w:marRight w:val="0"/>
              <w:marTop w:val="0"/>
              <w:marBottom w:val="0"/>
              <w:divBdr>
                <w:top w:val="none" w:sz="0" w:space="0" w:color="auto"/>
                <w:left w:val="none" w:sz="0" w:space="0" w:color="auto"/>
                <w:bottom w:val="none" w:sz="0" w:space="0" w:color="auto"/>
                <w:right w:val="none" w:sz="0" w:space="0" w:color="auto"/>
              </w:divBdr>
              <w:divsChild>
                <w:div w:id="1928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030696">
      <w:bodyDiv w:val="1"/>
      <w:marLeft w:val="0"/>
      <w:marRight w:val="0"/>
      <w:marTop w:val="0"/>
      <w:marBottom w:val="0"/>
      <w:divBdr>
        <w:top w:val="none" w:sz="0" w:space="0" w:color="auto"/>
        <w:left w:val="none" w:sz="0" w:space="0" w:color="auto"/>
        <w:bottom w:val="none" w:sz="0" w:space="0" w:color="auto"/>
        <w:right w:val="none" w:sz="0" w:space="0" w:color="auto"/>
      </w:divBdr>
      <w:divsChild>
        <w:div w:id="2143886507">
          <w:marLeft w:val="0"/>
          <w:marRight w:val="0"/>
          <w:marTop w:val="0"/>
          <w:marBottom w:val="0"/>
          <w:divBdr>
            <w:top w:val="none" w:sz="0" w:space="0" w:color="auto"/>
            <w:left w:val="none" w:sz="0" w:space="0" w:color="auto"/>
            <w:bottom w:val="none" w:sz="0" w:space="0" w:color="auto"/>
            <w:right w:val="none" w:sz="0" w:space="0" w:color="auto"/>
          </w:divBdr>
          <w:divsChild>
            <w:div w:id="1108889742">
              <w:marLeft w:val="0"/>
              <w:marRight w:val="0"/>
              <w:marTop w:val="0"/>
              <w:marBottom w:val="0"/>
              <w:divBdr>
                <w:top w:val="none" w:sz="0" w:space="0" w:color="auto"/>
                <w:left w:val="none" w:sz="0" w:space="0" w:color="auto"/>
                <w:bottom w:val="none" w:sz="0" w:space="0" w:color="auto"/>
                <w:right w:val="none" w:sz="0" w:space="0" w:color="auto"/>
              </w:divBdr>
              <w:divsChild>
                <w:div w:id="6882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495322">
      <w:bodyDiv w:val="1"/>
      <w:marLeft w:val="0"/>
      <w:marRight w:val="0"/>
      <w:marTop w:val="0"/>
      <w:marBottom w:val="0"/>
      <w:divBdr>
        <w:top w:val="none" w:sz="0" w:space="0" w:color="auto"/>
        <w:left w:val="none" w:sz="0" w:space="0" w:color="auto"/>
        <w:bottom w:val="none" w:sz="0" w:space="0" w:color="auto"/>
        <w:right w:val="none" w:sz="0" w:space="0" w:color="auto"/>
      </w:divBdr>
      <w:divsChild>
        <w:div w:id="1543638506">
          <w:marLeft w:val="0"/>
          <w:marRight w:val="0"/>
          <w:marTop w:val="0"/>
          <w:marBottom w:val="0"/>
          <w:divBdr>
            <w:top w:val="none" w:sz="0" w:space="0" w:color="auto"/>
            <w:left w:val="none" w:sz="0" w:space="0" w:color="auto"/>
            <w:bottom w:val="none" w:sz="0" w:space="0" w:color="auto"/>
            <w:right w:val="none" w:sz="0" w:space="0" w:color="auto"/>
          </w:divBdr>
          <w:divsChild>
            <w:div w:id="1611622596">
              <w:marLeft w:val="0"/>
              <w:marRight w:val="0"/>
              <w:marTop w:val="0"/>
              <w:marBottom w:val="0"/>
              <w:divBdr>
                <w:top w:val="none" w:sz="0" w:space="0" w:color="auto"/>
                <w:left w:val="none" w:sz="0" w:space="0" w:color="auto"/>
                <w:bottom w:val="none" w:sz="0" w:space="0" w:color="auto"/>
                <w:right w:val="none" w:sz="0" w:space="0" w:color="auto"/>
              </w:divBdr>
              <w:divsChild>
                <w:div w:id="1207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8988">
      <w:bodyDiv w:val="1"/>
      <w:marLeft w:val="0"/>
      <w:marRight w:val="0"/>
      <w:marTop w:val="0"/>
      <w:marBottom w:val="0"/>
      <w:divBdr>
        <w:top w:val="none" w:sz="0" w:space="0" w:color="auto"/>
        <w:left w:val="none" w:sz="0" w:space="0" w:color="auto"/>
        <w:bottom w:val="none" w:sz="0" w:space="0" w:color="auto"/>
        <w:right w:val="none" w:sz="0" w:space="0" w:color="auto"/>
      </w:divBdr>
      <w:divsChild>
        <w:div w:id="2115325213">
          <w:marLeft w:val="0"/>
          <w:marRight w:val="0"/>
          <w:marTop w:val="0"/>
          <w:marBottom w:val="0"/>
          <w:divBdr>
            <w:top w:val="none" w:sz="0" w:space="0" w:color="auto"/>
            <w:left w:val="none" w:sz="0" w:space="0" w:color="auto"/>
            <w:bottom w:val="none" w:sz="0" w:space="0" w:color="auto"/>
            <w:right w:val="none" w:sz="0" w:space="0" w:color="auto"/>
          </w:divBdr>
          <w:divsChild>
            <w:div w:id="779765635">
              <w:marLeft w:val="0"/>
              <w:marRight w:val="0"/>
              <w:marTop w:val="0"/>
              <w:marBottom w:val="0"/>
              <w:divBdr>
                <w:top w:val="none" w:sz="0" w:space="0" w:color="auto"/>
                <w:left w:val="none" w:sz="0" w:space="0" w:color="auto"/>
                <w:bottom w:val="none" w:sz="0" w:space="0" w:color="auto"/>
                <w:right w:val="none" w:sz="0" w:space="0" w:color="auto"/>
              </w:divBdr>
              <w:divsChild>
                <w:div w:id="6714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763881">
      <w:bodyDiv w:val="1"/>
      <w:marLeft w:val="0"/>
      <w:marRight w:val="0"/>
      <w:marTop w:val="0"/>
      <w:marBottom w:val="0"/>
      <w:divBdr>
        <w:top w:val="none" w:sz="0" w:space="0" w:color="auto"/>
        <w:left w:val="none" w:sz="0" w:space="0" w:color="auto"/>
        <w:bottom w:val="none" w:sz="0" w:space="0" w:color="auto"/>
        <w:right w:val="none" w:sz="0" w:space="0" w:color="auto"/>
      </w:divBdr>
      <w:divsChild>
        <w:div w:id="506018589">
          <w:marLeft w:val="0"/>
          <w:marRight w:val="0"/>
          <w:marTop w:val="0"/>
          <w:marBottom w:val="0"/>
          <w:divBdr>
            <w:top w:val="none" w:sz="0" w:space="0" w:color="auto"/>
            <w:left w:val="none" w:sz="0" w:space="0" w:color="auto"/>
            <w:bottom w:val="none" w:sz="0" w:space="0" w:color="auto"/>
            <w:right w:val="none" w:sz="0" w:space="0" w:color="auto"/>
          </w:divBdr>
          <w:divsChild>
            <w:div w:id="1889760678">
              <w:marLeft w:val="0"/>
              <w:marRight w:val="0"/>
              <w:marTop w:val="0"/>
              <w:marBottom w:val="0"/>
              <w:divBdr>
                <w:top w:val="none" w:sz="0" w:space="0" w:color="auto"/>
                <w:left w:val="none" w:sz="0" w:space="0" w:color="auto"/>
                <w:bottom w:val="none" w:sz="0" w:space="0" w:color="auto"/>
                <w:right w:val="none" w:sz="0" w:space="0" w:color="auto"/>
              </w:divBdr>
              <w:divsChild>
                <w:div w:id="703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3832">
      <w:bodyDiv w:val="1"/>
      <w:marLeft w:val="0"/>
      <w:marRight w:val="0"/>
      <w:marTop w:val="0"/>
      <w:marBottom w:val="0"/>
      <w:divBdr>
        <w:top w:val="none" w:sz="0" w:space="0" w:color="auto"/>
        <w:left w:val="none" w:sz="0" w:space="0" w:color="auto"/>
        <w:bottom w:val="none" w:sz="0" w:space="0" w:color="auto"/>
        <w:right w:val="none" w:sz="0" w:space="0" w:color="auto"/>
      </w:divBdr>
      <w:divsChild>
        <w:div w:id="634332058">
          <w:marLeft w:val="0"/>
          <w:marRight w:val="0"/>
          <w:marTop w:val="0"/>
          <w:marBottom w:val="0"/>
          <w:divBdr>
            <w:top w:val="none" w:sz="0" w:space="0" w:color="auto"/>
            <w:left w:val="none" w:sz="0" w:space="0" w:color="auto"/>
            <w:bottom w:val="none" w:sz="0" w:space="0" w:color="auto"/>
            <w:right w:val="none" w:sz="0" w:space="0" w:color="auto"/>
          </w:divBdr>
          <w:divsChild>
            <w:div w:id="1389915601">
              <w:marLeft w:val="0"/>
              <w:marRight w:val="0"/>
              <w:marTop w:val="0"/>
              <w:marBottom w:val="0"/>
              <w:divBdr>
                <w:top w:val="none" w:sz="0" w:space="0" w:color="auto"/>
                <w:left w:val="none" w:sz="0" w:space="0" w:color="auto"/>
                <w:bottom w:val="none" w:sz="0" w:space="0" w:color="auto"/>
                <w:right w:val="none" w:sz="0" w:space="0" w:color="auto"/>
              </w:divBdr>
              <w:divsChild>
                <w:div w:id="17126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1783">
      <w:bodyDiv w:val="1"/>
      <w:marLeft w:val="0"/>
      <w:marRight w:val="0"/>
      <w:marTop w:val="0"/>
      <w:marBottom w:val="0"/>
      <w:divBdr>
        <w:top w:val="none" w:sz="0" w:space="0" w:color="auto"/>
        <w:left w:val="none" w:sz="0" w:space="0" w:color="auto"/>
        <w:bottom w:val="none" w:sz="0" w:space="0" w:color="auto"/>
        <w:right w:val="none" w:sz="0" w:space="0" w:color="auto"/>
      </w:divBdr>
      <w:divsChild>
        <w:div w:id="422191109">
          <w:marLeft w:val="0"/>
          <w:marRight w:val="0"/>
          <w:marTop w:val="0"/>
          <w:marBottom w:val="0"/>
          <w:divBdr>
            <w:top w:val="none" w:sz="0" w:space="0" w:color="auto"/>
            <w:left w:val="none" w:sz="0" w:space="0" w:color="auto"/>
            <w:bottom w:val="none" w:sz="0" w:space="0" w:color="auto"/>
            <w:right w:val="none" w:sz="0" w:space="0" w:color="auto"/>
          </w:divBdr>
          <w:divsChild>
            <w:div w:id="401955019">
              <w:marLeft w:val="0"/>
              <w:marRight w:val="0"/>
              <w:marTop w:val="0"/>
              <w:marBottom w:val="0"/>
              <w:divBdr>
                <w:top w:val="none" w:sz="0" w:space="0" w:color="auto"/>
                <w:left w:val="none" w:sz="0" w:space="0" w:color="auto"/>
                <w:bottom w:val="none" w:sz="0" w:space="0" w:color="auto"/>
                <w:right w:val="none" w:sz="0" w:space="0" w:color="auto"/>
              </w:divBdr>
              <w:divsChild>
                <w:div w:id="1782796361">
                  <w:marLeft w:val="0"/>
                  <w:marRight w:val="0"/>
                  <w:marTop w:val="0"/>
                  <w:marBottom w:val="0"/>
                  <w:divBdr>
                    <w:top w:val="none" w:sz="0" w:space="0" w:color="auto"/>
                    <w:left w:val="none" w:sz="0" w:space="0" w:color="auto"/>
                    <w:bottom w:val="none" w:sz="0" w:space="0" w:color="auto"/>
                    <w:right w:val="none" w:sz="0" w:space="0" w:color="auto"/>
                  </w:divBdr>
                </w:div>
                <w:div w:id="3206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7413">
      <w:bodyDiv w:val="1"/>
      <w:marLeft w:val="0"/>
      <w:marRight w:val="0"/>
      <w:marTop w:val="0"/>
      <w:marBottom w:val="0"/>
      <w:divBdr>
        <w:top w:val="none" w:sz="0" w:space="0" w:color="auto"/>
        <w:left w:val="none" w:sz="0" w:space="0" w:color="auto"/>
        <w:bottom w:val="none" w:sz="0" w:space="0" w:color="auto"/>
        <w:right w:val="none" w:sz="0" w:space="0" w:color="auto"/>
      </w:divBdr>
      <w:divsChild>
        <w:div w:id="1054042789">
          <w:marLeft w:val="0"/>
          <w:marRight w:val="0"/>
          <w:marTop w:val="0"/>
          <w:marBottom w:val="0"/>
          <w:divBdr>
            <w:top w:val="none" w:sz="0" w:space="0" w:color="auto"/>
            <w:left w:val="none" w:sz="0" w:space="0" w:color="auto"/>
            <w:bottom w:val="none" w:sz="0" w:space="0" w:color="auto"/>
            <w:right w:val="none" w:sz="0" w:space="0" w:color="auto"/>
          </w:divBdr>
          <w:divsChild>
            <w:div w:id="1948341686">
              <w:marLeft w:val="0"/>
              <w:marRight w:val="0"/>
              <w:marTop w:val="0"/>
              <w:marBottom w:val="0"/>
              <w:divBdr>
                <w:top w:val="none" w:sz="0" w:space="0" w:color="auto"/>
                <w:left w:val="none" w:sz="0" w:space="0" w:color="auto"/>
                <w:bottom w:val="none" w:sz="0" w:space="0" w:color="auto"/>
                <w:right w:val="none" w:sz="0" w:space="0" w:color="auto"/>
              </w:divBdr>
              <w:divsChild>
                <w:div w:id="12537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5178036">
      <w:bodyDiv w:val="1"/>
      <w:marLeft w:val="0"/>
      <w:marRight w:val="0"/>
      <w:marTop w:val="0"/>
      <w:marBottom w:val="0"/>
      <w:divBdr>
        <w:top w:val="none" w:sz="0" w:space="0" w:color="auto"/>
        <w:left w:val="none" w:sz="0" w:space="0" w:color="auto"/>
        <w:bottom w:val="none" w:sz="0" w:space="0" w:color="auto"/>
        <w:right w:val="none" w:sz="0" w:space="0" w:color="auto"/>
      </w:divBdr>
      <w:divsChild>
        <w:div w:id="184901031">
          <w:marLeft w:val="0"/>
          <w:marRight w:val="0"/>
          <w:marTop w:val="0"/>
          <w:marBottom w:val="0"/>
          <w:divBdr>
            <w:top w:val="none" w:sz="0" w:space="0" w:color="auto"/>
            <w:left w:val="none" w:sz="0" w:space="0" w:color="auto"/>
            <w:bottom w:val="none" w:sz="0" w:space="0" w:color="auto"/>
            <w:right w:val="none" w:sz="0" w:space="0" w:color="auto"/>
          </w:divBdr>
          <w:divsChild>
            <w:div w:id="615328107">
              <w:marLeft w:val="0"/>
              <w:marRight w:val="0"/>
              <w:marTop w:val="0"/>
              <w:marBottom w:val="0"/>
              <w:divBdr>
                <w:top w:val="none" w:sz="0" w:space="0" w:color="auto"/>
                <w:left w:val="none" w:sz="0" w:space="0" w:color="auto"/>
                <w:bottom w:val="none" w:sz="0" w:space="0" w:color="auto"/>
                <w:right w:val="none" w:sz="0" w:space="0" w:color="auto"/>
              </w:divBdr>
              <w:divsChild>
                <w:div w:id="331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resources/publications/the-national-palliative-care-strategy-2018" TargetMode="External"/><Relationship Id="rId26" Type="http://schemas.openxmlformats.org/officeDocument/2006/relationships/hyperlink" Target="https://tgldcdp.tg.org.au/viewTopic?topicfile=palliative-care-overview" TargetMode="External"/><Relationship Id="rId3" Type="http://schemas.openxmlformats.org/officeDocument/2006/relationships/customXml" Target="../customXml/item3.xml"/><Relationship Id="rId21" Type="http://schemas.openxmlformats.org/officeDocument/2006/relationships/hyperlink" Target="https://www2.health.vic.gov.au/hospitals-and-health-services/patient-care/end-of-life-care/palliative-care/essential-elements/trigg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fetyandquality.gov.au/publications-and-resources/resource-library/national-consensus-statement-essential-elements-safe-and-high-quality-end-life-care" TargetMode="External"/><Relationship Id="rId25" Type="http://schemas.openxmlformats.org/officeDocument/2006/relationships/hyperlink" Target="http://www.saxinstitute.org.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aresearch.com.au/caresearch/tabid/5918/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alliaged.com.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ice.org.uk/guidance/ng31" TargetMode="External"/><Relationship Id="rId28" Type="http://schemas.openxmlformats.org/officeDocument/2006/relationships/hyperlink" Target="https://www.health.vic.gov.au/residential-aged-care/standardised-care-processes" TargetMode="External"/><Relationship Id="rId10" Type="http://schemas.openxmlformats.org/officeDocument/2006/relationships/endnotes" Target="endnotes.xml"/><Relationship Id="rId19" Type="http://schemas.openxmlformats.org/officeDocument/2006/relationships/hyperlink" Target="https://www.caresearch.com.au/caresearch/tabid/738/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health.vic.gov.au/hospitals-and-health-services/patient-care/end-of-life-care/palliative-care/end-of-life-and-palliative-care-framework" TargetMode="External"/><Relationship Id="rId27" Type="http://schemas.openxmlformats.org/officeDocument/2006/relationships/hyperlink" Target="https://ww2.health.wa.gov.au/~/media/Files/Corporate/general%20documents/Palliative/Evidence_based_guidelines.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Props1.xml><?xml version="1.0" encoding="utf-8"?>
<ds:datastoreItem xmlns:ds="http://schemas.openxmlformats.org/officeDocument/2006/customXml" ds:itemID="{694E58CA-E653-42E5-89D1-4F1189357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3</TotalTime>
  <Pages>13</Pages>
  <Words>3603</Words>
  <Characters>20539</Characters>
  <Application>Microsoft Office Word</Application>
  <DocSecurity>0</DocSecurity>
  <Lines>171</Lines>
  <Paragraphs>48</Paragraphs>
  <ScaleCrop>false</ScaleCrop>
  <Manager/>
  <Company>Victoria State Government, Department of Health</Company>
  <LinksUpToDate>false</LinksUpToDate>
  <CharactersWithSpaces>24094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6</cp:revision>
  <cp:lastPrinted>2020-03-30T03:28:00Z</cp:lastPrinted>
  <dcterms:created xsi:type="dcterms:W3CDTF">2022-09-19T06:45:00Z</dcterms:created>
  <dcterms:modified xsi:type="dcterms:W3CDTF">2023-10-17T05:07:00Z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